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A92322" w:rsidP="0037111D">
            <w:r>
              <w:rPr>
                <w:rFonts w:ascii="Helvetica" w:hAnsi="Helvetica"/>
              </w:rPr>
              <w:t>269</w:t>
            </w:r>
            <w:r w:rsidR="00631AAF">
              <w:rPr>
                <w:rFonts w:ascii="Helvetica" w:hAnsi="Helvetica"/>
              </w:rPr>
              <w:t>/2020</w:t>
            </w:r>
            <w:r w:rsidR="003E6B9A" w:rsidRPr="003E6B9A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532941" w:rsidP="00CC1E2B">
            <w:r>
              <w:t>1/1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B65EDE" w:rsidP="00FE3455">
            <w:r w:rsidRPr="00B65EDE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B65EDE" w:rsidP="009A7568">
            <w:r>
              <w:t>722 819 305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B65EDE" w:rsidP="006104F6">
            <w:r w:rsidRPr="005F7C6B">
              <w:t>KlimesJa@szdc.cz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54F28">
              <w:rPr>
                <w:noProof/>
              </w:rPr>
              <w:t>9. ledna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Pr="00631AAF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</w:t>
      </w:r>
      <w:r w:rsidRPr="00631AAF">
        <w:rPr>
          <w:rFonts w:eastAsia="Calibri" w:cs="Times New Roman"/>
          <w:lang w:eastAsia="cs-CZ"/>
        </w:rPr>
        <w:t xml:space="preserve">: </w:t>
      </w:r>
      <w:r w:rsidR="00631AAF" w:rsidRPr="00631AAF">
        <w:rPr>
          <w:rFonts w:eastAsia="Calibri" w:cs="Times New Roman"/>
          <w:b/>
          <w:lang w:eastAsia="cs-CZ"/>
        </w:rPr>
        <w:t>„Rekonstrukce výpravní budovy v </w:t>
      </w:r>
      <w:proofErr w:type="spellStart"/>
      <w:r w:rsidR="00631AAF" w:rsidRPr="00631AAF">
        <w:rPr>
          <w:rFonts w:eastAsia="Calibri" w:cs="Times New Roman"/>
          <w:b/>
          <w:lang w:eastAsia="cs-CZ"/>
        </w:rPr>
        <w:t>žst</w:t>
      </w:r>
      <w:proofErr w:type="spellEnd"/>
      <w:r w:rsidR="00631AAF" w:rsidRPr="00631AAF">
        <w:rPr>
          <w:rFonts w:eastAsia="Calibri" w:cs="Times New Roman"/>
          <w:b/>
          <w:lang w:eastAsia="cs-CZ"/>
        </w:rPr>
        <w:t>. Olomouc-</w:t>
      </w:r>
      <w:proofErr w:type="spellStart"/>
      <w:r w:rsidR="00631AAF" w:rsidRPr="00631AAF">
        <w:rPr>
          <w:rFonts w:eastAsia="Calibri" w:cs="Times New Roman"/>
          <w:b/>
          <w:lang w:eastAsia="cs-CZ"/>
        </w:rPr>
        <w:t>Řepčín</w:t>
      </w:r>
      <w:proofErr w:type="spellEnd"/>
      <w:r w:rsidR="00631AAF" w:rsidRPr="00631AAF">
        <w:rPr>
          <w:rFonts w:eastAsia="Calibri" w:cs="Times New Roman"/>
          <w:b/>
          <w:lang w:eastAsia="cs-CZ"/>
        </w:rPr>
        <w:t>“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31AAF">
        <w:rPr>
          <w:rFonts w:eastAsia="Calibri" w:cs="Times New Roman"/>
          <w:lang w:eastAsia="cs-CZ"/>
        </w:rPr>
        <w:t>Vysvětlení/ změna/ doplnění zadávací dokumentace č</w:t>
      </w:r>
      <w:r w:rsidRPr="00CB7B5A">
        <w:rPr>
          <w:rFonts w:eastAsia="Calibri" w:cs="Times New Roman"/>
          <w:lang w:eastAsia="cs-CZ"/>
        </w:rPr>
        <w:t xml:space="preserve">. </w:t>
      </w:r>
      <w:r w:rsidR="00631AAF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776CC" w:rsidRPr="00483A26" w:rsidRDefault="00A776CC" w:rsidP="00A776C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83A26">
        <w:rPr>
          <w:rFonts w:ascii="Verdana" w:hAnsi="Verdana"/>
          <w:i/>
          <w:iCs/>
        </w:rPr>
        <w:t>Účinností zákona č. 367/2019 Sb., tj. od 1. 1. 2020 došlo ke změně názvu státní organizace, dřívější název Správa železniční dopravní cesty, byl od uvedeného data nahrazen názvem novým Správa železnic. K 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</w:t>
      </w:r>
    </w:p>
    <w:p w:rsidR="00A776CC" w:rsidRPr="00CB7B5A" w:rsidRDefault="00A776C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03262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  <w:r w:rsidR="00C03262">
        <w:rPr>
          <w:rFonts w:eastAsia="Calibri" w:cs="Times New Roman"/>
          <w:b/>
          <w:lang w:eastAsia="cs-CZ"/>
        </w:rPr>
        <w:t xml:space="preserve"> </w:t>
      </w:r>
    </w:p>
    <w:p w:rsidR="00CB7B5A" w:rsidRPr="00C03262" w:rsidRDefault="00631AA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745B06">
        <w:rPr>
          <w:rFonts w:eastAsia="Calibri" w:cs="Times New Roman"/>
          <w:lang w:eastAsia="cs-CZ"/>
        </w:rPr>
        <w:t>Jednotlivé soubory projektové dokumentace nelze otevřít, žádáme tímto o poskytnutí nové PD.</w:t>
      </w:r>
    </w:p>
    <w:p w:rsidR="00631AAF" w:rsidRDefault="00631AA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483A26" w:rsidRDefault="00CB7B5A" w:rsidP="00161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631AAF" w:rsidRPr="00631AAF">
        <w:rPr>
          <w:rFonts w:eastAsia="Calibri" w:cs="Times New Roman"/>
          <w:lang w:eastAsia="cs-CZ"/>
        </w:rPr>
        <w:t xml:space="preserve">Zadavatel prověřil předmětný soubor projektové dokumentace, označený pod názvem DSP a došel k následujícímu závěru. Soubory projektové dokumentace je nutno otevřít pomocí programu 7-Zip. </w:t>
      </w:r>
      <w:r w:rsidR="00631AAF">
        <w:rPr>
          <w:rFonts w:eastAsia="Calibri" w:cs="Times New Roman"/>
          <w:lang w:eastAsia="cs-CZ"/>
        </w:rPr>
        <w:t xml:space="preserve">Zadavatel však při </w:t>
      </w:r>
      <w:r w:rsidR="00996972">
        <w:rPr>
          <w:rFonts w:eastAsia="Calibri" w:cs="Times New Roman"/>
          <w:lang w:eastAsia="cs-CZ"/>
        </w:rPr>
        <w:t>dekomprimaci souboru</w:t>
      </w:r>
      <w:r w:rsidR="00631AAF">
        <w:rPr>
          <w:rFonts w:eastAsia="Calibri" w:cs="Times New Roman"/>
          <w:lang w:eastAsia="cs-CZ"/>
        </w:rPr>
        <w:t xml:space="preserve"> zjistil, že je soubor narušen díky </w:t>
      </w:r>
      <w:r w:rsidR="00096900">
        <w:rPr>
          <w:rFonts w:eastAsia="Calibri" w:cs="Times New Roman"/>
          <w:lang w:eastAsia="cs-CZ"/>
        </w:rPr>
        <w:t xml:space="preserve">neznámé </w:t>
      </w:r>
      <w:r w:rsidR="00631AAF">
        <w:rPr>
          <w:rFonts w:eastAsia="Calibri" w:cs="Times New Roman"/>
          <w:lang w:eastAsia="cs-CZ"/>
        </w:rPr>
        <w:t>chybě, která vznikla jeho komprimací. Lze tedy stáhnout téměř celou projektovou dokumentaci, několik souborů je však vadných, proto se nestáhnou.</w:t>
      </w:r>
    </w:p>
    <w:p w:rsidR="00631AAF" w:rsidRDefault="00631AAF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631AAF" w:rsidRPr="00631AAF" w:rsidRDefault="00631AAF" w:rsidP="00241CE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Vzhledem k této skutečnosti se zadavatel rozhodl vložit na profil zadavatele opětovně celou projektovou dokumentaci ve stejné podobě jako při vyhlášení této </w:t>
      </w:r>
      <w:r w:rsidR="00241CE9">
        <w:rPr>
          <w:rFonts w:eastAsia="Calibri" w:cs="Times New Roman"/>
          <w:lang w:eastAsia="cs-CZ"/>
        </w:rPr>
        <w:t>veřejné zakázky. O</w:t>
      </w:r>
      <w:r>
        <w:rPr>
          <w:rFonts w:eastAsia="Calibri" w:cs="Times New Roman"/>
          <w:lang w:eastAsia="cs-CZ"/>
        </w:rPr>
        <w:t xml:space="preserve">statní části zadávací dokumentace zůstávají nezměněny. </w:t>
      </w:r>
    </w:p>
    <w:p w:rsidR="00631AAF" w:rsidRPr="00CB7B5A" w:rsidRDefault="00631AAF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6708E1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</w:t>
      </w:r>
      <w:r w:rsidRPr="006708E1">
        <w:rPr>
          <w:rFonts w:eastAsia="Times New Roman" w:cs="Times New Roman"/>
          <w:lang w:eastAsia="cs-CZ"/>
        </w:rPr>
        <w:t xml:space="preserve">ke skutečnosti, že byly zadavatelem provedeny </w:t>
      </w:r>
      <w:r w:rsidRPr="006708E1">
        <w:rPr>
          <w:rFonts w:eastAsia="Times New Roman" w:cs="Times New Roman"/>
          <w:b/>
          <w:lang w:eastAsia="cs-CZ"/>
        </w:rPr>
        <w:t>změny/doplnění zadávací dokumentace</w:t>
      </w:r>
      <w:r w:rsidRPr="006708E1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6708E1">
        <w:rPr>
          <w:rFonts w:eastAsia="Times New Roman" w:cs="Times New Roman"/>
          <w:lang w:eastAsia="cs-CZ"/>
        </w:rPr>
        <w:br/>
      </w:r>
      <w:r w:rsidR="006708E1" w:rsidRPr="006708E1">
        <w:rPr>
          <w:rFonts w:eastAsia="Times New Roman" w:cs="Times New Roman"/>
          <w:lang w:eastAsia="cs-CZ"/>
        </w:rPr>
        <w:t>21. 1. 2020 v 9:00 hod</w:t>
      </w:r>
      <w:r w:rsidRPr="006708E1">
        <w:rPr>
          <w:rFonts w:eastAsia="Times New Roman" w:cs="Times New Roman"/>
          <w:lang w:eastAsia="cs-CZ"/>
        </w:rPr>
        <w:t xml:space="preserve"> na den </w:t>
      </w:r>
      <w:r w:rsidR="006708E1" w:rsidRPr="006708E1">
        <w:rPr>
          <w:rFonts w:eastAsia="Times New Roman" w:cs="Times New Roman"/>
          <w:lang w:eastAsia="cs-CZ"/>
        </w:rPr>
        <w:t>4. 2. 2020 v 9:00</w:t>
      </w:r>
      <w:r w:rsidRPr="006708E1">
        <w:rPr>
          <w:rFonts w:eastAsia="Times New Roman" w:cs="Times New Roman"/>
          <w:lang w:eastAsia="cs-CZ"/>
        </w:rPr>
        <w:t xml:space="preserve">. </w:t>
      </w:r>
    </w:p>
    <w:p w:rsidR="00CB7B5A" w:rsidRPr="006708E1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03262" w:rsidRDefault="00CB7B5A" w:rsidP="00C03262">
      <w:pPr>
        <w:pStyle w:val="Bezmezer"/>
      </w:pPr>
      <w:r w:rsidRPr="006708E1">
        <w:t>V souvislosti s touto změnou lhůty pr</w:t>
      </w:r>
      <w:r w:rsidR="00C03262">
        <w:t xml:space="preserve">o podání nabídek se mění rovněž </w:t>
      </w:r>
      <w:r w:rsidRPr="006708E1">
        <w:t>čl. 12.1 odst. 2 Výzvy k podání nabídky takto:</w:t>
      </w:r>
      <w:r w:rsidR="00A776CC">
        <w:t xml:space="preserve"> </w:t>
      </w:r>
    </w:p>
    <w:p w:rsidR="00C03262" w:rsidRDefault="00CB7B5A" w:rsidP="00C03262">
      <w:pPr>
        <w:pStyle w:val="Bezmezer"/>
      </w:pPr>
      <w:r w:rsidRPr="006708E1">
        <w:t xml:space="preserve">„Nabídky musí být zadavateli doručeny nejpozději do </w:t>
      </w:r>
      <w:r w:rsidR="006708E1" w:rsidRPr="006708E1">
        <w:rPr>
          <w:b/>
          <w:i/>
        </w:rPr>
        <w:t>4. 2. 2020 do 9</w:t>
      </w:r>
      <w:r w:rsidRPr="006708E1">
        <w:rPr>
          <w:b/>
          <w:i/>
        </w:rPr>
        <w:t>:00 hodin</w:t>
      </w:r>
      <w:r w:rsidRPr="006708E1">
        <w:t>“</w:t>
      </w:r>
    </w:p>
    <w:p w:rsidR="00CB7B5A" w:rsidRPr="00C03262" w:rsidRDefault="00CB7B5A" w:rsidP="00C03262">
      <w:pPr>
        <w:pStyle w:val="Bezmezer"/>
      </w:pPr>
      <w:r w:rsidRPr="006708E1">
        <w:t xml:space="preserve"> </w:t>
      </w:r>
    </w:p>
    <w:p w:rsidR="00CB7B5A" w:rsidRPr="00631AAF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708E1">
        <w:rPr>
          <w:rFonts w:eastAsia="Calibri" w:cs="Times New Roman"/>
          <w:lang w:eastAsia="cs-CZ"/>
        </w:rPr>
        <w:t>Vysvětlení/ změnu/ doplnění zadávací dokumentace</w:t>
      </w:r>
      <w:r w:rsidRPr="006708E1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6708E1">
          <w:rPr>
            <w:rFonts w:eastAsia="Times New Roman" w:cs="Times New Roman"/>
            <w:u w:val="single"/>
            <w:lang w:eastAsia="cs-CZ"/>
          </w:rPr>
          <w:t>https://zakazky.szdc.cz/</w:t>
        </w:r>
      </w:hyperlink>
      <w:r w:rsidRPr="006708E1">
        <w:rPr>
          <w:rFonts w:eastAsia="Times New Roman" w:cs="Times New Roman"/>
          <w:lang w:eastAsia="cs-CZ"/>
        </w:rPr>
        <w:t xml:space="preserve">. Vysvětlení/ změna/ doplnění je považováno za doručené </w:t>
      </w:r>
      <w:r w:rsidRPr="00631AAF">
        <w:rPr>
          <w:rFonts w:eastAsia="Times New Roman" w:cs="Times New Roman"/>
          <w:lang w:eastAsia="cs-CZ"/>
        </w:rPr>
        <w:t>okamžikem uveřejnění.</w:t>
      </w:r>
    </w:p>
    <w:p w:rsidR="00A776CC" w:rsidRDefault="00A776CC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631AAF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31AAF">
        <w:rPr>
          <w:rFonts w:eastAsia="Calibri" w:cs="Times New Roman"/>
          <w:b/>
          <w:bCs/>
          <w:lang w:eastAsia="cs-CZ"/>
        </w:rPr>
        <w:t xml:space="preserve">Příloha: </w:t>
      </w:r>
      <w:r w:rsidR="00631AAF" w:rsidRPr="00631AAF">
        <w:rPr>
          <w:rFonts w:eastAsia="Calibri" w:cs="Times New Roman"/>
          <w:bCs/>
          <w:lang w:eastAsia="cs-CZ"/>
        </w:rPr>
        <w:t>DSP 9. 1. 2020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D39A1" w:rsidRDefault="00AD39A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CC1E2B" w:rsidRDefault="00CB7B5A" w:rsidP="00A776CC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32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4F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4035A72" wp14:editId="4FB1956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ABDE0B7" wp14:editId="1162CB3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4F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4F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367C15A" wp14:editId="2E71700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0E30685" wp14:editId="307DF7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96900"/>
    <w:rsid w:val="000B1153"/>
    <w:rsid w:val="000B6C7E"/>
    <w:rsid w:val="000B7907"/>
    <w:rsid w:val="000C0429"/>
    <w:rsid w:val="000C45E8"/>
    <w:rsid w:val="00114472"/>
    <w:rsid w:val="00136B99"/>
    <w:rsid w:val="00154F28"/>
    <w:rsid w:val="00161217"/>
    <w:rsid w:val="00170EC5"/>
    <w:rsid w:val="001747C1"/>
    <w:rsid w:val="0018596A"/>
    <w:rsid w:val="001B69C2"/>
    <w:rsid w:val="001C4DA0"/>
    <w:rsid w:val="00207DF5"/>
    <w:rsid w:val="00241CE9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A26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2941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31AAF"/>
    <w:rsid w:val="00660AD3"/>
    <w:rsid w:val="006708E1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5B06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972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776CC"/>
    <w:rsid w:val="00A92322"/>
    <w:rsid w:val="00AA4CBB"/>
    <w:rsid w:val="00AA65FA"/>
    <w:rsid w:val="00AA7351"/>
    <w:rsid w:val="00AD056F"/>
    <w:rsid w:val="00AD2773"/>
    <w:rsid w:val="00AD39A1"/>
    <w:rsid w:val="00AD6731"/>
    <w:rsid w:val="00AE1DDE"/>
    <w:rsid w:val="00B15B5E"/>
    <w:rsid w:val="00B15D0D"/>
    <w:rsid w:val="00B23CA3"/>
    <w:rsid w:val="00B3491A"/>
    <w:rsid w:val="00B45E9E"/>
    <w:rsid w:val="00B55F9C"/>
    <w:rsid w:val="00B65EDE"/>
    <w:rsid w:val="00B75EE1"/>
    <w:rsid w:val="00B77481"/>
    <w:rsid w:val="00B8518B"/>
    <w:rsid w:val="00BB3740"/>
    <w:rsid w:val="00BD7E91"/>
    <w:rsid w:val="00BF374D"/>
    <w:rsid w:val="00C02D0A"/>
    <w:rsid w:val="00C03262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34ADA17-FB69-48C4-860F-D22DBB7B4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34</TotalTime>
  <Pages>1</Pages>
  <Words>355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26</cp:revision>
  <cp:lastPrinted>2020-01-09T09:01:00Z</cp:lastPrinted>
  <dcterms:created xsi:type="dcterms:W3CDTF">2019-05-30T12:09:00Z</dcterms:created>
  <dcterms:modified xsi:type="dcterms:W3CDTF">2020-01-09T09:01:00Z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