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251117BA"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F56861">
        <w:rPr>
          <w:rFonts w:asciiTheme="majorHAnsi" w:eastAsia="Times New Roman" w:hAnsiTheme="majorHAnsi" w:cs="Times New Roman"/>
          <w:lang w:eastAsia="cs-CZ"/>
        </w:rPr>
        <w:t xml:space="preserve">Příloha č. </w:t>
      </w:r>
      <w:r w:rsidR="0095599A">
        <w:rPr>
          <w:rFonts w:asciiTheme="majorHAnsi" w:eastAsia="Times New Roman" w:hAnsiTheme="majorHAnsi" w:cs="Times New Roman"/>
          <w:lang w:eastAsia="cs-CZ"/>
        </w:rPr>
        <w:t>7</w:t>
      </w:r>
      <w:bookmarkStart w:id="0" w:name="_GoBack"/>
      <w:bookmarkEnd w:id="0"/>
      <w:r w:rsidRPr="00F56861">
        <w:rPr>
          <w:rFonts w:asciiTheme="majorHAnsi" w:eastAsia="Times New Roman" w:hAnsiTheme="majorHAnsi" w:cs="Times New Roman"/>
          <w:lang w:eastAsia="cs-CZ"/>
        </w:rPr>
        <w:t xml:space="preserve"> Výzvy</w:t>
      </w:r>
      <w:r w:rsidRPr="004429CF">
        <w:rPr>
          <w:rFonts w:asciiTheme="majorHAnsi" w:eastAsia="Times New Roman" w:hAnsiTheme="majorHAnsi" w:cs="Times New Roman"/>
          <w:lang w:eastAsia="cs-CZ"/>
        </w:rPr>
        <w:t xml:space="preserve"> k podání nabídky</w:t>
      </w:r>
    </w:p>
    <w:p w14:paraId="169B190B" w14:textId="77777777" w:rsidR="004429CF" w:rsidRDefault="004429CF" w:rsidP="004429CF">
      <w:pPr>
        <w:pStyle w:val="Nzev"/>
        <w:jc w:val="left"/>
      </w:pPr>
    </w:p>
    <w:p w14:paraId="047BCFBE" w14:textId="60C8E8E2" w:rsidR="005740C3" w:rsidRPr="004429CF" w:rsidRDefault="009A0078" w:rsidP="004429CF">
      <w:pPr>
        <w:pStyle w:val="Nzev"/>
        <w:jc w:val="left"/>
      </w:pPr>
      <w:r w:rsidRPr="00DC60C3">
        <w:t xml:space="preserve">Smlouva o dílo </w:t>
      </w:r>
    </w:p>
    <w:p w14:paraId="71413EB7" w14:textId="545C934D" w:rsidR="005740C3" w:rsidRPr="00F20995" w:rsidRDefault="005740C3" w:rsidP="005740C3">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Pr>
          <w:rFonts w:eastAsia="Times New Roman" w:cs="Times New Roman"/>
          <w:b/>
          <w:highlight w:val="yellow"/>
          <w:lang w:eastAsia="cs-CZ"/>
        </w:rPr>
        <w:t>objednatele</w:t>
      </w:r>
      <w:r w:rsidRPr="00F20995">
        <w:rPr>
          <w:rFonts w:eastAsia="Times New Roman" w:cs="Times New Roman"/>
          <w:b/>
          <w:highlight w:val="yellow"/>
          <w:lang w:eastAsia="cs-CZ"/>
        </w:rPr>
        <w:t>. ………………</w:t>
      </w:r>
    </w:p>
    <w:p w14:paraId="6F0FEDA9" w14:textId="57D8B23A" w:rsidR="005740C3" w:rsidRDefault="005740C3" w:rsidP="005740C3">
      <w:pPr>
        <w:overflowPunct w:val="0"/>
        <w:autoSpaceDE w:val="0"/>
        <w:autoSpaceDN w:val="0"/>
        <w:adjustRightInd w:val="0"/>
        <w:spacing w:after="0" w:line="240" w:lineRule="auto"/>
        <w:textAlignment w:val="baseline"/>
        <w:rPr>
          <w:rFonts w:eastAsia="Times New Roman" w:cs="Times New Roman"/>
          <w:b/>
          <w:lang w:eastAsia="cs-CZ"/>
        </w:rPr>
      </w:pPr>
      <w:r w:rsidRPr="00F20995">
        <w:rPr>
          <w:rFonts w:eastAsia="Times New Roman" w:cs="Times New Roman"/>
          <w:b/>
          <w:highlight w:val="yellow"/>
          <w:lang w:eastAsia="cs-CZ"/>
        </w:rPr>
        <w:t xml:space="preserve">Číslo smlouvy </w:t>
      </w:r>
      <w:r>
        <w:rPr>
          <w:rFonts w:eastAsia="Times New Roman" w:cs="Times New Roman"/>
          <w:b/>
          <w:highlight w:val="yellow"/>
          <w:lang w:eastAsia="cs-CZ"/>
        </w:rPr>
        <w:t>zhotovitele</w:t>
      </w:r>
      <w:r w:rsidRPr="00F20995">
        <w:rPr>
          <w:rFonts w:eastAsia="Times New Roman" w:cs="Times New Roman"/>
          <w:b/>
          <w:highlight w:val="yellow"/>
          <w:lang w:eastAsia="cs-CZ"/>
        </w:rPr>
        <w:t>. ………………</w:t>
      </w:r>
    </w:p>
    <w:p w14:paraId="1CDD4F8B" w14:textId="77777777" w:rsidR="005740C3" w:rsidRPr="005740C3" w:rsidRDefault="005740C3" w:rsidP="005740C3">
      <w:pPr>
        <w:rPr>
          <w:highlight w:val="yellow"/>
        </w:rPr>
      </w:pP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 železniční dopravní cesty,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F56861"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56861">
        <w:rPr>
          <w:rFonts w:eastAsia="Times New Roman" w:cs="Times New Roman"/>
          <w:lang w:eastAsia="cs-CZ"/>
        </w:rPr>
        <w:t>IČO 70994234, DIČ CZ70994234</w:t>
      </w:r>
    </w:p>
    <w:p w14:paraId="3A44472F" w14:textId="70811732"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F56861">
        <w:rPr>
          <w:rFonts w:eastAsia="Times New Roman" w:cs="Times New Roman"/>
          <w:lang w:eastAsia="cs-CZ"/>
        </w:rPr>
        <w:tab/>
      </w:r>
      <w:r w:rsidRPr="00F56861">
        <w:rPr>
          <w:rFonts w:eastAsia="Times New Roman" w:cs="Times New Roman"/>
          <w:lang w:eastAsia="cs-CZ"/>
        </w:rPr>
        <w:tab/>
        <w:t xml:space="preserve">zastoupená </w:t>
      </w:r>
      <w:r w:rsidR="00F56861" w:rsidRPr="00F56861">
        <w:rPr>
          <w:rFonts w:eastAsia="Times New Roman" w:cs="Times New Roman"/>
          <w:lang w:eastAsia="cs-CZ"/>
        </w:rPr>
        <w:t>Ing. Alešem Krejčím, náměstkem GŘ pro ekonomiku</w:t>
      </w:r>
    </w:p>
    <w:p w14:paraId="12223576" w14:textId="0C027A16" w:rsidR="004E1498" w:rsidRPr="004E1498" w:rsidRDefault="004E1498" w:rsidP="00F56861">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b/>
          <w:highlight w:val="yellow"/>
          <w:lang w:eastAsia="cs-CZ"/>
        </w:rPr>
        <w:t>Zhotovitel:</w:t>
      </w:r>
      <w:r w:rsidRPr="000A13BC">
        <w:rPr>
          <w:rFonts w:eastAsia="Times New Roman" w:cs="Times New Roman"/>
          <w:highlight w:val="yellow"/>
          <w:lang w:eastAsia="cs-CZ"/>
        </w:rPr>
        <w:tab/>
      </w:r>
      <w:r w:rsidRPr="000A13BC">
        <w:rPr>
          <w:rFonts w:eastAsia="Times New Roman" w:cs="Times New Roman"/>
          <w:i/>
          <w:highlight w:val="yellow"/>
          <w:lang w:eastAsia="cs-CZ"/>
        </w:rPr>
        <w:t>jméno osoby/název firmy</w:t>
      </w:r>
    </w:p>
    <w:p w14:paraId="19E73E8B"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5B237A36"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4E1498">
        <w:rPr>
          <w:rFonts w:eastAsia="Times New Roman" w:cs="Times New Roman"/>
          <w:lang w:eastAsia="cs-CZ"/>
        </w:rPr>
        <w:t>„</w:t>
      </w:r>
      <w:r w:rsidR="00F56861" w:rsidRPr="004C69FA">
        <w:rPr>
          <w:b/>
        </w:rPr>
        <w:t>Migrace webových prezentací O27</w:t>
      </w:r>
      <w:r w:rsidR="00C847DC" w:rsidRPr="00D40D1D">
        <w:rPr>
          <w:b/>
        </w:rPr>
        <w:t xml:space="preserve">“, </w:t>
      </w:r>
      <w:r w:rsidR="000D278B" w:rsidRPr="00D40D1D">
        <w:rPr>
          <w:rFonts w:eastAsia="Times New Roman" w:cs="Times New Roman"/>
          <w:lang w:eastAsia="cs-CZ"/>
        </w:rPr>
        <w:t xml:space="preserve"> č.j. veřejné zakázky </w:t>
      </w:r>
      <w:r w:rsidR="00D40D1D" w:rsidRPr="00D40D1D">
        <w:rPr>
          <w:rFonts w:eastAsia="Times New Roman" w:cs="Times New Roman"/>
          <w:lang w:eastAsia="cs-CZ"/>
        </w:rPr>
        <w:t>70390</w:t>
      </w:r>
      <w:r w:rsidR="00D40D1D">
        <w:rPr>
          <w:rFonts w:eastAsia="Times New Roman" w:cs="Times New Roman"/>
          <w:lang w:eastAsia="cs-CZ"/>
        </w:rPr>
        <w:t>/2019-SŽDC-GŘ-O8</w:t>
      </w:r>
      <w:r w:rsidR="005740C3">
        <w:rPr>
          <w:rFonts w:eastAsia="Times New Roman" w:cs="Times New Roman"/>
          <w:lang w:eastAsia="cs-CZ"/>
        </w:rPr>
        <w:t xml:space="preserve"> </w:t>
      </w:r>
      <w:r w:rsidRPr="004E1498">
        <w:rPr>
          <w:rFonts w:eastAsia="Times New Roman" w:cs="Times New Roman"/>
          <w:lang w:eastAsia="cs-CZ"/>
        </w:rPr>
        <w:t>(dále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11E6F3F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77777777" w:rsidR="004E1498" w:rsidRPr="00950C1F" w:rsidRDefault="004E1498" w:rsidP="00592757">
      <w:pPr>
        <w:pStyle w:val="Nadpis1"/>
      </w:pPr>
      <w:r w:rsidRPr="00950C1F">
        <w:t>Dílo</w:t>
      </w:r>
    </w:p>
    <w:p w14:paraId="75B8D031" w14:textId="29C9B754" w:rsidR="004E1498" w:rsidRPr="006C7697" w:rsidRDefault="004E1498" w:rsidP="00592757">
      <w:pPr>
        <w:pStyle w:val="Nadpis2"/>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513C6B99" w14:textId="6A70050E" w:rsidR="00C847DC" w:rsidRPr="00C847DC" w:rsidRDefault="004E1498" w:rsidP="00C847DC">
      <w:pPr>
        <w:pStyle w:val="Nadpis2"/>
        <w:overflowPunct/>
        <w:autoSpaceDE/>
        <w:autoSpaceDN/>
        <w:adjustRightInd/>
        <w:spacing w:before="120" w:after="120"/>
        <w:contextualSpacing w:val="0"/>
        <w:jc w:val="left"/>
        <w:textAlignment w:val="auto"/>
      </w:pPr>
      <w:r w:rsidRPr="00C847DC">
        <w:rPr>
          <w:b/>
        </w:rPr>
        <w:t>Předmětem díla je</w:t>
      </w:r>
      <w:r w:rsidRPr="004E1498">
        <w:t xml:space="preserve"> </w:t>
      </w:r>
      <w:r w:rsidR="00C847DC" w:rsidRPr="00C847DC">
        <w:t xml:space="preserve">migrace současných níže uvedených webových prezentací Odboru komunikace pod platformu Liferay, na které je již provozována Korporátní webová prezentace SŽDC. Součástí dodávky je realizace grafického návrhu a šablony webu, která bude v souladu s pravidly korporátní identity SŽDC. </w:t>
      </w:r>
      <w:r w:rsidR="005C6284" w:rsidRPr="005C6284">
        <w:t>Objednatel požaduje grafické návrhy pro jednotlivé weby předložit v Analýze a návrhu řešení</w:t>
      </w:r>
      <w:r w:rsidR="005C6284">
        <w:t>.</w:t>
      </w:r>
    </w:p>
    <w:p w14:paraId="15F8ADB1" w14:textId="4756169B" w:rsidR="00C847DC" w:rsidRPr="00C847DC" w:rsidRDefault="00B31689" w:rsidP="00C847DC">
      <w:pPr>
        <w:pStyle w:val="Nadpis2"/>
        <w:numPr>
          <w:ilvl w:val="0"/>
          <w:numId w:val="27"/>
        </w:numPr>
        <w:overflowPunct/>
        <w:autoSpaceDE/>
        <w:autoSpaceDN/>
        <w:adjustRightInd/>
        <w:spacing w:before="120" w:after="120"/>
        <w:contextualSpacing w:val="0"/>
        <w:jc w:val="left"/>
        <w:textAlignment w:val="auto"/>
      </w:pPr>
      <w:r w:rsidRPr="00B31689">
        <w:t xml:space="preserve">www.szdc.cz/tym </w:t>
      </w:r>
    </w:p>
    <w:p w14:paraId="002C225E" w14:textId="32990691" w:rsidR="00C847DC" w:rsidRPr="00C847DC" w:rsidRDefault="00B31689" w:rsidP="00C847DC">
      <w:pPr>
        <w:pStyle w:val="Nadpis2"/>
        <w:numPr>
          <w:ilvl w:val="0"/>
          <w:numId w:val="27"/>
        </w:numPr>
        <w:overflowPunct/>
        <w:autoSpaceDE/>
        <w:autoSpaceDN/>
        <w:adjustRightInd/>
        <w:spacing w:before="120" w:after="120"/>
        <w:contextualSpacing w:val="0"/>
        <w:jc w:val="left"/>
        <w:textAlignment w:val="auto"/>
      </w:pPr>
      <w:r w:rsidRPr="00B31689">
        <w:t>www.szdc.cz/studenti</w:t>
      </w:r>
      <w:r>
        <w:t xml:space="preserve"> </w:t>
      </w:r>
    </w:p>
    <w:p w14:paraId="03F039C6" w14:textId="350F0F77" w:rsidR="004E1498" w:rsidRPr="004E1498" w:rsidRDefault="00B31689" w:rsidP="00C847DC">
      <w:pPr>
        <w:pStyle w:val="Nadpis2"/>
        <w:numPr>
          <w:ilvl w:val="0"/>
          <w:numId w:val="27"/>
        </w:numPr>
        <w:overflowPunct/>
        <w:autoSpaceDE/>
        <w:autoSpaceDN/>
        <w:adjustRightInd/>
        <w:spacing w:before="120" w:after="120"/>
        <w:contextualSpacing w:val="0"/>
        <w:jc w:val="left"/>
        <w:textAlignment w:val="auto"/>
      </w:pPr>
      <w:r w:rsidRPr="00B31689">
        <w:t>www.szdc.cz/fotosoutez</w:t>
      </w:r>
      <w:r>
        <w:t xml:space="preserve"> </w:t>
      </w:r>
    </w:p>
    <w:p w14:paraId="6E083611" w14:textId="48FE80B2" w:rsidR="00C847DC" w:rsidRPr="00C847DC" w:rsidRDefault="00C847DC" w:rsidP="00C847DC">
      <w:pPr>
        <w:pStyle w:val="Nadpis2"/>
        <w:jc w:val="left"/>
        <w:rPr>
          <w:b/>
        </w:rPr>
      </w:pPr>
      <w:r w:rsidRPr="00C847DC">
        <w:rPr>
          <w:b/>
        </w:rPr>
        <w:lastRenderedPageBreak/>
        <w:t>Požadavky na proj</w:t>
      </w:r>
      <w:r w:rsidR="005F4B51">
        <w:rPr>
          <w:b/>
        </w:rPr>
        <w:t>ektové řízení jsou přílohou č. 1</w:t>
      </w:r>
      <w:r w:rsidRPr="00C847DC">
        <w:rPr>
          <w:b/>
        </w:rPr>
        <w:t xml:space="preserve"> této Smlouvy.</w:t>
      </w:r>
    </w:p>
    <w:p w14:paraId="7A58D365" w14:textId="40E49C92" w:rsidR="00C847DC" w:rsidRPr="00C847DC" w:rsidRDefault="00C847DC" w:rsidP="00C847DC">
      <w:pPr>
        <w:pStyle w:val="Nadpis2"/>
        <w:jc w:val="left"/>
        <w:rPr>
          <w:b/>
        </w:rPr>
      </w:pPr>
      <w:r w:rsidRPr="00C847DC">
        <w:rPr>
          <w:b/>
        </w:rPr>
        <w:t>Základní metodika nasazování apl</w:t>
      </w:r>
      <w:r w:rsidR="005F4B51">
        <w:rPr>
          <w:b/>
        </w:rPr>
        <w:t>ikací na portál je přílohou č. 2</w:t>
      </w:r>
      <w:r w:rsidRPr="00C847DC">
        <w:rPr>
          <w:b/>
        </w:rPr>
        <w:t xml:space="preserve"> této Smlouvy.</w:t>
      </w:r>
    </w:p>
    <w:p w14:paraId="600D21AE" w14:textId="127BAA75" w:rsidR="004E1498" w:rsidRDefault="0029605F" w:rsidP="00592757">
      <w:pPr>
        <w:pStyle w:val="Nadpis1"/>
        <w:rPr>
          <w:rFonts w:eastAsia="Times New Roman"/>
          <w:lang w:eastAsia="cs-CZ"/>
        </w:rPr>
      </w:pPr>
      <w:r>
        <w:rPr>
          <w:rFonts w:eastAsia="Times New Roman"/>
          <w:lang w:eastAsia="cs-CZ"/>
        </w:rPr>
        <w:t xml:space="preserve">Cena díla </w:t>
      </w:r>
    </w:p>
    <w:p w14:paraId="2D4709AC" w14:textId="77777777" w:rsidR="00567F3F" w:rsidRPr="00567F3F" w:rsidRDefault="00567F3F" w:rsidP="00567F3F">
      <w:pPr>
        <w:pStyle w:val="Nadpis2"/>
        <w:jc w:val="left"/>
      </w:pPr>
    </w:p>
    <w:tbl>
      <w:tblPr>
        <w:tblStyle w:val="Mkatabulky"/>
        <w:tblW w:w="0" w:type="auto"/>
        <w:tblInd w:w="567" w:type="dxa"/>
        <w:tblLook w:val="04A0" w:firstRow="1" w:lastRow="0" w:firstColumn="1" w:lastColumn="0" w:noHBand="0" w:noVBand="1"/>
      </w:tblPr>
      <w:tblGrid>
        <w:gridCol w:w="2077"/>
        <w:gridCol w:w="2011"/>
        <w:gridCol w:w="2011"/>
        <w:gridCol w:w="2026"/>
      </w:tblGrid>
      <w:tr w:rsidR="00567F3F" w:rsidRPr="004204BB" w14:paraId="7B1DF1FE" w14:textId="77777777" w:rsidTr="00B26A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75" w:type="dxa"/>
            <w:tcBorders>
              <w:left w:val="single" w:sz="4" w:space="0" w:color="auto"/>
            </w:tcBorders>
          </w:tcPr>
          <w:p w14:paraId="076C2F1E" w14:textId="77777777" w:rsidR="00567F3F" w:rsidRPr="004204BB" w:rsidRDefault="00567F3F" w:rsidP="00B26AC7"/>
        </w:tc>
        <w:tc>
          <w:tcPr>
            <w:tcW w:w="2175" w:type="dxa"/>
          </w:tcPr>
          <w:p w14:paraId="5C583DCE" w14:textId="77777777" w:rsidR="00567F3F" w:rsidRPr="004204BB" w:rsidRDefault="00567F3F" w:rsidP="00B26AC7">
            <w:pPr>
              <w:cnfStyle w:val="100000000000" w:firstRow="1" w:lastRow="0" w:firstColumn="0" w:lastColumn="0" w:oddVBand="0" w:evenVBand="0" w:oddHBand="0" w:evenHBand="0" w:firstRowFirstColumn="0" w:firstRowLastColumn="0" w:lastRowFirstColumn="0" w:lastRowLastColumn="0"/>
              <w:rPr>
                <w:b/>
              </w:rPr>
            </w:pPr>
            <w:r w:rsidRPr="004204BB">
              <w:rPr>
                <w:b/>
              </w:rPr>
              <w:t>Cena bez DPH</w:t>
            </w:r>
          </w:p>
        </w:tc>
        <w:tc>
          <w:tcPr>
            <w:tcW w:w="2176" w:type="dxa"/>
          </w:tcPr>
          <w:p w14:paraId="4047F29C" w14:textId="77777777" w:rsidR="00567F3F" w:rsidRPr="004204BB" w:rsidRDefault="00567F3F" w:rsidP="00B26AC7">
            <w:pPr>
              <w:cnfStyle w:val="100000000000" w:firstRow="1" w:lastRow="0" w:firstColumn="0" w:lastColumn="0" w:oddVBand="0" w:evenVBand="0" w:oddHBand="0" w:evenHBand="0" w:firstRowFirstColumn="0" w:firstRowLastColumn="0" w:lastRowFirstColumn="0" w:lastRowLastColumn="0"/>
              <w:rPr>
                <w:b/>
              </w:rPr>
            </w:pPr>
            <w:r w:rsidRPr="004204BB">
              <w:rPr>
                <w:b/>
              </w:rPr>
              <w:t>Výše DPH</w:t>
            </w:r>
          </w:p>
        </w:tc>
        <w:tc>
          <w:tcPr>
            <w:tcW w:w="2176" w:type="dxa"/>
            <w:tcBorders>
              <w:right w:val="single" w:sz="4" w:space="0" w:color="auto"/>
            </w:tcBorders>
          </w:tcPr>
          <w:p w14:paraId="23331E4B" w14:textId="77777777" w:rsidR="00567F3F" w:rsidRPr="004204BB" w:rsidRDefault="00567F3F" w:rsidP="00B26AC7">
            <w:pPr>
              <w:cnfStyle w:val="100000000000" w:firstRow="1" w:lastRow="0" w:firstColumn="0" w:lastColumn="0" w:oddVBand="0" w:evenVBand="0" w:oddHBand="0" w:evenHBand="0" w:firstRowFirstColumn="0" w:firstRowLastColumn="0" w:lastRowFirstColumn="0" w:lastRowLastColumn="0"/>
              <w:rPr>
                <w:b/>
              </w:rPr>
            </w:pPr>
            <w:r w:rsidRPr="004204BB">
              <w:rPr>
                <w:b/>
              </w:rPr>
              <w:t>Cena včetně DPH</w:t>
            </w:r>
          </w:p>
        </w:tc>
      </w:tr>
      <w:tr w:rsidR="00567F3F" w:rsidRPr="004204BB" w14:paraId="24695CA0" w14:textId="77777777" w:rsidTr="00B26AC7">
        <w:tc>
          <w:tcPr>
            <w:cnfStyle w:val="001000000000" w:firstRow="0" w:lastRow="0" w:firstColumn="1" w:lastColumn="0" w:oddVBand="0" w:evenVBand="0" w:oddHBand="0" w:evenHBand="0" w:firstRowFirstColumn="0" w:firstRowLastColumn="0" w:lastRowFirstColumn="0" w:lastRowLastColumn="0"/>
            <w:tcW w:w="2175" w:type="dxa"/>
            <w:tcBorders>
              <w:left w:val="single" w:sz="4" w:space="0" w:color="auto"/>
            </w:tcBorders>
          </w:tcPr>
          <w:p w14:paraId="46D999CE" w14:textId="77777777" w:rsidR="00567F3F" w:rsidRPr="004204BB" w:rsidRDefault="00567F3F" w:rsidP="00B26AC7">
            <w:pPr>
              <w:rPr>
                <w:b/>
              </w:rPr>
            </w:pPr>
            <w:r w:rsidRPr="004204BB">
              <w:rPr>
                <w:b/>
              </w:rPr>
              <w:t>Migrace webu TÝMSŽDC</w:t>
            </w:r>
          </w:p>
        </w:tc>
        <w:tc>
          <w:tcPr>
            <w:tcW w:w="2175" w:type="dxa"/>
          </w:tcPr>
          <w:p w14:paraId="24EE497B" w14:textId="77777777" w:rsidR="00567F3F" w:rsidRPr="004204BB" w:rsidRDefault="00567F3F" w:rsidP="00B26AC7">
            <w:pPr>
              <w:cnfStyle w:val="000000000000" w:firstRow="0" w:lastRow="0" w:firstColumn="0" w:lastColumn="0" w:oddVBand="0" w:evenVBand="0" w:oddHBand="0" w:evenHBand="0" w:firstRowFirstColumn="0" w:firstRowLastColumn="0" w:lastRowFirstColumn="0" w:lastRowLastColumn="0"/>
            </w:pPr>
          </w:p>
        </w:tc>
        <w:tc>
          <w:tcPr>
            <w:tcW w:w="2176" w:type="dxa"/>
          </w:tcPr>
          <w:p w14:paraId="6485BEC3" w14:textId="77777777" w:rsidR="00567F3F" w:rsidRPr="004204BB" w:rsidRDefault="00567F3F" w:rsidP="00B26AC7">
            <w:pPr>
              <w:cnfStyle w:val="000000000000" w:firstRow="0" w:lastRow="0" w:firstColumn="0" w:lastColumn="0" w:oddVBand="0" w:evenVBand="0" w:oddHBand="0" w:evenHBand="0" w:firstRowFirstColumn="0" w:firstRowLastColumn="0" w:lastRowFirstColumn="0" w:lastRowLastColumn="0"/>
            </w:pPr>
          </w:p>
        </w:tc>
        <w:tc>
          <w:tcPr>
            <w:tcW w:w="2176" w:type="dxa"/>
            <w:tcBorders>
              <w:right w:val="single" w:sz="4" w:space="0" w:color="auto"/>
            </w:tcBorders>
          </w:tcPr>
          <w:p w14:paraId="79F418D3" w14:textId="77777777" w:rsidR="00567F3F" w:rsidRPr="004204BB" w:rsidRDefault="00567F3F" w:rsidP="00B26AC7">
            <w:pPr>
              <w:cnfStyle w:val="000000000000" w:firstRow="0" w:lastRow="0" w:firstColumn="0" w:lastColumn="0" w:oddVBand="0" w:evenVBand="0" w:oddHBand="0" w:evenHBand="0" w:firstRowFirstColumn="0" w:firstRowLastColumn="0" w:lastRowFirstColumn="0" w:lastRowLastColumn="0"/>
            </w:pPr>
          </w:p>
        </w:tc>
      </w:tr>
      <w:tr w:rsidR="00567F3F" w:rsidRPr="004204BB" w14:paraId="35D60533" w14:textId="77777777" w:rsidTr="00B26AC7">
        <w:tc>
          <w:tcPr>
            <w:cnfStyle w:val="001000000000" w:firstRow="0" w:lastRow="0" w:firstColumn="1" w:lastColumn="0" w:oddVBand="0" w:evenVBand="0" w:oddHBand="0" w:evenHBand="0" w:firstRowFirstColumn="0" w:firstRowLastColumn="0" w:lastRowFirstColumn="0" w:lastRowLastColumn="0"/>
            <w:tcW w:w="2175" w:type="dxa"/>
            <w:tcBorders>
              <w:left w:val="single" w:sz="4" w:space="0" w:color="auto"/>
            </w:tcBorders>
          </w:tcPr>
          <w:p w14:paraId="79133745" w14:textId="77777777" w:rsidR="00567F3F" w:rsidRPr="004204BB" w:rsidRDefault="00567F3F" w:rsidP="00B26AC7">
            <w:pPr>
              <w:rPr>
                <w:b/>
              </w:rPr>
            </w:pPr>
            <w:r w:rsidRPr="004204BB">
              <w:rPr>
                <w:b/>
              </w:rPr>
              <w:t>Migrace webu STUDENTI</w:t>
            </w:r>
          </w:p>
        </w:tc>
        <w:tc>
          <w:tcPr>
            <w:tcW w:w="2175" w:type="dxa"/>
          </w:tcPr>
          <w:p w14:paraId="713C4767" w14:textId="77777777" w:rsidR="00567F3F" w:rsidRPr="004204BB" w:rsidRDefault="00567F3F" w:rsidP="00B26AC7">
            <w:pPr>
              <w:cnfStyle w:val="000000000000" w:firstRow="0" w:lastRow="0" w:firstColumn="0" w:lastColumn="0" w:oddVBand="0" w:evenVBand="0" w:oddHBand="0" w:evenHBand="0" w:firstRowFirstColumn="0" w:firstRowLastColumn="0" w:lastRowFirstColumn="0" w:lastRowLastColumn="0"/>
            </w:pPr>
          </w:p>
        </w:tc>
        <w:tc>
          <w:tcPr>
            <w:tcW w:w="2176" w:type="dxa"/>
          </w:tcPr>
          <w:p w14:paraId="308C25A4" w14:textId="77777777" w:rsidR="00567F3F" w:rsidRPr="004204BB" w:rsidRDefault="00567F3F" w:rsidP="00B26AC7">
            <w:pPr>
              <w:cnfStyle w:val="000000000000" w:firstRow="0" w:lastRow="0" w:firstColumn="0" w:lastColumn="0" w:oddVBand="0" w:evenVBand="0" w:oddHBand="0" w:evenHBand="0" w:firstRowFirstColumn="0" w:firstRowLastColumn="0" w:lastRowFirstColumn="0" w:lastRowLastColumn="0"/>
            </w:pPr>
          </w:p>
        </w:tc>
        <w:tc>
          <w:tcPr>
            <w:tcW w:w="2176" w:type="dxa"/>
            <w:tcBorders>
              <w:right w:val="single" w:sz="4" w:space="0" w:color="auto"/>
            </w:tcBorders>
          </w:tcPr>
          <w:p w14:paraId="0B8CDBB9" w14:textId="77777777" w:rsidR="00567F3F" w:rsidRPr="004204BB" w:rsidRDefault="00567F3F" w:rsidP="00B26AC7">
            <w:pPr>
              <w:cnfStyle w:val="000000000000" w:firstRow="0" w:lastRow="0" w:firstColumn="0" w:lastColumn="0" w:oddVBand="0" w:evenVBand="0" w:oddHBand="0" w:evenHBand="0" w:firstRowFirstColumn="0" w:firstRowLastColumn="0" w:lastRowFirstColumn="0" w:lastRowLastColumn="0"/>
            </w:pPr>
          </w:p>
        </w:tc>
      </w:tr>
      <w:tr w:rsidR="00567F3F" w:rsidRPr="004204BB" w14:paraId="43FA8B01" w14:textId="77777777" w:rsidTr="00B26AC7">
        <w:tc>
          <w:tcPr>
            <w:cnfStyle w:val="001000000000" w:firstRow="0" w:lastRow="0" w:firstColumn="1" w:lastColumn="0" w:oddVBand="0" w:evenVBand="0" w:oddHBand="0" w:evenHBand="0" w:firstRowFirstColumn="0" w:firstRowLastColumn="0" w:lastRowFirstColumn="0" w:lastRowLastColumn="0"/>
            <w:tcW w:w="2175" w:type="dxa"/>
            <w:tcBorders>
              <w:left w:val="single" w:sz="4" w:space="0" w:color="auto"/>
            </w:tcBorders>
          </w:tcPr>
          <w:p w14:paraId="6E9249D2" w14:textId="77777777" w:rsidR="00567F3F" w:rsidRPr="004204BB" w:rsidRDefault="00567F3F" w:rsidP="00B26AC7">
            <w:pPr>
              <w:rPr>
                <w:b/>
              </w:rPr>
            </w:pPr>
            <w:r w:rsidRPr="004204BB">
              <w:rPr>
                <w:b/>
              </w:rPr>
              <w:t>Migrace webu FOTOSOUTĚŽ</w:t>
            </w:r>
          </w:p>
        </w:tc>
        <w:tc>
          <w:tcPr>
            <w:tcW w:w="2175" w:type="dxa"/>
          </w:tcPr>
          <w:p w14:paraId="7D26E463" w14:textId="77777777" w:rsidR="00567F3F" w:rsidRPr="004204BB" w:rsidRDefault="00567F3F" w:rsidP="00B26AC7">
            <w:pPr>
              <w:cnfStyle w:val="000000000000" w:firstRow="0" w:lastRow="0" w:firstColumn="0" w:lastColumn="0" w:oddVBand="0" w:evenVBand="0" w:oddHBand="0" w:evenHBand="0" w:firstRowFirstColumn="0" w:firstRowLastColumn="0" w:lastRowFirstColumn="0" w:lastRowLastColumn="0"/>
            </w:pPr>
          </w:p>
        </w:tc>
        <w:tc>
          <w:tcPr>
            <w:tcW w:w="2176" w:type="dxa"/>
          </w:tcPr>
          <w:p w14:paraId="5814A7C5" w14:textId="77777777" w:rsidR="00567F3F" w:rsidRPr="004204BB" w:rsidRDefault="00567F3F" w:rsidP="00B26AC7">
            <w:pPr>
              <w:cnfStyle w:val="000000000000" w:firstRow="0" w:lastRow="0" w:firstColumn="0" w:lastColumn="0" w:oddVBand="0" w:evenVBand="0" w:oddHBand="0" w:evenHBand="0" w:firstRowFirstColumn="0" w:firstRowLastColumn="0" w:lastRowFirstColumn="0" w:lastRowLastColumn="0"/>
            </w:pPr>
          </w:p>
        </w:tc>
        <w:tc>
          <w:tcPr>
            <w:tcW w:w="2176" w:type="dxa"/>
            <w:tcBorders>
              <w:right w:val="single" w:sz="4" w:space="0" w:color="auto"/>
            </w:tcBorders>
          </w:tcPr>
          <w:p w14:paraId="2B750982" w14:textId="77777777" w:rsidR="00567F3F" w:rsidRPr="004204BB" w:rsidRDefault="00567F3F" w:rsidP="00B26AC7">
            <w:pPr>
              <w:cnfStyle w:val="000000000000" w:firstRow="0" w:lastRow="0" w:firstColumn="0" w:lastColumn="0" w:oddVBand="0" w:evenVBand="0" w:oddHBand="0" w:evenHBand="0" w:firstRowFirstColumn="0" w:firstRowLastColumn="0" w:lastRowFirstColumn="0" w:lastRowLastColumn="0"/>
            </w:pPr>
          </w:p>
        </w:tc>
      </w:tr>
      <w:tr w:rsidR="00567F3F" w:rsidRPr="004204BB" w14:paraId="05C76A6C" w14:textId="77777777" w:rsidTr="00B26AC7">
        <w:tc>
          <w:tcPr>
            <w:cnfStyle w:val="001000000000" w:firstRow="0" w:lastRow="0" w:firstColumn="1" w:lastColumn="0" w:oddVBand="0" w:evenVBand="0" w:oddHBand="0" w:evenHBand="0" w:firstRowFirstColumn="0" w:firstRowLastColumn="0" w:lastRowFirstColumn="0" w:lastRowLastColumn="0"/>
            <w:tcW w:w="2175" w:type="dxa"/>
            <w:tcBorders>
              <w:left w:val="single" w:sz="4" w:space="0" w:color="auto"/>
              <w:bottom w:val="single" w:sz="4" w:space="0" w:color="auto"/>
            </w:tcBorders>
            <w:shd w:val="clear" w:color="auto" w:fill="FFFF00"/>
          </w:tcPr>
          <w:p w14:paraId="7DB389D7" w14:textId="77777777" w:rsidR="00567F3F" w:rsidRPr="004204BB" w:rsidRDefault="00567F3F" w:rsidP="00B26AC7">
            <w:pPr>
              <w:rPr>
                <w:b/>
              </w:rPr>
            </w:pPr>
            <w:r w:rsidRPr="004204BB">
              <w:rPr>
                <w:b/>
              </w:rPr>
              <w:t>Celková cena za migraci webů</w:t>
            </w:r>
          </w:p>
        </w:tc>
        <w:tc>
          <w:tcPr>
            <w:tcW w:w="2175" w:type="dxa"/>
            <w:tcBorders>
              <w:bottom w:val="single" w:sz="4" w:space="0" w:color="auto"/>
            </w:tcBorders>
            <w:shd w:val="clear" w:color="auto" w:fill="FFFF00"/>
          </w:tcPr>
          <w:p w14:paraId="6BBBED32" w14:textId="77777777" w:rsidR="00567F3F" w:rsidRPr="004204BB" w:rsidRDefault="00567F3F" w:rsidP="00B26AC7">
            <w:pPr>
              <w:cnfStyle w:val="000000000000" w:firstRow="0" w:lastRow="0" w:firstColumn="0" w:lastColumn="0" w:oddVBand="0" w:evenVBand="0" w:oddHBand="0" w:evenHBand="0" w:firstRowFirstColumn="0" w:firstRowLastColumn="0" w:lastRowFirstColumn="0" w:lastRowLastColumn="0"/>
            </w:pPr>
          </w:p>
        </w:tc>
        <w:tc>
          <w:tcPr>
            <w:tcW w:w="2176" w:type="dxa"/>
            <w:tcBorders>
              <w:bottom w:val="single" w:sz="4" w:space="0" w:color="auto"/>
            </w:tcBorders>
            <w:shd w:val="clear" w:color="auto" w:fill="FFFF00"/>
          </w:tcPr>
          <w:p w14:paraId="23878D2E" w14:textId="77777777" w:rsidR="00567F3F" w:rsidRPr="004204BB" w:rsidRDefault="00567F3F" w:rsidP="00B26AC7">
            <w:pPr>
              <w:cnfStyle w:val="000000000000" w:firstRow="0" w:lastRow="0" w:firstColumn="0" w:lastColumn="0" w:oddVBand="0" w:evenVBand="0" w:oddHBand="0" w:evenHBand="0" w:firstRowFirstColumn="0" w:firstRowLastColumn="0" w:lastRowFirstColumn="0" w:lastRowLastColumn="0"/>
            </w:pPr>
          </w:p>
        </w:tc>
        <w:tc>
          <w:tcPr>
            <w:tcW w:w="2176" w:type="dxa"/>
            <w:tcBorders>
              <w:bottom w:val="single" w:sz="4" w:space="0" w:color="auto"/>
              <w:right w:val="single" w:sz="4" w:space="0" w:color="auto"/>
            </w:tcBorders>
            <w:shd w:val="clear" w:color="auto" w:fill="FFFF00"/>
          </w:tcPr>
          <w:p w14:paraId="223FD47C" w14:textId="77777777" w:rsidR="00567F3F" w:rsidRPr="004204BB" w:rsidRDefault="00567F3F" w:rsidP="00B26AC7">
            <w:pPr>
              <w:cnfStyle w:val="000000000000" w:firstRow="0" w:lastRow="0" w:firstColumn="0" w:lastColumn="0" w:oddVBand="0" w:evenVBand="0" w:oddHBand="0" w:evenHBand="0" w:firstRowFirstColumn="0" w:firstRowLastColumn="0" w:lastRowFirstColumn="0" w:lastRowLastColumn="0"/>
            </w:pPr>
          </w:p>
        </w:tc>
      </w:tr>
    </w:tbl>
    <w:p w14:paraId="0E57E9FF" w14:textId="77777777" w:rsidR="00567F3F" w:rsidRPr="00567F3F" w:rsidRDefault="00567F3F" w:rsidP="00567F3F">
      <w:pPr>
        <w:pStyle w:val="Nadpis2"/>
        <w:numPr>
          <w:ilvl w:val="0"/>
          <w:numId w:val="0"/>
        </w:numPr>
        <w:ind w:left="576"/>
        <w:jc w:val="left"/>
        <w:rPr>
          <w:highlight w:val="yellow"/>
        </w:rPr>
      </w:pPr>
    </w:p>
    <w:p w14:paraId="28C81697" w14:textId="2AF2504E" w:rsidR="00810E9B" w:rsidRPr="00B31689" w:rsidRDefault="00810E9B" w:rsidP="00275474">
      <w:pPr>
        <w:pStyle w:val="Nadpis2"/>
        <w:jc w:val="left"/>
      </w:pPr>
      <w:r w:rsidRPr="00275474">
        <w:t>Fak</w:t>
      </w:r>
      <w:r w:rsidRPr="009D1706">
        <w:t>tura</w:t>
      </w:r>
      <w:r w:rsidRPr="00275474">
        <w:t xml:space="preserve">ce bude provedena </w:t>
      </w:r>
      <w:r w:rsidR="00CB53B1">
        <w:t xml:space="preserve">na </w:t>
      </w:r>
      <w:r w:rsidR="00CB53B1" w:rsidRPr="00567F3F">
        <w:t xml:space="preserve">základě akceptačního protokolu podepsaného oběma </w:t>
      </w:r>
      <w:r w:rsidR="003B5DD6" w:rsidRPr="00567F3F">
        <w:t>Sml</w:t>
      </w:r>
      <w:r w:rsidR="00567F3F" w:rsidRPr="00567F3F">
        <w:t xml:space="preserve">uvními stranami a to </w:t>
      </w:r>
      <w:r w:rsidR="00FA32F8" w:rsidRPr="00567F3F">
        <w:t>vžd</w:t>
      </w:r>
      <w:r w:rsidR="00567F3F" w:rsidRPr="00567F3F">
        <w:t xml:space="preserve">y po realizaci jednotlivé etapy </w:t>
      </w:r>
      <w:r w:rsidR="00567F3F" w:rsidRPr="00B31689">
        <w:t>uvedené v čl. 2.1 této Smlouvy.</w:t>
      </w:r>
    </w:p>
    <w:p w14:paraId="1AFBED57" w14:textId="77777777" w:rsidR="004E1498" w:rsidRPr="00B31689" w:rsidRDefault="004E1498" w:rsidP="00592757">
      <w:pPr>
        <w:pStyle w:val="Nadpis1"/>
        <w:rPr>
          <w:rFonts w:eastAsia="Times New Roman"/>
          <w:lang w:eastAsia="cs-CZ"/>
        </w:rPr>
      </w:pPr>
      <w:r w:rsidRPr="00B31689">
        <w:rPr>
          <w:rFonts w:eastAsia="Times New Roman"/>
          <w:lang w:eastAsia="cs-CZ"/>
        </w:rPr>
        <w:t>Místo a doba plnění</w:t>
      </w:r>
    </w:p>
    <w:p w14:paraId="4DCCF507" w14:textId="1EDFF05C" w:rsidR="004E1498" w:rsidRPr="00475AA2" w:rsidRDefault="004E1498" w:rsidP="00475AA2">
      <w:pPr>
        <w:pStyle w:val="Nadpis2"/>
        <w:jc w:val="left"/>
      </w:pPr>
      <w:r w:rsidRPr="00475AA2">
        <w:t>Místem plnění je</w:t>
      </w:r>
      <w:r w:rsidR="00475AA2" w:rsidRPr="00475AA2">
        <w:t xml:space="preserve"> Dlážděná 1003/7, 110 00Praha 1 a jednotlivé organizační složky </w:t>
      </w:r>
      <w:r w:rsidR="00D04F3D">
        <w:t xml:space="preserve">SŽDC </w:t>
      </w:r>
      <w:r w:rsidR="00475AA2" w:rsidRPr="00475AA2">
        <w:t xml:space="preserve">na území ČR </w:t>
      </w:r>
    </w:p>
    <w:p w14:paraId="773EB070" w14:textId="1E3B45CA" w:rsidR="00CB53B1" w:rsidRPr="00475AA2" w:rsidRDefault="00CB53B1" w:rsidP="00CB53B1">
      <w:pPr>
        <w:pStyle w:val="Nadpis2"/>
        <w:jc w:val="left"/>
      </w:pPr>
      <w:r w:rsidRPr="00475AA2">
        <w:t xml:space="preserve">Smlouva se uzavírá na dobu určitou do </w:t>
      </w:r>
      <w:r w:rsidR="00475AA2" w:rsidRPr="00475AA2">
        <w:t>10 měsíců od účinnosti této Smlouvy</w:t>
      </w:r>
    </w:p>
    <w:p w14:paraId="624D8729" w14:textId="4E62B202" w:rsidR="005740C3" w:rsidRPr="00475AA2" w:rsidRDefault="004E1498" w:rsidP="005740C3">
      <w:pPr>
        <w:pStyle w:val="Nadpis2"/>
        <w:jc w:val="left"/>
      </w:pPr>
      <w:r w:rsidRPr="00475AA2">
        <w:t>Z</w:t>
      </w:r>
      <w:r w:rsidR="005740C3" w:rsidRPr="00475AA2">
        <w:t xml:space="preserve">hotovitel je povinen provést a předat </w:t>
      </w:r>
      <w:r w:rsidRPr="00475AA2">
        <w:t xml:space="preserve">Dílo nejpozději do </w:t>
      </w:r>
      <w:r w:rsidR="00475AA2" w:rsidRPr="00475AA2">
        <w:t>9 měsíců od účinnosti této Smlouvy</w:t>
      </w:r>
      <w:r w:rsidR="0086114C" w:rsidRPr="00475AA2">
        <w:t>.</w:t>
      </w:r>
    </w:p>
    <w:p w14:paraId="38280017" w14:textId="77777777" w:rsidR="004E1498" w:rsidRPr="00475AA2" w:rsidRDefault="004E1498" w:rsidP="00592757">
      <w:pPr>
        <w:pStyle w:val="Nadpis1"/>
        <w:rPr>
          <w:rFonts w:eastAsia="Times New Roman"/>
          <w:lang w:eastAsia="cs-CZ"/>
        </w:rPr>
      </w:pPr>
      <w:r w:rsidRPr="00475AA2">
        <w:rPr>
          <w:rFonts w:eastAsia="Times New Roman"/>
          <w:lang w:eastAsia="cs-CZ"/>
        </w:rPr>
        <w:t>Záruční doba</w:t>
      </w:r>
    </w:p>
    <w:p w14:paraId="76B099DF" w14:textId="799028D2" w:rsidR="004E1498" w:rsidRPr="006C7697" w:rsidRDefault="004E1498" w:rsidP="006C7697">
      <w:pPr>
        <w:pStyle w:val="Nadpis2"/>
        <w:jc w:val="left"/>
      </w:pPr>
      <w:r w:rsidRPr="004E1498">
        <w:t xml:space="preserve">Záruční doba činí </w:t>
      </w:r>
      <w:r w:rsidRPr="004E1498">
        <w:rPr>
          <w:highlight w:val="yellow"/>
        </w:rPr>
        <w:t>………</w:t>
      </w:r>
      <w:r w:rsidR="00816B59">
        <w:rPr>
          <w:highlight w:val="yellow"/>
        </w:rPr>
        <w:t xml:space="preserve"> </w:t>
      </w:r>
      <w:r w:rsidR="00816B59" w:rsidRPr="00816B59">
        <w:t>(minimálně 24 měsíců)</w:t>
      </w:r>
      <w:r w:rsidRPr="00816B59">
        <w:t>.</w:t>
      </w:r>
    </w:p>
    <w:p w14:paraId="700C0934" w14:textId="52529E28"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6946143B" w:rsidR="004E1498" w:rsidRPr="004E1498" w:rsidRDefault="004E1498" w:rsidP="00592757">
      <w:pPr>
        <w:pStyle w:val="Nadpis2"/>
        <w:jc w:val="left"/>
      </w:pPr>
      <w:r w:rsidRPr="004E1498">
        <w:t>Na pro</w:t>
      </w:r>
      <w:r w:rsidR="000D278B">
        <w:t>vedení Díla se budou podílet pod</w:t>
      </w:r>
      <w:r w:rsidRPr="004E1498">
        <w:t xml:space="preserve">dodavatelé uvedení v příloze </w:t>
      </w:r>
      <w:r w:rsidRPr="004E1498">
        <w:rPr>
          <w:highlight w:val="yellow"/>
        </w:rPr>
        <w:t>č…</w:t>
      </w:r>
      <w:r w:rsidR="006566F7">
        <w:t>. této S</w:t>
      </w:r>
      <w:r w:rsidRPr="004E1498">
        <w:t xml:space="preserve">mlouvy. </w:t>
      </w:r>
    </w:p>
    <w:p w14:paraId="11AD6701" w14:textId="2EB6CAA9" w:rsidR="00FD17C6" w:rsidRPr="004E1498" w:rsidRDefault="00A02EE7" w:rsidP="008F5069">
      <w:pPr>
        <w:spacing w:after="0" w:line="240" w:lineRule="auto"/>
        <w:ind w:left="567"/>
        <w:contextualSpacing/>
        <w:rPr>
          <w:rFonts w:eastAsia="Times New Roman" w:cs="Times New Roman"/>
          <w:lang w:eastAsia="cs-CZ"/>
        </w:rPr>
      </w:pPr>
      <w:r>
        <w:rPr>
          <w:rFonts w:eastAsia="Times New Roman" w:cs="Times New Roman"/>
          <w:highlight w:val="yellow"/>
          <w:lang w:eastAsia="cs-CZ"/>
        </w:rPr>
        <w:t>(jestliže se na provedení díla nebudou podílet poddodavatelé, dodavatel do bodu 6.1 napíše: „Na provedení Díla se nebudou podílet poddodavatelé a vymaže tuto položku ze seznamu příloh).</w:t>
      </w:r>
    </w:p>
    <w:p w14:paraId="07E9C885" w14:textId="54AEC797" w:rsidR="00D657AD" w:rsidRPr="00B31689" w:rsidRDefault="00D657AD" w:rsidP="00592757">
      <w:pPr>
        <w:pStyle w:val="Nadpis1"/>
        <w:rPr>
          <w:rFonts w:eastAsia="Times New Roman"/>
          <w:lang w:eastAsia="cs-CZ"/>
        </w:rPr>
      </w:pPr>
      <w:r w:rsidRPr="00B31689">
        <w:rPr>
          <w:rFonts w:eastAsia="Times New Roman"/>
          <w:lang w:eastAsia="cs-CZ"/>
        </w:rPr>
        <w:t>Licenční podmínky</w:t>
      </w:r>
    </w:p>
    <w:p w14:paraId="3BEFBC74" w14:textId="3717D72B" w:rsidR="00D657AD" w:rsidRPr="00B31689" w:rsidRDefault="00D657AD" w:rsidP="00275474">
      <w:pPr>
        <w:pStyle w:val="Nadpis2"/>
        <w:jc w:val="left"/>
      </w:pPr>
      <w:r w:rsidRPr="00B31689">
        <w:t>V případě, že výsledkem činnosti dle uzavřené Smlouvy bude Dílo podléhající režimu zákona číslo 121/2000 Sb., o právu autorském, o právech souvisejících s právem autorským a o změně některých zákonů, ve znění pozdějších předpisů (dále jen „autorský zákon“), uděluje Zhotovitel Objednateli licenci k tomuto Dílu dle ustanovení Občanského zákoníku.</w:t>
      </w:r>
    </w:p>
    <w:p w14:paraId="771D93AA" w14:textId="77777777" w:rsidR="00D657AD" w:rsidRPr="00B31689" w:rsidRDefault="00D657AD" w:rsidP="00275474">
      <w:pPr>
        <w:pStyle w:val="Nadpis2"/>
        <w:jc w:val="left"/>
      </w:pPr>
      <w:r w:rsidRPr="00B31689">
        <w:t xml:space="preserve">Zhotovitel poskytuje Objednateli převoditelnou, nevýhradní, teritoriálně a co do množství neomezenou licenci na celou dobu trvání autorských a majetkových práv. Ve stejném rozsahu poskytuje Zhotovitel Objednateli licenci i k části Díla, lze-li část Díla užít samostatně. Objednatel není povinen licenci využívat. </w:t>
      </w:r>
    </w:p>
    <w:p w14:paraId="44B6E5AE" w14:textId="77777777" w:rsidR="00D657AD" w:rsidRPr="00B31689" w:rsidRDefault="00D657AD" w:rsidP="00275474">
      <w:pPr>
        <w:pStyle w:val="Nadpis2"/>
        <w:jc w:val="left"/>
      </w:pPr>
      <w:r w:rsidRPr="00B31689">
        <w:t>Zhotovitel poskytuje tuto licenci bezúplatně. Tato licence opravňuje Objednatele k tomu, aby:</w:t>
      </w:r>
    </w:p>
    <w:p w14:paraId="3796270B" w14:textId="77777777" w:rsidR="00D657AD" w:rsidRPr="00B31689" w:rsidRDefault="00D657AD" w:rsidP="00275474">
      <w:pPr>
        <w:pStyle w:val="Nadpis2"/>
        <w:numPr>
          <w:ilvl w:val="0"/>
          <w:numId w:val="0"/>
        </w:numPr>
        <w:ind w:left="708"/>
        <w:jc w:val="left"/>
      </w:pPr>
      <w:r w:rsidRPr="00B31689">
        <w:t>a)</w:t>
      </w:r>
      <w:r w:rsidRPr="00B31689">
        <w:tab/>
        <w:t>bez omezení využíval Dílo v rámci své podnikatelské činnosti,</w:t>
      </w:r>
    </w:p>
    <w:p w14:paraId="16649AE1" w14:textId="77777777" w:rsidR="00D657AD" w:rsidRPr="00B31689" w:rsidRDefault="00D657AD" w:rsidP="00275474">
      <w:pPr>
        <w:pStyle w:val="Nadpis2"/>
        <w:numPr>
          <w:ilvl w:val="0"/>
          <w:numId w:val="0"/>
        </w:numPr>
        <w:ind w:left="708"/>
        <w:jc w:val="left"/>
      </w:pPr>
      <w:r w:rsidRPr="00B31689">
        <w:t>b)</w:t>
      </w:r>
      <w:r w:rsidRPr="00B31689">
        <w:tab/>
        <w:t>si pořídil neomezený počet kopií Díla pro vlastní potřebu,</w:t>
      </w:r>
    </w:p>
    <w:p w14:paraId="2C9660F6" w14:textId="77777777" w:rsidR="00D657AD" w:rsidRPr="00B31689" w:rsidRDefault="00D657AD" w:rsidP="00275474">
      <w:pPr>
        <w:pStyle w:val="Nadpis2"/>
        <w:numPr>
          <w:ilvl w:val="0"/>
          <w:numId w:val="0"/>
        </w:numPr>
        <w:ind w:left="708"/>
        <w:jc w:val="left"/>
      </w:pPr>
      <w:r w:rsidRPr="00B31689">
        <w:t>c)</w:t>
      </w:r>
      <w:r w:rsidRPr="00B31689">
        <w:tab/>
        <w:t>aby sám nebo prostřednictvím třetích osob měnil, rozšiřoval a jinak upravoval Dílo v souladu se svými potřebami, to však jen s předchozím písemným souhlasem Zhotovitele.</w:t>
      </w:r>
    </w:p>
    <w:p w14:paraId="20129230" w14:textId="77777777" w:rsidR="00D657AD" w:rsidRPr="00B31689" w:rsidRDefault="00D657AD" w:rsidP="00275474">
      <w:pPr>
        <w:pStyle w:val="Nadpis2"/>
        <w:jc w:val="left"/>
      </w:pPr>
      <w:r w:rsidRPr="00B31689">
        <w:t>Objednatel je oprávněn převést licenci na třetí osoby pouze v případě předchozí písemné dohody Objednatele se Zhotovitelem.</w:t>
      </w:r>
    </w:p>
    <w:p w14:paraId="037F0698" w14:textId="77777777" w:rsidR="00D657AD" w:rsidRPr="00B31689" w:rsidRDefault="00D657AD" w:rsidP="00275474">
      <w:pPr>
        <w:pStyle w:val="Nadpis2"/>
        <w:jc w:val="left"/>
      </w:pPr>
      <w:r w:rsidRPr="00B31689">
        <w:lastRenderedPageBreak/>
        <w:t>Při uplatnění práv třetí osobou na autorská práva nese následky případných sporů Zhotovitel.</w:t>
      </w:r>
    </w:p>
    <w:p w14:paraId="3B2CAFD0" w14:textId="77777777" w:rsidR="00D657AD" w:rsidRPr="00B31689" w:rsidRDefault="00D657AD" w:rsidP="00275474">
      <w:pPr>
        <w:pStyle w:val="Nadpis2"/>
        <w:jc w:val="left"/>
      </w:pPr>
      <w:r w:rsidRPr="00B31689">
        <w:t>Zhotovitel prohlašuje, že je oprávněn poskytnout výše uvedenou licenci, že má s autorem Díla vypořádána autorská práva. V případě porušení tohoto odstavce, se Zhotovitel zavazuje zaplatit smluvní pokutu Objednateli ve výši 2.000.000,-- Kč. Právo na náhradu škody přesahující smluvní pokutu není ujednáním o smluvní pokutě dotčeno.</w:t>
      </w:r>
    </w:p>
    <w:p w14:paraId="3C619A0D" w14:textId="77777777" w:rsidR="00D657AD" w:rsidRPr="00B31689" w:rsidRDefault="00D657AD" w:rsidP="00275474">
      <w:pPr>
        <w:pStyle w:val="Nadpis2"/>
        <w:jc w:val="left"/>
      </w:pPr>
      <w:r w:rsidRPr="00B31689">
        <w:t>Není-li Zhotovitel na výzvu Objednatele ochoten uzavřít Smlouvu na další přiměřený rozvoj softwarového Díla dle požadavků Objednatele a na údržbu softwarového Díla za přiměřených podmínek a obvyklých cen ve lhůtě 2 měsíců od doručení výzvy Objednatelem, je povinen předat Objednateli zdrojové kódy aktuální verze softwarového Díla, a to do 90 dnů od marného uplynutí lhůty k uzavření Smlouvy.</w:t>
      </w:r>
    </w:p>
    <w:p w14:paraId="2EBE46CC" w14:textId="04F50027" w:rsidR="00D657AD" w:rsidRPr="00B31689" w:rsidRDefault="00D657AD" w:rsidP="00275474">
      <w:pPr>
        <w:pStyle w:val="Nadpis2"/>
        <w:jc w:val="left"/>
      </w:pPr>
      <w:r w:rsidRPr="00B31689">
        <w:t>Body 7.1. - 7.7. této Smlouvy plně nahrazují body 16</w:t>
      </w:r>
      <w:r w:rsidR="00CB53B1" w:rsidRPr="00B31689">
        <w:t>0</w:t>
      </w:r>
      <w:r w:rsidRPr="00B31689">
        <w:t>-1</w:t>
      </w:r>
      <w:r w:rsidR="00CB53B1" w:rsidRPr="00B31689">
        <w:t>65</w:t>
      </w:r>
      <w:r w:rsidRPr="00B31689">
        <w:t xml:space="preserve"> Obchodních podmínek.</w:t>
      </w:r>
    </w:p>
    <w:p w14:paraId="3029746A" w14:textId="63B3597B" w:rsidR="006351C0" w:rsidRPr="00276389" w:rsidRDefault="00B31689" w:rsidP="00276389">
      <w:pPr>
        <w:pStyle w:val="Nadpis1"/>
        <w:ind w:left="567" w:hanging="567"/>
        <w:rPr>
          <w:rFonts w:eastAsia="Times New Roman"/>
          <w:lang w:eastAsia="cs-CZ"/>
        </w:rPr>
      </w:pPr>
      <w:r w:rsidRPr="00B31689">
        <w:rPr>
          <w:rFonts w:eastAsia="Times New Roman"/>
          <w:lang w:eastAsia="cs-CZ"/>
        </w:rPr>
        <w:t>Dokumentace a zdrojové kódy</w:t>
      </w:r>
    </w:p>
    <w:p w14:paraId="51972BAE" w14:textId="27C0F2A5" w:rsidR="006D2D13" w:rsidRPr="00433A9D" w:rsidRDefault="006D2D13" w:rsidP="00276389">
      <w:pPr>
        <w:pStyle w:val="Nadpis2"/>
        <w:jc w:val="left"/>
        <w:rPr>
          <w:rFonts w:ascii="Verdana" w:eastAsia="Calibri" w:hAnsi="Verdana" w:cs="Arial"/>
        </w:rPr>
      </w:pPr>
      <w:r>
        <w:t>V rámci Akceptačního řízení dotčeného výstupu, který je součástí předání díla či jeho části, je Zhotovitel povinen předat Objednateli příslušnou dokumentaci a zdrojový kód. Objednatel požaduje dodání dokumentace minimálně v této struktuře:</w:t>
      </w:r>
    </w:p>
    <w:p w14:paraId="2F73A1A1" w14:textId="71FE00BE" w:rsidR="006D2D13" w:rsidRDefault="006D2D13" w:rsidP="00276389">
      <w:pPr>
        <w:pStyle w:val="Nadpis3"/>
        <w:numPr>
          <w:ilvl w:val="2"/>
          <w:numId w:val="44"/>
        </w:numPr>
        <w:ind w:left="851" w:hanging="284"/>
        <w:jc w:val="left"/>
      </w:pPr>
      <w:r>
        <w:t>Uživatelskou příručku obsahující konkrétní popis uživatelského prostředí, funkcí a postupů pro zaškolení zaměstnanců.</w:t>
      </w:r>
    </w:p>
    <w:p w14:paraId="020C7B27" w14:textId="4478D775" w:rsidR="006D2D13" w:rsidRDefault="006D2D13" w:rsidP="00276389">
      <w:pPr>
        <w:pStyle w:val="Nadpis3"/>
        <w:numPr>
          <w:ilvl w:val="2"/>
          <w:numId w:val="44"/>
        </w:numPr>
        <w:ind w:left="851" w:hanging="284"/>
        <w:jc w:val="left"/>
      </w:pPr>
      <w:r>
        <w:t>Administrátorskou příručku, popisující všechny parametry, které lze konfigurovat a popis dopadů změny konfigurace do systému.</w:t>
      </w:r>
    </w:p>
    <w:p w14:paraId="33DD3C98" w14:textId="04D27DCE" w:rsidR="006D2D13" w:rsidRDefault="006D2D13" w:rsidP="00276389">
      <w:pPr>
        <w:pStyle w:val="Nadpis3"/>
        <w:numPr>
          <w:ilvl w:val="2"/>
          <w:numId w:val="44"/>
        </w:numPr>
        <w:ind w:left="851" w:hanging="284"/>
        <w:jc w:val="left"/>
      </w:pPr>
      <w:r>
        <w:t>Technickou dokumentaci systému, pakliže se jedná o vícevrstvou architekturu, popis každé vrstvy zvlášť:</w:t>
      </w:r>
    </w:p>
    <w:p w14:paraId="496A5A41" w14:textId="481406FE" w:rsidR="006D2D13" w:rsidRDefault="006D2D13" w:rsidP="00276389">
      <w:pPr>
        <w:pStyle w:val="Nadpis3"/>
        <w:numPr>
          <w:ilvl w:val="3"/>
          <w:numId w:val="46"/>
        </w:numPr>
        <w:ind w:left="1134" w:hanging="283"/>
        <w:jc w:val="left"/>
      </w:pPr>
      <w:r>
        <w:t>Datová vrstva – popis datové vrstvy, čili tabulek v databázi včetně vazeb mezi tabulkami a včetně E-R schémat.</w:t>
      </w:r>
    </w:p>
    <w:p w14:paraId="10154197" w14:textId="21151470" w:rsidR="006D2D13" w:rsidRDefault="006D2D13" w:rsidP="00276389">
      <w:pPr>
        <w:pStyle w:val="Nadpis3"/>
        <w:numPr>
          <w:ilvl w:val="3"/>
          <w:numId w:val="46"/>
        </w:numPr>
        <w:ind w:left="1134" w:hanging="283"/>
        <w:jc w:val="left"/>
      </w:pPr>
      <w: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04706E70" w14:textId="2C5B3CB0" w:rsidR="006D2D13" w:rsidRDefault="006D2D13" w:rsidP="00276389">
      <w:pPr>
        <w:pStyle w:val="Nadpis3"/>
        <w:numPr>
          <w:ilvl w:val="3"/>
          <w:numId w:val="46"/>
        </w:numPr>
        <w:ind w:left="1134" w:hanging="283"/>
        <w:jc w:val="left"/>
      </w:pPr>
      <w:r>
        <w:t>Prezentační vrstva - Dokumentace systému musí obsahovat drátové modely všech obrazovek uživatelského rozhraní včetně popisu funkcí prvků každé obrazovky.</w:t>
      </w:r>
    </w:p>
    <w:p w14:paraId="68496593" w14:textId="5B4B185A" w:rsidR="006D2D13" w:rsidRDefault="006D2D13" w:rsidP="00276389">
      <w:pPr>
        <w:pStyle w:val="Odstavecseseznamem"/>
        <w:numPr>
          <w:ilvl w:val="3"/>
          <w:numId w:val="48"/>
        </w:numPr>
        <w:ind w:left="851" w:hanging="284"/>
        <w:rPr>
          <w:lang w:eastAsia="cs-CZ"/>
        </w:rPr>
      </w:pPr>
      <w:r>
        <w:rPr>
          <w:lang w:eastAsia="cs-CZ"/>
        </w:rPr>
        <w:t>Popis konfigurace provozního prostředí systému (serverová strana i klientská strana)</w:t>
      </w:r>
    </w:p>
    <w:p w14:paraId="62CA9CA8" w14:textId="77777777" w:rsidR="006D2D13" w:rsidRDefault="006D2D13" w:rsidP="00276389">
      <w:pPr>
        <w:pStyle w:val="Odstavecseseznamem"/>
        <w:numPr>
          <w:ilvl w:val="0"/>
          <w:numId w:val="48"/>
        </w:numPr>
        <w:ind w:left="851" w:hanging="284"/>
        <w:rPr>
          <w:lang w:eastAsia="cs-CZ"/>
        </w:rPr>
      </w:pPr>
      <w:r>
        <w:rPr>
          <w:lang w:eastAsia="cs-CZ"/>
        </w:rPr>
        <w:t>Dokumentace musí obsahovat soupis všech požadavků na nastavení hardwarových a softwarových komponent běhového prostředí jako jsou:</w:t>
      </w:r>
    </w:p>
    <w:p w14:paraId="11E8B439" w14:textId="3EB3C594" w:rsidR="006D2D13" w:rsidRDefault="006D2D13" w:rsidP="00276389">
      <w:pPr>
        <w:pStyle w:val="Odstavecseseznamem"/>
        <w:numPr>
          <w:ilvl w:val="3"/>
          <w:numId w:val="48"/>
        </w:numPr>
        <w:ind w:left="851" w:hanging="284"/>
        <w:rPr>
          <w:lang w:eastAsia="cs-CZ"/>
        </w:rPr>
      </w:pPr>
      <w:r>
        <w:rPr>
          <w:lang w:eastAsia="cs-CZ"/>
        </w:rPr>
        <w:t>mapování souborových systémů</w:t>
      </w:r>
    </w:p>
    <w:p w14:paraId="2756A45C" w14:textId="7F51D349" w:rsidR="006D2D13" w:rsidRDefault="006D2D13" w:rsidP="00276389">
      <w:pPr>
        <w:pStyle w:val="Odstavecseseznamem"/>
        <w:numPr>
          <w:ilvl w:val="3"/>
          <w:numId w:val="48"/>
        </w:numPr>
        <w:ind w:left="851" w:hanging="284"/>
        <w:rPr>
          <w:lang w:eastAsia="cs-CZ"/>
        </w:rPr>
      </w:pPr>
      <w:r>
        <w:rPr>
          <w:lang w:eastAsia="cs-CZ"/>
        </w:rPr>
        <w:t>požadavky na operační paměť a procesory</w:t>
      </w:r>
    </w:p>
    <w:p w14:paraId="41EC12FF" w14:textId="42B5360A" w:rsidR="006D2D13" w:rsidRDefault="006D2D13" w:rsidP="00276389">
      <w:pPr>
        <w:pStyle w:val="Odstavecseseznamem"/>
        <w:numPr>
          <w:ilvl w:val="3"/>
          <w:numId w:val="48"/>
        </w:numPr>
        <w:ind w:left="851" w:hanging="284"/>
        <w:rPr>
          <w:lang w:eastAsia="cs-CZ"/>
        </w:rPr>
      </w:pPr>
      <w:r>
        <w:rPr>
          <w:lang w:eastAsia="cs-CZ"/>
        </w:rPr>
        <w:t>konfigurační parametry jednotlivých podpůrných sw prostředků (např. specifika pro nastavení databáze, aplikačního serveru, webového serveru, apod.)</w:t>
      </w:r>
    </w:p>
    <w:p w14:paraId="6FB859EA" w14:textId="09F53467" w:rsidR="006D2D13" w:rsidRPr="006D2D13" w:rsidRDefault="006D2D13" w:rsidP="00276389">
      <w:pPr>
        <w:ind w:left="567"/>
        <w:rPr>
          <w:lang w:eastAsia="cs-CZ"/>
        </w:rPr>
      </w:pPr>
      <w:r>
        <w:rPr>
          <w:lang w:eastAsia="cs-CZ"/>
        </w:rPr>
        <w:t>Objednatel požaduje, aby tato dokumentace byla ve formátech XML DocBook (zdrojové) a PDF (export z XML zdroje pro snadnou distribuci uživatelům), nebo případně jiném ve formátu, který Objednatel schválí po vzájemné dohodě s Dodavatelem. Všechny dokumentace musí být verzované, opatřené seznamem autorů, přehledem změn jednotlivých verzí a musí být obsahově úplné pro tu část systému, kterou popisují.</w:t>
      </w:r>
    </w:p>
    <w:p w14:paraId="4C567E1E" w14:textId="77777777" w:rsidR="00B31689" w:rsidRPr="00B31689" w:rsidRDefault="00B31689" w:rsidP="00B31689">
      <w:pPr>
        <w:pStyle w:val="Nadpis1"/>
        <w:rPr>
          <w:rFonts w:eastAsia="Times New Roman"/>
          <w:lang w:eastAsia="cs-CZ"/>
        </w:rPr>
      </w:pPr>
      <w:r w:rsidRPr="00B31689">
        <w:rPr>
          <w:rFonts w:eastAsia="Times New Roman"/>
          <w:lang w:eastAsia="cs-CZ"/>
        </w:rPr>
        <w:lastRenderedPageBreak/>
        <w:t>Mlčenlivost</w:t>
      </w:r>
    </w:p>
    <w:p w14:paraId="2D313511" w14:textId="77777777" w:rsidR="00B31689" w:rsidRPr="005618E1" w:rsidRDefault="00B31689" w:rsidP="00B31689">
      <w:pPr>
        <w:pStyle w:val="Nadpis2"/>
        <w:jc w:val="left"/>
        <w:rPr>
          <w:rFonts w:ascii="Verdana" w:eastAsia="Calibri" w:hAnsi="Verdana" w:cs="Arial"/>
          <w:b/>
          <w:bCs/>
        </w:rPr>
      </w:pPr>
      <w:r w:rsidRPr="005618E1">
        <w:rPr>
          <w:rFonts w:ascii="Verdana" w:eastAsia="Calibri" w:hAnsi="Verdana" w:cs="Arial"/>
        </w:rPr>
        <w:t>Poskytovatel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Poskytovatel seznámil, prokazatelně veřejně přístupné, nebo těch, které se bez zavinění Poskytovatele veřejně přístupnými stanou. Poskytovatel nesmí takové skutečnosti a informace použít v rozporu s jejich účelem, nesmí je použít ve prospěch svůj nebo třetích osob a nesmí je použít ani v neprospěch Objednatele. Povinnosti dle tohoto odstavce je Poskytovatel povinen zachovávat i po zániku závazku z této Smlouvy, vyjma případů, kdy se takové skutečnosti a informace stanou prokazatelně veřejně přístupné bez zavinění Poskytovatele. Povinnosti dle tohoto odstavce se nevztahují na případy, kdy je Poskytovatel povinen zveřejnit takové skutečnosti nebo informace na základě povinnosti uložené mu právním předpisem nebo rozhodnutím orgánu veřejné moci.</w:t>
      </w:r>
    </w:p>
    <w:p w14:paraId="32CD0285" w14:textId="7944DB2E" w:rsidR="00276389" w:rsidRDefault="00B31689" w:rsidP="00276389">
      <w:pPr>
        <w:pStyle w:val="Nadpis2"/>
        <w:jc w:val="left"/>
        <w:rPr>
          <w:rFonts w:ascii="Verdana" w:eastAsia="Calibri" w:hAnsi="Verdana" w:cs="Arial"/>
        </w:rPr>
      </w:pPr>
      <w:r>
        <w:rPr>
          <w:rFonts w:ascii="Verdana" w:eastAsia="Calibri" w:hAnsi="Verdana" w:cs="Arial"/>
        </w:rPr>
        <w:t>V případě porušení článku V</w:t>
      </w:r>
      <w:r w:rsidRPr="005618E1">
        <w:rPr>
          <w:rFonts w:ascii="Verdana" w:eastAsia="Calibri" w:hAnsi="Verdana" w:cs="Arial"/>
        </w:rPr>
        <w:t>II odst. 1 této Smlouvy, se Poskytovatel zavazuje zaplatit smluvní pokutu Objednateli ve výši 50 000- Kč za každé takovéto jednotlivé porušení. Právo na náhradu škody přesahující smluvní pokutu není ujednáním o smluvní pokutě dotčeno.</w:t>
      </w:r>
    </w:p>
    <w:p w14:paraId="619976E9" w14:textId="08C91BBA" w:rsidR="00276389" w:rsidRDefault="00276389" w:rsidP="00276389">
      <w:pPr>
        <w:rPr>
          <w:lang w:eastAsia="cs-CZ"/>
        </w:rPr>
      </w:pPr>
    </w:p>
    <w:p w14:paraId="26395B14" w14:textId="77777777" w:rsidR="00276389" w:rsidRPr="00276389" w:rsidRDefault="00276389" w:rsidP="00276389">
      <w:pPr>
        <w:rPr>
          <w:lang w:eastAsia="cs-CZ"/>
        </w:rPr>
      </w:pP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592757">
      <w:pPr>
        <w:pStyle w:val="Nadpis2"/>
        <w:jc w:val="left"/>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4E1498" w:rsidRDefault="004E1498" w:rsidP="00592757">
      <w:pPr>
        <w:pStyle w:val="Nadpis2"/>
        <w:jc w:val="left"/>
        <w:rPr>
          <w:highlight w:val="yellow"/>
        </w:rPr>
      </w:pPr>
      <w:r w:rsidRPr="004E1498">
        <w:rPr>
          <w:highlight w:val="yellow"/>
        </w:rPr>
        <w:t>Kontaktními osobami smluvních stran jsou</w:t>
      </w:r>
    </w:p>
    <w:p w14:paraId="4E7FEA6D" w14:textId="776D44A0" w:rsidR="004E1498" w:rsidRPr="004E1498" w:rsidRDefault="004E1498" w:rsidP="00592757">
      <w:pPr>
        <w:pStyle w:val="Nadpis3"/>
        <w:jc w:val="left"/>
        <w:rPr>
          <w:highlight w:val="yellow"/>
        </w:rPr>
      </w:pPr>
      <w:r w:rsidRPr="004E1498">
        <w:rPr>
          <w:highlight w:val="yellow"/>
        </w:rPr>
        <w:t xml:space="preserve">za </w:t>
      </w:r>
      <w:r w:rsidRPr="00950C1F">
        <w:rPr>
          <w:highlight w:val="yellow"/>
        </w:rPr>
        <w:t>Objednatele</w:t>
      </w:r>
      <w:r w:rsidRPr="004E1498">
        <w:rPr>
          <w:highlight w:val="yellow"/>
        </w:rPr>
        <w:t xml:space="preserv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0086114C" w:rsidRPr="004E1498">
        <w:rPr>
          <w:highlight w:val="yellow"/>
        </w:rPr>
        <w:t>……,</w:t>
      </w:r>
    </w:p>
    <w:p w14:paraId="1C513CD4" w14:textId="4CC511DB" w:rsidR="004E1498" w:rsidRPr="004E1498" w:rsidRDefault="004E1498" w:rsidP="00592757">
      <w:pPr>
        <w:pStyle w:val="Nadpis3"/>
        <w:jc w:val="left"/>
        <w:rPr>
          <w:highlight w:val="yellow"/>
        </w:rPr>
      </w:pPr>
      <w:r w:rsidRPr="004E1498">
        <w:rPr>
          <w:highlight w:val="yellow"/>
        </w:rPr>
        <w:t>za Zhotovitele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0086114C" w:rsidRPr="004E1498">
        <w:rPr>
          <w:highlight w:val="yellow"/>
        </w:rPr>
        <w:t>…….</w:t>
      </w:r>
    </w:p>
    <w:p w14:paraId="739753B3" w14:textId="34ECEF7A" w:rsidR="004E1498" w:rsidRPr="00D9782E" w:rsidRDefault="004E1498" w:rsidP="00592757">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592757">
      <w:pPr>
        <w:pStyle w:val="Nadpis2"/>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592757">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592757">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w:t>
      </w:r>
      <w:r w:rsidRPr="00D9782E">
        <w:rPr>
          <w:rFonts w:eastAsia="Calibri"/>
        </w:rPr>
        <w:lastRenderedPageBreak/>
        <w:t>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92757">
      <w:pPr>
        <w:pStyle w:val="Nadpis2"/>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425029DF" w:rsidR="004429CF" w:rsidRPr="008F5069" w:rsidRDefault="006C7697" w:rsidP="004429CF">
      <w:pPr>
        <w:pStyle w:val="Nadpis2"/>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7ACA4F45" w14:textId="77777777"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92757">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92757">
      <w:pPr>
        <w:pStyle w:val="Nadpis2"/>
        <w:jc w:val="left"/>
      </w:pPr>
      <w:r w:rsidRPr="004E1498">
        <w:t xml:space="preserve">Zhotovitel prohlašuje, že </w:t>
      </w:r>
    </w:p>
    <w:p w14:paraId="7633B164" w14:textId="2B3E61B4" w:rsidR="004E1498" w:rsidRPr="004E1498" w:rsidRDefault="004E1498" w:rsidP="00592757">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592757">
      <w:pPr>
        <w:pStyle w:val="Nadpis3"/>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01DFBC5B" w:rsidR="006E6E61" w:rsidRPr="009C30C5" w:rsidRDefault="006E6E61" w:rsidP="009C30C5">
      <w:pPr>
        <w:pStyle w:val="Nadpis2"/>
      </w:pPr>
      <w:r w:rsidRPr="009C30C5">
        <w:t>Tato Smlouva je sepsána ve třech vyhotoveních, přičemž jedno vyhotovení obdrží Zhotovitel a dvě vyhotovení Objednatel.</w:t>
      </w:r>
    </w:p>
    <w:p w14:paraId="6AB23CD3" w14:textId="6EF7FE9C" w:rsidR="004E1498" w:rsidRPr="004E1498" w:rsidRDefault="004E1498" w:rsidP="009C30C5">
      <w:pPr>
        <w:pStyle w:val="Nadpis2"/>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9C30C5">
      <w:pPr>
        <w:pStyle w:val="Nadpis2"/>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9C30C5">
      <w:pPr>
        <w:pStyle w:val="Nadpis2"/>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9C30C5">
      <w:pPr>
        <w:pStyle w:val="Nadpis2"/>
        <w:ind w:left="567" w:hanging="567"/>
        <w:jc w:val="left"/>
      </w:pPr>
      <w:r>
        <w:t>Sml</w:t>
      </w:r>
      <w:r w:rsidR="004E1498" w:rsidRPr="004E1498">
        <w:t>ouvu o dílo lze měnit pouze písemnými dodatky.</w:t>
      </w:r>
    </w:p>
    <w:p w14:paraId="70BEC627" w14:textId="2D87FEA1" w:rsidR="004E1498" w:rsidRPr="004E1498" w:rsidRDefault="004E1498" w:rsidP="009C30C5">
      <w:pPr>
        <w:pStyle w:val="Nadpis2"/>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9C30C5">
      <w:pPr>
        <w:pStyle w:val="Nadpis2"/>
        <w:ind w:left="567" w:hanging="567"/>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8F5069" w:rsidRDefault="004E1498" w:rsidP="009C30C5">
      <w:pPr>
        <w:pStyle w:val="Nadpis2"/>
        <w:ind w:left="567" w:hanging="567"/>
        <w:jc w:val="left"/>
      </w:pPr>
      <w:r w:rsidRPr="004E1498">
        <w:t xml:space="preserve">Zvláštní podmínky, na které odkazuje Smlouva o dílo, mají přednost před zněním Obchodních podmínek, Obchodní podmínky se užijí v rozsahu, v jakém nejsou v rozporu </w:t>
      </w:r>
      <w:r w:rsidRPr="008F5069">
        <w:t>s takovými zvláštními podmínkami.</w:t>
      </w:r>
    </w:p>
    <w:p w14:paraId="7BCD9A30" w14:textId="66B3F5F8" w:rsidR="004E1498" w:rsidRPr="008F5069" w:rsidRDefault="004E1498" w:rsidP="00592757">
      <w:pPr>
        <w:pStyle w:val="Nadpis2"/>
        <w:ind w:left="567" w:hanging="567"/>
        <w:jc w:val="left"/>
      </w:pPr>
      <w:r w:rsidRPr="008F5069">
        <w:rPr>
          <w:rFonts w:eastAsia="Calibri"/>
        </w:rPr>
        <w:t xml:space="preserve">Tato </w:t>
      </w:r>
      <w:r w:rsidR="00D9782E" w:rsidRPr="008F5069">
        <w:rPr>
          <w:rFonts w:eastAsia="Calibri"/>
        </w:rPr>
        <w:t>Sml</w:t>
      </w:r>
      <w:r w:rsidRPr="008F5069">
        <w:rPr>
          <w:rFonts w:eastAsia="Calibri"/>
        </w:rPr>
        <w:t xml:space="preserve">ouva nabývá platnosti okamžikem podpisu poslední ze </w:t>
      </w:r>
      <w:r w:rsidR="00D9782E" w:rsidRPr="008F5069">
        <w:rPr>
          <w:rFonts w:eastAsia="Calibri"/>
        </w:rPr>
        <w:t>Sml</w:t>
      </w:r>
      <w:r w:rsidRPr="008F5069">
        <w:rPr>
          <w:rFonts w:eastAsia="Calibri"/>
        </w:rPr>
        <w:t>uvních stran. Je-li Smlouva uveřejňována v registru smluv, nabývá účinnosti dnem uveřejnění v registru smluv, jinak je účinná od okamžiku uzavření.</w:t>
      </w:r>
    </w:p>
    <w:p w14:paraId="19A12285" w14:textId="77777777" w:rsidR="004E1498" w:rsidRPr="008F5069"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8F5069">
        <w:rPr>
          <w:rFonts w:eastAsia="Times New Roman" w:cs="Times New Roman"/>
          <w:b/>
          <w:lang w:eastAsia="cs-CZ"/>
        </w:rPr>
        <w:t>Přílohy</w:t>
      </w:r>
    </w:p>
    <w:p w14:paraId="36D11A2E" w14:textId="0C64EF71" w:rsidR="008F5069" w:rsidRPr="008F5069" w:rsidRDefault="008F5069"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F5069">
        <w:t>Požadavky na projektové řízení</w:t>
      </w:r>
    </w:p>
    <w:p w14:paraId="17427B60" w14:textId="2088F4E5" w:rsidR="008F5069" w:rsidRPr="00C27C60" w:rsidRDefault="008F5069"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F5069">
        <w:t>Základní metodika nasazování aplikací na portál</w:t>
      </w:r>
    </w:p>
    <w:p w14:paraId="4127BCF9" w14:textId="3F896BB6" w:rsidR="00C27C60" w:rsidRPr="008F5069" w:rsidRDefault="00C27C60"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Ochrana osobních údajů</w:t>
      </w:r>
    </w:p>
    <w:p w14:paraId="077D172E" w14:textId="21A2D726" w:rsidR="006E6E61" w:rsidRPr="004E1498"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yellow"/>
          <w:lang w:eastAsia="cs-CZ"/>
        </w:rPr>
      </w:pPr>
      <w:r>
        <w:rPr>
          <w:rFonts w:eastAsia="Times New Roman" w:cs="Times New Roman"/>
          <w:highlight w:val="yellow"/>
          <w:lang w:eastAsia="cs-CZ"/>
        </w:rPr>
        <w:t>S</w:t>
      </w:r>
      <w:r w:rsidR="006E6E61" w:rsidRPr="004E1498">
        <w:rPr>
          <w:rFonts w:eastAsia="Times New Roman" w:cs="Times New Roman"/>
          <w:highlight w:val="yellow"/>
          <w:lang w:eastAsia="cs-CZ"/>
        </w:rPr>
        <w:t>eznam poddodavatelů</w:t>
      </w:r>
      <w:r>
        <w:rPr>
          <w:rFonts w:eastAsia="Times New Roman" w:cs="Times New Roman"/>
          <w:highlight w:val="yellow"/>
          <w:lang w:eastAsia="cs-CZ"/>
        </w:rPr>
        <w:t xml:space="preserve"> – doplní Zhotovitel</w:t>
      </w:r>
    </w:p>
    <w:p w14:paraId="64EEE3E6" w14:textId="05C07376" w:rsidR="006E6E61" w:rsidRDefault="004429CF" w:rsidP="00275474">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yellow"/>
          <w:lang w:eastAsia="cs-CZ"/>
        </w:rPr>
      </w:pPr>
      <w:r>
        <w:rPr>
          <w:rFonts w:eastAsia="Times New Roman" w:cs="Times New Roman"/>
          <w:highlight w:val="yellow"/>
          <w:lang w:eastAsia="cs-CZ"/>
        </w:rPr>
        <w:t>P</w:t>
      </w:r>
      <w:r w:rsidR="00B27209" w:rsidRPr="00275474">
        <w:rPr>
          <w:rFonts w:eastAsia="Times New Roman" w:cs="Times New Roman"/>
          <w:highlight w:val="yellow"/>
          <w:lang w:eastAsia="cs-CZ"/>
        </w:rPr>
        <w:t>lná moc (pouze v případě zastoupení zhotovitele osobou na základě plné moci)</w:t>
      </w: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442C99BB" w14:textId="77777777"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7E126795" w14:textId="77777777"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5E8BA70D" w14:textId="77777777" w:rsidR="00D9782E" w:rsidRDefault="00D9782E" w:rsidP="006C7697">
      <w:pPr>
        <w:overflowPunct w:val="0"/>
        <w:autoSpaceDE w:val="0"/>
        <w:autoSpaceDN w:val="0"/>
        <w:adjustRightInd w:val="0"/>
        <w:spacing w:after="0" w:line="240" w:lineRule="auto"/>
        <w:textAlignment w:val="baseline"/>
        <w:rPr>
          <w:rFonts w:eastAsia="Calibri" w:cs="Times New Roman"/>
        </w:rPr>
      </w:pPr>
    </w:p>
    <w:p w14:paraId="231CB85D" w14:textId="77777777" w:rsidR="004429CF" w:rsidRDefault="004429CF" w:rsidP="006C7697">
      <w:pPr>
        <w:overflowPunct w:val="0"/>
        <w:autoSpaceDE w:val="0"/>
        <w:autoSpaceDN w:val="0"/>
        <w:adjustRightInd w:val="0"/>
        <w:spacing w:after="0" w:line="240" w:lineRule="auto"/>
        <w:textAlignment w:val="baseline"/>
        <w:rPr>
          <w:rFonts w:eastAsia="Calibri" w:cs="Times New Roman"/>
        </w:rPr>
      </w:pPr>
    </w:p>
    <w:p w14:paraId="351ED0DE" w14:textId="77777777" w:rsidR="008F5069" w:rsidRDefault="008F5069" w:rsidP="006C7697">
      <w:pPr>
        <w:overflowPunct w:val="0"/>
        <w:autoSpaceDE w:val="0"/>
        <w:autoSpaceDN w:val="0"/>
        <w:adjustRightInd w:val="0"/>
        <w:spacing w:after="0" w:line="240" w:lineRule="auto"/>
        <w:textAlignment w:val="baseline"/>
        <w:rPr>
          <w:rFonts w:eastAsia="Calibri" w:cs="Times New Roman"/>
        </w:rPr>
      </w:pPr>
    </w:p>
    <w:p w14:paraId="4A0633C7" w14:textId="77777777" w:rsidR="008F5069" w:rsidRDefault="008F5069" w:rsidP="006C7697">
      <w:pPr>
        <w:overflowPunct w:val="0"/>
        <w:autoSpaceDE w:val="0"/>
        <w:autoSpaceDN w:val="0"/>
        <w:adjustRightInd w:val="0"/>
        <w:spacing w:after="0" w:line="240" w:lineRule="auto"/>
        <w:textAlignment w:val="baseline"/>
        <w:rPr>
          <w:rFonts w:eastAsia="Calibri" w:cs="Times New Roman"/>
        </w:rPr>
      </w:pPr>
    </w:p>
    <w:p w14:paraId="3D6E84C1" w14:textId="49FEAB80" w:rsidR="009F392E" w:rsidRPr="006C7697" w:rsidRDefault="004E1498" w:rsidP="006C7697">
      <w:pPr>
        <w:overflowPunct w:val="0"/>
        <w:autoSpaceDE w:val="0"/>
        <w:autoSpaceDN w:val="0"/>
        <w:adjustRightInd w:val="0"/>
        <w:spacing w:after="0" w:line="240" w:lineRule="auto"/>
        <w:textAlignment w:val="baseline"/>
        <w:rPr>
          <w:rFonts w:eastAsia="Calibri" w:cs="Times New Roman"/>
        </w:rPr>
      </w:pPr>
      <w:r w:rsidRPr="004E1498">
        <w:rPr>
          <w:rFonts w:eastAsia="Calibri" w:cs="Times New Roman"/>
        </w:rPr>
        <w:t xml:space="preserve">Tato </w:t>
      </w:r>
      <w:r w:rsidR="00D9782E">
        <w:rPr>
          <w:rFonts w:eastAsia="Calibri" w:cs="Times New Roman"/>
        </w:rPr>
        <w:t>Sml</w:t>
      </w:r>
      <w:r w:rsidRPr="004E1498">
        <w:rPr>
          <w:rFonts w:eastAsia="Calibri" w:cs="Times New Roman"/>
        </w:rPr>
        <w:t>ouva byla uveřejněna prost</w:t>
      </w:r>
      <w:r w:rsidR="00107E5E">
        <w:rPr>
          <w:rFonts w:eastAsia="Calibri" w:cs="Times New Roman"/>
        </w:rPr>
        <w:t>řednictvím registru smluv dne …</w:t>
      </w:r>
    </w:p>
    <w:sectPr w:rsidR="009F392E" w:rsidRPr="006C7697"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AB7F88" w16cid:durableId="218B6AD2"/>
  <w16cid:commentId w16cid:paraId="25711AD3" w16cid:durableId="218B722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2BBBD" w14:textId="77777777" w:rsidR="00085850" w:rsidRDefault="00085850" w:rsidP="00962258">
      <w:pPr>
        <w:spacing w:after="0" w:line="240" w:lineRule="auto"/>
      </w:pPr>
      <w:r>
        <w:separator/>
      </w:r>
    </w:p>
  </w:endnote>
  <w:endnote w:type="continuationSeparator" w:id="0">
    <w:p w14:paraId="10AA0C46" w14:textId="77777777" w:rsidR="00085850" w:rsidRDefault="0008585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0EEDE218"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599A">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5599A">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1439161"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1F4B57A"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787B15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599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5599A">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77777777" w:rsidR="00592757" w:rsidRDefault="00592757" w:rsidP="00093A53">
          <w:pPr>
            <w:pStyle w:val="Zpat"/>
          </w:pPr>
          <w:r>
            <w:t>Správa železniční dopravní cesty,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77777777" w:rsidR="00592757" w:rsidRDefault="00592757" w:rsidP="00093A53">
          <w:pPr>
            <w:pStyle w:val="Zpat"/>
          </w:pPr>
          <w:r>
            <w:t>www.szdc.cz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453CF34"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BE5F169"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CC692" w14:textId="77777777" w:rsidR="00085850" w:rsidRDefault="00085850" w:rsidP="00962258">
      <w:pPr>
        <w:spacing w:after="0" w:line="240" w:lineRule="auto"/>
      </w:pPr>
      <w:r>
        <w:separator/>
      </w:r>
    </w:p>
  </w:footnote>
  <w:footnote w:type="continuationSeparator" w:id="0">
    <w:p w14:paraId="29A13421" w14:textId="77777777" w:rsidR="00085850" w:rsidRDefault="0008585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2076ACA8">
          <wp:simplePos x="0" y="0"/>
          <wp:positionH relativeFrom="page">
            <wp:posOffset>37465</wp:posOffset>
          </wp:positionH>
          <wp:positionV relativeFrom="page">
            <wp:posOffset>-19050</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259F0"/>
    <w:multiLevelType w:val="multilevel"/>
    <w:tmpl w:val="246C848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C3F582A"/>
    <w:multiLevelType w:val="multilevel"/>
    <w:tmpl w:val="FCF04916"/>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EF40FD2"/>
    <w:multiLevelType w:val="multilevel"/>
    <w:tmpl w:val="FCF04916"/>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F254A72"/>
    <w:multiLevelType w:val="multilevel"/>
    <w:tmpl w:val="2406405C"/>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303F1FFE"/>
    <w:multiLevelType w:val="hybridMultilevel"/>
    <w:tmpl w:val="248A23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2DD75F0"/>
    <w:multiLevelType w:val="hybridMultilevel"/>
    <w:tmpl w:val="6242E3FE"/>
    <w:lvl w:ilvl="0" w:tplc="AB322CE2">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0C708A4"/>
    <w:multiLevelType w:val="hybridMultilevel"/>
    <w:tmpl w:val="C3261408"/>
    <w:lvl w:ilvl="0" w:tplc="04050001">
      <w:start w:val="1"/>
      <w:numFmt w:val="bullet"/>
      <w:lvlText w:val=""/>
      <w:lvlJc w:val="left"/>
      <w:pPr>
        <w:ind w:left="1350" w:hanging="360"/>
      </w:pPr>
      <w:rPr>
        <w:rFonts w:ascii="Symbol" w:hAnsi="Symbol" w:hint="default"/>
      </w:rPr>
    </w:lvl>
    <w:lvl w:ilvl="1" w:tplc="04050003" w:tentative="1">
      <w:start w:val="1"/>
      <w:numFmt w:val="bullet"/>
      <w:lvlText w:val="o"/>
      <w:lvlJc w:val="left"/>
      <w:pPr>
        <w:ind w:left="2070" w:hanging="360"/>
      </w:pPr>
      <w:rPr>
        <w:rFonts w:ascii="Courier New" w:hAnsi="Courier New" w:cs="Courier New" w:hint="default"/>
      </w:rPr>
    </w:lvl>
    <w:lvl w:ilvl="2" w:tplc="04050005" w:tentative="1">
      <w:start w:val="1"/>
      <w:numFmt w:val="bullet"/>
      <w:lvlText w:val=""/>
      <w:lvlJc w:val="left"/>
      <w:pPr>
        <w:ind w:left="2790" w:hanging="360"/>
      </w:pPr>
      <w:rPr>
        <w:rFonts w:ascii="Wingdings" w:hAnsi="Wingdings" w:hint="default"/>
      </w:rPr>
    </w:lvl>
    <w:lvl w:ilvl="3" w:tplc="04050001" w:tentative="1">
      <w:start w:val="1"/>
      <w:numFmt w:val="bullet"/>
      <w:lvlText w:val=""/>
      <w:lvlJc w:val="left"/>
      <w:pPr>
        <w:ind w:left="3510" w:hanging="360"/>
      </w:pPr>
      <w:rPr>
        <w:rFonts w:ascii="Symbol" w:hAnsi="Symbol" w:hint="default"/>
      </w:rPr>
    </w:lvl>
    <w:lvl w:ilvl="4" w:tplc="04050003" w:tentative="1">
      <w:start w:val="1"/>
      <w:numFmt w:val="bullet"/>
      <w:lvlText w:val="o"/>
      <w:lvlJc w:val="left"/>
      <w:pPr>
        <w:ind w:left="4230" w:hanging="360"/>
      </w:pPr>
      <w:rPr>
        <w:rFonts w:ascii="Courier New" w:hAnsi="Courier New" w:cs="Courier New" w:hint="default"/>
      </w:rPr>
    </w:lvl>
    <w:lvl w:ilvl="5" w:tplc="04050005" w:tentative="1">
      <w:start w:val="1"/>
      <w:numFmt w:val="bullet"/>
      <w:lvlText w:val=""/>
      <w:lvlJc w:val="left"/>
      <w:pPr>
        <w:ind w:left="4950" w:hanging="360"/>
      </w:pPr>
      <w:rPr>
        <w:rFonts w:ascii="Wingdings" w:hAnsi="Wingdings" w:hint="default"/>
      </w:rPr>
    </w:lvl>
    <w:lvl w:ilvl="6" w:tplc="04050001" w:tentative="1">
      <w:start w:val="1"/>
      <w:numFmt w:val="bullet"/>
      <w:lvlText w:val=""/>
      <w:lvlJc w:val="left"/>
      <w:pPr>
        <w:ind w:left="5670" w:hanging="360"/>
      </w:pPr>
      <w:rPr>
        <w:rFonts w:ascii="Symbol" w:hAnsi="Symbol" w:hint="default"/>
      </w:rPr>
    </w:lvl>
    <w:lvl w:ilvl="7" w:tplc="04050003" w:tentative="1">
      <w:start w:val="1"/>
      <w:numFmt w:val="bullet"/>
      <w:lvlText w:val="o"/>
      <w:lvlJc w:val="left"/>
      <w:pPr>
        <w:ind w:left="6390" w:hanging="360"/>
      </w:pPr>
      <w:rPr>
        <w:rFonts w:ascii="Courier New" w:hAnsi="Courier New" w:cs="Courier New" w:hint="default"/>
      </w:rPr>
    </w:lvl>
    <w:lvl w:ilvl="8" w:tplc="04050005" w:tentative="1">
      <w:start w:val="1"/>
      <w:numFmt w:val="bullet"/>
      <w:lvlText w:val=""/>
      <w:lvlJc w:val="left"/>
      <w:pPr>
        <w:ind w:left="7110" w:hanging="360"/>
      </w:pPr>
      <w:rPr>
        <w:rFonts w:ascii="Wingdings" w:hAnsi="Wingdings" w:hint="default"/>
      </w:rPr>
    </w:lvl>
  </w:abstractNum>
  <w:abstractNum w:abstractNumId="22" w15:restartNumberingAfterBreak="0">
    <w:nsid w:val="62A35219"/>
    <w:multiLevelType w:val="multilevel"/>
    <w:tmpl w:val="BD7833F6"/>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bullet"/>
      <w:lvlText w:val=""/>
      <w:lvlJc w:val="left"/>
      <w:pPr>
        <w:ind w:left="720" w:hanging="720"/>
      </w:pPr>
      <w:rPr>
        <w:rFonts w:ascii="Symbol" w:hAnsi="Symbol" w:hint="default"/>
      </w:rPr>
    </w:lvl>
    <w:lvl w:ilvl="3">
      <w:start w:val="1"/>
      <w:numFmt w:val="bullet"/>
      <w:lvlText w:val="-"/>
      <w:lvlJc w:val="left"/>
      <w:pPr>
        <w:ind w:left="864" w:hanging="864"/>
      </w:pPr>
      <w:rPr>
        <w:rFonts w:ascii="Calibri" w:eastAsia="Calibri" w:hAnsi="Calibri" w:cs="Calibri"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63B90A83"/>
    <w:multiLevelType w:val="multilevel"/>
    <w:tmpl w:val="BD7833F6"/>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bullet"/>
      <w:lvlText w:val=""/>
      <w:lvlJc w:val="left"/>
      <w:pPr>
        <w:ind w:left="720" w:hanging="720"/>
      </w:pPr>
      <w:rPr>
        <w:rFonts w:ascii="Symbol" w:hAnsi="Symbol" w:hint="default"/>
      </w:rPr>
    </w:lvl>
    <w:lvl w:ilvl="3">
      <w:start w:val="1"/>
      <w:numFmt w:val="bullet"/>
      <w:lvlText w:val="-"/>
      <w:lvlJc w:val="left"/>
      <w:pPr>
        <w:ind w:left="864" w:hanging="864"/>
      </w:pPr>
      <w:rPr>
        <w:rFonts w:ascii="Calibri" w:eastAsia="Calibri" w:hAnsi="Calibri" w:cs="Calibri"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BE579EC"/>
    <w:multiLevelType w:val="hybridMultilevel"/>
    <w:tmpl w:val="2DEE4C1A"/>
    <w:lvl w:ilvl="0" w:tplc="04050001">
      <w:start w:val="1"/>
      <w:numFmt w:val="bullet"/>
      <w:lvlText w:val=""/>
      <w:lvlJc w:val="left"/>
      <w:pPr>
        <w:ind w:left="1350" w:hanging="360"/>
      </w:pPr>
      <w:rPr>
        <w:rFonts w:ascii="Symbol" w:hAnsi="Symbol" w:hint="default"/>
      </w:rPr>
    </w:lvl>
    <w:lvl w:ilvl="1" w:tplc="04050003" w:tentative="1">
      <w:start w:val="1"/>
      <w:numFmt w:val="bullet"/>
      <w:lvlText w:val="o"/>
      <w:lvlJc w:val="left"/>
      <w:pPr>
        <w:ind w:left="2070" w:hanging="360"/>
      </w:pPr>
      <w:rPr>
        <w:rFonts w:ascii="Courier New" w:hAnsi="Courier New" w:cs="Courier New" w:hint="default"/>
      </w:rPr>
    </w:lvl>
    <w:lvl w:ilvl="2" w:tplc="04050005" w:tentative="1">
      <w:start w:val="1"/>
      <w:numFmt w:val="bullet"/>
      <w:lvlText w:val=""/>
      <w:lvlJc w:val="left"/>
      <w:pPr>
        <w:ind w:left="2790" w:hanging="360"/>
      </w:pPr>
      <w:rPr>
        <w:rFonts w:ascii="Wingdings" w:hAnsi="Wingdings" w:hint="default"/>
      </w:rPr>
    </w:lvl>
    <w:lvl w:ilvl="3" w:tplc="04050001">
      <w:start w:val="1"/>
      <w:numFmt w:val="bullet"/>
      <w:lvlText w:val=""/>
      <w:lvlJc w:val="left"/>
      <w:pPr>
        <w:ind w:left="3510" w:hanging="360"/>
      </w:pPr>
      <w:rPr>
        <w:rFonts w:ascii="Symbol" w:hAnsi="Symbol" w:hint="default"/>
      </w:rPr>
    </w:lvl>
    <w:lvl w:ilvl="4" w:tplc="04050003" w:tentative="1">
      <w:start w:val="1"/>
      <w:numFmt w:val="bullet"/>
      <w:lvlText w:val="o"/>
      <w:lvlJc w:val="left"/>
      <w:pPr>
        <w:ind w:left="4230" w:hanging="360"/>
      </w:pPr>
      <w:rPr>
        <w:rFonts w:ascii="Courier New" w:hAnsi="Courier New" w:cs="Courier New" w:hint="default"/>
      </w:rPr>
    </w:lvl>
    <w:lvl w:ilvl="5" w:tplc="04050005" w:tentative="1">
      <w:start w:val="1"/>
      <w:numFmt w:val="bullet"/>
      <w:lvlText w:val=""/>
      <w:lvlJc w:val="left"/>
      <w:pPr>
        <w:ind w:left="4950" w:hanging="360"/>
      </w:pPr>
      <w:rPr>
        <w:rFonts w:ascii="Wingdings" w:hAnsi="Wingdings" w:hint="default"/>
      </w:rPr>
    </w:lvl>
    <w:lvl w:ilvl="6" w:tplc="04050001" w:tentative="1">
      <w:start w:val="1"/>
      <w:numFmt w:val="bullet"/>
      <w:lvlText w:val=""/>
      <w:lvlJc w:val="left"/>
      <w:pPr>
        <w:ind w:left="5670" w:hanging="360"/>
      </w:pPr>
      <w:rPr>
        <w:rFonts w:ascii="Symbol" w:hAnsi="Symbol" w:hint="default"/>
      </w:rPr>
    </w:lvl>
    <w:lvl w:ilvl="7" w:tplc="04050003" w:tentative="1">
      <w:start w:val="1"/>
      <w:numFmt w:val="bullet"/>
      <w:lvlText w:val="o"/>
      <w:lvlJc w:val="left"/>
      <w:pPr>
        <w:ind w:left="6390" w:hanging="360"/>
      </w:pPr>
      <w:rPr>
        <w:rFonts w:ascii="Courier New" w:hAnsi="Courier New" w:cs="Courier New" w:hint="default"/>
      </w:rPr>
    </w:lvl>
    <w:lvl w:ilvl="8" w:tplc="04050005" w:tentative="1">
      <w:start w:val="1"/>
      <w:numFmt w:val="bullet"/>
      <w:lvlText w:val=""/>
      <w:lvlJc w:val="left"/>
      <w:pPr>
        <w:ind w:left="7110" w:hanging="360"/>
      </w:pPr>
      <w:rPr>
        <w:rFonts w:ascii="Wingdings" w:hAnsi="Wingdings" w:hint="default"/>
      </w:rPr>
    </w:lvl>
  </w:abstractNum>
  <w:abstractNum w:abstractNumId="26"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70991"/>
    <w:multiLevelType w:val="multilevel"/>
    <w:tmpl w:val="CABE99FC"/>
    <w:numStyleLink w:val="ListNumbermultilevel"/>
  </w:abstractNum>
  <w:abstractNum w:abstractNumId="29"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8"/>
  </w:num>
  <w:num w:numId="4">
    <w:abstractNumId w:val="28"/>
  </w:num>
  <w:num w:numId="5">
    <w:abstractNumId w:val="13"/>
  </w:num>
  <w:num w:numId="6">
    <w:abstractNumId w:val="0"/>
  </w:num>
  <w:num w:numId="7">
    <w:abstractNumId w:val="16"/>
  </w:num>
  <w:num w:numId="8">
    <w:abstractNumId w:val="29"/>
  </w:num>
  <w:num w:numId="9">
    <w:abstractNumId w:val="17"/>
  </w:num>
  <w:num w:numId="10">
    <w:abstractNumId w:val="9"/>
  </w:num>
  <w:num w:numId="11">
    <w:abstractNumId w:val="3"/>
  </w:num>
  <w:num w:numId="12">
    <w:abstractNumId w:val="24"/>
  </w:num>
  <w:num w:numId="13">
    <w:abstractNumId w:val="27"/>
  </w:num>
  <w:num w:numId="14">
    <w:abstractNumId w:val="7"/>
  </w:num>
  <w:num w:numId="15">
    <w:abstractNumId w:val="30"/>
  </w:num>
  <w:num w:numId="16">
    <w:abstractNumId w:val="18"/>
  </w:num>
  <w:num w:numId="17">
    <w:abstractNumId w:val="11"/>
  </w:num>
  <w:num w:numId="18">
    <w:abstractNumId w:val="14"/>
  </w:num>
  <w:num w:numId="19">
    <w:abstractNumId w:val="20"/>
  </w:num>
  <w:num w:numId="20">
    <w:abstractNumId w:val="19"/>
  </w:num>
  <w:num w:numId="21">
    <w:abstractNumId w:val="11"/>
  </w:num>
  <w:num w:numId="22">
    <w:abstractNumId w:val="26"/>
  </w:num>
  <w:num w:numId="23">
    <w:abstractNumId w:val="11"/>
  </w:num>
  <w:num w:numId="24">
    <w:abstractNumId w:val="11"/>
  </w:num>
  <w:num w:numId="25">
    <w:abstractNumId w:val="11"/>
  </w:num>
  <w:num w:numId="26">
    <w:abstractNumId w:val="11"/>
  </w:num>
  <w:num w:numId="27">
    <w:abstractNumId w:val="21"/>
  </w:num>
  <w:num w:numId="28">
    <w:abstractNumId w:val="11"/>
  </w:num>
  <w:num w:numId="29">
    <w:abstractNumId w:val="11"/>
  </w:num>
  <w:num w:numId="30">
    <w:abstractNumId w:val="11"/>
  </w:num>
  <w:num w:numId="31">
    <w:abstractNumId w:val="11"/>
  </w:num>
  <w:num w:numId="32">
    <w:abstractNumId w:val="1"/>
  </w:num>
  <w:num w:numId="33">
    <w:abstractNumId w:val="5"/>
  </w:num>
  <w:num w:numId="34">
    <w:abstractNumId w:val="15"/>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2"/>
  </w:num>
  <w:num w:numId="44">
    <w:abstractNumId w:val="6"/>
  </w:num>
  <w:num w:numId="45">
    <w:abstractNumId w:val="10"/>
  </w:num>
  <w:num w:numId="46">
    <w:abstractNumId w:val="22"/>
  </w:num>
  <w:num w:numId="47">
    <w:abstractNumId w:val="23"/>
  </w:num>
  <w:num w:numId="48">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72C1E"/>
    <w:rsid w:val="00073A69"/>
    <w:rsid w:val="000814B9"/>
    <w:rsid w:val="00085850"/>
    <w:rsid w:val="000A13BC"/>
    <w:rsid w:val="000A3F85"/>
    <w:rsid w:val="000D278B"/>
    <w:rsid w:val="000E23A7"/>
    <w:rsid w:val="000E4EEC"/>
    <w:rsid w:val="0010693F"/>
    <w:rsid w:val="00107E5E"/>
    <w:rsid w:val="00114472"/>
    <w:rsid w:val="0013379C"/>
    <w:rsid w:val="001438AF"/>
    <w:rsid w:val="001550BC"/>
    <w:rsid w:val="001605B9"/>
    <w:rsid w:val="00170EC5"/>
    <w:rsid w:val="001747C1"/>
    <w:rsid w:val="00184743"/>
    <w:rsid w:val="00193A76"/>
    <w:rsid w:val="001A6752"/>
    <w:rsid w:val="001C0FC2"/>
    <w:rsid w:val="001D68A6"/>
    <w:rsid w:val="00207DF5"/>
    <w:rsid w:val="002313EA"/>
    <w:rsid w:val="00236C25"/>
    <w:rsid w:val="0025341D"/>
    <w:rsid w:val="00275474"/>
    <w:rsid w:val="00276389"/>
    <w:rsid w:val="00280E07"/>
    <w:rsid w:val="0029605F"/>
    <w:rsid w:val="002C0271"/>
    <w:rsid w:val="002C31BF"/>
    <w:rsid w:val="002C35EA"/>
    <w:rsid w:val="002D08B1"/>
    <w:rsid w:val="002D6523"/>
    <w:rsid w:val="002E0CD7"/>
    <w:rsid w:val="003013FA"/>
    <w:rsid w:val="003071BD"/>
    <w:rsid w:val="00341DCF"/>
    <w:rsid w:val="00357BC6"/>
    <w:rsid w:val="003956C6"/>
    <w:rsid w:val="003A4D59"/>
    <w:rsid w:val="003B39EC"/>
    <w:rsid w:val="003B5DD6"/>
    <w:rsid w:val="003D1F1E"/>
    <w:rsid w:val="003D703A"/>
    <w:rsid w:val="003F20D8"/>
    <w:rsid w:val="00401303"/>
    <w:rsid w:val="0042314E"/>
    <w:rsid w:val="00431925"/>
    <w:rsid w:val="00433A9D"/>
    <w:rsid w:val="00441430"/>
    <w:rsid w:val="004429CF"/>
    <w:rsid w:val="00450F07"/>
    <w:rsid w:val="00453CD3"/>
    <w:rsid w:val="00460660"/>
    <w:rsid w:val="0047161E"/>
    <w:rsid w:val="00475AA2"/>
    <w:rsid w:val="0047677B"/>
    <w:rsid w:val="00486107"/>
    <w:rsid w:val="00491827"/>
    <w:rsid w:val="00493B1B"/>
    <w:rsid w:val="004A6222"/>
    <w:rsid w:val="004B348C"/>
    <w:rsid w:val="004C4399"/>
    <w:rsid w:val="004C728D"/>
    <w:rsid w:val="004C787C"/>
    <w:rsid w:val="004E143C"/>
    <w:rsid w:val="004E1498"/>
    <w:rsid w:val="004E3A53"/>
    <w:rsid w:val="004F4B9B"/>
    <w:rsid w:val="00511AB9"/>
    <w:rsid w:val="00522467"/>
    <w:rsid w:val="00523EA7"/>
    <w:rsid w:val="00527421"/>
    <w:rsid w:val="00537B7A"/>
    <w:rsid w:val="00553375"/>
    <w:rsid w:val="00567F3F"/>
    <w:rsid w:val="005736B7"/>
    <w:rsid w:val="005740C3"/>
    <w:rsid w:val="00575E5A"/>
    <w:rsid w:val="00592757"/>
    <w:rsid w:val="00597E84"/>
    <w:rsid w:val="005B76DD"/>
    <w:rsid w:val="005C4069"/>
    <w:rsid w:val="005C6284"/>
    <w:rsid w:val="005D5624"/>
    <w:rsid w:val="005F1404"/>
    <w:rsid w:val="005F4B51"/>
    <w:rsid w:val="0060520C"/>
    <w:rsid w:val="0061068E"/>
    <w:rsid w:val="006351C0"/>
    <w:rsid w:val="006566F7"/>
    <w:rsid w:val="00660AD3"/>
    <w:rsid w:val="00677B7F"/>
    <w:rsid w:val="006A5570"/>
    <w:rsid w:val="006A689C"/>
    <w:rsid w:val="006B1249"/>
    <w:rsid w:val="006B3D79"/>
    <w:rsid w:val="006C7697"/>
    <w:rsid w:val="006D2D13"/>
    <w:rsid w:val="006D7AFE"/>
    <w:rsid w:val="006E0578"/>
    <w:rsid w:val="006E314D"/>
    <w:rsid w:val="006E6E61"/>
    <w:rsid w:val="007061F8"/>
    <w:rsid w:val="00710723"/>
    <w:rsid w:val="00723ED1"/>
    <w:rsid w:val="007248AB"/>
    <w:rsid w:val="00743525"/>
    <w:rsid w:val="007510DD"/>
    <w:rsid w:val="00753EBA"/>
    <w:rsid w:val="0076286B"/>
    <w:rsid w:val="00766846"/>
    <w:rsid w:val="0077673A"/>
    <w:rsid w:val="007846E1"/>
    <w:rsid w:val="007A0C04"/>
    <w:rsid w:val="007B570C"/>
    <w:rsid w:val="007C01CD"/>
    <w:rsid w:val="007C589B"/>
    <w:rsid w:val="007E4A6E"/>
    <w:rsid w:val="007F56A7"/>
    <w:rsid w:val="00807DD0"/>
    <w:rsid w:val="00810E9B"/>
    <w:rsid w:val="00816B59"/>
    <w:rsid w:val="00845DC2"/>
    <w:rsid w:val="0084768D"/>
    <w:rsid w:val="0086114C"/>
    <w:rsid w:val="008659F3"/>
    <w:rsid w:val="00886D4B"/>
    <w:rsid w:val="00895406"/>
    <w:rsid w:val="008A3568"/>
    <w:rsid w:val="008D03B9"/>
    <w:rsid w:val="008E1E86"/>
    <w:rsid w:val="008F18D6"/>
    <w:rsid w:val="008F5069"/>
    <w:rsid w:val="008F7A3D"/>
    <w:rsid w:val="008F7DFE"/>
    <w:rsid w:val="00904780"/>
    <w:rsid w:val="00922385"/>
    <w:rsid w:val="009223DF"/>
    <w:rsid w:val="00936091"/>
    <w:rsid w:val="00940D8A"/>
    <w:rsid w:val="00950C1F"/>
    <w:rsid w:val="0095599A"/>
    <w:rsid w:val="00962258"/>
    <w:rsid w:val="009678B7"/>
    <w:rsid w:val="009833E1"/>
    <w:rsid w:val="00992D9C"/>
    <w:rsid w:val="00996CB8"/>
    <w:rsid w:val="009A0078"/>
    <w:rsid w:val="009B14A9"/>
    <w:rsid w:val="009B2E97"/>
    <w:rsid w:val="009C30C5"/>
    <w:rsid w:val="009D1706"/>
    <w:rsid w:val="009E07F4"/>
    <w:rsid w:val="009F392E"/>
    <w:rsid w:val="00A021CC"/>
    <w:rsid w:val="00A02EE7"/>
    <w:rsid w:val="00A605AE"/>
    <w:rsid w:val="00A6177B"/>
    <w:rsid w:val="00A66136"/>
    <w:rsid w:val="00AA4CBB"/>
    <w:rsid w:val="00AA65FA"/>
    <w:rsid w:val="00AA7351"/>
    <w:rsid w:val="00AB6759"/>
    <w:rsid w:val="00AD056F"/>
    <w:rsid w:val="00AD6731"/>
    <w:rsid w:val="00AF11FA"/>
    <w:rsid w:val="00B15D0D"/>
    <w:rsid w:val="00B27209"/>
    <w:rsid w:val="00B31689"/>
    <w:rsid w:val="00B3452A"/>
    <w:rsid w:val="00B365D2"/>
    <w:rsid w:val="00B748DD"/>
    <w:rsid w:val="00B75EE1"/>
    <w:rsid w:val="00B77481"/>
    <w:rsid w:val="00B8518B"/>
    <w:rsid w:val="00B94B08"/>
    <w:rsid w:val="00BB184D"/>
    <w:rsid w:val="00BC4DC9"/>
    <w:rsid w:val="00BD7E91"/>
    <w:rsid w:val="00C02D0A"/>
    <w:rsid w:val="00C03A6E"/>
    <w:rsid w:val="00C22949"/>
    <w:rsid w:val="00C27C60"/>
    <w:rsid w:val="00C44F6A"/>
    <w:rsid w:val="00C47AE3"/>
    <w:rsid w:val="00C847DC"/>
    <w:rsid w:val="00CB53B1"/>
    <w:rsid w:val="00CC6991"/>
    <w:rsid w:val="00CC724D"/>
    <w:rsid w:val="00CD1FC4"/>
    <w:rsid w:val="00D04F3D"/>
    <w:rsid w:val="00D21061"/>
    <w:rsid w:val="00D40D1D"/>
    <w:rsid w:val="00D4108E"/>
    <w:rsid w:val="00D6163D"/>
    <w:rsid w:val="00D657AD"/>
    <w:rsid w:val="00D76037"/>
    <w:rsid w:val="00D831A3"/>
    <w:rsid w:val="00D85C5B"/>
    <w:rsid w:val="00D9782E"/>
    <w:rsid w:val="00DB210B"/>
    <w:rsid w:val="00DC60C3"/>
    <w:rsid w:val="00DC75F3"/>
    <w:rsid w:val="00DD46F3"/>
    <w:rsid w:val="00DE56F2"/>
    <w:rsid w:val="00DF116D"/>
    <w:rsid w:val="00E50801"/>
    <w:rsid w:val="00E55F3F"/>
    <w:rsid w:val="00EB104F"/>
    <w:rsid w:val="00ED14BD"/>
    <w:rsid w:val="00ED3D4D"/>
    <w:rsid w:val="00EF1804"/>
    <w:rsid w:val="00F0533E"/>
    <w:rsid w:val="00F1048D"/>
    <w:rsid w:val="00F12C80"/>
    <w:rsid w:val="00F12DEC"/>
    <w:rsid w:val="00F1715C"/>
    <w:rsid w:val="00F310F8"/>
    <w:rsid w:val="00F35939"/>
    <w:rsid w:val="00F45607"/>
    <w:rsid w:val="00F56861"/>
    <w:rsid w:val="00F60F94"/>
    <w:rsid w:val="00F659EB"/>
    <w:rsid w:val="00F86BA6"/>
    <w:rsid w:val="00F969C4"/>
    <w:rsid w:val="00FA32F8"/>
    <w:rsid w:val="00FC122E"/>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3FA13147-B03B-426E-BEE2-E19BA29AA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acnormal">
    <w:name w:val="ac_normal"/>
    <w:basedOn w:val="Normln"/>
    <w:link w:val="acnormalChar"/>
    <w:uiPriority w:val="99"/>
    <w:qFormat/>
    <w:rsid w:val="00B31689"/>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B31689"/>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77355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BB5C980F1B14B4B859C6B0D50122D5C" ma:contentTypeVersion="8" ma:contentTypeDescription="Vytvoří nový dokument" ma:contentTypeScope="" ma:versionID="cc53c3062aecc6945cd70f8864fa26b7">
  <xsd:schema xmlns:xsd="http://www.w3.org/2001/XMLSchema" xmlns:xs="http://www.w3.org/2001/XMLSchema" xmlns:p="http://schemas.microsoft.com/office/2006/metadata/properties" xmlns:ns2="64e8fddd-475c-4829-b793-63eec36eef3c" xmlns:ns3="749684d3-9b7d-4ed3-a59d-864d07cf89f5" targetNamespace="http://schemas.microsoft.com/office/2006/metadata/properties" ma:root="true" ma:fieldsID="977769772b7371ece14a80521120cc00" ns2:_="" ns3:_="">
    <xsd:import namespace="64e8fddd-475c-4829-b793-63eec36eef3c"/>
    <xsd:import namespace="749684d3-9b7d-4ed3-a59d-864d07cf89f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e8fddd-475c-4829-b793-63eec36eef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9684d3-9b7d-4ed3-a59d-864d07cf89f5"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schemas.microsoft.com/office/2006/documentManagement/types"/>
    <ds:schemaRef ds:uri="http://purl.org/dc/elements/1.1/"/>
    <ds:schemaRef ds:uri="http://schemas.microsoft.com/office/2006/metadata/properties"/>
    <ds:schemaRef ds:uri="64e8fddd-475c-4829-b793-63eec36eef3c"/>
    <ds:schemaRef ds:uri="http://purl.org/dc/terms/"/>
    <ds:schemaRef ds:uri="http://schemas.microsoft.com/office/infopath/2007/PartnerControls"/>
    <ds:schemaRef ds:uri="749684d3-9b7d-4ed3-a59d-864d07cf89f5"/>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02B9E3DB-1985-403E-9060-01C9C7AF8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e8fddd-475c-4829-b793-63eec36eef3c"/>
    <ds:schemaRef ds:uri="749684d3-9b7d-4ed3-a59d-864d07cf89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95481D14-2C29-4EB4-A49E-A93DF5482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2034</Words>
  <Characters>12002</Characters>
  <Application>Microsoft Office Word</Application>
  <DocSecurity>0</DocSecurity>
  <Lines>100</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Herdová Veronika, DiS.</cp:lastModifiedBy>
  <cp:revision>3</cp:revision>
  <cp:lastPrinted>2019-12-02T10:21:00Z</cp:lastPrinted>
  <dcterms:created xsi:type="dcterms:W3CDTF">2019-12-02T10:20:00Z</dcterms:created>
  <dcterms:modified xsi:type="dcterms:W3CDTF">2019-12-02T10:22:00Z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0x0101003BB5C980F1B14B4B859C6B0D50122D5C</vt:lpwstr>
  </property>
</Properties>
</file>