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91275C8" w:rsidR="004E1498" w:rsidRPr="009936E1" w:rsidRDefault="00C3594A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>Příloha č. 5</w:t>
      </w:r>
      <w:r w:rsidR="009936E1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4C6EEF87" w14:textId="77777777" w:rsidR="009936E1" w:rsidRPr="004E1498" w:rsidRDefault="009936E1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DC60C3" w:rsidRDefault="009A0078" w:rsidP="00F969C4">
      <w:pPr>
        <w:pStyle w:val="Nzev"/>
        <w:jc w:val="left"/>
      </w:pPr>
      <w:r w:rsidRPr="00DC60C3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1F177C3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1317AE" w:rsidRPr="001317AE">
        <w:rPr>
          <w:rFonts w:eastAsia="Times New Roman" w:cs="Times New Roman"/>
          <w:lang w:eastAsia="cs-CZ"/>
        </w:rPr>
        <w:t>Z</w:t>
      </w:r>
      <w:r w:rsidRPr="001317AE">
        <w:rPr>
          <w:rFonts w:eastAsia="Times New Roman" w:cs="Times New Roman"/>
          <w:lang w:eastAsia="cs-CZ"/>
        </w:rPr>
        <w:t>astoupená</w:t>
      </w:r>
      <w:r w:rsidR="001317AE" w:rsidRPr="001317AE">
        <w:rPr>
          <w:rFonts w:eastAsia="Times New Roman" w:cs="Times New Roman"/>
          <w:lang w:eastAsia="cs-CZ"/>
        </w:rPr>
        <w:t xml:space="preserve"> Ing. Alešem Krejčím, náměstkem GŘ pro ekonomiku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5AE7DF1" w14:textId="05A60ED7" w:rsidR="004E1498" w:rsidRPr="004E1498" w:rsidRDefault="004E1498" w:rsidP="001317A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</w:t>
      </w: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D6467B1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1317AE" w:rsidRPr="00480380">
        <w:rPr>
          <w:rFonts w:eastAsia="Times New Roman" w:cs="Times New Roman"/>
          <w:b/>
          <w:lang w:eastAsia="cs-CZ"/>
        </w:rPr>
        <w:t>Správa pohledávek SAP</w:t>
      </w:r>
      <w:r w:rsidRPr="00480380">
        <w:rPr>
          <w:rFonts w:eastAsia="Times New Roman" w:cs="Times New Roman"/>
          <w:lang w:eastAsia="cs-CZ"/>
        </w:rPr>
        <w:t xml:space="preserve">“, </w:t>
      </w:r>
      <w:r w:rsidR="000D278B" w:rsidRPr="00480380">
        <w:rPr>
          <w:rFonts w:eastAsia="Times New Roman" w:cs="Times New Roman"/>
          <w:lang w:eastAsia="cs-CZ"/>
        </w:rPr>
        <w:t xml:space="preserve">č.j. veřejné zakázky </w:t>
      </w:r>
      <w:r w:rsidR="00B42ED4">
        <w:rPr>
          <w:rFonts w:eastAsia="Times New Roman" w:cs="Times New Roman"/>
          <w:lang w:eastAsia="cs-CZ"/>
        </w:rPr>
        <w:t>72472</w:t>
      </w:r>
      <w:r w:rsidR="00480380" w:rsidRPr="00480380">
        <w:rPr>
          <w:rFonts w:eastAsia="Times New Roman" w:cs="Times New Roman"/>
          <w:lang w:eastAsia="cs-CZ"/>
        </w:rPr>
        <w:t>/2019</w:t>
      </w:r>
      <w:r w:rsidR="00480380">
        <w:rPr>
          <w:rFonts w:eastAsia="Times New Roman" w:cs="Times New Roman"/>
          <w:lang w:eastAsia="cs-CZ"/>
        </w:rPr>
        <w:t>-SŽDC-GŘ-O8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E1F8F34" w14:textId="77777777" w:rsidR="00FF5540" w:rsidRPr="00AA52FD" w:rsidRDefault="004E1498" w:rsidP="00FF5540">
      <w:pPr>
        <w:pStyle w:val="Nadpis2"/>
      </w:pPr>
      <w:r w:rsidRPr="001317AE">
        <w:rPr>
          <w:b/>
        </w:rPr>
        <w:t>Předmětem díla je</w:t>
      </w:r>
      <w:r w:rsidRPr="001317AE">
        <w:t xml:space="preserve"> </w:t>
      </w:r>
      <w:r w:rsidR="00FF5540" w:rsidRPr="00AA52FD">
        <w:t xml:space="preserve">vytvoření řešení pro komplexní správu pohledávek v systému SAP. </w:t>
      </w:r>
    </w:p>
    <w:p w14:paraId="2C0CD46C" w14:textId="3E82335A" w:rsidR="001317AE" w:rsidRPr="00FF5540" w:rsidRDefault="00FF5540" w:rsidP="00FF5540">
      <w:pPr>
        <w:spacing w:line="240" w:lineRule="auto"/>
        <w:ind w:left="576"/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</w:pPr>
      <w:r w:rsidRPr="00AA52FD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Konkrétně jde o rozšíření funkcionalit stávající aplikace „Právní evidence ISU“ o nové funkcionality tak, aby aplikace mohla být využívána plošně v celé organizaci a bylo možné automaticky přebírat nebo předávat data do spolupracujících aplikací. Dále jsou požadovány úpravy funkcionalit systému SAP v oblasti finančního účetnictví a podpůrných evidencí.</w:t>
      </w:r>
    </w:p>
    <w:p w14:paraId="033E007D" w14:textId="54B48FF5" w:rsidR="001317AE" w:rsidRPr="00904B4C" w:rsidRDefault="00CA18FC" w:rsidP="00FF5540">
      <w:pPr>
        <w:spacing w:after="0" w:line="240" w:lineRule="auto"/>
        <w:ind w:left="576"/>
      </w:pPr>
      <w:r>
        <w:t xml:space="preserve">Předmět díla bude </w:t>
      </w:r>
      <w:r w:rsidR="00471223">
        <w:t>obsahovat následující činnosti</w:t>
      </w:r>
      <w:r w:rsidR="001317AE" w:rsidRPr="00904B4C">
        <w:t>:</w:t>
      </w:r>
    </w:p>
    <w:p w14:paraId="7CA5794C" w14:textId="77777777" w:rsidR="001317AE" w:rsidRPr="00904B4C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>Řízení dodávky (projektu)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 xml:space="preserve"> - </w:t>
      </w: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Koordinace činností, komunikace, zápisy ze schůzek, hmg projektu, evidence požadavků, úkolů, rizik, issue log, příprava testovacích scénářů, řízení testů</w:t>
      </w:r>
    </w:p>
    <w:p w14:paraId="732B5A29" w14:textId="77777777" w:rsidR="001317AE" w:rsidRPr="00124577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lastRenderedPageBreak/>
        <w:t xml:space="preserve">Analýza, schůzky PT </w:t>
      </w: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- analytické schůzky PT, příprava a zpracování výstupů</w:t>
      </w:r>
    </w:p>
    <w:p w14:paraId="612EC9E8" w14:textId="77777777" w:rsidR="001317AE" w:rsidRPr="00124577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>Návrh řešení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 xml:space="preserve"> - </w:t>
      </w: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zpracování dokumentu CK, shrnutí analytických schůzek a popis návrhu řešení</w:t>
      </w:r>
    </w:p>
    <w:p w14:paraId="5B04C297" w14:textId="77777777" w:rsidR="001317AE" w:rsidRPr="00124577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>Vytvoření technické dokumentace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 xml:space="preserve"> - </w:t>
      </w: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Zpracování technické dokumentace ve formátu pro SolMan dle stanovené metodiky</w:t>
      </w:r>
    </w:p>
    <w:p w14:paraId="60A9F79D" w14:textId="77777777" w:rsidR="001317AE" w:rsidRPr="00124577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>Příprava nasazení</w:t>
      </w:r>
      <w:r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 xml:space="preserve"> - </w:t>
      </w: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kontrola transportů, dokumentace, oprávnění</w:t>
      </w:r>
    </w:p>
    <w:p w14:paraId="738D3D4A" w14:textId="77777777" w:rsidR="001317AE" w:rsidRPr="00124577" w:rsidRDefault="001317AE" w:rsidP="001317AE">
      <w:pPr>
        <w:pStyle w:val="Odstavecseseznamem"/>
        <w:numPr>
          <w:ilvl w:val="0"/>
          <w:numId w:val="27"/>
        </w:numPr>
        <w:spacing w:after="0" w:line="240" w:lineRule="auto"/>
        <w:rPr>
          <w:b/>
          <w:u w:val="single"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>Implementace řešení</w:t>
      </w:r>
      <w:r w:rsidRPr="00124577">
        <w:rPr>
          <w:rFonts w:ascii="Calibri" w:eastAsia="Times New Roman" w:hAnsi="Calibri" w:cs="Times New Roman"/>
          <w:color w:val="000000"/>
          <w:sz w:val="22"/>
          <w:szCs w:val="22"/>
          <w:u w:val="single"/>
          <w:lang w:eastAsia="cs-CZ"/>
        </w:rPr>
        <w:t xml:space="preserve"> </w:t>
      </w:r>
    </w:p>
    <w:p w14:paraId="0C75385F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Úpravy stávající aplikace „Právní evidence ISU“</w:t>
      </w:r>
    </w:p>
    <w:p w14:paraId="08004AFD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Úpravy v účetnictví (FI, FICA)</w:t>
      </w:r>
    </w:p>
    <w:p w14:paraId="0E49816A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Vazba JURISOFT</w:t>
      </w:r>
    </w:p>
    <w:p w14:paraId="34F66725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Vazba ERMS</w:t>
      </w:r>
    </w:p>
    <w:p w14:paraId="6BDFD3A6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Vazba FaMA+/CES</w:t>
      </w:r>
    </w:p>
    <w:p w14:paraId="04C78603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Nová evidence subjektů v likvidaci a zrušených společností</w:t>
      </w:r>
    </w:p>
    <w:p w14:paraId="756CDA8F" w14:textId="77777777" w:rsidR="001317AE" w:rsidRPr="00124577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Změna komunikace s rejstříkem ARES</w:t>
      </w:r>
    </w:p>
    <w:p w14:paraId="6C098600" w14:textId="77777777" w:rsidR="001317AE" w:rsidRPr="00904B4C" w:rsidRDefault="001317AE" w:rsidP="001317AE">
      <w:pPr>
        <w:pStyle w:val="Odstavecseseznamem"/>
        <w:numPr>
          <w:ilvl w:val="3"/>
          <w:numId w:val="27"/>
        </w:numPr>
        <w:spacing w:after="0" w:line="240" w:lineRule="auto"/>
        <w:rPr>
          <w:b/>
        </w:rPr>
      </w:pPr>
      <w:r w:rsidRPr="00904B4C">
        <w:rPr>
          <w:rFonts w:ascii="Calibri" w:eastAsia="Times New Roman" w:hAnsi="Calibri" w:cs="Times New Roman"/>
          <w:color w:val="000000"/>
          <w:sz w:val="22"/>
          <w:szCs w:val="22"/>
          <w:lang w:eastAsia="cs-CZ"/>
        </w:rPr>
        <w:t>Doplnění kmenových dat D/O/BP o informace - obchodník s energií</w:t>
      </w:r>
    </w:p>
    <w:p w14:paraId="5D6C40AD" w14:textId="77777777" w:rsidR="00193161" w:rsidRDefault="00193161" w:rsidP="001317AE">
      <w:pPr>
        <w:spacing w:after="0" w:line="240" w:lineRule="auto"/>
      </w:pPr>
      <w:r>
        <w:t>Jednotlivé etapy budou podléhat dílčím akceptačním řízením.</w:t>
      </w:r>
    </w:p>
    <w:p w14:paraId="03F039C6" w14:textId="6B4408A7" w:rsidR="004E1498" w:rsidRPr="004E1498" w:rsidRDefault="004E1498" w:rsidP="001317AE">
      <w:pPr>
        <w:pStyle w:val="Nadpis2"/>
        <w:numPr>
          <w:ilvl w:val="0"/>
          <w:numId w:val="0"/>
        </w:numPr>
        <w:ind w:left="576" w:hanging="576"/>
        <w:jc w:val="left"/>
      </w:pPr>
    </w:p>
    <w:p w14:paraId="31E5226B" w14:textId="4204033B" w:rsidR="004E1498" w:rsidRPr="008366BA" w:rsidRDefault="004E1498" w:rsidP="00592757">
      <w:pPr>
        <w:pStyle w:val="Nadpis2"/>
        <w:jc w:val="left"/>
      </w:pPr>
      <w:r w:rsidRPr="008366BA">
        <w:t>Předmět díla je blíže specifikován v přílo</w:t>
      </w:r>
      <w:r w:rsidR="00CB53B1" w:rsidRPr="008366BA">
        <w:t>ze</w:t>
      </w:r>
      <w:r w:rsidRPr="008366BA">
        <w:t xml:space="preserve"> </w:t>
      </w:r>
      <w:r w:rsidR="001317AE" w:rsidRPr="008366BA">
        <w:t xml:space="preserve">č. 1 této </w:t>
      </w:r>
      <w:r w:rsidR="006566F7" w:rsidRPr="008366BA">
        <w:t>S</w:t>
      </w:r>
      <w:r w:rsidRPr="008366BA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5BE68" w:rsidR="005740C3" w:rsidRDefault="00810E9B" w:rsidP="005740C3">
      <w:pPr>
        <w:pStyle w:val="Nadpis2"/>
        <w:jc w:val="left"/>
      </w:pPr>
      <w:r w:rsidRPr="00275474">
        <w:t xml:space="preserve">Cena </w:t>
      </w:r>
      <w:r w:rsidR="001317AE">
        <w:t xml:space="preserve">za </w:t>
      </w:r>
      <w:r w:rsidR="00B81F32">
        <w:t>celkem</w:t>
      </w:r>
      <w:r w:rsidR="001317AE">
        <w:t xml:space="preserve"> </w:t>
      </w:r>
      <w:r w:rsidR="00B81F32">
        <w:t xml:space="preserve">bez DPH </w:t>
      </w:r>
      <w:r w:rsidR="00B81F32">
        <w:tab/>
      </w:r>
      <w:r w:rsidRPr="00275474">
        <w:t xml:space="preserve"> ………………. Kč. </w:t>
      </w:r>
    </w:p>
    <w:p w14:paraId="7979BC31" w14:textId="33AFEAB0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</w:r>
      <w:r w:rsidR="001317AE">
        <w:tab/>
      </w:r>
      <w:r w:rsidRPr="00275474">
        <w:t xml:space="preserve"> ………………. Kč.</w:t>
      </w:r>
    </w:p>
    <w:p w14:paraId="13EC6F11" w14:textId="73B31408" w:rsidR="00810E9B" w:rsidRPr="001317AE" w:rsidRDefault="00810E9B" w:rsidP="001317AE">
      <w:pPr>
        <w:pStyle w:val="Nadpis2"/>
        <w:ind w:left="578" w:hanging="578"/>
        <w:jc w:val="left"/>
      </w:pPr>
      <w:r w:rsidRPr="001317AE">
        <w:t xml:space="preserve">Cena </w:t>
      </w:r>
      <w:r w:rsidR="00B81F32">
        <w:t>celkem</w:t>
      </w:r>
      <w:r w:rsidR="001317AE" w:rsidRPr="001317AE">
        <w:t xml:space="preserve"> </w:t>
      </w:r>
      <w:r w:rsidRPr="001317AE">
        <w:t xml:space="preserve">včetně DPH </w:t>
      </w:r>
      <w:r w:rsidRPr="001317AE">
        <w:tab/>
        <w:t xml:space="preserve"> ………………. Kč.</w:t>
      </w:r>
    </w:p>
    <w:p w14:paraId="28C81697" w14:textId="05766225" w:rsidR="00810E9B" w:rsidRPr="001317AE" w:rsidRDefault="00810E9B" w:rsidP="00275474">
      <w:pPr>
        <w:pStyle w:val="Nadpis2"/>
        <w:jc w:val="left"/>
      </w:pPr>
      <w:r w:rsidRPr="001317AE">
        <w:t xml:space="preserve">Fakturace bude provedena </w:t>
      </w:r>
      <w:r w:rsidR="00CB53B1" w:rsidRPr="001317AE">
        <w:t xml:space="preserve">na základě předávacího protokolu podepsaného </w:t>
      </w:r>
      <w:r w:rsidR="006566F7" w:rsidRPr="001317AE">
        <w:t>oběma S</w:t>
      </w:r>
      <w:r w:rsidR="001317AE" w:rsidRPr="001317AE">
        <w:t xml:space="preserve">mluvními stranami </w:t>
      </w:r>
      <w:r w:rsidR="00FA32F8" w:rsidRPr="001317AE">
        <w:t xml:space="preserve">vždy po realizaci jednotlivé etapy </w:t>
      </w:r>
      <w:r w:rsidR="001317AE" w:rsidRPr="001317AE">
        <w:t xml:space="preserve">a to následovně: </w:t>
      </w:r>
    </w:p>
    <w:p w14:paraId="65AE354B" w14:textId="77777777" w:rsidR="00B81F32" w:rsidRDefault="00B81F32" w:rsidP="00B81F32">
      <w:pPr>
        <w:pStyle w:val="Odstavecseseznamem"/>
        <w:numPr>
          <w:ilvl w:val="0"/>
          <w:numId w:val="28"/>
        </w:numPr>
        <w:rPr>
          <w:lang w:eastAsia="cs-CZ"/>
        </w:rPr>
      </w:pPr>
      <w:r w:rsidRPr="001317AE">
        <w:rPr>
          <w:lang w:eastAsia="cs-CZ"/>
        </w:rPr>
        <w:t>30% po ukončení fáze analýzy a návrh řešení – akceptace dokumentu Cílový koncept</w:t>
      </w:r>
    </w:p>
    <w:p w14:paraId="673F6605" w14:textId="6B30C006" w:rsidR="00B81F32" w:rsidRDefault="00B81F32" w:rsidP="00B81F32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50% po předání impl</w:t>
      </w:r>
      <w:r w:rsidR="00471223">
        <w:rPr>
          <w:lang w:eastAsia="cs-CZ"/>
        </w:rPr>
        <w:t>e</w:t>
      </w:r>
      <w:r>
        <w:rPr>
          <w:lang w:eastAsia="cs-CZ"/>
        </w:rPr>
        <w:t>mentovaného řešení k ověření funkčnosti – uživatelské a integrační testy</w:t>
      </w:r>
    </w:p>
    <w:p w14:paraId="0E0C9654" w14:textId="124A7DBC" w:rsidR="001317AE" w:rsidRPr="00B81F32" w:rsidRDefault="00B81F32" w:rsidP="00B81F32">
      <w:pPr>
        <w:pStyle w:val="Odstavecseseznamem"/>
        <w:numPr>
          <w:ilvl w:val="0"/>
          <w:numId w:val="28"/>
        </w:numPr>
        <w:rPr>
          <w:lang w:eastAsia="cs-CZ"/>
        </w:rPr>
      </w:pPr>
      <w:r>
        <w:rPr>
          <w:lang w:eastAsia="cs-CZ"/>
        </w:rPr>
        <w:t>20% po úspěšném provedení uživatelských a integračních testů, nasazení řešení do produktivního užívání.</w:t>
      </w:r>
    </w:p>
    <w:p w14:paraId="1AFBED57" w14:textId="77777777" w:rsidR="004E1498" w:rsidRPr="008514B6" w:rsidRDefault="004E1498" w:rsidP="00592757">
      <w:pPr>
        <w:pStyle w:val="Nadpis1"/>
        <w:rPr>
          <w:rFonts w:eastAsia="Times New Roman"/>
          <w:lang w:eastAsia="cs-CZ"/>
        </w:rPr>
      </w:pPr>
      <w:r w:rsidRPr="008514B6">
        <w:rPr>
          <w:rFonts w:eastAsia="Times New Roman"/>
          <w:lang w:eastAsia="cs-CZ"/>
        </w:rPr>
        <w:t>Místo a doba plnění</w:t>
      </w:r>
    </w:p>
    <w:p w14:paraId="4DCCF507" w14:textId="1242183A" w:rsidR="004E1498" w:rsidRPr="008514B6" w:rsidRDefault="004E1498" w:rsidP="00592757">
      <w:pPr>
        <w:pStyle w:val="Nadpis2"/>
        <w:jc w:val="left"/>
      </w:pPr>
      <w:r w:rsidRPr="008514B6">
        <w:t>Místem plnění je</w:t>
      </w:r>
      <w:r w:rsidR="001317AE" w:rsidRPr="008514B6">
        <w:t xml:space="preserve"> sídlo </w:t>
      </w:r>
      <w:r w:rsidR="00C52B2B">
        <w:t>Objednatele</w:t>
      </w:r>
      <w:r w:rsidR="001317AE" w:rsidRPr="008514B6">
        <w:t>, Dlážděná 1003/7, 110 00 Praha 1 a jednotlivé složky SŽDC na území ČR.</w:t>
      </w:r>
    </w:p>
    <w:p w14:paraId="773EB070" w14:textId="461CEEFB" w:rsidR="00CB53B1" w:rsidRPr="00275474" w:rsidRDefault="00CB53B1" w:rsidP="00CB53B1">
      <w:pPr>
        <w:pStyle w:val="Nadpis2"/>
        <w:jc w:val="left"/>
      </w:pPr>
      <w:r w:rsidRPr="00275474">
        <w:t xml:space="preserve">Smlouva se uzavírá na </w:t>
      </w:r>
      <w:r w:rsidRPr="001317AE">
        <w:t xml:space="preserve">dobu určitou do </w:t>
      </w:r>
      <w:r w:rsidR="001317AE">
        <w:t xml:space="preserve">300 </w:t>
      </w:r>
      <w:r w:rsidR="001317AE" w:rsidRPr="001317AE">
        <w:t>kalendářních</w:t>
      </w:r>
      <w:r w:rsidR="001317AE">
        <w:t xml:space="preserve"> dnů od účinnosti této Smlouvy.</w:t>
      </w:r>
    </w:p>
    <w:p w14:paraId="624D8729" w14:textId="366485F2" w:rsidR="005740C3" w:rsidRDefault="004E1498" w:rsidP="005740C3">
      <w:pPr>
        <w:pStyle w:val="Nadpis2"/>
        <w:jc w:val="left"/>
      </w:pPr>
      <w:r w:rsidRPr="008514B6">
        <w:t>Z</w:t>
      </w:r>
      <w:r w:rsidR="005740C3" w:rsidRPr="008514B6">
        <w:t xml:space="preserve">hotovitel je povinen provést a předat </w:t>
      </w:r>
      <w:r w:rsidRPr="008514B6">
        <w:t xml:space="preserve">Dílo nejpozději do </w:t>
      </w:r>
      <w:r w:rsidR="001317AE" w:rsidRPr="008514B6">
        <w:t>270 kalendářních dnů od účinnosti této Smlouvy.</w:t>
      </w:r>
    </w:p>
    <w:p w14:paraId="5011D74D" w14:textId="582D953E" w:rsidR="00AB7BFC" w:rsidRPr="00ED60C6" w:rsidRDefault="00AB7BFC" w:rsidP="00ED60C6">
      <w:pPr>
        <w:pStyle w:val="Nadpis2"/>
        <w:jc w:val="left"/>
        <w:rPr>
          <w:rFonts w:eastAsiaTheme="minorHAnsi" w:cstheme="minorBidi"/>
        </w:rPr>
      </w:pPr>
      <w:r>
        <w:t>Zhotovitel je povinen Dílo předat včetně kompletní dokumentace a materiálů vytvořených v souvislosti se zhotovením Díla</w:t>
      </w:r>
      <w:r w:rsidRPr="00C83021">
        <w:t>.</w:t>
      </w:r>
      <w:r>
        <w:t xml:space="preserve"> V případě, že v rámci zhotovení Díla či jeho části dojde ke vzniku zdrojových kódů, předá</w:t>
      </w:r>
      <w:r w:rsidRPr="00AB7BFC">
        <w:t xml:space="preserve"> </w:t>
      </w:r>
      <w:r>
        <w:t>Zhotovitel Objednateli tyto zdrojové kódy, neučiní-li tak, Dílo není provedené ve smyslu § 2604 Občanského zákoníku</w:t>
      </w:r>
      <w:r w:rsidRPr="00C80194">
        <w:rPr>
          <w:rFonts w:ascii="Verdana" w:hAnsi="Verdana" w:cstheme="minorHAnsi"/>
          <w:sz w:val="20"/>
          <w:szCs w:val="20"/>
        </w:rPr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2F33420B" w:rsidR="00FD17C6" w:rsidRPr="001317AE" w:rsidRDefault="00FD17C6" w:rsidP="00275474">
      <w:pPr>
        <w:pStyle w:val="Nadpis2"/>
        <w:jc w:val="left"/>
      </w:pPr>
      <w:r w:rsidRPr="001317AE">
        <w:t>Na provedení Díla se budou podílet č</w:t>
      </w:r>
      <w:r w:rsidR="00816B59" w:rsidRPr="001317AE">
        <w:t>lenové realizačního týmu uvedení</w:t>
      </w:r>
      <w:r w:rsidR="001317AE">
        <w:t xml:space="preserve"> v příloze č. 2 </w:t>
      </w:r>
      <w:r w:rsidR="006566F7" w:rsidRPr="001317AE">
        <w:t>této S</w:t>
      </w:r>
      <w:r w:rsidRPr="001317AE">
        <w:t>mlouvy.</w:t>
      </w:r>
    </w:p>
    <w:p w14:paraId="11AD6701" w14:textId="7AFFBD9E" w:rsidR="00FD17C6" w:rsidRPr="000A745B" w:rsidRDefault="00FD17C6" w:rsidP="000A745B">
      <w:pPr>
        <w:pStyle w:val="Nadpis2"/>
        <w:jc w:val="left"/>
      </w:pPr>
      <w:r w:rsidRPr="001317AE">
        <w:t>Zhotovitel může v průběhu plnění Předmětu díla nahradit některé osoby z osob, uvedených v seznamu realizačního týmu dle přílohy č</w:t>
      </w:r>
      <w:r w:rsidR="001317AE">
        <w:t>. 2</w:t>
      </w:r>
      <w:r w:rsidRPr="001317AE">
        <w:t xml:space="preserve"> této </w:t>
      </w:r>
      <w:r w:rsidR="00A605AE" w:rsidRPr="001317AE">
        <w:t>S</w:t>
      </w:r>
      <w:r w:rsidRPr="001317AE">
        <w:t xml:space="preserve">mlouvy, pouze po </w:t>
      </w:r>
      <w:r w:rsidRPr="001317AE">
        <w:lastRenderedPageBreak/>
        <w:t xml:space="preserve">předchozím souhlasu Objednatele na základě písemné žádosti Zhotovitele. V případě, že Zhotovitel požádá o změnu některých členů realizačního týmu uvedeného v </w:t>
      </w:r>
      <w:r w:rsidR="001317AE">
        <w:t>příloze č. 2</w:t>
      </w:r>
      <w:r w:rsidRPr="001317AE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07E9C885" w14:textId="54AEC797" w:rsidR="00D657AD" w:rsidRPr="001317AE" w:rsidRDefault="00D657AD" w:rsidP="00592757">
      <w:pPr>
        <w:pStyle w:val="Nadpis1"/>
        <w:rPr>
          <w:rFonts w:eastAsia="Times New Roman"/>
          <w:lang w:eastAsia="cs-CZ"/>
        </w:rPr>
      </w:pPr>
      <w:r w:rsidRPr="001317AE">
        <w:rPr>
          <w:rFonts w:eastAsia="Times New Roman"/>
          <w:lang w:eastAsia="cs-CZ"/>
        </w:rPr>
        <w:t>Licenční podmínky</w:t>
      </w:r>
    </w:p>
    <w:p w14:paraId="3BEFBC74" w14:textId="3717D72B" w:rsidR="00D657AD" w:rsidRPr="001317AE" w:rsidRDefault="00D657AD" w:rsidP="00275474">
      <w:pPr>
        <w:pStyle w:val="Nadpis2"/>
        <w:jc w:val="left"/>
      </w:pPr>
      <w:r w:rsidRPr="001317AE">
        <w:t>V případě, že výsledkem činnosti dle uzavřené Smlouvy bude Dílo podléhající režimu zákona číslo 121/2000 Sb., o právu autorském, o právech souvisejících s právem autorským a o změně některých zákonů, ve znění pozdějších předpisů (dále jen „autorský zákon“), uděluje Zhotovitel Objednateli licenci k tomuto Dílu dle ustanovení Občanského zákoníku.</w:t>
      </w:r>
    </w:p>
    <w:p w14:paraId="771D93AA" w14:textId="77777777" w:rsidR="00D657AD" w:rsidRPr="001317AE" w:rsidRDefault="00D657AD" w:rsidP="00275474">
      <w:pPr>
        <w:pStyle w:val="Nadpis2"/>
        <w:jc w:val="left"/>
      </w:pPr>
      <w:r w:rsidRPr="001317AE">
        <w:t xml:space="preserve">Zhotovitel poskytuje Objednateli převoditelnou, nevýhradní, teritoriálně a co do množství neomezenou licenci na celou dobu trvání autorských a majetkových práv. Ve stejném rozsahu poskytuje Zhotovitel Objednateli licenci i k části Díla, lze-li část Díla užít samostatně. Objednatel není povinen licenci využívat. </w:t>
      </w:r>
    </w:p>
    <w:p w14:paraId="44B6E5AE" w14:textId="52BA9890" w:rsidR="00D657AD" w:rsidRPr="001317AE" w:rsidRDefault="00B81F32" w:rsidP="00275474">
      <w:pPr>
        <w:pStyle w:val="Nadpis2"/>
        <w:jc w:val="left"/>
      </w:pPr>
      <w:r>
        <w:t>Cena za licenci je zahrnuta v ceně Díla v čl. 3 této Smlouvy</w:t>
      </w:r>
      <w:r w:rsidR="00D657AD" w:rsidRPr="001317AE">
        <w:t>. Tato licence opravňuje Objednatele k tomu, aby:</w:t>
      </w:r>
    </w:p>
    <w:p w14:paraId="3796270B" w14:textId="77777777" w:rsidR="00D657AD" w:rsidRPr="001317AE" w:rsidRDefault="00D657AD" w:rsidP="00275474">
      <w:pPr>
        <w:pStyle w:val="Nadpis2"/>
        <w:numPr>
          <w:ilvl w:val="0"/>
          <w:numId w:val="0"/>
        </w:numPr>
        <w:ind w:left="708"/>
        <w:jc w:val="left"/>
      </w:pPr>
      <w:r w:rsidRPr="001317AE">
        <w:t>a)</w:t>
      </w:r>
      <w:r w:rsidRPr="001317AE">
        <w:tab/>
        <w:t>bez omezení využíval Dílo v rámci své podnikatelské činnosti,</w:t>
      </w:r>
    </w:p>
    <w:p w14:paraId="16649AE1" w14:textId="77777777" w:rsidR="00D657AD" w:rsidRPr="001317AE" w:rsidRDefault="00D657AD" w:rsidP="00275474">
      <w:pPr>
        <w:pStyle w:val="Nadpis2"/>
        <w:numPr>
          <w:ilvl w:val="0"/>
          <w:numId w:val="0"/>
        </w:numPr>
        <w:ind w:left="708"/>
        <w:jc w:val="left"/>
      </w:pPr>
      <w:r w:rsidRPr="001317AE">
        <w:t>b)</w:t>
      </w:r>
      <w:r w:rsidRPr="001317AE">
        <w:tab/>
        <w:t>si pořídil neomezený počet kopií Díla pro vlastní potřebu,</w:t>
      </w:r>
    </w:p>
    <w:p w14:paraId="2C9660F6" w14:textId="5BFC1811" w:rsidR="00D657AD" w:rsidRPr="001317AE" w:rsidRDefault="00D657AD" w:rsidP="00275474">
      <w:pPr>
        <w:pStyle w:val="Nadpis2"/>
        <w:numPr>
          <w:ilvl w:val="0"/>
          <w:numId w:val="0"/>
        </w:numPr>
        <w:ind w:left="708"/>
        <w:jc w:val="left"/>
      </w:pPr>
      <w:r w:rsidRPr="001317AE">
        <w:t>c)</w:t>
      </w:r>
      <w:r w:rsidRPr="001317AE">
        <w:tab/>
        <w:t>aby sám nebo prostřednictvím třetích osob měnil, rozšiřoval a jinak upravoval Dílo v souladu se svými potřebami,</w:t>
      </w:r>
    </w:p>
    <w:p w14:paraId="20129230" w14:textId="77777777" w:rsidR="00D657AD" w:rsidRPr="001317AE" w:rsidRDefault="00D657AD" w:rsidP="00275474">
      <w:pPr>
        <w:pStyle w:val="Nadpis2"/>
        <w:jc w:val="left"/>
      </w:pPr>
      <w:r w:rsidRPr="001317AE">
        <w:t>Objednatel je oprávněn převést licenci na třetí osoby pouze v případě předchozí písemné dohody Objednatele se Zhotovitelem.</w:t>
      </w:r>
    </w:p>
    <w:p w14:paraId="037F0698" w14:textId="77777777" w:rsidR="00D657AD" w:rsidRPr="001317AE" w:rsidRDefault="00D657AD" w:rsidP="00275474">
      <w:pPr>
        <w:pStyle w:val="Nadpis2"/>
        <w:jc w:val="left"/>
      </w:pPr>
      <w:r w:rsidRPr="001317AE">
        <w:t>Při uplatnění práv třetí osobou na autorská práva nese následky případných sporů Zhotovitel.</w:t>
      </w:r>
    </w:p>
    <w:p w14:paraId="3C619A0D" w14:textId="7D249395" w:rsidR="00D657AD" w:rsidRPr="001317AE" w:rsidRDefault="00D657AD" w:rsidP="00B81F32">
      <w:pPr>
        <w:pStyle w:val="Nadpis2"/>
        <w:jc w:val="left"/>
      </w:pPr>
      <w:r w:rsidRPr="001317AE">
        <w:t>Zhotovitel prohlašuje, že je oprávněn poskytnout výše uvedenou licenci, že má s autorem Díla vypořádána autorská práva. V případě porušení tohoto odstavce, se Zhotovitel zavazuje zaplatit smluvní pokutu Objednateli ve výši 2.000.000,-- Kč. Právo na náhradu škody přesahující smluvní pokutu není ujednáním o smluvní pokutě dotčeno.</w:t>
      </w:r>
    </w:p>
    <w:p w14:paraId="2EBE46CC" w14:textId="6785C336" w:rsidR="00D657AD" w:rsidRDefault="00D657AD" w:rsidP="00275474">
      <w:pPr>
        <w:pStyle w:val="Nadpis2"/>
        <w:jc w:val="left"/>
      </w:pPr>
      <w:r w:rsidRPr="001317AE">
        <w:t>Body 7.1. - 7.</w:t>
      </w:r>
      <w:r w:rsidR="00F229BF">
        <w:t>6</w:t>
      </w:r>
      <w:r w:rsidRPr="001317AE">
        <w:t>. této Smlouvy plně nahrazují body 16</w:t>
      </w:r>
      <w:r w:rsidR="00CB53B1" w:rsidRPr="001317AE">
        <w:t>0</w:t>
      </w:r>
      <w:r w:rsidRPr="001317AE">
        <w:t>-1</w:t>
      </w:r>
      <w:r w:rsidR="00CB53B1" w:rsidRPr="001317AE">
        <w:t>65</w:t>
      </w:r>
      <w:r w:rsidRPr="001317AE">
        <w:t xml:space="preserve"> Obchodních podmínek.</w:t>
      </w:r>
    </w:p>
    <w:p w14:paraId="6622A162" w14:textId="31A311F0" w:rsidR="00AB7BFC" w:rsidRPr="00FF5540" w:rsidRDefault="00AB7BFC" w:rsidP="00FF5540">
      <w:pPr>
        <w:pStyle w:val="Nadpis1"/>
        <w:rPr>
          <w:rFonts w:eastAsia="Times New Roman"/>
          <w:lang w:eastAsia="cs-CZ"/>
        </w:rPr>
      </w:pPr>
      <w:r w:rsidRPr="00ED60C6">
        <w:rPr>
          <w:rFonts w:eastAsia="Times New Roman"/>
          <w:lang w:eastAsia="cs-CZ"/>
        </w:rPr>
        <w:t>Zdrojové kódy a dokumentace</w:t>
      </w:r>
    </w:p>
    <w:p w14:paraId="599613DA" w14:textId="77777777" w:rsidR="00AB7BFC" w:rsidRPr="00ED60C6" w:rsidRDefault="00AB7BFC" w:rsidP="00ED60C6">
      <w:pPr>
        <w:pStyle w:val="Nadpis2"/>
        <w:jc w:val="left"/>
      </w:pPr>
      <w:r w:rsidRPr="00ED60C6">
        <w:t xml:space="preserve">V rámci Akceptačního řízení dotčeného výstupu, který je součástí předání díla či jeho části, je Zhotovitel povinen předat Objednateli Zdrojový kód každého jednotlivého takového plnění, které je počítačovým programem, a které je Objednateli poskytováno na základě této Smlouvy. Zdrojový kód musí být spustitelný v IT prostředí Objednatele a zaručující možnost ověření, že je kompletní a ve správné verzi, tzn. umožňující kompilaci, instalaci, spuštění a ověření funkcionality, a to včetně podrobné dokumentace Zdrojového kódu k příslušné části Systému, na základě které bude běžný kvalifikovaný pracovník Objednatele schopen pochopit veškeré funkce a vnitřní vazby Software a zasahovat do něj. </w:t>
      </w:r>
    </w:p>
    <w:p w14:paraId="6D847792" w14:textId="77777777" w:rsidR="00AB7BFC" w:rsidRPr="00ED60C6" w:rsidRDefault="00AB7BFC" w:rsidP="00ED60C6">
      <w:pPr>
        <w:pStyle w:val="Nadpis2"/>
        <w:jc w:val="left"/>
      </w:pPr>
      <w:r w:rsidRPr="00ED60C6">
        <w:t xml:space="preserve">Zdrojový kód bude předáván Objednateli v rámci jednotlivých Akceptačních řízení. Zdrojový kód musí být řádně označen. </w:t>
      </w:r>
    </w:p>
    <w:p w14:paraId="0DEC1307" w14:textId="2107E745" w:rsidR="00AB7BFC" w:rsidRPr="00ED60C6" w:rsidRDefault="00AB7BFC" w:rsidP="00ED60C6">
      <w:pPr>
        <w:pStyle w:val="Nadpis2"/>
        <w:jc w:val="left"/>
      </w:pPr>
      <w:r w:rsidRPr="00ED60C6">
        <w:t xml:space="preserve">Povinnost </w:t>
      </w:r>
      <w:r w:rsidR="00B81F32">
        <w:t>Zhotovitele</w:t>
      </w:r>
      <w:r w:rsidRPr="00ED60C6">
        <w:t xml:space="preserve"> předávat Zdrojový kód se přiměřeně použije i pro jakékoliv opravy, změny, doplnění, upgrade nebo update Zdrojového kódu. Zdrojový kód musí obsahovat podrobný popis a komentář každého zásahu do Zdrojového kódu.</w:t>
      </w:r>
    </w:p>
    <w:p w14:paraId="713419AB" w14:textId="4E93A248" w:rsidR="000A745B" w:rsidRPr="00ED60C6" w:rsidRDefault="00AB7BFC" w:rsidP="00ED60C6">
      <w:pPr>
        <w:pStyle w:val="Nadpis2"/>
        <w:jc w:val="left"/>
      </w:pPr>
      <w:bookmarkStart w:id="0" w:name="_Ref516573361"/>
      <w:r w:rsidRPr="00ED60C6">
        <w:t>Spolu se Zdrojovým kódem je Zhotovitel povinen předat Objednateli přípravné a koncepční materiály a jakékoliv další související materiály (včetně kompletní a srozumitelně zpracované specifikace, referenčních příruček, pracovních dokumentů, komentářů, analýz, protokolů o provedených testech apod., pokud nejsou součástí Dokumentace) v editovatelné elektronické podobě. Dokumentace ke Zdrojovým kódům musí dále obsahovat zejména databázové modely, popis vytvoření Software ze zdrojové formy, vysvětlení obsahu jednotlivých programových modulů a jejich klíčových funkcí ve formě komentářů ve Zdrojových kódech, a to nejméně v kvalitě obvyklé pro opensource projekty.</w:t>
      </w:r>
      <w:bookmarkEnd w:id="0"/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lastRenderedPageBreak/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</w:t>
      </w:r>
      <w:r w:rsidRPr="004E1498">
        <w:lastRenderedPageBreak/>
        <w:t xml:space="preserve">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8514B6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8514B6">
        <w:t>s takovými zvláštními podmínkami.</w:t>
      </w:r>
    </w:p>
    <w:p w14:paraId="08661B26" w14:textId="26D81CF2" w:rsidR="008514B6" w:rsidRPr="00ED60C6" w:rsidRDefault="004E1498" w:rsidP="00592757">
      <w:pPr>
        <w:pStyle w:val="Nadpis2"/>
        <w:ind w:left="567" w:hanging="567"/>
        <w:jc w:val="left"/>
      </w:pPr>
      <w:r w:rsidRPr="008514B6">
        <w:rPr>
          <w:rFonts w:eastAsia="Calibri"/>
        </w:rPr>
        <w:t xml:space="preserve">Tato </w:t>
      </w:r>
      <w:r w:rsidR="00D9782E" w:rsidRPr="008514B6">
        <w:rPr>
          <w:rFonts w:eastAsia="Calibri"/>
        </w:rPr>
        <w:t>Sml</w:t>
      </w:r>
      <w:r w:rsidRPr="008514B6">
        <w:rPr>
          <w:rFonts w:eastAsia="Calibri"/>
        </w:rPr>
        <w:t xml:space="preserve">ouva nabývá platnosti okamžikem podpisu poslední ze </w:t>
      </w:r>
      <w:r w:rsidR="00D9782E" w:rsidRPr="008514B6">
        <w:rPr>
          <w:rFonts w:eastAsia="Calibri"/>
        </w:rPr>
        <w:t>Sml</w:t>
      </w:r>
      <w:r w:rsidRPr="008514B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3A35B74" w:rsidR="006E6E61" w:rsidRPr="00D74ADE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74ADE">
        <w:rPr>
          <w:rFonts w:eastAsia="Times New Roman" w:cs="Times New Roman"/>
          <w:lang w:eastAsia="cs-CZ"/>
        </w:rPr>
        <w:t>Bližší specifikace</w:t>
      </w:r>
      <w:r w:rsidR="008514B6" w:rsidRPr="00D74ADE">
        <w:rPr>
          <w:rFonts w:eastAsia="Times New Roman" w:cs="Times New Roman"/>
          <w:lang w:eastAsia="cs-CZ"/>
        </w:rPr>
        <w:t xml:space="preserve"> předmětu plnění</w:t>
      </w:r>
    </w:p>
    <w:p w14:paraId="4A50CD85" w14:textId="7667DCCF" w:rsidR="008514B6" w:rsidRPr="00D74ADE" w:rsidRDefault="008514B6" w:rsidP="008514B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bookmarkStart w:id="1" w:name="_GoBack"/>
      <w:bookmarkEnd w:id="1"/>
      <w:r w:rsidRPr="00D74ADE">
        <w:rPr>
          <w:rFonts w:eastAsia="Times New Roman" w:cs="Times New Roman"/>
          <w:lang w:eastAsia="cs-CZ"/>
        </w:rPr>
        <w:t>Seznam realizačního týmu</w:t>
      </w:r>
    </w:p>
    <w:p w14:paraId="077D172E" w14:textId="4BFDE306" w:rsidR="006E6E61" w:rsidRPr="00FF5540" w:rsidRDefault="008514B6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F5540">
        <w:rPr>
          <w:rFonts w:eastAsia="Times New Roman" w:cs="Times New Roman"/>
          <w:highlight w:val="yellow"/>
          <w:lang w:eastAsia="cs-CZ"/>
        </w:rPr>
        <w:t>S</w:t>
      </w:r>
      <w:r w:rsidR="006E6E61" w:rsidRPr="00FF5540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71AB6A49" w:rsidR="006E6E61" w:rsidRPr="00FF5540" w:rsidRDefault="008514B6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FF5540">
        <w:rPr>
          <w:rFonts w:eastAsia="Times New Roman" w:cs="Times New Roman"/>
          <w:highlight w:val="yellow"/>
          <w:lang w:eastAsia="cs-CZ"/>
        </w:rPr>
        <w:t>P</w:t>
      </w:r>
      <w:r w:rsidR="00B27209" w:rsidRPr="00FF5540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81978F1" w14:textId="77777777" w:rsidR="008514B6" w:rsidRDefault="008514B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418A4B" w14:textId="77777777" w:rsidR="008514B6" w:rsidRDefault="008514B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16349CB" w14:textId="77777777" w:rsidR="008514B6" w:rsidRDefault="008514B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12D5D4" w14:textId="77777777" w:rsidR="008514B6" w:rsidRDefault="008514B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2A1DAC5" w14:textId="77777777" w:rsidR="008514B6" w:rsidRDefault="008514B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6526640" w14:textId="77777777" w:rsidR="008514B6" w:rsidRDefault="008514B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2295EF2" w14:textId="77777777" w:rsidR="008514B6" w:rsidRDefault="008514B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46B4C" w14:textId="77777777" w:rsidR="00707BC9" w:rsidRDefault="00707BC9" w:rsidP="00962258">
      <w:pPr>
        <w:spacing w:after="0" w:line="240" w:lineRule="auto"/>
      </w:pPr>
      <w:r>
        <w:separator/>
      </w:r>
    </w:p>
  </w:endnote>
  <w:endnote w:type="continuationSeparator" w:id="0">
    <w:p w14:paraId="373C384D" w14:textId="77777777" w:rsidR="00707BC9" w:rsidRDefault="00707B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91F50D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594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594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23F46E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F86ED5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941F5E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59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594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26EFF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91BAF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D5422" w14:textId="77777777" w:rsidR="00707BC9" w:rsidRDefault="00707BC9" w:rsidP="00962258">
      <w:pPr>
        <w:spacing w:after="0" w:line="240" w:lineRule="auto"/>
      </w:pPr>
      <w:r>
        <w:separator/>
      </w:r>
    </w:p>
  </w:footnote>
  <w:footnote w:type="continuationSeparator" w:id="0">
    <w:p w14:paraId="652BC92B" w14:textId="77777777" w:rsidR="00707BC9" w:rsidRDefault="00707B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FE4CAA"/>
    <w:multiLevelType w:val="hybridMultilevel"/>
    <w:tmpl w:val="A9BE840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5D80524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DA2153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6B302FA"/>
    <w:multiLevelType w:val="hybridMultilevel"/>
    <w:tmpl w:val="D38062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3"/>
  </w:num>
  <w:num w:numId="12">
    <w:abstractNumId w:val="18"/>
  </w:num>
  <w:num w:numId="13">
    <w:abstractNumId w:val="20"/>
  </w:num>
  <w:num w:numId="14">
    <w:abstractNumId w:val="5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7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6"/>
  </w:num>
  <w:num w:numId="28">
    <w:abstractNumId w:val="22"/>
  </w:num>
  <w:num w:numId="29">
    <w:abstractNumId w:val="1"/>
  </w:num>
  <w:num w:numId="30">
    <w:abstractNumId w:val="16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A745B"/>
    <w:rsid w:val="000D278B"/>
    <w:rsid w:val="000E23A7"/>
    <w:rsid w:val="0010693F"/>
    <w:rsid w:val="00107E5E"/>
    <w:rsid w:val="00114472"/>
    <w:rsid w:val="001317AE"/>
    <w:rsid w:val="0013379C"/>
    <w:rsid w:val="001550BC"/>
    <w:rsid w:val="001605B9"/>
    <w:rsid w:val="00170EC5"/>
    <w:rsid w:val="001747C1"/>
    <w:rsid w:val="00184743"/>
    <w:rsid w:val="00193161"/>
    <w:rsid w:val="00193A76"/>
    <w:rsid w:val="001A6752"/>
    <w:rsid w:val="001C0FC2"/>
    <w:rsid w:val="001D68A6"/>
    <w:rsid w:val="00207DF5"/>
    <w:rsid w:val="002313EA"/>
    <w:rsid w:val="00237206"/>
    <w:rsid w:val="00275474"/>
    <w:rsid w:val="00280E07"/>
    <w:rsid w:val="0029605F"/>
    <w:rsid w:val="002C31BF"/>
    <w:rsid w:val="002D08B1"/>
    <w:rsid w:val="002D6523"/>
    <w:rsid w:val="002E0CD7"/>
    <w:rsid w:val="002F5D05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E494F"/>
    <w:rsid w:val="003F20D8"/>
    <w:rsid w:val="00401303"/>
    <w:rsid w:val="00417321"/>
    <w:rsid w:val="00431925"/>
    <w:rsid w:val="00441430"/>
    <w:rsid w:val="00450F07"/>
    <w:rsid w:val="00453CD3"/>
    <w:rsid w:val="00460660"/>
    <w:rsid w:val="00471223"/>
    <w:rsid w:val="0047161E"/>
    <w:rsid w:val="0047677B"/>
    <w:rsid w:val="00480380"/>
    <w:rsid w:val="00486107"/>
    <w:rsid w:val="00491827"/>
    <w:rsid w:val="00493B1B"/>
    <w:rsid w:val="004A6222"/>
    <w:rsid w:val="004B348C"/>
    <w:rsid w:val="004C4399"/>
    <w:rsid w:val="004C728D"/>
    <w:rsid w:val="004C787C"/>
    <w:rsid w:val="004D2ACB"/>
    <w:rsid w:val="004E143C"/>
    <w:rsid w:val="004E1498"/>
    <w:rsid w:val="004E3A53"/>
    <w:rsid w:val="004F4B9B"/>
    <w:rsid w:val="00511AB9"/>
    <w:rsid w:val="00522467"/>
    <w:rsid w:val="00523EA7"/>
    <w:rsid w:val="00527421"/>
    <w:rsid w:val="00532DBF"/>
    <w:rsid w:val="00537B7A"/>
    <w:rsid w:val="00553375"/>
    <w:rsid w:val="00556C12"/>
    <w:rsid w:val="005736B7"/>
    <w:rsid w:val="005740C3"/>
    <w:rsid w:val="00575E5A"/>
    <w:rsid w:val="00592757"/>
    <w:rsid w:val="00597E84"/>
    <w:rsid w:val="005A07EA"/>
    <w:rsid w:val="005B76DD"/>
    <w:rsid w:val="005C4BF4"/>
    <w:rsid w:val="005D5624"/>
    <w:rsid w:val="005F1404"/>
    <w:rsid w:val="0060520C"/>
    <w:rsid w:val="0061068E"/>
    <w:rsid w:val="00641036"/>
    <w:rsid w:val="006566F7"/>
    <w:rsid w:val="00660AD3"/>
    <w:rsid w:val="00677B7F"/>
    <w:rsid w:val="00687ED5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07BC9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3FFD"/>
    <w:rsid w:val="00807DD0"/>
    <w:rsid w:val="00810E9B"/>
    <w:rsid w:val="00816B59"/>
    <w:rsid w:val="008366BA"/>
    <w:rsid w:val="00845DC2"/>
    <w:rsid w:val="008514B6"/>
    <w:rsid w:val="008548C9"/>
    <w:rsid w:val="0086114C"/>
    <w:rsid w:val="008659F3"/>
    <w:rsid w:val="00886D4B"/>
    <w:rsid w:val="00895406"/>
    <w:rsid w:val="008A3568"/>
    <w:rsid w:val="008B3956"/>
    <w:rsid w:val="008D03B9"/>
    <w:rsid w:val="008D3206"/>
    <w:rsid w:val="008E1E86"/>
    <w:rsid w:val="008F18D6"/>
    <w:rsid w:val="008F7DFE"/>
    <w:rsid w:val="00904780"/>
    <w:rsid w:val="009064B2"/>
    <w:rsid w:val="00922385"/>
    <w:rsid w:val="009223DF"/>
    <w:rsid w:val="00936091"/>
    <w:rsid w:val="00940D8A"/>
    <w:rsid w:val="00950C1F"/>
    <w:rsid w:val="00962258"/>
    <w:rsid w:val="009678B7"/>
    <w:rsid w:val="009833E1"/>
    <w:rsid w:val="00992D9C"/>
    <w:rsid w:val="009936E1"/>
    <w:rsid w:val="00996CB8"/>
    <w:rsid w:val="009A0078"/>
    <w:rsid w:val="009B14A9"/>
    <w:rsid w:val="009B2E97"/>
    <w:rsid w:val="009C30C5"/>
    <w:rsid w:val="009D1706"/>
    <w:rsid w:val="009E07F4"/>
    <w:rsid w:val="009F392E"/>
    <w:rsid w:val="00A02EE7"/>
    <w:rsid w:val="00A605AE"/>
    <w:rsid w:val="00A6177B"/>
    <w:rsid w:val="00A66136"/>
    <w:rsid w:val="00A66289"/>
    <w:rsid w:val="00AA4CBB"/>
    <w:rsid w:val="00AA65FA"/>
    <w:rsid w:val="00AA7351"/>
    <w:rsid w:val="00AB6759"/>
    <w:rsid w:val="00AB7BFC"/>
    <w:rsid w:val="00AD056F"/>
    <w:rsid w:val="00AD6731"/>
    <w:rsid w:val="00AF11FA"/>
    <w:rsid w:val="00B15D0D"/>
    <w:rsid w:val="00B27209"/>
    <w:rsid w:val="00B365D2"/>
    <w:rsid w:val="00B42ED4"/>
    <w:rsid w:val="00B748DD"/>
    <w:rsid w:val="00B75EE1"/>
    <w:rsid w:val="00B77481"/>
    <w:rsid w:val="00B81F32"/>
    <w:rsid w:val="00B8518B"/>
    <w:rsid w:val="00B9419D"/>
    <w:rsid w:val="00BB184D"/>
    <w:rsid w:val="00BC4DC9"/>
    <w:rsid w:val="00BD7E91"/>
    <w:rsid w:val="00C02D0A"/>
    <w:rsid w:val="00C03A6E"/>
    <w:rsid w:val="00C047FD"/>
    <w:rsid w:val="00C3594A"/>
    <w:rsid w:val="00C44F6A"/>
    <w:rsid w:val="00C47AE3"/>
    <w:rsid w:val="00C47E96"/>
    <w:rsid w:val="00C52B2B"/>
    <w:rsid w:val="00CA18FC"/>
    <w:rsid w:val="00CA5D11"/>
    <w:rsid w:val="00CB53B1"/>
    <w:rsid w:val="00CC6991"/>
    <w:rsid w:val="00CD1FC4"/>
    <w:rsid w:val="00D21061"/>
    <w:rsid w:val="00D4108E"/>
    <w:rsid w:val="00D6163D"/>
    <w:rsid w:val="00D657AD"/>
    <w:rsid w:val="00D74ADE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55F3F"/>
    <w:rsid w:val="00EB104F"/>
    <w:rsid w:val="00ED14BD"/>
    <w:rsid w:val="00ED60C6"/>
    <w:rsid w:val="00EF1804"/>
    <w:rsid w:val="00F0533E"/>
    <w:rsid w:val="00F1048D"/>
    <w:rsid w:val="00F12C80"/>
    <w:rsid w:val="00F12DEC"/>
    <w:rsid w:val="00F1715C"/>
    <w:rsid w:val="00F229BF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  <w:rsid w:val="00FE026B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A100D25-563E-41B5-81F9-7C7332E0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acnormal">
    <w:name w:val="ac_normal"/>
    <w:basedOn w:val="Normln"/>
    <w:link w:val="acnormalChar"/>
    <w:uiPriority w:val="99"/>
    <w:qFormat/>
    <w:rsid w:val="00AB7BFC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AB7BFC"/>
    <w:rPr>
      <w:rFonts w:ascii="Calibri" w:eastAsia="Calibri" w:hAnsi="Calibri" w:cs="Times New Roman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F3D96C-F263-4B38-A89C-626C7A4D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2034</Words>
  <Characters>12001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16</cp:revision>
  <cp:lastPrinted>2019-08-12T05:50:00Z</cp:lastPrinted>
  <dcterms:created xsi:type="dcterms:W3CDTF">2019-08-09T12:23:00Z</dcterms:created>
  <dcterms:modified xsi:type="dcterms:W3CDTF">2019-11-26T13:10:00Z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