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B76D72A" wp14:editId="79295E3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65B21" w:rsidRDefault="00465B21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B76D7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465B21" w:rsidRDefault="00465B21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2E1D20" w:rsidP="00852595">
            <w:r w:rsidRPr="002E1D20">
              <w:rPr>
                <w:rFonts w:ascii="Helvetica" w:hAnsi="Helvetica" w:cs="Helvetica"/>
              </w:rPr>
              <w:t>9832/2019-SŽDC-SSV-Ú3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2E1D20" w:rsidRDefault="00F862D6" w:rsidP="0077673A">
            <w:r w:rsidRPr="002E1D20">
              <w:t>Listů/příloh</w:t>
            </w:r>
          </w:p>
        </w:tc>
        <w:tc>
          <w:tcPr>
            <w:tcW w:w="2552" w:type="dxa"/>
          </w:tcPr>
          <w:p w:rsidR="00F862D6" w:rsidRPr="002E1D20" w:rsidRDefault="002E1D20" w:rsidP="002E1D20">
            <w:r w:rsidRPr="002E1D20">
              <w:t>5</w:t>
            </w:r>
            <w:r w:rsidR="003E6B9A" w:rsidRPr="002E1D20">
              <w:t>/</w:t>
            </w:r>
            <w:r w:rsidRPr="002E1D20">
              <w:t>7</w:t>
            </w:r>
          </w:p>
        </w:tc>
        <w:tc>
          <w:tcPr>
            <w:tcW w:w="823" w:type="dxa"/>
          </w:tcPr>
          <w:p w:rsidR="00F862D6" w:rsidRDefault="00F862D6" w:rsidP="0077673A">
            <w:bookmarkStart w:id="0" w:name="_GoBack"/>
            <w:bookmarkEnd w:id="0"/>
          </w:p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7F4351" w:rsidP="00B97EFE">
            <w:r>
              <w:t>12</w:t>
            </w:r>
            <w:r w:rsidR="00365ABD">
              <w:t xml:space="preserve">. </w:t>
            </w:r>
            <w:r w:rsidR="00B97EFE">
              <w:t>listopadu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4204E2">
        <w:rPr>
          <w:rFonts w:eastAsia="Calibri" w:cs="Times New Roman"/>
          <w:lang w:eastAsia="cs-CZ"/>
        </w:rPr>
        <w:t>10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E3348" w:rsidRPr="00BD5319" w:rsidRDefault="00FE3348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165A8" w:rsidRDefault="00B97EFE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E45D34">
        <w:rPr>
          <w:rFonts w:eastAsia="Calibri" w:cs="Times New Roman"/>
          <w:b/>
          <w:lang w:eastAsia="cs-CZ"/>
        </w:rPr>
        <w:t>1</w:t>
      </w:r>
      <w:r w:rsidR="00DD34E9">
        <w:rPr>
          <w:rFonts w:eastAsia="Calibri" w:cs="Times New Roman"/>
          <w:b/>
          <w:lang w:eastAsia="cs-CZ"/>
        </w:rPr>
        <w:t>46</w:t>
      </w:r>
      <w:r w:rsidR="002165A8" w:rsidRPr="00CB7B5A">
        <w:rPr>
          <w:rFonts w:eastAsia="Calibri" w:cs="Times New Roman"/>
          <w:b/>
          <w:lang w:eastAsia="cs-CZ"/>
        </w:rPr>
        <w:t>:</w:t>
      </w:r>
    </w:p>
    <w:p w:rsidR="007F4351" w:rsidRPr="007F4351" w:rsidRDefault="007F4351" w:rsidP="00611827">
      <w:pPr>
        <w:spacing w:after="0"/>
      </w:pPr>
      <w:r w:rsidRPr="00291F5B">
        <w:rPr>
          <w:u w:val="single"/>
        </w:rPr>
        <w:t>SO 02-19-14</w:t>
      </w:r>
      <w:r w:rsidRPr="007F4351">
        <w:t xml:space="preserve"> – položka č. 10 - VRTY PRO KOTVENÍ A INJEKTÁŽ TŘ I NA POVRCHU D DO 16MM – 34,0 m. Předpokládáme, že se jedná o položku vrtů, pro vlepení kotev nových říms. Pokud je náš předpoklad správný, podle výkresu č. 6, by měl být správný výpočet 20*(0,35+0,35) + 2*19*(0,35+0,35) = 40,6 m. Může zadavatel opravit množství v soupisu prací?</w:t>
      </w:r>
    </w:p>
    <w:p w:rsidR="004204E2" w:rsidRPr="00CB7B5A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165A8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C590B" w:rsidRDefault="008301F5" w:rsidP="004279D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472EE">
        <w:rPr>
          <w:i/>
          <w:iCs/>
          <w:lang w:eastAsia="cs-CZ"/>
        </w:rPr>
        <w:t xml:space="preserve">Položka </w:t>
      </w:r>
      <w:r w:rsidR="0081196F" w:rsidRPr="00C472EE">
        <w:rPr>
          <w:i/>
          <w:iCs/>
          <w:lang w:eastAsia="cs-CZ"/>
        </w:rPr>
        <w:t>obsahuje</w:t>
      </w:r>
      <w:r w:rsidRPr="00C472EE">
        <w:rPr>
          <w:i/>
          <w:iCs/>
          <w:lang w:eastAsia="cs-CZ"/>
        </w:rPr>
        <w:t xml:space="preserve"> v</w:t>
      </w:r>
      <w:r w:rsidR="0081196F" w:rsidRPr="00C472EE">
        <w:rPr>
          <w:i/>
          <w:iCs/>
          <w:lang w:eastAsia="cs-CZ"/>
        </w:rPr>
        <w:t>r</w:t>
      </w:r>
      <w:r w:rsidRPr="00C472EE">
        <w:rPr>
          <w:i/>
          <w:iCs/>
          <w:lang w:eastAsia="cs-CZ"/>
        </w:rPr>
        <w:t>tání pro injektáž trhlin stávající cihelné klenby a vrtání pro injektáž stávajících kamenných křídel. Výměra zůstává nezměněna</w:t>
      </w:r>
      <w:r>
        <w:rPr>
          <w:i/>
          <w:iCs/>
          <w:color w:val="FF0000"/>
          <w:lang w:eastAsia="cs-CZ"/>
        </w:rPr>
        <w:t>.</w:t>
      </w:r>
    </w:p>
    <w:p w:rsidR="00F75BD3" w:rsidRDefault="00F75BD3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472EE" w:rsidRPr="00BD5319" w:rsidRDefault="00C472EE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EB4D91" w:rsidP="0061182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E45D34">
        <w:rPr>
          <w:rFonts w:eastAsia="Calibri" w:cs="Times New Roman"/>
          <w:b/>
          <w:lang w:eastAsia="cs-CZ"/>
        </w:rPr>
        <w:t>1</w:t>
      </w:r>
      <w:r w:rsidR="00DD34E9">
        <w:rPr>
          <w:rFonts w:eastAsia="Calibri" w:cs="Times New Roman"/>
          <w:b/>
          <w:lang w:eastAsia="cs-CZ"/>
        </w:rPr>
        <w:t>47</w:t>
      </w:r>
      <w:r w:rsidR="0056507D" w:rsidRPr="0056507D">
        <w:rPr>
          <w:rFonts w:eastAsia="Calibri" w:cs="Times New Roman"/>
          <w:b/>
          <w:lang w:eastAsia="cs-CZ"/>
        </w:rPr>
        <w:t>:</w:t>
      </w:r>
    </w:p>
    <w:p w:rsidR="007F4351" w:rsidRPr="007F4351" w:rsidRDefault="007F4351" w:rsidP="00611827">
      <w:pPr>
        <w:spacing w:after="0"/>
      </w:pPr>
      <w:r w:rsidRPr="00291F5B">
        <w:rPr>
          <w:u w:val="single"/>
        </w:rPr>
        <w:t>SO 02-19-14</w:t>
      </w:r>
      <w:r w:rsidRPr="007F4351">
        <w:t xml:space="preserve"> – položka č. 11 - VRTY PRO KOTVENÍ A INJEKTÁŽ TŘ VI NA POVRCHU D DO 25MM – 25,0 m. Protože v soupisu prací není doložen výpočet ani není uveden odkaz na výkresovou dokumentaci, nevíme, čeho se položka týká. V dokumentaci jsme nenašli o jaké vrtání a pro jakou konstrukci by mělo jít. Může zadavatel tuto položku vysvětlit?</w:t>
      </w:r>
    </w:p>
    <w:p w:rsidR="00E45D34" w:rsidRPr="0056507D" w:rsidRDefault="00E45D34" w:rsidP="007405F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Pr="00C472EE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Odpověď: </w:t>
      </w:r>
    </w:p>
    <w:p w:rsidR="008301F5" w:rsidRPr="00C472EE" w:rsidRDefault="008301F5" w:rsidP="008301F5">
      <w:pPr>
        <w:rPr>
          <w:i/>
          <w:iCs/>
          <w:lang w:eastAsia="cs-CZ"/>
        </w:rPr>
      </w:pPr>
      <w:r w:rsidRPr="00C472EE">
        <w:rPr>
          <w:i/>
          <w:iCs/>
          <w:lang w:eastAsia="cs-CZ"/>
        </w:rPr>
        <w:t>Jedná se o položku vrtání otvorů pro kotvení říms. Výměr</w:t>
      </w:r>
      <w:r w:rsidR="00207AB3" w:rsidRPr="00C472EE">
        <w:rPr>
          <w:i/>
          <w:iCs/>
          <w:lang w:eastAsia="cs-CZ"/>
        </w:rPr>
        <w:t>a</w:t>
      </w:r>
      <w:r w:rsidRPr="00C472EE">
        <w:rPr>
          <w:i/>
          <w:iCs/>
          <w:lang w:eastAsia="cs-CZ"/>
        </w:rPr>
        <w:t xml:space="preserve"> opravena v soupise prací na </w:t>
      </w:r>
      <w:r w:rsidRPr="00C472EE">
        <w:t>20*(0,35+0,</w:t>
      </w:r>
      <w:r w:rsidR="00C472EE" w:rsidRPr="00C472EE">
        <w:t xml:space="preserve">35) + 2*19*(0,35+0,35) = 40,6 m, </w:t>
      </w:r>
      <w:r w:rsidRPr="00C472EE">
        <w:t>viz příloha:</w:t>
      </w:r>
      <w:r w:rsidR="00207AB3" w:rsidRPr="00C472EE">
        <w:t xml:space="preserve"> </w:t>
      </w:r>
      <w:r w:rsidRPr="00C472EE">
        <w:rPr>
          <w:i/>
          <w:iCs/>
          <w:lang w:eastAsia="cs-CZ"/>
        </w:rPr>
        <w:t>SO 02-19-14_a.xlsx</w:t>
      </w:r>
    </w:p>
    <w:p w:rsidR="00514AE5" w:rsidRPr="00C472EE" w:rsidRDefault="00514AE5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7F4351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>Dotaz č. 148</w:t>
      </w:r>
      <w:r w:rsidR="004204E2" w:rsidRPr="00C472EE">
        <w:rPr>
          <w:rFonts w:eastAsia="Calibri" w:cs="Times New Roman"/>
          <w:b/>
          <w:lang w:eastAsia="cs-CZ"/>
        </w:rPr>
        <w:t>:</w:t>
      </w:r>
    </w:p>
    <w:p w:rsidR="007F4351" w:rsidRPr="00C472EE" w:rsidRDefault="007F4351" w:rsidP="00611827">
      <w:pPr>
        <w:spacing w:after="0"/>
      </w:pPr>
      <w:r w:rsidRPr="00C472EE">
        <w:rPr>
          <w:u w:val="single"/>
        </w:rPr>
        <w:t>SO 02-19-14</w:t>
      </w:r>
      <w:r w:rsidRPr="00C472EE">
        <w:t xml:space="preserve"> – položka č. 12 - KOTVENÍ NA POVRCHU Z BETONÁŘSKÉ VÝZTUŽE DL. DO 3M – 85,0 ks. Protože v soupisu prací není doložen výpočet ani není uveden odkaz na výkresovou dokumentaci, nevíme, čeho se položka týká. V dokumentaci jsme nenašli, o jakou konstrukci by mělo jít. Může zadavatel tuto položku vysvětlit?</w:t>
      </w: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Odpověď: </w:t>
      </w:r>
    </w:p>
    <w:p w:rsidR="008301F5" w:rsidRPr="00C472EE" w:rsidRDefault="008301F5" w:rsidP="008301F5">
      <w:pPr>
        <w:rPr>
          <w:i/>
          <w:iCs/>
          <w:lang w:eastAsia="cs-CZ"/>
        </w:rPr>
      </w:pPr>
      <w:r w:rsidRPr="00C472EE">
        <w:rPr>
          <w:i/>
          <w:iCs/>
          <w:lang w:eastAsia="cs-CZ"/>
        </w:rPr>
        <w:t>Položka s kódem 285361 (85ks) byla ze soupisu prací vyřazena a nahrazena kódem 282662 (0,01m3). Položka řeší chemické zalepení již vykázaných kotev z betonářské výztuže do již vyvrtaných otvorů</w:t>
      </w:r>
      <w:r w:rsidR="0081196F" w:rsidRPr="00C472EE">
        <w:rPr>
          <w:i/>
          <w:iCs/>
          <w:lang w:eastAsia="cs-CZ"/>
        </w:rPr>
        <w:t>. O</w:t>
      </w:r>
      <w:r w:rsidR="00C472EE" w:rsidRPr="00C472EE">
        <w:rPr>
          <w:i/>
          <w:iCs/>
          <w:lang w:eastAsia="cs-CZ"/>
        </w:rPr>
        <w:t xml:space="preserve">pravený soupis prací přikládáme, </w:t>
      </w:r>
      <w:r w:rsidRPr="00C472EE">
        <w:rPr>
          <w:i/>
          <w:iCs/>
          <w:lang w:eastAsia="cs-CZ"/>
        </w:rPr>
        <w:t>viz příloha:</w:t>
      </w:r>
      <w:r w:rsidR="00207AB3" w:rsidRPr="00C472EE">
        <w:rPr>
          <w:i/>
          <w:iCs/>
          <w:lang w:eastAsia="cs-CZ"/>
        </w:rPr>
        <w:t xml:space="preserve"> </w:t>
      </w:r>
      <w:r w:rsidRPr="00C472EE">
        <w:rPr>
          <w:i/>
          <w:iCs/>
          <w:lang w:eastAsia="cs-CZ"/>
        </w:rPr>
        <w:t>SO 02-19-14_a.xlsx</w:t>
      </w:r>
    </w:p>
    <w:p w:rsidR="004204E2" w:rsidRPr="00BD5319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7F4351">
        <w:rPr>
          <w:rFonts w:eastAsia="Calibri" w:cs="Times New Roman"/>
          <w:b/>
          <w:lang w:eastAsia="cs-CZ"/>
        </w:rPr>
        <w:t>149</w:t>
      </w:r>
      <w:r w:rsidRPr="0056507D">
        <w:rPr>
          <w:rFonts w:eastAsia="Calibri" w:cs="Times New Roman"/>
          <w:b/>
          <w:lang w:eastAsia="cs-CZ"/>
        </w:rPr>
        <w:t>:</w:t>
      </w:r>
    </w:p>
    <w:p w:rsidR="007F4351" w:rsidRPr="007F4351" w:rsidRDefault="007F4351" w:rsidP="00611827">
      <w:pPr>
        <w:spacing w:after="0"/>
      </w:pPr>
      <w:r w:rsidRPr="00291F5B">
        <w:rPr>
          <w:u w:val="single"/>
        </w:rPr>
        <w:t>SO 02-19-14</w:t>
      </w:r>
      <w:r w:rsidRPr="007F4351">
        <w:t xml:space="preserve"> – na výkrese č. 7 chybí Výkaz materiálu. Je tam uveden pouze nadpis pro tuto tabulku. Může zadavatel doplnit výkres o výkaz materiálu?</w:t>
      </w:r>
    </w:p>
    <w:p w:rsidR="004204E2" w:rsidRPr="0056507D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8301F5" w:rsidRPr="00C472EE" w:rsidRDefault="00C472EE" w:rsidP="008301F5">
      <w:pPr>
        <w:rPr>
          <w:iCs/>
          <w:lang w:eastAsia="cs-CZ"/>
        </w:rPr>
      </w:pPr>
      <w:r w:rsidRPr="00C472EE">
        <w:rPr>
          <w:i/>
          <w:iCs/>
          <w:lang w:eastAsia="cs-CZ"/>
        </w:rPr>
        <w:t xml:space="preserve">Tabulka byla doplněna, </w:t>
      </w:r>
      <w:r w:rsidR="008301F5" w:rsidRPr="00C472EE">
        <w:rPr>
          <w:i/>
          <w:iCs/>
          <w:lang w:eastAsia="cs-CZ"/>
        </w:rPr>
        <w:t>viz příloha:</w:t>
      </w:r>
      <w:r w:rsidR="00207AB3" w:rsidRPr="00C472EE">
        <w:rPr>
          <w:i/>
          <w:iCs/>
          <w:lang w:eastAsia="cs-CZ"/>
        </w:rPr>
        <w:t xml:space="preserve"> </w:t>
      </w:r>
      <w:r w:rsidR="008301F5" w:rsidRPr="00C472EE">
        <w:rPr>
          <w:i/>
          <w:iCs/>
          <w:lang w:eastAsia="cs-CZ"/>
        </w:rPr>
        <w:t>D.2.1.5_SO021914_7_zábradlí_a.pdf</w:t>
      </w:r>
      <w:r w:rsidR="0081196F" w:rsidRPr="00C472EE">
        <w:rPr>
          <w:i/>
          <w:iCs/>
          <w:lang w:eastAsia="cs-CZ"/>
        </w:rPr>
        <w:t xml:space="preserve">. </w:t>
      </w:r>
    </w:p>
    <w:p w:rsidR="004204E2" w:rsidRPr="00C472EE" w:rsidRDefault="004204E2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7F4351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>Dotaz č. 150</w:t>
      </w:r>
      <w:r w:rsidR="004204E2" w:rsidRPr="00C472EE">
        <w:rPr>
          <w:rFonts w:eastAsia="Calibri" w:cs="Times New Roman"/>
          <w:b/>
          <w:lang w:eastAsia="cs-CZ"/>
        </w:rPr>
        <w:t>:</w:t>
      </w:r>
    </w:p>
    <w:p w:rsidR="007F4351" w:rsidRPr="00C472EE" w:rsidRDefault="007F4351" w:rsidP="00611827">
      <w:pPr>
        <w:spacing w:after="0"/>
      </w:pPr>
      <w:r w:rsidRPr="00C472EE">
        <w:rPr>
          <w:u w:val="single"/>
        </w:rPr>
        <w:t>SO 02-19-17_b</w:t>
      </w:r>
      <w:r w:rsidRPr="00C472EE">
        <w:t xml:space="preserve"> – položka č. 14 - VYKOPÁVKY ZE ZEMNÍKŮ A SKLÁDEK TŘ. II, ODVOZ DO 1KM, podle specifikace se jedná o ornici (zeminu). Ornice nepatří do třídy těžitelnosti II. Opraví zadavatel soupis prací?</w:t>
      </w: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Odpověď: </w:t>
      </w:r>
    </w:p>
    <w:p w:rsidR="0070024E" w:rsidRPr="00C472EE" w:rsidRDefault="0070024E" w:rsidP="00207AB3">
      <w:pPr>
        <w:jc w:val="both"/>
        <w:rPr>
          <w:i/>
          <w:iCs/>
          <w:lang w:eastAsia="cs-CZ"/>
        </w:rPr>
      </w:pPr>
      <w:r w:rsidRPr="00C472EE">
        <w:rPr>
          <w:i/>
          <w:iCs/>
          <w:lang w:eastAsia="cs-CZ"/>
        </w:rPr>
        <w:t xml:space="preserve">Jedná se především o povrch svahu náspu, kde větší tloušťka „ornice“ bude při patě svahu </w:t>
      </w:r>
      <w:r w:rsidR="00207AB3" w:rsidRPr="00C472EE">
        <w:rPr>
          <w:i/>
          <w:iCs/>
          <w:lang w:eastAsia="cs-CZ"/>
        </w:rPr>
        <w:br/>
      </w:r>
      <w:r w:rsidRPr="00C472EE">
        <w:rPr>
          <w:i/>
          <w:iCs/>
          <w:lang w:eastAsia="cs-CZ"/>
        </w:rPr>
        <w:t>a v koruně svahu bude menší tloušťka ornice. V horní části (koruna) svahu vystupují na povrch v lokálních místech volné kameny (zřejmě navážka) a štěrky (zřejmě ze štěrkového lože). S ohledem na toto „znečištění“ povrchové vr</w:t>
      </w:r>
      <w:r w:rsidR="00C472EE" w:rsidRPr="00C472EE">
        <w:rPr>
          <w:i/>
          <w:iCs/>
          <w:lang w:eastAsia="cs-CZ"/>
        </w:rPr>
        <w:t>stvy (ornice) byla zvolena třída</w:t>
      </w:r>
      <w:r w:rsidRPr="00C472EE">
        <w:rPr>
          <w:i/>
          <w:iCs/>
          <w:lang w:eastAsia="cs-CZ"/>
        </w:rPr>
        <w:t xml:space="preserve"> těžitelnosti II. </w:t>
      </w:r>
      <w:r w:rsidR="00207AB3" w:rsidRPr="00C472EE">
        <w:rPr>
          <w:i/>
          <w:iCs/>
          <w:lang w:eastAsia="cs-CZ"/>
        </w:rPr>
        <w:br/>
      </w:r>
      <w:r w:rsidRPr="00C472EE">
        <w:rPr>
          <w:i/>
          <w:iCs/>
          <w:lang w:eastAsia="cs-CZ"/>
        </w:rPr>
        <w:t>a především taky po zkušenostech při provádění zemních prací zhotovitelem.</w:t>
      </w: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7F4351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>Dotaz č. 151</w:t>
      </w:r>
      <w:r w:rsidR="004204E2" w:rsidRPr="00C472EE">
        <w:rPr>
          <w:rFonts w:eastAsia="Calibri" w:cs="Times New Roman"/>
          <w:b/>
          <w:lang w:eastAsia="cs-CZ"/>
        </w:rPr>
        <w:t>:</w:t>
      </w:r>
    </w:p>
    <w:p w:rsidR="007F4351" w:rsidRPr="00C472EE" w:rsidRDefault="007F4351" w:rsidP="00611827">
      <w:pPr>
        <w:spacing w:after="0"/>
      </w:pPr>
      <w:r w:rsidRPr="00C472EE">
        <w:rPr>
          <w:u w:val="single"/>
        </w:rPr>
        <w:t>SO 02-19-18_b</w:t>
      </w:r>
      <w:r w:rsidRPr="00C472EE">
        <w:t xml:space="preserve"> – položka č. 14 - VYKOPÁVKY ZE ZEMNÍKŮ A SKLÁDEK TŘ. II, ODVOZ DO 1KM, podle specifikace se jedná o ornici (zeminu). Ornice nepatří do třídy těžitelnosti II. Opraví zadavatel soupis prací?</w:t>
      </w: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Odpověď: </w:t>
      </w:r>
    </w:p>
    <w:p w:rsidR="0070024E" w:rsidRPr="00C472EE" w:rsidRDefault="0070024E" w:rsidP="00207AB3">
      <w:pPr>
        <w:jc w:val="both"/>
        <w:rPr>
          <w:i/>
          <w:iCs/>
          <w:lang w:eastAsia="cs-CZ"/>
        </w:rPr>
      </w:pPr>
      <w:r w:rsidRPr="00C472EE">
        <w:rPr>
          <w:i/>
          <w:iCs/>
          <w:lang w:eastAsia="cs-CZ"/>
        </w:rPr>
        <w:t>Jedná se především o povrch svahu náspu, kde větší tloušťka „ornice“ bude při patě svahu</w:t>
      </w:r>
      <w:r w:rsidR="00207AB3" w:rsidRPr="00C472EE">
        <w:rPr>
          <w:i/>
          <w:iCs/>
          <w:lang w:eastAsia="cs-CZ"/>
        </w:rPr>
        <w:br/>
      </w:r>
      <w:r w:rsidRPr="00C472EE">
        <w:rPr>
          <w:i/>
          <w:iCs/>
          <w:lang w:eastAsia="cs-CZ"/>
        </w:rPr>
        <w:t>a v koruně svahu bude menší tloušťka ornice. V horní části (koruna) svahu vystupují na povrch v lokálních místech volné kameny (zřejmě navážka) a štěrky (zřejmě ze štěrkového lože). S ohledem na toto „znečištění“ povrchové vrstvy (ornice) byla zvolena tříd</w:t>
      </w:r>
      <w:r w:rsidR="00C472EE" w:rsidRPr="00C472EE">
        <w:rPr>
          <w:i/>
          <w:iCs/>
          <w:lang w:eastAsia="cs-CZ"/>
        </w:rPr>
        <w:t>a</w:t>
      </w:r>
      <w:r w:rsidRPr="00C472EE">
        <w:rPr>
          <w:i/>
          <w:iCs/>
          <w:lang w:eastAsia="cs-CZ"/>
        </w:rPr>
        <w:t xml:space="preserve"> těžitelnosti II. </w:t>
      </w:r>
      <w:r w:rsidR="00207AB3" w:rsidRPr="00C472EE">
        <w:rPr>
          <w:i/>
          <w:iCs/>
          <w:lang w:eastAsia="cs-CZ"/>
        </w:rPr>
        <w:br/>
      </w:r>
      <w:r w:rsidRPr="00C472EE">
        <w:rPr>
          <w:i/>
          <w:iCs/>
          <w:lang w:eastAsia="cs-CZ"/>
        </w:rPr>
        <w:t>a především taky po zkušenostech při provádění zemních prací zhotovitelem.</w:t>
      </w:r>
    </w:p>
    <w:p w:rsidR="004204E2" w:rsidRDefault="004204E2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7F4351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152</w:t>
      </w:r>
      <w:r w:rsidR="004204E2" w:rsidRPr="00CB7B5A">
        <w:rPr>
          <w:rFonts w:eastAsia="Calibri" w:cs="Times New Roman"/>
          <w:b/>
          <w:lang w:eastAsia="cs-CZ"/>
        </w:rPr>
        <w:t>:</w:t>
      </w:r>
    </w:p>
    <w:p w:rsidR="007F4351" w:rsidRPr="00611827" w:rsidRDefault="007F4351" w:rsidP="00611827">
      <w:pPr>
        <w:spacing w:after="0"/>
      </w:pPr>
      <w:r w:rsidRPr="00291F5B">
        <w:rPr>
          <w:u w:val="single"/>
        </w:rPr>
        <w:t>SO 02-19-19_b</w:t>
      </w:r>
      <w:r w:rsidRPr="00611827">
        <w:t xml:space="preserve"> – položka č. 16 - VYKOPÁVKY ZE ZEMNÍKŮ A SKLÁDEK TŘ. II, ODVOZ DO 1KM, podle specifikace se jedná o ornici (zeminu). Ornice nepatří do třídy těžitelnosti II. Opraví zadavatel soupis prací?</w:t>
      </w:r>
    </w:p>
    <w:p w:rsidR="004204E2" w:rsidRPr="00CB7B5A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07AB3" w:rsidRPr="00C472EE" w:rsidRDefault="0070024E" w:rsidP="00C472EE">
      <w:pPr>
        <w:jc w:val="both"/>
        <w:rPr>
          <w:i/>
          <w:iCs/>
          <w:lang w:eastAsia="cs-CZ"/>
        </w:rPr>
      </w:pPr>
      <w:r w:rsidRPr="00C472EE">
        <w:rPr>
          <w:i/>
          <w:iCs/>
          <w:lang w:eastAsia="cs-CZ"/>
        </w:rPr>
        <w:t>Zřejmě v minulosti byl povrch svahu zpevněn „kamennou rovnaninou“, která s ohledem na stáří je značně rozvolněná a v převážné části buď zcela není, anebo je přesypána zeminou. Je zde velká pravděpodobnost výskytu kamenů v zemině, která je porostlá vegetací, proto byla zvolena třída těžitelnosti II. a především taky po zkušenostech při provádění zemních prací zhotovitelem.</w:t>
      </w:r>
    </w:p>
    <w:p w:rsidR="004204E2" w:rsidRPr="00BD5319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7F4351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>Dotaz č. 153</w:t>
      </w:r>
      <w:r w:rsidR="004204E2" w:rsidRPr="00C472EE">
        <w:rPr>
          <w:rFonts w:eastAsia="Calibri" w:cs="Times New Roman"/>
          <w:b/>
          <w:lang w:eastAsia="cs-CZ"/>
        </w:rPr>
        <w:t>:</w:t>
      </w:r>
    </w:p>
    <w:p w:rsidR="004204E2" w:rsidRDefault="007F4351" w:rsidP="00240BF5">
      <w:pPr>
        <w:spacing w:after="0"/>
        <w:jc w:val="both"/>
      </w:pPr>
      <w:r w:rsidRPr="00C472EE">
        <w:t xml:space="preserve">V rámci dokumentace skutečného provedení je dle ZTP čl. 4.4.1 mimo jiné </w:t>
      </w:r>
      <w:proofErr w:type="gramStart"/>
      <w:r w:rsidRPr="00C472EE">
        <w:t>požadováno „ (...) Panoramatické</w:t>
      </w:r>
      <w:proofErr w:type="gramEnd"/>
      <w:r w:rsidRPr="00C472EE">
        <w:t xml:space="preserve"> fotografie budou pořízeny v rozsahu odpovídající trajektorií kolejí, ve kterých investiční akce proběhla (...).“. Z uvedeného však není zřejmé, co znamená vymezení pojmu „trajektorie“. V případě traťovém </w:t>
      </w:r>
      <w:proofErr w:type="gramStart"/>
      <w:r w:rsidRPr="00C472EE">
        <w:t>úseku</w:t>
      </w:r>
      <w:proofErr w:type="gramEnd"/>
      <w:r w:rsidRPr="00C472EE">
        <w:t xml:space="preserve"> lze dovodit, že postačuje pořídit fotografie z koleje č. 1. V rámci železniční stanice však toto nemusí pro účely SŽDC stačit. Např. jako vhodné se jeví pořízení panoramatických fotografií u všech nástupištních hran. Prosíme o taxativní určení kolejí, kde mají být panoramatické fotografie (dle směrnice po 5 m) pořizovány.</w:t>
      </w:r>
    </w:p>
    <w:p w:rsidR="00207AB3" w:rsidRDefault="00207AB3" w:rsidP="007F4351">
      <w:pPr>
        <w:spacing w:after="0"/>
        <w:rPr>
          <w:b/>
          <w:color w:val="FF0000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D401CC" w:rsidRPr="00C472EE" w:rsidRDefault="00D401CC" w:rsidP="00C472EE">
      <w:pPr>
        <w:jc w:val="both"/>
        <w:rPr>
          <w:i/>
          <w:iCs/>
          <w:lang w:eastAsia="cs-CZ"/>
        </w:rPr>
      </w:pPr>
      <w:r w:rsidRPr="00C472EE">
        <w:rPr>
          <w:i/>
          <w:iCs/>
          <w:lang w:eastAsia="cs-CZ"/>
        </w:rPr>
        <w:t>Požadavky na pořízení panoramatických fotografií u investičních akcí SŽDC:</w:t>
      </w:r>
      <w:r w:rsidRPr="00C472EE">
        <w:rPr>
          <w:i/>
          <w:iCs/>
          <w:lang w:eastAsia="cs-CZ"/>
        </w:rPr>
        <w:br/>
        <w:t xml:space="preserve">U liniových investičních akcí SŽDC, se budou panoramatické fotografie pořizovat dle požadavků SŽDC, které jsou uvedeny ve směrnice SŽDC č. 117 „Předávání digitální dokumentace z investiční výstavby SŽDC dle změny č.1“ </w:t>
      </w:r>
      <w:proofErr w:type="gramStart"/>
      <w:r w:rsidRPr="00C472EE">
        <w:rPr>
          <w:i/>
          <w:iCs/>
          <w:lang w:eastAsia="cs-CZ"/>
        </w:rPr>
        <w:t>Č.j.</w:t>
      </w:r>
      <w:proofErr w:type="gramEnd"/>
      <w:r w:rsidRPr="00C472EE">
        <w:rPr>
          <w:i/>
          <w:iCs/>
          <w:lang w:eastAsia="cs-CZ"/>
        </w:rPr>
        <w:t>: S11908/2017-SŽDC-GŘ-O7.</w:t>
      </w:r>
    </w:p>
    <w:p w:rsidR="00C472EE" w:rsidRDefault="00D401CC" w:rsidP="00C472EE">
      <w:pPr>
        <w:spacing w:after="0"/>
        <w:jc w:val="both"/>
        <w:rPr>
          <w:i/>
          <w:iCs/>
          <w:lang w:eastAsia="cs-CZ"/>
        </w:rPr>
      </w:pPr>
      <w:r w:rsidRPr="00C472EE">
        <w:rPr>
          <w:i/>
          <w:iCs/>
          <w:lang w:eastAsia="cs-CZ"/>
        </w:rPr>
        <w:t xml:space="preserve">Panoramatické fotografie budou vždy pořizovány průjezdem měřícího vozidla po první a druhé koleji resp. budou pořizovány vždy ve dvou průjezdech v různých směrech. Při pořizování </w:t>
      </w:r>
      <w:r w:rsidRPr="00C472EE">
        <w:rPr>
          <w:i/>
          <w:iCs/>
          <w:lang w:eastAsia="cs-CZ"/>
        </w:rPr>
        <w:lastRenderedPageBreak/>
        <w:t xml:space="preserve">panoramatických fotografií musí být zajištěno, že na ostatních kolejích </w:t>
      </w:r>
      <w:proofErr w:type="gramStart"/>
      <w:r w:rsidRPr="00C472EE">
        <w:rPr>
          <w:i/>
          <w:iCs/>
          <w:lang w:eastAsia="cs-CZ"/>
        </w:rPr>
        <w:t>nebudou</w:t>
      </w:r>
      <w:proofErr w:type="gramEnd"/>
      <w:r w:rsidRPr="00C472EE">
        <w:rPr>
          <w:i/>
          <w:iCs/>
          <w:lang w:eastAsia="cs-CZ"/>
        </w:rPr>
        <w:t xml:space="preserve"> v okamžiku pořizování panoramatických fotografií žádná vozidla resp. jejich počet </w:t>
      </w:r>
      <w:proofErr w:type="gramStart"/>
      <w:r w:rsidRPr="00C472EE">
        <w:rPr>
          <w:i/>
          <w:iCs/>
          <w:lang w:eastAsia="cs-CZ"/>
        </w:rPr>
        <w:t>bude</w:t>
      </w:r>
      <w:proofErr w:type="gramEnd"/>
      <w:r w:rsidRPr="00C472EE">
        <w:rPr>
          <w:i/>
          <w:iCs/>
          <w:lang w:eastAsia="cs-CZ"/>
        </w:rPr>
        <w:t xml:space="preserve"> minimalizován. U stanic s více než dvěma </w:t>
      </w:r>
      <w:proofErr w:type="spellStart"/>
      <w:r w:rsidRPr="00C472EE">
        <w:rPr>
          <w:i/>
          <w:iCs/>
          <w:lang w:eastAsia="cs-CZ"/>
        </w:rPr>
        <w:t>předjízdnými</w:t>
      </w:r>
      <w:proofErr w:type="spellEnd"/>
      <w:r w:rsidRPr="00C472EE">
        <w:rPr>
          <w:i/>
          <w:iCs/>
          <w:lang w:eastAsia="cs-CZ"/>
        </w:rPr>
        <w:t xml:space="preserve"> kolejemi se provede ještě průjezd po poslední upravované koleji v každém směru (lichá skupina ve směru staničení, sudá proti směru staničení).</w:t>
      </w:r>
    </w:p>
    <w:p w:rsidR="00D401CC" w:rsidRPr="00C472EE" w:rsidRDefault="00D401CC" w:rsidP="00C472EE">
      <w:pPr>
        <w:spacing w:after="0"/>
        <w:jc w:val="both"/>
        <w:rPr>
          <w:i/>
          <w:iCs/>
          <w:lang w:eastAsia="cs-CZ"/>
        </w:rPr>
      </w:pPr>
      <w:r w:rsidRPr="00C472EE">
        <w:rPr>
          <w:i/>
          <w:iCs/>
          <w:lang w:eastAsia="cs-CZ"/>
        </w:rPr>
        <w:br/>
        <w:t>Pořízení panoramatických fotografií bude probíhat za optimálních klimatických podmínek - nelze pořizovat panoramatické fotografie za deště, sněžení, mlhy, při sněhové pokrývce atd.</w:t>
      </w:r>
    </w:p>
    <w:p w:rsidR="00D401CC" w:rsidRDefault="00D401CC" w:rsidP="00C472EE">
      <w:pPr>
        <w:spacing w:after="0"/>
        <w:jc w:val="both"/>
        <w:rPr>
          <w:i/>
          <w:iCs/>
          <w:lang w:eastAsia="cs-CZ"/>
        </w:rPr>
      </w:pPr>
      <w:r w:rsidRPr="00C472EE">
        <w:rPr>
          <w:i/>
          <w:iCs/>
          <w:lang w:eastAsia="cs-CZ"/>
        </w:rPr>
        <w:t xml:space="preserve">Pokud je požadováno pořízení panoramatických fotografií u investičních akcí SŽDC, které jsou umístěny mimo kolejiště, budou panoramatické fotografie pořízeny </w:t>
      </w:r>
      <w:proofErr w:type="spellStart"/>
      <w:r w:rsidRPr="00C472EE">
        <w:rPr>
          <w:i/>
          <w:iCs/>
          <w:lang w:eastAsia="cs-CZ"/>
        </w:rPr>
        <w:t>dronem</w:t>
      </w:r>
      <w:proofErr w:type="spellEnd"/>
      <w:r w:rsidRPr="00C472EE">
        <w:rPr>
          <w:i/>
          <w:iCs/>
          <w:lang w:eastAsia="cs-CZ"/>
        </w:rPr>
        <w:t>, nebo osobou, která bude disponovat mobilním zařízením pro pořízení panoramatických fotografií. Příslušná související povolení pro pořízení panoramatických fotografií jsou v gesci dodavatele.</w:t>
      </w:r>
    </w:p>
    <w:p w:rsidR="00C472EE" w:rsidRPr="00C472EE" w:rsidRDefault="00C472EE" w:rsidP="00C472EE">
      <w:pPr>
        <w:spacing w:after="0"/>
        <w:jc w:val="both"/>
        <w:rPr>
          <w:i/>
          <w:iCs/>
          <w:lang w:eastAsia="cs-CZ"/>
        </w:rPr>
      </w:pPr>
    </w:p>
    <w:p w:rsidR="00D401CC" w:rsidRPr="00C472EE" w:rsidRDefault="00D401CC" w:rsidP="00C472EE">
      <w:pPr>
        <w:spacing w:after="0"/>
        <w:jc w:val="both"/>
        <w:rPr>
          <w:i/>
          <w:iCs/>
          <w:lang w:eastAsia="cs-CZ"/>
        </w:rPr>
      </w:pPr>
      <w:r w:rsidRPr="00C472EE">
        <w:rPr>
          <w:i/>
          <w:iCs/>
          <w:lang w:eastAsia="cs-CZ"/>
        </w:rPr>
        <w:t>Pořízení panoramatických fotografií u staveb umístěných mimo kolejiště musí být vždy a v dostatečném časovém předstihu, konzultováno se SŽDC GŘ O7.</w:t>
      </w:r>
    </w:p>
    <w:p w:rsidR="004204E2" w:rsidRDefault="004204E2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472EE" w:rsidRDefault="00C472EE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154:</w:t>
      </w:r>
    </w:p>
    <w:p w:rsidR="00EC638C" w:rsidRPr="00EC638C" w:rsidRDefault="00EC638C" w:rsidP="00EC638C">
      <w:pPr>
        <w:spacing w:after="0"/>
      </w:pPr>
      <w:r w:rsidRPr="00291F5B">
        <w:rPr>
          <w:u w:val="single"/>
        </w:rPr>
        <w:t>SO 02-16-02</w:t>
      </w:r>
      <w:r w:rsidRPr="00EC638C">
        <w:t xml:space="preserve"> Zastávka Brno - Starý Lískovec, nástupiště – Je položka č. 19 - 75L3A1 - INFORMAČNÍ PRVEK, HLASOVÝ MODUL PRO NEVIDOMÉ = 2 ks duplicitní k nové vytvořené položce č. 39 - 75L3A1 - INFORMAČNÍ PRVEK, HLASOVÝ MODUL PRO NEVIDOMÉ = 5 ks v PS 02-14-02.3 - Zastávka Brno - Starý Lískovec, informační zařízení v Dodatku č. 8 - dotaz č. 110? Zruší zadavatel v SO 02-16-02 položku č. 19?</w:t>
      </w:r>
    </w:p>
    <w:p w:rsidR="0034636D" w:rsidRDefault="0034636D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34636D" w:rsidRPr="00C472EE" w:rsidRDefault="002E070D" w:rsidP="00C472EE">
      <w:pPr>
        <w:rPr>
          <w:i/>
          <w:iCs/>
          <w:lang w:eastAsia="cs-CZ"/>
        </w:rPr>
      </w:pPr>
      <w:r w:rsidRPr="00C472EE">
        <w:rPr>
          <w:i/>
          <w:iCs/>
          <w:lang w:eastAsia="cs-CZ"/>
        </w:rPr>
        <w:t>Jedná se o rozdílné prvky. Orientační hlasový majáček je součást orientačního systému a nemá s informačním zařízením pro cestující nic společného – slouží pro orientaci v </w:t>
      </w:r>
      <w:proofErr w:type="spellStart"/>
      <w:r w:rsidRPr="00C472EE">
        <w:rPr>
          <w:i/>
          <w:iCs/>
          <w:lang w:eastAsia="cs-CZ"/>
        </w:rPr>
        <w:t>žst</w:t>
      </w:r>
      <w:proofErr w:type="spellEnd"/>
      <w:r w:rsidRPr="00C472EE">
        <w:rPr>
          <w:i/>
          <w:iCs/>
          <w:lang w:eastAsia="cs-CZ"/>
        </w:rPr>
        <w:t>. Hlasový modul pro nevidomé je pak součástí informačních tabulí – slouží nevidomému pro přečtení informací, které jsou zobrazeny na dané tabuli. Nejedná se proto o duplicitní položky.</w:t>
      </w:r>
    </w:p>
    <w:p w:rsidR="00D401CC" w:rsidRDefault="00D401C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155:</w:t>
      </w:r>
    </w:p>
    <w:p w:rsidR="00EC638C" w:rsidRPr="00EC638C" w:rsidRDefault="00EC638C" w:rsidP="00EC638C">
      <w:pPr>
        <w:spacing w:after="0"/>
      </w:pPr>
      <w:r w:rsidRPr="00291F5B">
        <w:rPr>
          <w:u w:val="single"/>
        </w:rPr>
        <w:t>SO 03-16-02</w:t>
      </w:r>
      <w:r w:rsidRPr="00EC638C">
        <w:t xml:space="preserve"> </w:t>
      </w:r>
      <w:proofErr w:type="spellStart"/>
      <w:r w:rsidRPr="00EC638C">
        <w:t>žst</w:t>
      </w:r>
      <w:proofErr w:type="spellEnd"/>
      <w:r w:rsidRPr="00EC638C">
        <w:t xml:space="preserve">. Střelice, nástupiště – Je položka č. 49 - 923772/R11 – DOPLŇKY INFORMAČNÍHO SYSTÉMU  - ORIENTAČNÍ HLASOVÝ MAJÁČEK OHM KOMPLETNÍ DODÁVKA A MONTÁŽ = 8 ks duplicitní k položce č. 28 - 75L3A1 - INFORMAČNÍ PRVEK, HLASOVÝ MODUL PRO NEVIDOMÉ = 6 ks v PS 03-14-09 – </w:t>
      </w:r>
      <w:proofErr w:type="spellStart"/>
      <w:r w:rsidRPr="00EC638C">
        <w:t>žst</w:t>
      </w:r>
      <w:proofErr w:type="spellEnd"/>
      <w:r w:rsidRPr="00EC638C">
        <w:t xml:space="preserve">. Střelice, informační zařízení? Zruší zadavatel v SO 03-16-02 položku č. 49? Zároveň žádáme o kontrolu a opravu výměry položky č. 51 - 923821/R - SLOUPEK DN 70  PRO INFORMAČNÍ SYSTÉM Z TROUBEK DO </w:t>
      </w:r>
      <w:proofErr w:type="gramStart"/>
      <w:r w:rsidRPr="00EC638C">
        <w:t>PATKY , VČETNE</w:t>
      </w:r>
      <w:proofErr w:type="gramEnd"/>
      <w:r w:rsidRPr="00EC638C">
        <w:t xml:space="preserve"> KOTVÍCÍCH TRNU = 19 ks v SO 03-16-02.</w:t>
      </w:r>
    </w:p>
    <w:p w:rsidR="00EC638C" w:rsidRDefault="00EC638C" w:rsidP="00EC638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0024E" w:rsidRPr="00C472EE" w:rsidRDefault="00EB4C9C" w:rsidP="00C472EE">
      <w:pPr>
        <w:spacing w:after="0"/>
        <w:rPr>
          <w:i/>
          <w:iCs/>
          <w:u w:val="single"/>
          <w:lang w:eastAsia="cs-CZ"/>
        </w:rPr>
      </w:pPr>
      <w:r w:rsidRPr="00C472EE">
        <w:rPr>
          <w:i/>
          <w:iCs/>
          <w:u w:val="single"/>
          <w:lang w:eastAsia="cs-CZ"/>
        </w:rPr>
        <w:t>Položka 49</w:t>
      </w:r>
      <w:r w:rsidR="0070024E" w:rsidRPr="00C472EE">
        <w:rPr>
          <w:i/>
          <w:iCs/>
          <w:u w:val="single"/>
          <w:lang w:eastAsia="cs-CZ"/>
        </w:rPr>
        <w:t>:</w:t>
      </w:r>
    </w:p>
    <w:p w:rsidR="00EB4C9C" w:rsidRPr="00C472EE" w:rsidRDefault="00EB4C9C" w:rsidP="00C472EE">
      <w:pPr>
        <w:spacing w:after="0"/>
        <w:rPr>
          <w:i/>
          <w:iCs/>
          <w:lang w:eastAsia="cs-CZ"/>
        </w:rPr>
      </w:pPr>
      <w:r w:rsidRPr="00C472EE">
        <w:rPr>
          <w:i/>
          <w:iCs/>
          <w:lang w:eastAsia="cs-CZ"/>
        </w:rPr>
        <w:t>Jedná se o rozdílné prvky. Orientační hlasový majáček je součást orientačního systému a nemá s informačním zařízením pro cestující nic společného – slouží pro orientaci v </w:t>
      </w:r>
      <w:proofErr w:type="spellStart"/>
      <w:r w:rsidRPr="00C472EE">
        <w:rPr>
          <w:i/>
          <w:iCs/>
          <w:lang w:eastAsia="cs-CZ"/>
        </w:rPr>
        <w:t>žst</w:t>
      </w:r>
      <w:proofErr w:type="spellEnd"/>
      <w:r w:rsidRPr="00C472EE">
        <w:rPr>
          <w:i/>
          <w:iCs/>
          <w:lang w:eastAsia="cs-CZ"/>
        </w:rPr>
        <w:t>. Hlasový modul pro nevidomé je pak součástí informačních tabulí – slouží nevidomému pro přečtení informací, které jsou zobrazeny na dané tabuli. Nejedná se proto o duplicitní položky.</w:t>
      </w:r>
    </w:p>
    <w:p w:rsidR="0034636D" w:rsidRPr="00015A39" w:rsidRDefault="00EB4C9C" w:rsidP="00015A39">
      <w:pPr>
        <w:rPr>
          <w:i/>
          <w:iCs/>
          <w:lang w:eastAsia="cs-CZ"/>
        </w:rPr>
      </w:pPr>
      <w:r w:rsidRPr="00C472EE">
        <w:rPr>
          <w:i/>
          <w:iCs/>
          <w:u w:val="single"/>
          <w:lang w:eastAsia="cs-CZ"/>
        </w:rPr>
        <w:t>Položka 51</w:t>
      </w:r>
      <w:r w:rsidRPr="00C472EE">
        <w:rPr>
          <w:i/>
          <w:iCs/>
          <w:lang w:eastAsia="cs-CZ"/>
        </w:rPr>
        <w:t xml:space="preserve"> </w:t>
      </w:r>
      <w:r w:rsidR="00A36DAC" w:rsidRPr="00C472EE">
        <w:rPr>
          <w:i/>
          <w:iCs/>
          <w:lang w:eastAsia="cs-CZ"/>
        </w:rPr>
        <w:t>je</w:t>
      </w:r>
      <w:r w:rsidRPr="00C472EE">
        <w:rPr>
          <w:i/>
          <w:iCs/>
          <w:lang w:eastAsia="cs-CZ"/>
        </w:rPr>
        <w:t xml:space="preserve"> opravená. </w:t>
      </w:r>
      <w:r w:rsidR="0081196F" w:rsidRPr="00C472EE">
        <w:rPr>
          <w:i/>
          <w:iCs/>
          <w:lang w:eastAsia="cs-CZ"/>
        </w:rPr>
        <w:t>O</w:t>
      </w:r>
      <w:r w:rsidR="00015A39">
        <w:rPr>
          <w:i/>
          <w:iCs/>
          <w:lang w:eastAsia="cs-CZ"/>
        </w:rPr>
        <w:t xml:space="preserve">pravený soupis prací přikládáme, </w:t>
      </w:r>
      <w:r w:rsidR="00AD1767" w:rsidRPr="00C472EE">
        <w:rPr>
          <w:i/>
          <w:iCs/>
          <w:lang w:eastAsia="cs-CZ"/>
        </w:rPr>
        <w:t>viz příloha:</w:t>
      </w:r>
      <w:r w:rsidR="00D401CC" w:rsidRPr="00C472EE">
        <w:rPr>
          <w:i/>
          <w:iCs/>
          <w:lang w:eastAsia="cs-CZ"/>
        </w:rPr>
        <w:t xml:space="preserve"> </w:t>
      </w:r>
      <w:r w:rsidR="00AD1767" w:rsidRPr="00C472EE">
        <w:rPr>
          <w:i/>
          <w:iCs/>
          <w:lang w:eastAsia="cs-CZ"/>
        </w:rPr>
        <w:t>SO 03-16-02_b.xlsx</w:t>
      </w:r>
    </w:p>
    <w:p w:rsidR="00EC638C" w:rsidRDefault="00EC638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156:</w:t>
      </w:r>
    </w:p>
    <w:p w:rsidR="00EC638C" w:rsidRPr="00EC638C" w:rsidRDefault="00EC638C" w:rsidP="00EC638C">
      <w:pPr>
        <w:spacing w:after="0"/>
      </w:pPr>
      <w:r w:rsidRPr="00291F5B">
        <w:rPr>
          <w:u w:val="single"/>
        </w:rPr>
        <w:t>SO 03-16-02</w:t>
      </w:r>
      <w:r w:rsidRPr="00EC638C">
        <w:t xml:space="preserve"> </w:t>
      </w:r>
      <w:proofErr w:type="spellStart"/>
      <w:r w:rsidRPr="00EC638C">
        <w:t>žst</w:t>
      </w:r>
      <w:proofErr w:type="spellEnd"/>
      <w:r w:rsidRPr="00EC638C">
        <w:t>. Střelice, nástupiště – Ve výkresu č. 4.1 Půdorys nástupiště je na nástupišti č. 1 nevhodně navrhnuté umístění odpadkového koše mezi lavičkami a na nástupišti č. 2 je nevhodně navrhnuté umístění odpadkového koše vedle laviček. Žádáme zadavatele o opravu umístění odpadkových košů na obou nástupištích.</w:t>
      </w:r>
    </w:p>
    <w:p w:rsidR="00EC638C" w:rsidRDefault="00EC638C" w:rsidP="00EC638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C638C" w:rsidRPr="00015A39" w:rsidRDefault="00351209" w:rsidP="00015A39">
      <w:pPr>
        <w:jc w:val="both"/>
        <w:rPr>
          <w:i/>
          <w:iCs/>
          <w:lang w:eastAsia="cs-CZ"/>
        </w:rPr>
      </w:pPr>
      <w:r w:rsidRPr="00015A39">
        <w:rPr>
          <w:i/>
          <w:iCs/>
          <w:lang w:eastAsia="cs-CZ"/>
        </w:rPr>
        <w:t xml:space="preserve">Projektant považuje umístění odpadkových košů poblíž laviček za velmi vhodné.  </w:t>
      </w:r>
      <w:r w:rsidR="001262B0" w:rsidRPr="00015A39">
        <w:rPr>
          <w:i/>
          <w:iCs/>
          <w:lang w:eastAsia="cs-CZ"/>
        </w:rPr>
        <w:t xml:space="preserve">Dokumentace byla kladně projednána se složkami zadavatele a </w:t>
      </w:r>
      <w:r w:rsidRPr="00015A39">
        <w:rPr>
          <w:i/>
          <w:iCs/>
          <w:lang w:eastAsia="cs-CZ"/>
        </w:rPr>
        <w:t xml:space="preserve">detailní umístění odpadkových košů </w:t>
      </w:r>
      <w:r w:rsidR="00D401CC" w:rsidRPr="00015A39">
        <w:rPr>
          <w:i/>
          <w:iCs/>
          <w:lang w:eastAsia="cs-CZ"/>
        </w:rPr>
        <w:br/>
      </w:r>
      <w:r w:rsidRPr="00015A39">
        <w:rPr>
          <w:i/>
          <w:iCs/>
          <w:lang w:eastAsia="cs-CZ"/>
        </w:rPr>
        <w:t xml:space="preserve">(a laviček) nemá vůbec dopad na zpracování cenové nabídky.  Výkres </w:t>
      </w:r>
      <w:r w:rsidR="001262B0" w:rsidRPr="00015A39">
        <w:rPr>
          <w:i/>
          <w:iCs/>
          <w:lang w:eastAsia="cs-CZ"/>
        </w:rPr>
        <w:t xml:space="preserve">se </w:t>
      </w:r>
      <w:r w:rsidR="00015A39">
        <w:rPr>
          <w:i/>
          <w:iCs/>
          <w:lang w:eastAsia="cs-CZ"/>
        </w:rPr>
        <w:t>nebude opravovat.</w:t>
      </w: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157:</w:t>
      </w:r>
    </w:p>
    <w:p w:rsidR="00EC638C" w:rsidRPr="00291F5B" w:rsidRDefault="00EC638C" w:rsidP="00EC638C">
      <w:pPr>
        <w:rPr>
          <w:noProof/>
          <w:u w:val="single"/>
        </w:rPr>
      </w:pPr>
      <w:r w:rsidRPr="00291F5B">
        <w:rPr>
          <w:noProof/>
          <w:u w:val="single"/>
        </w:rPr>
        <w:t>SO 02-19-19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5773"/>
        <w:gridCol w:w="606"/>
        <w:gridCol w:w="1275"/>
      </w:tblGrid>
      <w:tr w:rsidR="00EC638C" w:rsidRPr="00EC638C" w:rsidTr="00291F5B">
        <w:trPr>
          <w:trHeight w:val="2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jc w:val="right"/>
              <w:rPr>
                <w:rFonts w:cs="Arial"/>
                <w:lang w:eastAsia="cs-CZ"/>
              </w:rPr>
            </w:pPr>
            <w:r w:rsidRPr="00EC638C">
              <w:rPr>
                <w:rFonts w:cs="Arial"/>
                <w:lang w:eastAsia="cs-CZ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jc w:val="right"/>
              <w:rPr>
                <w:rFonts w:cs="Arial"/>
                <w:lang w:eastAsia="cs-CZ"/>
              </w:rPr>
            </w:pPr>
            <w:r w:rsidRPr="00EC638C">
              <w:rPr>
                <w:rFonts w:cs="Arial"/>
                <w:lang w:eastAsia="cs-CZ"/>
              </w:rPr>
              <w:t>348173</w:t>
            </w:r>
          </w:p>
        </w:tc>
        <w:tc>
          <w:tcPr>
            <w:tcW w:w="5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rFonts w:cs="Arial"/>
                <w:lang w:eastAsia="cs-CZ"/>
              </w:rPr>
            </w:pPr>
            <w:r w:rsidRPr="00EC638C">
              <w:rPr>
                <w:rFonts w:cs="Arial"/>
                <w:lang w:eastAsia="cs-CZ"/>
              </w:rPr>
              <w:t>ZÁBRADLÍ Z DÍLCŮ KOVOVÝCH ŽÁROVĚ ZINK PONOREM S NÁTĚREM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jc w:val="center"/>
              <w:rPr>
                <w:rFonts w:cs="Arial"/>
                <w:lang w:eastAsia="cs-CZ"/>
              </w:rPr>
            </w:pPr>
            <w:r w:rsidRPr="00EC638C">
              <w:rPr>
                <w:rFonts w:cs="Arial"/>
                <w:lang w:eastAsia="cs-CZ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jc w:val="center"/>
              <w:rPr>
                <w:rFonts w:cs="Arial"/>
                <w:lang w:eastAsia="cs-CZ"/>
              </w:rPr>
            </w:pPr>
            <w:r w:rsidRPr="00EC638C">
              <w:rPr>
                <w:rFonts w:cs="Arial"/>
                <w:lang w:eastAsia="cs-CZ"/>
              </w:rPr>
              <w:t>1 385,325</w:t>
            </w:r>
          </w:p>
        </w:tc>
      </w:tr>
      <w:tr w:rsidR="00EC638C" w:rsidRPr="00EC638C" w:rsidTr="00291F5B">
        <w:trPr>
          <w:trHeight w:val="22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jc w:val="center"/>
              <w:rPr>
                <w:rFonts w:cs="Arial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lang w:eastAsia="cs-CZ"/>
              </w:rPr>
            </w:pPr>
          </w:p>
        </w:tc>
        <w:tc>
          <w:tcPr>
            <w:tcW w:w="5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rFonts w:cs="Arial"/>
                <w:lang w:eastAsia="cs-CZ"/>
              </w:rPr>
            </w:pPr>
            <w:r w:rsidRPr="00EC638C">
              <w:rPr>
                <w:rFonts w:cs="Arial"/>
                <w:lang w:eastAsia="cs-CZ"/>
              </w:rPr>
              <w:t>cca 47kg/</w:t>
            </w:r>
            <w:proofErr w:type="spellStart"/>
            <w:r w:rsidRPr="00EC638C">
              <w:rPr>
                <w:rFonts w:cs="Arial"/>
                <w:lang w:eastAsia="cs-CZ"/>
              </w:rPr>
              <w:t>bm</w:t>
            </w:r>
            <w:proofErr w:type="spellEnd"/>
            <w:r w:rsidRPr="00EC638C">
              <w:rPr>
                <w:rFonts w:cs="Arial"/>
                <w:lang w:eastAsia="cs-CZ"/>
              </w:rPr>
              <w:t xml:space="preserve"> vč. </w:t>
            </w:r>
            <w:proofErr w:type="spellStart"/>
            <w:r w:rsidRPr="00EC638C">
              <w:rPr>
                <w:rFonts w:cs="Arial"/>
                <w:lang w:eastAsia="cs-CZ"/>
              </w:rPr>
              <w:t>chem</w:t>
            </w:r>
            <w:proofErr w:type="spellEnd"/>
            <w:r w:rsidRPr="00EC638C">
              <w:rPr>
                <w:rFonts w:cs="Arial"/>
                <w:lang w:eastAsia="cs-CZ"/>
              </w:rPr>
              <w:t>. Kotev do betonu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rFonts w:cs="Arial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lang w:eastAsia="cs-CZ"/>
              </w:rPr>
            </w:pPr>
          </w:p>
        </w:tc>
      </w:tr>
      <w:tr w:rsidR="00EC638C" w:rsidRPr="00EC638C" w:rsidTr="00291F5B">
        <w:trPr>
          <w:trHeight w:val="22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lang w:eastAsia="cs-CZ"/>
              </w:rPr>
            </w:pPr>
          </w:p>
        </w:tc>
        <w:tc>
          <w:tcPr>
            <w:tcW w:w="5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rFonts w:cs="Arial"/>
                <w:i/>
                <w:iCs/>
                <w:lang w:eastAsia="cs-CZ"/>
              </w:rPr>
            </w:pPr>
            <w:r w:rsidRPr="00EC638C">
              <w:rPr>
                <w:rFonts w:cs="Arial"/>
                <w:i/>
                <w:iCs/>
                <w:lang w:eastAsia="cs-CZ"/>
              </w:rPr>
              <w:t>(21,57+7,905)*47=1 385,325 [A]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rFonts w:cs="Arial"/>
                <w:i/>
                <w:iCs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lang w:eastAsia="cs-CZ"/>
              </w:rPr>
            </w:pPr>
          </w:p>
        </w:tc>
      </w:tr>
      <w:tr w:rsidR="00EC638C" w:rsidRPr="00EC638C" w:rsidTr="00291F5B">
        <w:trPr>
          <w:trHeight w:val="516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lang w:eastAsia="cs-CZ"/>
              </w:rPr>
            </w:pPr>
          </w:p>
        </w:tc>
        <w:tc>
          <w:tcPr>
            <w:tcW w:w="5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rFonts w:cs="Arial"/>
                <w:lang w:eastAsia="cs-CZ"/>
              </w:rPr>
            </w:pPr>
            <w:r w:rsidRPr="00EC638C">
              <w:rPr>
                <w:rFonts w:cs="Arial"/>
                <w:lang w:eastAsia="cs-CZ"/>
              </w:rPr>
              <w:t xml:space="preserve">- dílenská dokumentace, včetně technologického předpisu spojování,  </w:t>
            </w:r>
            <w:r w:rsidRPr="00EC638C">
              <w:rPr>
                <w:rFonts w:cs="Arial"/>
                <w:lang w:eastAsia="cs-CZ"/>
              </w:rPr>
              <w:br/>
              <w:t>- dodání  materiálu  v požadované kvalitě a výroba konstrukce (</w:t>
            </w:r>
            <w:proofErr w:type="gramStart"/>
            <w:r w:rsidRPr="00EC638C">
              <w:rPr>
                <w:rFonts w:cs="Arial"/>
                <w:lang w:eastAsia="cs-CZ"/>
              </w:rPr>
              <w:t>včetně  pomůcek</w:t>
            </w:r>
            <w:proofErr w:type="gramEnd"/>
            <w:r w:rsidRPr="00EC638C">
              <w:rPr>
                <w:rFonts w:cs="Arial"/>
                <w:lang w:eastAsia="cs-CZ"/>
              </w:rPr>
              <w:t xml:space="preserve">,  přípravků a prostředků pro výrobu) bez ohledu na náročnost a její hmotnost,  </w:t>
            </w:r>
            <w:r w:rsidRPr="00EC638C">
              <w:rPr>
                <w:rFonts w:cs="Arial"/>
                <w:lang w:eastAsia="cs-CZ"/>
              </w:rPr>
              <w:br/>
              <w:t xml:space="preserve">- dodání spojovacího materiálu,  </w:t>
            </w:r>
            <w:r w:rsidRPr="00EC638C">
              <w:rPr>
                <w:rFonts w:cs="Arial"/>
                <w:lang w:eastAsia="cs-CZ"/>
              </w:rPr>
              <w:br/>
              <w:t xml:space="preserve">- zřízení  montážních  a  dilatačních  spojů,  </w:t>
            </w:r>
            <w:proofErr w:type="spellStart"/>
            <w:r w:rsidRPr="00EC638C">
              <w:rPr>
                <w:rFonts w:cs="Arial"/>
                <w:lang w:eastAsia="cs-CZ"/>
              </w:rPr>
              <w:t>spar</w:t>
            </w:r>
            <w:proofErr w:type="spellEnd"/>
            <w:r w:rsidRPr="00EC638C">
              <w:rPr>
                <w:rFonts w:cs="Arial"/>
                <w:lang w:eastAsia="cs-CZ"/>
              </w:rPr>
              <w:t xml:space="preserve">, včetně potřebných úprav, vložek, opracování, očištění a ošetření,  </w:t>
            </w:r>
            <w:r w:rsidRPr="00EC638C">
              <w:rPr>
                <w:rFonts w:cs="Arial"/>
                <w:lang w:eastAsia="cs-CZ"/>
              </w:rPr>
              <w:br/>
              <w:t xml:space="preserve">- podpěr. </w:t>
            </w:r>
            <w:proofErr w:type="spellStart"/>
            <w:r w:rsidRPr="00EC638C">
              <w:rPr>
                <w:rFonts w:cs="Arial"/>
                <w:lang w:eastAsia="cs-CZ"/>
              </w:rPr>
              <w:t>konstr</w:t>
            </w:r>
            <w:proofErr w:type="spellEnd"/>
            <w:r w:rsidRPr="00EC638C">
              <w:rPr>
                <w:rFonts w:cs="Arial"/>
                <w:lang w:eastAsia="cs-CZ"/>
              </w:rPr>
              <w:t xml:space="preserve">. a lešení všech druhů pro montáž konstrukcí i doplňkových, včetně požadovaných otvorů, ochranných a bezpečnostních opatření a základů pro tyto konstrukce a lešení,  </w:t>
            </w:r>
            <w:r w:rsidRPr="00EC638C">
              <w:rPr>
                <w:rFonts w:cs="Arial"/>
                <w:lang w:eastAsia="cs-CZ"/>
              </w:rPr>
              <w:br/>
              <w:t xml:space="preserve">- montáž konstrukce na staveništi, včetně montážních prostředků a pomůcek a zednických výpomocí,                                </w:t>
            </w:r>
            <w:r w:rsidRPr="00EC638C">
              <w:rPr>
                <w:rFonts w:cs="Arial"/>
                <w:lang w:eastAsia="cs-CZ"/>
              </w:rPr>
              <w:br/>
              <w:t xml:space="preserve">- výplň, těsnění a tmelení </w:t>
            </w:r>
            <w:proofErr w:type="spellStart"/>
            <w:r w:rsidRPr="00EC638C">
              <w:rPr>
                <w:rFonts w:cs="Arial"/>
                <w:lang w:eastAsia="cs-CZ"/>
              </w:rPr>
              <w:t>spar</w:t>
            </w:r>
            <w:proofErr w:type="spellEnd"/>
            <w:r w:rsidRPr="00EC638C">
              <w:rPr>
                <w:rFonts w:cs="Arial"/>
                <w:lang w:eastAsia="cs-CZ"/>
              </w:rPr>
              <w:t xml:space="preserve"> a spojů,  </w:t>
            </w:r>
            <w:r w:rsidRPr="00EC638C">
              <w:rPr>
                <w:rFonts w:cs="Arial"/>
                <w:lang w:eastAsia="cs-CZ"/>
              </w:rPr>
              <w:br/>
              <w:t xml:space="preserve">- všechny druhy ocelového kotvení,  </w:t>
            </w:r>
            <w:r w:rsidRPr="00EC638C">
              <w:rPr>
                <w:rFonts w:cs="Arial"/>
                <w:lang w:eastAsia="cs-CZ"/>
              </w:rPr>
              <w:br/>
              <w:t xml:space="preserve">- dílenskou přejímku a montážní prohlídku, včetně požadovaných dokladů,  </w:t>
            </w:r>
            <w:r w:rsidRPr="00EC638C">
              <w:rPr>
                <w:rFonts w:cs="Arial"/>
                <w:lang w:eastAsia="cs-CZ"/>
              </w:rPr>
              <w:br/>
              <w:t xml:space="preserve">- zřízení kotevních otvorů nebo jam, nejsou-li částí jiné konstrukce,  </w:t>
            </w:r>
            <w:r w:rsidRPr="00EC638C">
              <w:rPr>
                <w:rFonts w:cs="Arial"/>
                <w:lang w:eastAsia="cs-CZ"/>
              </w:rPr>
              <w:br/>
              <w:t xml:space="preserve">- osazení kotvení nebo přímo částí konstrukce do podpůrné konstrukce nebo do zeminy,  </w:t>
            </w:r>
            <w:r w:rsidRPr="00EC638C">
              <w:rPr>
                <w:rFonts w:cs="Arial"/>
                <w:lang w:eastAsia="cs-CZ"/>
              </w:rPr>
              <w:br/>
              <w:t xml:space="preserve">- výplň kotevních otvorů  (příp.  podlití  patních  desek) maltou,  betonem  nebo  jinou speciální hmotou, vyplnění jam zeminou,  </w:t>
            </w:r>
            <w:r w:rsidRPr="00EC638C">
              <w:rPr>
                <w:rFonts w:cs="Arial"/>
                <w:lang w:eastAsia="cs-CZ"/>
              </w:rPr>
              <w:br/>
              <w:t xml:space="preserve">- veškeré druhy protikorozní ochrany a nátěry konstrukcí,  </w:t>
            </w:r>
            <w:r w:rsidRPr="00EC638C">
              <w:rPr>
                <w:rFonts w:cs="Arial"/>
                <w:lang w:eastAsia="cs-CZ"/>
              </w:rPr>
              <w:br/>
              <w:t xml:space="preserve">- zvláštní spojovací prostředky, </w:t>
            </w:r>
            <w:proofErr w:type="spellStart"/>
            <w:r w:rsidRPr="00EC638C">
              <w:rPr>
                <w:rFonts w:cs="Arial"/>
                <w:lang w:eastAsia="cs-CZ"/>
              </w:rPr>
              <w:t>rozebíratelnost</w:t>
            </w:r>
            <w:proofErr w:type="spellEnd"/>
            <w:r w:rsidRPr="00EC638C">
              <w:rPr>
                <w:rFonts w:cs="Arial"/>
                <w:lang w:eastAsia="cs-CZ"/>
              </w:rPr>
              <w:t xml:space="preserve"> konstrukce,  </w:t>
            </w:r>
            <w:r w:rsidRPr="00EC638C">
              <w:rPr>
                <w:rFonts w:cs="Arial"/>
                <w:lang w:eastAsia="cs-CZ"/>
              </w:rPr>
              <w:br/>
              <w:t xml:space="preserve">- ochranná opatření před účinky bludných proudů  </w:t>
            </w:r>
            <w:r w:rsidRPr="00EC638C">
              <w:rPr>
                <w:rFonts w:cs="Arial"/>
                <w:lang w:eastAsia="cs-CZ"/>
              </w:rPr>
              <w:br/>
              <w:t>- ochranu před přepětím.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rFonts w:cs="Arial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38C" w:rsidRPr="00EC638C" w:rsidRDefault="00EC638C" w:rsidP="005A0D1D">
            <w:pPr>
              <w:spacing w:line="240" w:lineRule="auto"/>
              <w:rPr>
                <w:lang w:eastAsia="cs-CZ"/>
              </w:rPr>
            </w:pPr>
          </w:p>
        </w:tc>
      </w:tr>
    </w:tbl>
    <w:p w:rsidR="00015A39" w:rsidRDefault="00015A39" w:rsidP="00015A39">
      <w:pPr>
        <w:spacing w:after="0"/>
        <w:rPr>
          <w:noProof/>
        </w:rPr>
      </w:pPr>
    </w:p>
    <w:p w:rsidR="00EC638C" w:rsidRPr="00EC638C" w:rsidRDefault="00EC638C" w:rsidP="00015A39">
      <w:pPr>
        <w:spacing w:after="0"/>
        <w:rPr>
          <w:noProof/>
        </w:rPr>
      </w:pPr>
      <w:r w:rsidRPr="00EC638C">
        <w:rPr>
          <w:noProof/>
        </w:rPr>
        <w:t>Žádáme zadavatele o prověření, zda se v daném objektu skutečně nachází zábradlí, dle předložené projektové dokumentace se v objektu nachází oplocení.</w:t>
      </w:r>
    </w:p>
    <w:p w:rsidR="00EC638C" w:rsidRDefault="00EC638C" w:rsidP="00EC638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C638C" w:rsidRPr="00015A39" w:rsidRDefault="00015A39" w:rsidP="00D401CC">
      <w:pPr>
        <w:rPr>
          <w:i/>
          <w:iCs/>
          <w:lang w:eastAsia="cs-CZ"/>
        </w:rPr>
      </w:pPr>
      <w:r w:rsidRPr="00015A39">
        <w:rPr>
          <w:i/>
          <w:iCs/>
          <w:lang w:eastAsia="cs-CZ"/>
        </w:rPr>
        <w:t>Číslo položky</w:t>
      </w:r>
      <w:r w:rsidR="0070024E" w:rsidRPr="00015A39">
        <w:rPr>
          <w:i/>
          <w:iCs/>
          <w:lang w:eastAsia="cs-CZ"/>
        </w:rPr>
        <w:t xml:space="preserve"> opraveno na</w:t>
      </w:r>
      <w:r w:rsidRPr="00015A39">
        <w:rPr>
          <w:i/>
          <w:iCs/>
          <w:lang w:eastAsia="cs-CZ"/>
        </w:rPr>
        <w:t xml:space="preserve"> „R348173“ a název položky </w:t>
      </w:r>
      <w:r w:rsidR="0070024E" w:rsidRPr="00015A39">
        <w:rPr>
          <w:i/>
          <w:iCs/>
          <w:lang w:eastAsia="cs-CZ"/>
        </w:rPr>
        <w:t>upraven na „OPLOCENÍ Z DÍLCŮ KOVOVÝCH ŽÁROVĚ ZIN</w:t>
      </w:r>
      <w:r w:rsidRPr="00015A39">
        <w:rPr>
          <w:i/>
          <w:iCs/>
          <w:lang w:eastAsia="cs-CZ"/>
        </w:rPr>
        <w:t xml:space="preserve">K PONOREM S NÁTĚREM“. Dále </w:t>
      </w:r>
      <w:r w:rsidR="0070024E" w:rsidRPr="00015A39">
        <w:rPr>
          <w:i/>
          <w:iCs/>
          <w:lang w:eastAsia="cs-CZ"/>
        </w:rPr>
        <w:t>doplněn popis k položce „cca 47kg/</w:t>
      </w:r>
      <w:proofErr w:type="spellStart"/>
      <w:r w:rsidR="0070024E" w:rsidRPr="00015A39">
        <w:rPr>
          <w:i/>
          <w:iCs/>
          <w:lang w:eastAsia="cs-CZ"/>
        </w:rPr>
        <w:t>bm</w:t>
      </w:r>
      <w:proofErr w:type="spellEnd"/>
      <w:r w:rsidR="0070024E" w:rsidRPr="00015A39">
        <w:rPr>
          <w:i/>
          <w:iCs/>
          <w:lang w:eastAsia="cs-CZ"/>
        </w:rPr>
        <w:t xml:space="preserve"> vč. sloupků a jejich uchycení - kom</w:t>
      </w:r>
      <w:r w:rsidRPr="00015A39">
        <w:rPr>
          <w:i/>
          <w:iCs/>
          <w:lang w:eastAsia="cs-CZ"/>
        </w:rPr>
        <w:t xml:space="preserve">plet (dle konkrétního systému)“, </w:t>
      </w:r>
      <w:r w:rsidR="0070024E" w:rsidRPr="00015A39">
        <w:rPr>
          <w:i/>
          <w:iCs/>
          <w:lang w:eastAsia="cs-CZ"/>
        </w:rPr>
        <w:t>opravený soupis prací viz příloha:</w:t>
      </w:r>
      <w:r w:rsidR="00D401CC" w:rsidRPr="00015A39">
        <w:rPr>
          <w:i/>
          <w:iCs/>
          <w:lang w:eastAsia="cs-CZ"/>
        </w:rPr>
        <w:t xml:space="preserve"> </w:t>
      </w:r>
      <w:r w:rsidR="0070024E" w:rsidRPr="00015A39">
        <w:rPr>
          <w:i/>
          <w:iCs/>
          <w:lang w:eastAsia="cs-CZ"/>
        </w:rPr>
        <w:t>SO 02-19-19_c.xlsx</w:t>
      </w:r>
    </w:p>
    <w:p w:rsidR="00D401CC" w:rsidRDefault="00D401C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158:</w:t>
      </w:r>
    </w:p>
    <w:p w:rsidR="00291F5B" w:rsidRPr="00291F5B" w:rsidRDefault="00291F5B" w:rsidP="00291F5B">
      <w:pPr>
        <w:rPr>
          <w:noProof/>
          <w:u w:val="single"/>
        </w:rPr>
      </w:pPr>
      <w:r w:rsidRPr="00291F5B">
        <w:rPr>
          <w:noProof/>
          <w:u w:val="single"/>
        </w:rPr>
        <w:t>SO 02-16-01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445"/>
        <w:gridCol w:w="789"/>
        <w:gridCol w:w="3589"/>
        <w:gridCol w:w="851"/>
        <w:gridCol w:w="1276"/>
      </w:tblGrid>
      <w:tr w:rsidR="00291F5B" w:rsidRPr="009E046E" w:rsidTr="00291F5B">
        <w:trPr>
          <w:trHeight w:val="328"/>
        </w:trPr>
        <w:tc>
          <w:tcPr>
            <w:tcW w:w="388" w:type="dxa"/>
            <w:shd w:val="clear" w:color="auto" w:fill="auto"/>
            <w:noWrap/>
            <w:hideMark/>
          </w:tcPr>
          <w:p w:rsidR="00291F5B" w:rsidRPr="00291F5B" w:rsidRDefault="00291F5B" w:rsidP="005A0D1D">
            <w:pPr>
              <w:spacing w:line="240" w:lineRule="auto"/>
              <w:rPr>
                <w:rFonts w:cs="Arial"/>
                <w:lang w:eastAsia="cs-CZ"/>
              </w:rPr>
            </w:pPr>
            <w:r w:rsidRPr="00291F5B">
              <w:rPr>
                <w:rFonts w:cs="Arial"/>
                <w:lang w:eastAsia="cs-CZ"/>
              </w:rPr>
              <w:t>P</w:t>
            </w:r>
          </w:p>
        </w:tc>
        <w:tc>
          <w:tcPr>
            <w:tcW w:w="439" w:type="dxa"/>
            <w:shd w:val="clear" w:color="auto" w:fill="auto"/>
            <w:noWrap/>
            <w:hideMark/>
          </w:tcPr>
          <w:p w:rsidR="00291F5B" w:rsidRPr="00291F5B" w:rsidRDefault="00291F5B" w:rsidP="005A0D1D">
            <w:pPr>
              <w:spacing w:line="240" w:lineRule="auto"/>
              <w:jc w:val="center"/>
              <w:rPr>
                <w:rFonts w:cs="Arial"/>
                <w:lang w:eastAsia="cs-CZ"/>
              </w:rPr>
            </w:pPr>
            <w:r w:rsidRPr="00291F5B">
              <w:rPr>
                <w:rFonts w:cs="Arial"/>
                <w:lang w:eastAsia="cs-CZ"/>
              </w:rPr>
              <w:t>31</w:t>
            </w:r>
          </w:p>
        </w:tc>
        <w:tc>
          <w:tcPr>
            <w:tcW w:w="773" w:type="dxa"/>
            <w:shd w:val="clear" w:color="auto" w:fill="auto"/>
            <w:noWrap/>
            <w:hideMark/>
          </w:tcPr>
          <w:p w:rsidR="00291F5B" w:rsidRPr="00291F5B" w:rsidRDefault="00291F5B" w:rsidP="005A0D1D">
            <w:pPr>
              <w:spacing w:line="240" w:lineRule="auto"/>
              <w:rPr>
                <w:rFonts w:cs="Arial"/>
                <w:lang w:eastAsia="cs-CZ"/>
              </w:rPr>
            </w:pPr>
            <w:r w:rsidRPr="00291F5B">
              <w:rPr>
                <w:rFonts w:cs="Arial"/>
                <w:lang w:eastAsia="cs-CZ"/>
              </w:rPr>
              <w:t>18600</w:t>
            </w:r>
          </w:p>
        </w:tc>
        <w:tc>
          <w:tcPr>
            <w:tcW w:w="3611" w:type="dxa"/>
            <w:shd w:val="clear" w:color="auto" w:fill="auto"/>
            <w:hideMark/>
          </w:tcPr>
          <w:p w:rsidR="00291F5B" w:rsidRPr="00291F5B" w:rsidRDefault="00291F5B" w:rsidP="005A0D1D">
            <w:pPr>
              <w:spacing w:line="240" w:lineRule="auto"/>
              <w:rPr>
                <w:rFonts w:cs="Arial"/>
                <w:lang w:eastAsia="cs-CZ"/>
              </w:rPr>
            </w:pPr>
            <w:r w:rsidRPr="00291F5B">
              <w:rPr>
                <w:rFonts w:cs="Arial"/>
                <w:lang w:eastAsia="cs-CZ"/>
              </w:rPr>
              <w:t>ZALÉVÁNÍ VODOU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91F5B" w:rsidRPr="00291F5B" w:rsidRDefault="00291F5B" w:rsidP="005A0D1D">
            <w:pPr>
              <w:spacing w:line="240" w:lineRule="auto"/>
              <w:jc w:val="center"/>
              <w:rPr>
                <w:rFonts w:cs="Arial"/>
                <w:lang w:eastAsia="cs-CZ"/>
              </w:rPr>
            </w:pPr>
            <w:r w:rsidRPr="00291F5B">
              <w:rPr>
                <w:rFonts w:cs="Arial"/>
                <w:lang w:eastAsia="cs-CZ"/>
              </w:rPr>
              <w:t>M3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91F5B" w:rsidRPr="00291F5B" w:rsidRDefault="00291F5B" w:rsidP="005A0D1D">
            <w:pPr>
              <w:spacing w:line="240" w:lineRule="auto"/>
              <w:jc w:val="right"/>
              <w:rPr>
                <w:rFonts w:cs="Arial"/>
                <w:lang w:eastAsia="cs-CZ"/>
              </w:rPr>
            </w:pPr>
            <w:r w:rsidRPr="00291F5B">
              <w:rPr>
                <w:rFonts w:cs="Arial"/>
                <w:lang w:eastAsia="cs-CZ"/>
              </w:rPr>
              <w:t>11 745,000</w:t>
            </w:r>
          </w:p>
        </w:tc>
      </w:tr>
    </w:tbl>
    <w:p w:rsidR="00291F5B" w:rsidRDefault="00291F5B" w:rsidP="00291F5B">
      <w:pPr>
        <w:rPr>
          <w:noProof/>
        </w:rPr>
      </w:pPr>
      <w:r>
        <w:rPr>
          <w:noProof/>
        </w:rPr>
        <w:t>Žádáme zadavatele o prověření množství v této položce.</w:t>
      </w:r>
    </w:p>
    <w:p w:rsidR="00EC638C" w:rsidRDefault="00EC638C" w:rsidP="00EC638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C638C" w:rsidRPr="00015A39" w:rsidRDefault="00015A39" w:rsidP="00015A39">
      <w:pPr>
        <w:rPr>
          <w:i/>
          <w:iCs/>
          <w:lang w:eastAsia="cs-CZ"/>
        </w:rPr>
      </w:pPr>
      <w:r w:rsidRPr="00015A39">
        <w:rPr>
          <w:i/>
          <w:iCs/>
          <w:lang w:eastAsia="cs-CZ"/>
        </w:rPr>
        <w:t xml:space="preserve">Položka byla upravena, </w:t>
      </w:r>
      <w:r w:rsidR="002E070D" w:rsidRPr="00015A39">
        <w:rPr>
          <w:i/>
          <w:iCs/>
          <w:lang w:eastAsia="cs-CZ"/>
        </w:rPr>
        <w:t>viz příloha:</w:t>
      </w:r>
      <w:r w:rsidR="00D401CC" w:rsidRPr="00015A39">
        <w:rPr>
          <w:i/>
          <w:iCs/>
          <w:lang w:eastAsia="cs-CZ"/>
        </w:rPr>
        <w:t xml:space="preserve"> </w:t>
      </w:r>
      <w:r w:rsidR="002E070D" w:rsidRPr="00015A39">
        <w:rPr>
          <w:i/>
          <w:iCs/>
          <w:lang w:eastAsia="cs-CZ"/>
        </w:rPr>
        <w:t>SO 02-16-01_a.xlsx</w:t>
      </w: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159:</w:t>
      </w:r>
    </w:p>
    <w:p w:rsidR="00291F5B" w:rsidRPr="00015A39" w:rsidRDefault="00E315E4" w:rsidP="00291F5B">
      <w:pPr>
        <w:spacing w:after="0"/>
        <w:rPr>
          <w:noProof/>
          <w:u w:val="single"/>
        </w:rPr>
      </w:pPr>
      <w:r w:rsidRPr="00015A39">
        <w:rPr>
          <w:noProof/>
          <w:u w:val="single"/>
        </w:rPr>
        <w:t>PS</w:t>
      </w:r>
      <w:r w:rsidR="00291F5B" w:rsidRPr="00015A39">
        <w:rPr>
          <w:noProof/>
          <w:u w:val="single"/>
        </w:rPr>
        <w:t xml:space="preserve"> 02-14-04.2</w:t>
      </w:r>
    </w:p>
    <w:p w:rsidR="00291F5B" w:rsidRDefault="00291F5B" w:rsidP="00291F5B">
      <w:pPr>
        <w:spacing w:after="0"/>
        <w:rPr>
          <w:noProof/>
        </w:rPr>
      </w:pPr>
      <w:r>
        <w:rPr>
          <w:noProof/>
        </w:rPr>
        <w:t>V dodatečných informacích, dodatku č.8 je přiložen soupis prací, který nemá zapracovanou opravu dle dodatečných informací, dodatku č.2, tedy vyžlucenou/přeškrtnutou položku č.21.</w:t>
      </w:r>
    </w:p>
    <w:p w:rsidR="00EC638C" w:rsidRDefault="00291F5B" w:rsidP="00291F5B">
      <w:pPr>
        <w:tabs>
          <w:tab w:val="left" w:pos="993"/>
          <w:tab w:val="center" w:pos="7371"/>
        </w:tabs>
        <w:spacing w:after="0"/>
        <w:jc w:val="both"/>
        <w:rPr>
          <w:noProof/>
        </w:rPr>
      </w:pPr>
      <w:r>
        <w:rPr>
          <w:noProof/>
        </w:rPr>
        <w:t>Žádáme zadavatele o opravu</w:t>
      </w:r>
    </w:p>
    <w:p w:rsidR="00291F5B" w:rsidRDefault="00291F5B" w:rsidP="00291F5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C638C" w:rsidRPr="00015A39" w:rsidRDefault="00015A39" w:rsidP="00EC638C">
      <w:pPr>
        <w:spacing w:after="0" w:line="240" w:lineRule="auto"/>
        <w:rPr>
          <w:rFonts w:eastAsia="Calibri" w:cs="Times New Roman"/>
          <w:i/>
          <w:lang w:eastAsia="cs-CZ"/>
        </w:rPr>
      </w:pPr>
      <w:r>
        <w:rPr>
          <w:rFonts w:eastAsia="Calibri" w:cs="Times New Roman"/>
          <w:i/>
          <w:lang w:eastAsia="cs-CZ"/>
        </w:rPr>
        <w:t xml:space="preserve">Změna u položky č. 21 vyznačena, </w:t>
      </w:r>
      <w:r w:rsidR="00860CF1" w:rsidRPr="00015A39">
        <w:rPr>
          <w:rFonts w:eastAsia="Calibri" w:cs="Times New Roman"/>
          <w:i/>
          <w:lang w:eastAsia="cs-CZ"/>
        </w:rPr>
        <w:t>viz příloha: PS 02-14-04.2_c.xlsx</w:t>
      </w:r>
    </w:p>
    <w:p w:rsidR="00860CF1" w:rsidRPr="002165A8" w:rsidRDefault="00860CF1" w:rsidP="00EC638C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EC638C" w:rsidRDefault="00EC638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160:</w:t>
      </w:r>
    </w:p>
    <w:p w:rsidR="00291F5B" w:rsidRPr="00291F5B" w:rsidRDefault="00291F5B" w:rsidP="00291F5B">
      <w:pPr>
        <w:spacing w:after="0"/>
        <w:rPr>
          <w:noProof/>
          <w:u w:val="single"/>
        </w:rPr>
      </w:pPr>
      <w:r w:rsidRPr="00291F5B">
        <w:rPr>
          <w:noProof/>
          <w:u w:val="single"/>
        </w:rPr>
        <w:t>SO 02-17-01</w:t>
      </w:r>
    </w:p>
    <w:p w:rsidR="00291F5B" w:rsidRPr="00291F5B" w:rsidRDefault="00291F5B" w:rsidP="00291F5B">
      <w:pPr>
        <w:spacing w:after="0"/>
        <w:rPr>
          <w:noProof/>
        </w:rPr>
      </w:pPr>
      <w:r w:rsidRPr="00291F5B">
        <w:rPr>
          <w:noProof/>
        </w:rPr>
        <w:t>V dodatečných informacích, dodatku č.3 je přiložen soupis prací, který nemá zapracovanou opravu dle dodatečných informací, dodatku č.2, tedy doplněné měrn</w:t>
      </w:r>
      <w:r>
        <w:rPr>
          <w:noProof/>
        </w:rPr>
        <w:t xml:space="preserve">é jednotky u položek č.38 a 41. </w:t>
      </w:r>
      <w:r w:rsidRPr="00291F5B">
        <w:rPr>
          <w:noProof/>
        </w:rPr>
        <w:t>Žádáme zadavatele o opravu.</w:t>
      </w:r>
    </w:p>
    <w:p w:rsidR="00EC638C" w:rsidRDefault="00EC638C" w:rsidP="00EC638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638C" w:rsidRDefault="00EC638C" w:rsidP="00EC638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C638C" w:rsidRPr="002165A8" w:rsidRDefault="00E315E4" w:rsidP="00EC638C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015A39">
        <w:rPr>
          <w:rFonts w:eastAsia="Calibri" w:cs="Times New Roman"/>
          <w:i/>
          <w:lang w:eastAsia="cs-CZ"/>
        </w:rPr>
        <w:t>Již bylo dopln</w:t>
      </w:r>
      <w:r w:rsidR="00015A39" w:rsidRPr="00015A39">
        <w:rPr>
          <w:rFonts w:eastAsia="Calibri" w:cs="Times New Roman"/>
          <w:i/>
          <w:lang w:eastAsia="cs-CZ"/>
        </w:rPr>
        <w:t xml:space="preserve">ěno v předchozím vysvětlení </w:t>
      </w:r>
      <w:proofErr w:type="gramStart"/>
      <w:r w:rsidR="00015A39" w:rsidRPr="00015A39">
        <w:rPr>
          <w:rFonts w:eastAsia="Calibri" w:cs="Times New Roman"/>
          <w:i/>
          <w:lang w:eastAsia="cs-CZ"/>
        </w:rPr>
        <w:t>č.9,</w:t>
      </w:r>
      <w:r w:rsidRPr="00015A39">
        <w:t xml:space="preserve"> </w:t>
      </w:r>
      <w:r w:rsidRPr="00015A39">
        <w:rPr>
          <w:rFonts w:eastAsia="Calibri" w:cs="Times New Roman"/>
          <w:i/>
          <w:lang w:eastAsia="cs-CZ"/>
        </w:rPr>
        <w:t>SO</w:t>
      </w:r>
      <w:proofErr w:type="gramEnd"/>
      <w:r w:rsidRPr="00015A39">
        <w:rPr>
          <w:rFonts w:eastAsia="Calibri" w:cs="Times New Roman"/>
          <w:i/>
          <w:lang w:eastAsia="cs-CZ"/>
        </w:rPr>
        <w:t xml:space="preserve"> 02-17-01_d.xlsx přikládáme ještě jednou</w:t>
      </w:r>
      <w:r w:rsidR="002E070D" w:rsidRPr="00015A39">
        <w:rPr>
          <w:rFonts w:eastAsia="Calibri" w:cs="Times New Roman"/>
          <w:i/>
          <w:lang w:eastAsia="cs-CZ"/>
        </w:rPr>
        <w:t>.</w:t>
      </w:r>
    </w:p>
    <w:p w:rsidR="0034636D" w:rsidRDefault="0034636D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C2F4F" w:rsidRDefault="009C2F4F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15A39" w:rsidRDefault="00015A39" w:rsidP="00015A39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lang w:eastAsia="cs-CZ"/>
        </w:rPr>
      </w:pPr>
    </w:p>
    <w:p w:rsidR="00CC590B" w:rsidRPr="00BD5319" w:rsidRDefault="00CC590B" w:rsidP="00CC59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F1CD9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C590B" w:rsidRPr="00BD5319" w:rsidRDefault="00CC590B" w:rsidP="00CC590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Pr="00BD5319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15A39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E315E4" w:rsidRPr="00015A39" w:rsidRDefault="008301F5" w:rsidP="00A14FCF">
      <w:pPr>
        <w:spacing w:after="0" w:line="288" w:lineRule="auto"/>
        <w:rPr>
          <w:rFonts w:eastAsia="Calibri" w:cs="Times New Roman"/>
          <w:lang w:eastAsia="cs-CZ"/>
        </w:rPr>
      </w:pPr>
      <w:r w:rsidRPr="00015A39">
        <w:rPr>
          <w:rFonts w:eastAsia="Calibri" w:cs="Times New Roman"/>
          <w:lang w:eastAsia="cs-CZ"/>
        </w:rPr>
        <w:t>D.2.1.5_SO021914_7_zábradlí</w:t>
      </w:r>
      <w:r w:rsidR="00E315E4" w:rsidRPr="00015A39">
        <w:rPr>
          <w:rFonts w:eastAsia="Calibri" w:cs="Times New Roman"/>
          <w:lang w:eastAsia="cs-CZ"/>
        </w:rPr>
        <w:t xml:space="preserve">_a.pdf </w:t>
      </w:r>
    </w:p>
    <w:p w:rsidR="005D1973" w:rsidRPr="00015A39" w:rsidRDefault="005D1973" w:rsidP="00A14FCF">
      <w:pPr>
        <w:spacing w:after="0" w:line="288" w:lineRule="auto"/>
        <w:rPr>
          <w:rFonts w:eastAsia="Calibri" w:cs="Times New Roman"/>
          <w:lang w:eastAsia="cs-CZ"/>
        </w:rPr>
      </w:pPr>
      <w:r w:rsidRPr="00015A39">
        <w:rPr>
          <w:rFonts w:eastAsia="Calibri" w:cs="Times New Roman"/>
          <w:lang w:eastAsia="cs-CZ"/>
        </w:rPr>
        <w:t>PS 02-14-04.2_c.xlsx</w:t>
      </w:r>
    </w:p>
    <w:p w:rsidR="005D1973" w:rsidRPr="00015A39" w:rsidRDefault="005D1973" w:rsidP="00A14FCF">
      <w:pPr>
        <w:spacing w:after="0" w:line="288" w:lineRule="auto"/>
        <w:rPr>
          <w:rFonts w:eastAsia="Calibri" w:cs="Times New Roman"/>
          <w:lang w:eastAsia="cs-CZ"/>
        </w:rPr>
      </w:pPr>
      <w:r w:rsidRPr="00015A39">
        <w:rPr>
          <w:rFonts w:eastAsia="Calibri" w:cs="Times New Roman"/>
          <w:lang w:eastAsia="cs-CZ"/>
        </w:rPr>
        <w:t>SO 02-16-01_a.xlsx</w:t>
      </w:r>
    </w:p>
    <w:p w:rsidR="008301F5" w:rsidRPr="00015A39" w:rsidRDefault="00E315E4" w:rsidP="00A14FCF">
      <w:pPr>
        <w:spacing w:after="0" w:line="288" w:lineRule="auto"/>
        <w:rPr>
          <w:rFonts w:eastAsia="Calibri" w:cs="Times New Roman"/>
          <w:lang w:eastAsia="cs-CZ"/>
        </w:rPr>
      </w:pPr>
      <w:r w:rsidRPr="00015A39">
        <w:rPr>
          <w:rFonts w:eastAsia="Calibri" w:cs="Times New Roman"/>
          <w:lang w:eastAsia="cs-CZ"/>
        </w:rPr>
        <w:t>SO 02-17-01_d.xlsx</w:t>
      </w:r>
    </w:p>
    <w:p w:rsidR="005D1973" w:rsidRPr="00015A39" w:rsidRDefault="005D1973" w:rsidP="005D1973">
      <w:pPr>
        <w:spacing w:after="0" w:line="288" w:lineRule="auto"/>
        <w:rPr>
          <w:rFonts w:eastAsia="Calibri" w:cs="Times New Roman"/>
          <w:lang w:eastAsia="cs-CZ"/>
        </w:rPr>
      </w:pPr>
      <w:r w:rsidRPr="00015A39">
        <w:rPr>
          <w:rFonts w:eastAsia="Calibri" w:cs="Times New Roman"/>
          <w:lang w:eastAsia="cs-CZ"/>
        </w:rPr>
        <w:t>SO 02-19-14_a.xlsx</w:t>
      </w:r>
    </w:p>
    <w:p w:rsidR="005D1973" w:rsidRPr="00015A39" w:rsidRDefault="005D1973" w:rsidP="005D1973">
      <w:pPr>
        <w:tabs>
          <w:tab w:val="left" w:pos="993"/>
          <w:tab w:val="center" w:pos="7371"/>
        </w:tabs>
        <w:spacing w:after="0" w:line="288" w:lineRule="auto"/>
        <w:jc w:val="both"/>
        <w:rPr>
          <w:iCs/>
          <w:lang w:eastAsia="cs-CZ"/>
        </w:rPr>
      </w:pPr>
      <w:r w:rsidRPr="00015A39">
        <w:rPr>
          <w:iCs/>
          <w:lang w:eastAsia="cs-CZ"/>
        </w:rPr>
        <w:t>SO 02-19-19_c.xlsx</w:t>
      </w:r>
    </w:p>
    <w:p w:rsidR="005D1973" w:rsidRPr="00015A39" w:rsidRDefault="005D1973" w:rsidP="005D1973">
      <w:pPr>
        <w:spacing w:after="0" w:line="288" w:lineRule="auto"/>
        <w:rPr>
          <w:rFonts w:eastAsia="Calibri" w:cs="Times New Roman"/>
          <w:lang w:eastAsia="cs-CZ"/>
        </w:rPr>
      </w:pPr>
      <w:r w:rsidRPr="00015A39">
        <w:rPr>
          <w:rFonts w:eastAsia="Calibri" w:cs="Times New Roman"/>
          <w:lang w:eastAsia="cs-CZ"/>
        </w:rPr>
        <w:t>SO 03-16-02_b.xlsx</w:t>
      </w:r>
    </w:p>
    <w:p w:rsidR="002E070D" w:rsidRDefault="002E070D" w:rsidP="00A14FCF">
      <w:pPr>
        <w:spacing w:after="0" w:line="288" w:lineRule="auto"/>
        <w:rPr>
          <w:rFonts w:eastAsia="Calibri" w:cs="Times New Roman"/>
          <w:i/>
          <w:color w:val="FF0000"/>
          <w:lang w:eastAsia="cs-CZ"/>
        </w:rPr>
      </w:pPr>
    </w:p>
    <w:p w:rsidR="0070024E" w:rsidRPr="00860CF1" w:rsidRDefault="0070024E" w:rsidP="00A14FCF">
      <w:pPr>
        <w:spacing w:after="0" w:line="288" w:lineRule="auto"/>
        <w:rPr>
          <w:rFonts w:eastAsia="Calibri" w:cs="Times New Roman"/>
          <w:i/>
          <w:color w:val="FF0000"/>
          <w:lang w:eastAsia="cs-CZ"/>
        </w:rPr>
      </w:pP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15A3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 xml:space="preserve">V Olomouci dne </w:t>
      </w:r>
      <w:r>
        <w:rPr>
          <w:rFonts w:ascii="Verdana" w:eastAsia="Calibri" w:hAnsi="Verdana" w:cs="Times New Roman"/>
          <w:lang w:eastAsia="cs-CZ"/>
        </w:rPr>
        <w:t>12</w:t>
      </w:r>
      <w:r>
        <w:rPr>
          <w:rFonts w:ascii="Verdana" w:eastAsia="Calibri" w:hAnsi="Verdana" w:cs="Times New Roman"/>
          <w:lang w:eastAsia="cs-CZ"/>
        </w:rPr>
        <w:t>. 11. 2019</w:t>
      </w:r>
    </w:p>
    <w:p w:rsidR="00015A3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Default="00015A39" w:rsidP="00015A39">
      <w:pPr>
        <w:spacing w:after="0" w:line="240" w:lineRule="auto"/>
        <w:rPr>
          <w:rFonts w:ascii="Verdana" w:eastAsia="Times New Roman" w:hAnsi="Verdana" w:cs="Times New Roman"/>
          <w:b/>
          <w:bCs/>
          <w:lang w:eastAsia="cs-CZ"/>
        </w:rPr>
      </w:pPr>
    </w:p>
    <w:p w:rsidR="00015A39" w:rsidRDefault="00015A39" w:rsidP="00015A3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>
        <w:rPr>
          <w:rFonts w:ascii="Verdana" w:eastAsia="Times New Roman" w:hAnsi="Verdana" w:cs="Times New Roman"/>
          <w:b/>
          <w:bCs/>
          <w:lang w:eastAsia="cs-CZ"/>
        </w:rPr>
        <w:t>Ing. Miroslav Bocák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015A39" w:rsidRDefault="00015A39" w:rsidP="00015A39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ředitel organizační jednotky</w:t>
      </w:r>
      <w:r>
        <w:rPr>
          <w:rFonts w:ascii="Verdana" w:eastAsia="Times New Roman" w:hAnsi="Verdana" w:cs="Times New Roman"/>
          <w:lang w:eastAsia="cs-CZ"/>
        </w:rPr>
        <w:tab/>
      </w:r>
    </w:p>
    <w:p w:rsidR="00015A39" w:rsidRDefault="00015A39" w:rsidP="00015A39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Stavební správa východ</w:t>
      </w:r>
    </w:p>
    <w:p w:rsidR="00015A39" w:rsidRDefault="00015A39" w:rsidP="00015A3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Správa železniční dopravní cesty,</w:t>
      </w:r>
    </w:p>
    <w:p w:rsidR="00015A39" w:rsidRDefault="00015A39" w:rsidP="00015A3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státní organizace</w:t>
      </w:r>
    </w:p>
    <w:p w:rsidR="00015A39" w:rsidRDefault="00015A39" w:rsidP="00015A3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34636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B21" w:rsidRDefault="00465B21" w:rsidP="00962258">
      <w:pPr>
        <w:spacing w:after="0" w:line="240" w:lineRule="auto"/>
      </w:pPr>
      <w:r>
        <w:separator/>
      </w:r>
    </w:p>
  </w:endnote>
  <w:endnote w:type="continuationSeparator" w:id="0">
    <w:p w:rsidR="00465B21" w:rsidRDefault="00465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65B21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65B21" w:rsidRPr="00B8518B" w:rsidRDefault="00465B2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1F3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1F3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B8518B">
          <w:pPr>
            <w:pStyle w:val="Zpat"/>
          </w:pPr>
        </w:p>
      </w:tc>
      <w:tc>
        <w:tcPr>
          <w:tcW w:w="2921" w:type="dxa"/>
        </w:tcPr>
        <w:p w:rsidR="00465B21" w:rsidRDefault="00465B21" w:rsidP="00D831A3">
          <w:pPr>
            <w:pStyle w:val="Zpat"/>
          </w:pPr>
        </w:p>
      </w:tc>
    </w:tr>
  </w:tbl>
  <w:p w:rsidR="00465B21" w:rsidRPr="00B8518B" w:rsidRDefault="00465B2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B19FE01" wp14:editId="6F324D7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4C8CB48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7D2DE04" wp14:editId="6F9C2F2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B07DC5F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65B2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65B21" w:rsidRPr="00B8518B" w:rsidRDefault="00465B2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1F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1F3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460660">
          <w:pPr>
            <w:pStyle w:val="Zpat"/>
          </w:pPr>
          <w:r>
            <w:t>Správa železniční dopravní cesty, státní organizace</w:t>
          </w:r>
        </w:p>
        <w:p w:rsidR="00465B21" w:rsidRDefault="00465B21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460660">
          <w:pPr>
            <w:pStyle w:val="Zpat"/>
          </w:pPr>
          <w:r>
            <w:t>Sídlo: Dlážděná 1003/7, 110 00 Praha 1</w:t>
          </w:r>
        </w:p>
        <w:p w:rsidR="00465B21" w:rsidRDefault="00465B21" w:rsidP="00460660">
          <w:pPr>
            <w:pStyle w:val="Zpat"/>
          </w:pPr>
          <w:r>
            <w:t>IČ: 709 94 234 DIČ: CZ 709 94 234</w:t>
          </w:r>
        </w:p>
        <w:p w:rsidR="00465B21" w:rsidRDefault="00465B21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65B21" w:rsidRPr="00B45E9E" w:rsidRDefault="00465B21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465B21" w:rsidRPr="00B45E9E" w:rsidRDefault="00465B21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465B21" w:rsidRDefault="00465B21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465B21" w:rsidRPr="00B8518B" w:rsidRDefault="00465B2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73C2A29" wp14:editId="1A2A334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B0BFC34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FCD53F" wp14:editId="018DB82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AE52FE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465B21" w:rsidRPr="00460660" w:rsidRDefault="00465B2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B21" w:rsidRDefault="00465B21" w:rsidP="00962258">
      <w:pPr>
        <w:spacing w:after="0" w:line="240" w:lineRule="auto"/>
      </w:pPr>
      <w:r>
        <w:separator/>
      </w:r>
    </w:p>
  </w:footnote>
  <w:footnote w:type="continuationSeparator" w:id="0">
    <w:p w:rsidR="00465B21" w:rsidRDefault="00465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5B2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65B21" w:rsidRPr="00B8518B" w:rsidRDefault="00465B2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65B21" w:rsidRDefault="00465B2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65B21" w:rsidRPr="00D6163D" w:rsidRDefault="00465B21" w:rsidP="00D6163D">
          <w:pPr>
            <w:pStyle w:val="Druhdokumentu"/>
          </w:pPr>
        </w:p>
      </w:tc>
    </w:tr>
  </w:tbl>
  <w:p w:rsidR="00465B21" w:rsidRPr="00D6163D" w:rsidRDefault="00465B2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5B21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65B21" w:rsidRPr="00B8518B" w:rsidRDefault="00465B2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82EAC3" wp14:editId="7274EE0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3641D6F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65B21" w:rsidRPr="00D6163D" w:rsidRDefault="00465B21" w:rsidP="00FC6389">
          <w:pPr>
            <w:pStyle w:val="Druhdokumentu"/>
          </w:pPr>
        </w:p>
      </w:tc>
    </w:tr>
    <w:tr w:rsidR="00465B21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465B21" w:rsidRPr="00B8518B" w:rsidRDefault="00465B2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FC6389">
          <w:pPr>
            <w:pStyle w:val="Druhdokumentu"/>
            <w:rPr>
              <w:noProof/>
            </w:rPr>
          </w:pPr>
        </w:p>
      </w:tc>
    </w:tr>
  </w:tbl>
  <w:p w:rsidR="00465B21" w:rsidRPr="00D6163D" w:rsidRDefault="00465B21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ADBEB9E" wp14:editId="31EAD00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B7993B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83CAA1D" wp14:editId="6A56EC2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65B21" w:rsidRPr="00460660" w:rsidRDefault="00465B2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20D4103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3384AC0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47C34DCC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0"/>
  </w:num>
  <w:num w:numId="8">
    <w:abstractNumId w:val="8"/>
  </w:num>
  <w:num w:numId="9">
    <w:abstractNumId w:val="8"/>
  </w:num>
  <w:num w:numId="10">
    <w:abstractNumId w:val="9"/>
  </w:num>
  <w:num w:numId="11">
    <w:abstractNumId w:val="2"/>
  </w:num>
  <w:num w:numId="12">
    <w:abstractNumId w:val="6"/>
  </w:num>
  <w:num w:numId="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5A39"/>
    <w:rsid w:val="00033432"/>
    <w:rsid w:val="000335CC"/>
    <w:rsid w:val="00037FC5"/>
    <w:rsid w:val="00072C1E"/>
    <w:rsid w:val="000B0589"/>
    <w:rsid w:val="000B6C7E"/>
    <w:rsid w:val="000B7907"/>
    <w:rsid w:val="000C0429"/>
    <w:rsid w:val="000C45E8"/>
    <w:rsid w:val="001104CA"/>
    <w:rsid w:val="00114472"/>
    <w:rsid w:val="001262B0"/>
    <w:rsid w:val="00170EC5"/>
    <w:rsid w:val="00173E2F"/>
    <w:rsid w:val="001747C1"/>
    <w:rsid w:val="0018596A"/>
    <w:rsid w:val="001B69C2"/>
    <w:rsid w:val="001C4DA0"/>
    <w:rsid w:val="001D7C72"/>
    <w:rsid w:val="001E2FC2"/>
    <w:rsid w:val="001E52E7"/>
    <w:rsid w:val="00207AB3"/>
    <w:rsid w:val="00207DF5"/>
    <w:rsid w:val="002165A8"/>
    <w:rsid w:val="00240BF5"/>
    <w:rsid w:val="00267369"/>
    <w:rsid w:val="0026785D"/>
    <w:rsid w:val="00291F5B"/>
    <w:rsid w:val="00294CC2"/>
    <w:rsid w:val="002C06A7"/>
    <w:rsid w:val="002C31BF"/>
    <w:rsid w:val="002E04AE"/>
    <w:rsid w:val="002E070D"/>
    <w:rsid w:val="002E0CD7"/>
    <w:rsid w:val="002E1D20"/>
    <w:rsid w:val="002F026B"/>
    <w:rsid w:val="0034636D"/>
    <w:rsid w:val="00351209"/>
    <w:rsid w:val="00357BC6"/>
    <w:rsid w:val="00365ABD"/>
    <w:rsid w:val="0037111D"/>
    <w:rsid w:val="0037245E"/>
    <w:rsid w:val="003956C6"/>
    <w:rsid w:val="003A79A0"/>
    <w:rsid w:val="003C5567"/>
    <w:rsid w:val="003E6B9A"/>
    <w:rsid w:val="003E75CE"/>
    <w:rsid w:val="0041380F"/>
    <w:rsid w:val="004204E2"/>
    <w:rsid w:val="004279D7"/>
    <w:rsid w:val="00450F07"/>
    <w:rsid w:val="00453CD3"/>
    <w:rsid w:val="00455BC7"/>
    <w:rsid w:val="00460660"/>
    <w:rsid w:val="00460CCB"/>
    <w:rsid w:val="00465B21"/>
    <w:rsid w:val="00477370"/>
    <w:rsid w:val="00486107"/>
    <w:rsid w:val="00491827"/>
    <w:rsid w:val="004926B0"/>
    <w:rsid w:val="004A7C69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14AE5"/>
    <w:rsid w:val="00523EA7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1973"/>
    <w:rsid w:val="006104F6"/>
    <w:rsid w:val="0061068E"/>
    <w:rsid w:val="00611827"/>
    <w:rsid w:val="006178FF"/>
    <w:rsid w:val="00660AD3"/>
    <w:rsid w:val="006A1D50"/>
    <w:rsid w:val="006A5570"/>
    <w:rsid w:val="006A689C"/>
    <w:rsid w:val="006B3D79"/>
    <w:rsid w:val="006E0578"/>
    <w:rsid w:val="006E314D"/>
    <w:rsid w:val="006E7F06"/>
    <w:rsid w:val="0070024E"/>
    <w:rsid w:val="00710723"/>
    <w:rsid w:val="007170E9"/>
    <w:rsid w:val="007238C5"/>
    <w:rsid w:val="00723ED1"/>
    <w:rsid w:val="00726EDC"/>
    <w:rsid w:val="00735ED4"/>
    <w:rsid w:val="007405F5"/>
    <w:rsid w:val="00743525"/>
    <w:rsid w:val="007531A0"/>
    <w:rsid w:val="0076286B"/>
    <w:rsid w:val="00764595"/>
    <w:rsid w:val="00766846"/>
    <w:rsid w:val="0077673A"/>
    <w:rsid w:val="007846E1"/>
    <w:rsid w:val="007B2829"/>
    <w:rsid w:val="007B570C"/>
    <w:rsid w:val="007D7768"/>
    <w:rsid w:val="007E4A6E"/>
    <w:rsid w:val="007F4351"/>
    <w:rsid w:val="007F56A7"/>
    <w:rsid w:val="00807DD0"/>
    <w:rsid w:val="0081196F"/>
    <w:rsid w:val="00813F11"/>
    <w:rsid w:val="008301F5"/>
    <w:rsid w:val="00852595"/>
    <w:rsid w:val="00860CF1"/>
    <w:rsid w:val="008849A1"/>
    <w:rsid w:val="00891334"/>
    <w:rsid w:val="008A3568"/>
    <w:rsid w:val="008C59EF"/>
    <w:rsid w:val="008D03B9"/>
    <w:rsid w:val="008F18D6"/>
    <w:rsid w:val="00904780"/>
    <w:rsid w:val="009113A8"/>
    <w:rsid w:val="00921D5C"/>
    <w:rsid w:val="00922385"/>
    <w:rsid w:val="009223DF"/>
    <w:rsid w:val="00925A7E"/>
    <w:rsid w:val="00936091"/>
    <w:rsid w:val="00940D8A"/>
    <w:rsid w:val="00962258"/>
    <w:rsid w:val="009678B7"/>
    <w:rsid w:val="00982411"/>
    <w:rsid w:val="00992D9C"/>
    <w:rsid w:val="00996CB8"/>
    <w:rsid w:val="009A65E4"/>
    <w:rsid w:val="009A7568"/>
    <w:rsid w:val="009B2E97"/>
    <w:rsid w:val="009B3C69"/>
    <w:rsid w:val="009B72CC"/>
    <w:rsid w:val="009C2F4F"/>
    <w:rsid w:val="009E07F4"/>
    <w:rsid w:val="009F392E"/>
    <w:rsid w:val="00A12A6B"/>
    <w:rsid w:val="00A14FCF"/>
    <w:rsid w:val="00A36DAC"/>
    <w:rsid w:val="00A44328"/>
    <w:rsid w:val="00A6177B"/>
    <w:rsid w:val="00A66136"/>
    <w:rsid w:val="00A87486"/>
    <w:rsid w:val="00AA4CBB"/>
    <w:rsid w:val="00AA65FA"/>
    <w:rsid w:val="00AA7351"/>
    <w:rsid w:val="00AD056F"/>
    <w:rsid w:val="00AD1767"/>
    <w:rsid w:val="00AD2773"/>
    <w:rsid w:val="00AD6731"/>
    <w:rsid w:val="00AE1DDE"/>
    <w:rsid w:val="00AE5F8E"/>
    <w:rsid w:val="00B06F93"/>
    <w:rsid w:val="00B15B5E"/>
    <w:rsid w:val="00B15D0D"/>
    <w:rsid w:val="00B23983"/>
    <w:rsid w:val="00B23CA3"/>
    <w:rsid w:val="00B3491A"/>
    <w:rsid w:val="00B45E9E"/>
    <w:rsid w:val="00B55F9C"/>
    <w:rsid w:val="00B75EE1"/>
    <w:rsid w:val="00B77481"/>
    <w:rsid w:val="00B81F38"/>
    <w:rsid w:val="00B84271"/>
    <w:rsid w:val="00B8518B"/>
    <w:rsid w:val="00B97EFE"/>
    <w:rsid w:val="00BB3740"/>
    <w:rsid w:val="00BD1C33"/>
    <w:rsid w:val="00BD5319"/>
    <w:rsid w:val="00BD7E91"/>
    <w:rsid w:val="00BF374D"/>
    <w:rsid w:val="00BF6D48"/>
    <w:rsid w:val="00C02D0A"/>
    <w:rsid w:val="00C03A6E"/>
    <w:rsid w:val="00C30759"/>
    <w:rsid w:val="00C44F6A"/>
    <w:rsid w:val="00C472EE"/>
    <w:rsid w:val="00C51477"/>
    <w:rsid w:val="00C727E5"/>
    <w:rsid w:val="00C8207D"/>
    <w:rsid w:val="00CB7B5A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01CC"/>
    <w:rsid w:val="00D4108E"/>
    <w:rsid w:val="00D6163D"/>
    <w:rsid w:val="00D63009"/>
    <w:rsid w:val="00D831A3"/>
    <w:rsid w:val="00D902AD"/>
    <w:rsid w:val="00DA6FFE"/>
    <w:rsid w:val="00DC3110"/>
    <w:rsid w:val="00DD34E9"/>
    <w:rsid w:val="00DD46F3"/>
    <w:rsid w:val="00DD58A6"/>
    <w:rsid w:val="00DE3E55"/>
    <w:rsid w:val="00DE56F2"/>
    <w:rsid w:val="00DF116D"/>
    <w:rsid w:val="00DF1CD9"/>
    <w:rsid w:val="00E23D95"/>
    <w:rsid w:val="00E315E4"/>
    <w:rsid w:val="00E45D34"/>
    <w:rsid w:val="00E824F1"/>
    <w:rsid w:val="00EA5525"/>
    <w:rsid w:val="00EB104F"/>
    <w:rsid w:val="00EB4C9C"/>
    <w:rsid w:val="00EB4D91"/>
    <w:rsid w:val="00EC59E2"/>
    <w:rsid w:val="00EC638C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75BD3"/>
    <w:rsid w:val="00F804A7"/>
    <w:rsid w:val="00F862D6"/>
    <w:rsid w:val="00F86BA6"/>
    <w:rsid w:val="00F9610D"/>
    <w:rsid w:val="00F978E5"/>
    <w:rsid w:val="00FC6389"/>
    <w:rsid w:val="00FD2F51"/>
    <w:rsid w:val="00FE3348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BC23DA7-39B8-488A-8967-408735455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267</TotalTime>
  <Pages>5</Pages>
  <Words>1790</Words>
  <Characters>10562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28</cp:revision>
  <cp:lastPrinted>2019-11-12T07:38:00Z</cp:lastPrinted>
  <dcterms:created xsi:type="dcterms:W3CDTF">2019-11-01T11:39:00Z</dcterms:created>
  <dcterms:modified xsi:type="dcterms:W3CDTF">2019-11-12T07:42:00Z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