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2125339C" w:rsid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DB295F">
        <w:rPr>
          <w:rFonts w:eastAsia="Times New Roman" w:cs="Times New Roman"/>
          <w:lang w:eastAsia="cs-CZ"/>
        </w:rPr>
        <w:t xml:space="preserve">Příloha č. </w:t>
      </w:r>
      <w:r w:rsidR="009F2CCD">
        <w:rPr>
          <w:rFonts w:eastAsia="Times New Roman" w:cs="Times New Roman"/>
          <w:lang w:eastAsia="cs-CZ"/>
        </w:rPr>
        <w:t>6</w:t>
      </w:r>
      <w:r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18E708A" w:rsidR="004E1498" w:rsidRPr="009F2CCD" w:rsidRDefault="009A0078" w:rsidP="00F969C4">
      <w:pPr>
        <w:pStyle w:val="Nzev"/>
        <w:jc w:val="left"/>
      </w:pPr>
      <w:r w:rsidRPr="009F2CCD">
        <w:t xml:space="preserve">Smlouva o </w:t>
      </w:r>
      <w:r w:rsidR="00A52B36" w:rsidRPr="009F2CCD">
        <w:t>poskytování služeb</w:t>
      </w:r>
      <w:r w:rsidR="00503B7A" w:rsidRPr="009F2CCD">
        <w:t xml:space="preserve"> </w:t>
      </w:r>
    </w:p>
    <w:p w14:paraId="20AEADFD" w14:textId="77777777" w:rsidR="00503B7A" w:rsidRPr="00503B7A" w:rsidRDefault="00503B7A" w:rsidP="00503B7A">
      <w:pPr>
        <w:rPr>
          <w:highlight w:val="yellow"/>
        </w:rPr>
      </w:pPr>
    </w:p>
    <w:p w14:paraId="3115411F" w14:textId="77777777" w:rsidR="00503B7A" w:rsidRPr="009F2CCD" w:rsidRDefault="00503B7A" w:rsidP="00503B7A">
      <w:pPr>
        <w:rPr>
          <w:b/>
          <w:highlight w:val="lightGray"/>
        </w:rPr>
      </w:pPr>
      <w:r w:rsidRPr="009F2CCD">
        <w:rPr>
          <w:b/>
          <w:highlight w:val="lightGray"/>
        </w:rPr>
        <w:t>Číslo smlouvy objednatele ………………</w:t>
      </w:r>
    </w:p>
    <w:p w14:paraId="36590FA2" w14:textId="63912A83" w:rsidR="00503B7A" w:rsidRPr="00503B7A" w:rsidRDefault="00503B7A" w:rsidP="00503B7A">
      <w:pPr>
        <w:rPr>
          <w:highlight w:val="yellow"/>
        </w:rPr>
      </w:pPr>
      <w:r w:rsidRPr="00503B7A">
        <w:rPr>
          <w:b/>
          <w:highlight w:val="yellow"/>
        </w:rPr>
        <w:t xml:space="preserve">Číslo smlouvy </w:t>
      </w:r>
      <w:r w:rsidR="00214DCC">
        <w:rPr>
          <w:b/>
          <w:highlight w:val="yellow"/>
        </w:rPr>
        <w:t>poskytovatele</w:t>
      </w:r>
      <w:r w:rsidRPr="00503B7A">
        <w:rPr>
          <w:b/>
          <w:highlight w:val="yellow"/>
        </w:rPr>
        <w:t xml:space="preserv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20CD884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9F2CCD">
        <w:rPr>
          <w:rFonts w:eastAsia="Times New Roman" w:cs="Times New Roman"/>
          <w:lang w:eastAsia="cs-CZ"/>
        </w:rPr>
        <w:t xml:space="preserve">zastoupená </w:t>
      </w:r>
      <w:r w:rsidR="009F2CCD" w:rsidRPr="009F2CCD">
        <w:rPr>
          <w:rFonts w:eastAsia="Times New Roman" w:cs="Times New Roman"/>
          <w:lang w:eastAsia="cs-CZ"/>
        </w:rPr>
        <w:t>Bc. Jiřím Svobodou, MBA, 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EFD0C09" w14:textId="12622FD2" w:rsidR="004E1498" w:rsidRPr="004E1498" w:rsidRDefault="004E1498" w:rsidP="000F5213">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 xml:space="preserve">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1EE615A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9F2CCD" w:rsidRPr="009F2CCD">
        <w:rPr>
          <w:rFonts w:eastAsia="Times New Roman" w:cs="Times New Roman"/>
          <w:lang w:eastAsia="cs-CZ"/>
        </w:rPr>
        <w:t xml:space="preserve">Poskytování technické podpory v rámci služeb </w:t>
      </w:r>
      <w:proofErr w:type="spellStart"/>
      <w:r w:rsidR="009F2CCD" w:rsidRPr="009F2CCD">
        <w:rPr>
          <w:rFonts w:eastAsia="Times New Roman" w:cs="Times New Roman"/>
          <w:lang w:eastAsia="cs-CZ"/>
        </w:rPr>
        <w:t>Bentley</w:t>
      </w:r>
      <w:proofErr w:type="spellEnd"/>
      <w:r w:rsidR="009F2CCD" w:rsidRPr="009F2CCD">
        <w:rPr>
          <w:rFonts w:eastAsia="Times New Roman" w:cs="Times New Roman"/>
          <w:lang w:eastAsia="cs-CZ"/>
        </w:rPr>
        <w:t xml:space="preserve"> SELECT a navýšení licencí SW </w:t>
      </w:r>
      <w:proofErr w:type="spellStart"/>
      <w:r w:rsidR="009F2CCD" w:rsidRPr="009F2CCD">
        <w:rPr>
          <w:rFonts w:eastAsia="Times New Roman" w:cs="Times New Roman"/>
          <w:lang w:eastAsia="cs-CZ"/>
        </w:rPr>
        <w:t>Microstation</w:t>
      </w:r>
      <w:proofErr w:type="spellEnd"/>
      <w:r w:rsidRPr="004E1498">
        <w:rPr>
          <w:rFonts w:eastAsia="Times New Roman" w:cs="Times New Roman"/>
          <w:lang w:eastAsia="cs-CZ"/>
        </w:rPr>
        <w:t>“,</w:t>
      </w:r>
      <w:r w:rsidR="009D3556">
        <w:rPr>
          <w:rFonts w:eastAsia="Times New Roman" w:cs="Times New Roman"/>
          <w:lang w:eastAsia="cs-CZ"/>
        </w:rPr>
        <w:t xml:space="preserve"> </w:t>
      </w:r>
      <w:proofErr w:type="gramStart"/>
      <w:r w:rsidR="009D3556">
        <w:rPr>
          <w:rFonts w:eastAsia="Times New Roman" w:cs="Times New Roman"/>
          <w:lang w:eastAsia="cs-CZ"/>
        </w:rPr>
        <w:t>č.j.</w:t>
      </w:r>
      <w:proofErr w:type="gramEnd"/>
      <w:r w:rsidR="009D3556">
        <w:rPr>
          <w:rFonts w:eastAsia="Times New Roman" w:cs="Times New Roman"/>
          <w:lang w:eastAsia="cs-CZ"/>
        </w:rPr>
        <w:t xml:space="preserve"> </w:t>
      </w:r>
      <w:r w:rsidR="009B0C6A">
        <w:rPr>
          <w:rFonts w:eastAsia="Times New Roman" w:cs="Times New Roman"/>
          <w:lang w:eastAsia="cs-CZ"/>
        </w:rPr>
        <w:t>58387/2019-SŽDC-GŘ-O8</w:t>
      </w:r>
      <w:r w:rsidRPr="004E1498">
        <w:rPr>
          <w:rFonts w:eastAsia="Times New Roman" w:cs="Times New Roman"/>
          <w:lang w:eastAsia="cs-CZ"/>
        </w:rPr>
        <w:t xml:space="preserve"> (dále jen „veřejná zakázka“). Jednotlivá ustanovení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C7697" w:rsidRDefault="00E73DA0" w:rsidP="00592757">
      <w:pPr>
        <w:pStyle w:val="Nadpis2"/>
        <w:jc w:val="left"/>
      </w:pPr>
      <w:r>
        <w:t>Poskytovatel</w:t>
      </w:r>
      <w:r w:rsidR="004E1498" w:rsidRPr="004E1498">
        <w:t xml:space="preserve"> se zavazuje provést na svůj náklad a nebezpečí pro Objednatele </w:t>
      </w:r>
      <w:r>
        <w:t>Služby, jež zahrnují</w:t>
      </w:r>
      <w:r w:rsidR="004E1498" w:rsidRPr="004E1498">
        <w:t xml:space="preserve"> </w:t>
      </w:r>
      <w:r>
        <w:t>činnosti</w:t>
      </w:r>
      <w:r w:rsidR="004E1498" w:rsidRPr="004E1498">
        <w:t xml:space="preserve"> Předmětu </w:t>
      </w:r>
      <w:r>
        <w:t>služeb</w:t>
      </w:r>
      <w:r w:rsidR="004E1498" w:rsidRPr="004E1498">
        <w:t>, poskytnutí všech Souvisejících plnění a předání Dokladů.</w:t>
      </w:r>
    </w:p>
    <w:p w14:paraId="4E17D918" w14:textId="34133F14" w:rsidR="004E1498" w:rsidRPr="004E1498" w:rsidRDefault="004E1498" w:rsidP="00592757">
      <w:pPr>
        <w:pStyle w:val="Nadpis1"/>
        <w:rPr>
          <w:rFonts w:eastAsia="Times New Roman"/>
          <w:lang w:eastAsia="cs-CZ"/>
        </w:rPr>
      </w:pPr>
      <w:r w:rsidRPr="004E1498">
        <w:rPr>
          <w:rFonts w:eastAsia="Times New Roman"/>
          <w:lang w:eastAsia="cs-CZ"/>
        </w:rPr>
        <w:t xml:space="preserve">Předmět </w:t>
      </w:r>
      <w:r w:rsidR="00214DCC">
        <w:rPr>
          <w:rFonts w:eastAsia="Times New Roman"/>
          <w:lang w:eastAsia="cs-CZ"/>
        </w:rPr>
        <w:t>Služeb</w:t>
      </w:r>
    </w:p>
    <w:p w14:paraId="7DB2AD3A" w14:textId="0BFEB8C8" w:rsidR="009F2CCD" w:rsidRDefault="004E1498" w:rsidP="00592757">
      <w:pPr>
        <w:pStyle w:val="Nadpis2"/>
        <w:jc w:val="left"/>
      </w:pPr>
      <w:r w:rsidRPr="004E1498">
        <w:t xml:space="preserve">Předmětem </w:t>
      </w:r>
      <w:r w:rsidR="00E73DA0">
        <w:t>služeb</w:t>
      </w:r>
      <w:r w:rsidRPr="004E1498">
        <w:t xml:space="preserve"> je</w:t>
      </w:r>
      <w:r w:rsidR="009F2CCD">
        <w:t>:</w:t>
      </w:r>
      <w:r w:rsidRPr="004E1498">
        <w:t xml:space="preserve"> </w:t>
      </w:r>
    </w:p>
    <w:p w14:paraId="7128ECC1" w14:textId="77777777" w:rsidR="009F2CCD" w:rsidRDefault="009F2CCD" w:rsidP="009F2CCD">
      <w:pPr>
        <w:pStyle w:val="Odstavecseseznamem"/>
        <w:numPr>
          <w:ilvl w:val="0"/>
          <w:numId w:val="36"/>
        </w:numPr>
        <w:spacing w:after="0"/>
      </w:pPr>
      <w:r>
        <w:t xml:space="preserve">Zajištění technické podpory produktů </w:t>
      </w:r>
      <w:proofErr w:type="spellStart"/>
      <w:r>
        <w:t>Bentley</w:t>
      </w:r>
      <w:proofErr w:type="spellEnd"/>
      <w:r>
        <w:t xml:space="preserve"> v rámci služeb </w:t>
      </w:r>
      <w:proofErr w:type="spellStart"/>
      <w:r>
        <w:t>Bentley</w:t>
      </w:r>
      <w:proofErr w:type="spellEnd"/>
      <w:r>
        <w:t xml:space="preserve"> SELECT pro portfolio licencí: </w:t>
      </w:r>
      <w:proofErr w:type="spellStart"/>
      <w:r>
        <w:t>Microstation</w:t>
      </w:r>
      <w:proofErr w:type="spellEnd"/>
      <w:r>
        <w:t xml:space="preserve"> 60 ks (45 + 15 nové)</w:t>
      </w:r>
    </w:p>
    <w:p w14:paraId="4A0F9AE7" w14:textId="77777777" w:rsidR="009F2CCD" w:rsidRDefault="009F2CCD" w:rsidP="009F2CCD">
      <w:pPr>
        <w:pStyle w:val="Odstavecseseznamem"/>
        <w:numPr>
          <w:ilvl w:val="0"/>
          <w:numId w:val="36"/>
        </w:numPr>
        <w:spacing w:after="0"/>
      </w:pPr>
      <w:r>
        <w:t xml:space="preserve">Aktivace doposud nepoužívaných licencí BENTLEY </w:t>
      </w:r>
      <w:proofErr w:type="spellStart"/>
      <w:r>
        <w:t>PowerMap</w:t>
      </w:r>
      <w:proofErr w:type="spellEnd"/>
      <w:r>
        <w:t xml:space="preserve"> (9 ks) a BENTLEY I/RAS B (12ks), které budou následně vyměněny v rámci portfolia </w:t>
      </w:r>
      <w:proofErr w:type="spellStart"/>
      <w:r>
        <w:t>Balancing</w:t>
      </w:r>
      <w:proofErr w:type="spellEnd"/>
      <w:r>
        <w:t xml:space="preserve"> za 15 licencí SW </w:t>
      </w:r>
      <w:proofErr w:type="spellStart"/>
      <w:r>
        <w:t>Microstation</w:t>
      </w:r>
      <w:proofErr w:type="spellEnd"/>
    </w:p>
    <w:p w14:paraId="03F039C6" w14:textId="77363F7C" w:rsidR="004E1498" w:rsidRPr="004E1498" w:rsidRDefault="00D73101" w:rsidP="009F2CCD">
      <w:pPr>
        <w:pStyle w:val="Nadpis2"/>
        <w:numPr>
          <w:ilvl w:val="0"/>
          <w:numId w:val="36"/>
        </w:numPr>
        <w:jc w:val="left"/>
      </w:pPr>
      <w:r>
        <w:t>U</w:t>
      </w:r>
      <w:r w:rsidR="009F2CCD">
        <w:t xml:space="preserve">žívání licencí </w:t>
      </w:r>
      <w:proofErr w:type="spellStart"/>
      <w:r w:rsidR="009F2CCD">
        <w:t>Microstation</w:t>
      </w:r>
      <w:proofErr w:type="spellEnd"/>
      <w:r w:rsidR="009F2CCD">
        <w:t xml:space="preserve"> nad smluvený počet </w:t>
      </w:r>
      <w:r w:rsidR="00842A35">
        <w:t xml:space="preserve">(Termínované licence) </w:t>
      </w:r>
      <w:r w:rsidR="009F2CCD">
        <w:t>podle potřeby zadavatele v maximální hodnotě do 1.400.000,- Kč bez DPH</w:t>
      </w:r>
      <w:r w:rsidR="0086114C" w:rsidRPr="004E1498">
        <w:t>.</w:t>
      </w:r>
    </w:p>
    <w:p w14:paraId="31E5226B" w14:textId="6A87D817" w:rsidR="004E1498" w:rsidRPr="009F2CCD" w:rsidRDefault="004E1498" w:rsidP="00592757">
      <w:pPr>
        <w:pStyle w:val="Nadpis2"/>
        <w:jc w:val="left"/>
      </w:pPr>
      <w:r w:rsidRPr="009F2CCD">
        <w:t xml:space="preserve">Předmět </w:t>
      </w:r>
      <w:r w:rsidR="00E73DA0" w:rsidRPr="009F2CCD">
        <w:t>služeb</w:t>
      </w:r>
      <w:r w:rsidRPr="009F2CCD">
        <w:t xml:space="preserve"> je blíže specifikován v</w:t>
      </w:r>
      <w:r w:rsidR="009F2CCD" w:rsidRPr="009F2CCD">
        <w:t xml:space="preserve"> Technické specifikaci předmětu služeb </w:t>
      </w:r>
      <w:r w:rsidR="009F2CCD">
        <w:t xml:space="preserve">(Příloha č. 1 této Smlouvy) </w:t>
      </w:r>
      <w:r w:rsidR="009F2CCD" w:rsidRPr="009F2CCD">
        <w:t xml:space="preserve">a v Portfoliu SŽDC produktů </w:t>
      </w:r>
      <w:proofErr w:type="spellStart"/>
      <w:r w:rsidR="009F2CCD" w:rsidRPr="009F2CCD">
        <w:t>Bentley</w:t>
      </w:r>
      <w:proofErr w:type="spellEnd"/>
      <w:r w:rsidR="009F2CCD">
        <w:t xml:space="preserve"> (Příloha č. 2 </w:t>
      </w:r>
      <w:proofErr w:type="gramStart"/>
      <w:r w:rsidR="009F2CCD">
        <w:t>této</w:t>
      </w:r>
      <w:proofErr w:type="gramEnd"/>
      <w:r w:rsidRPr="009F2CCD">
        <w:t xml:space="preserve"> smlouvy</w:t>
      </w:r>
      <w:r w:rsidR="009F2CCD">
        <w:t>)</w:t>
      </w:r>
      <w:r w:rsidRPr="009F2CCD">
        <w:t>.</w:t>
      </w:r>
    </w:p>
    <w:p w14:paraId="620E778C" w14:textId="77777777" w:rsidR="004E1498" w:rsidRPr="004E1498" w:rsidRDefault="004E1498" w:rsidP="00592757">
      <w:pPr>
        <w:pStyle w:val="Nadpis2"/>
        <w:numPr>
          <w:ilvl w:val="0"/>
          <w:numId w:val="0"/>
        </w:numPr>
        <w:ind w:left="576"/>
        <w:jc w:val="left"/>
        <w:rPr>
          <w:highlight w:val="yellow"/>
        </w:rPr>
      </w:pPr>
    </w:p>
    <w:p w14:paraId="600D21AE" w14:textId="1C3F96B9" w:rsidR="004E1498" w:rsidRPr="004E1498" w:rsidRDefault="004E1498" w:rsidP="00592757">
      <w:pPr>
        <w:pStyle w:val="Nadpis1"/>
        <w:rPr>
          <w:rFonts w:eastAsia="Times New Roman"/>
          <w:lang w:eastAsia="cs-CZ"/>
        </w:rPr>
      </w:pPr>
      <w:r w:rsidRPr="004E1498">
        <w:rPr>
          <w:rFonts w:eastAsia="Times New Roman"/>
          <w:lang w:eastAsia="cs-CZ"/>
        </w:rPr>
        <w:lastRenderedPageBreak/>
        <w:t xml:space="preserve">Cena </w:t>
      </w:r>
      <w:r w:rsidR="00E73DA0">
        <w:rPr>
          <w:rFonts w:eastAsia="Times New Roman"/>
          <w:lang w:eastAsia="cs-CZ"/>
        </w:rPr>
        <w:t>předmětu služeb</w:t>
      </w:r>
      <w:r w:rsidR="00503B7A">
        <w:rPr>
          <w:rFonts w:eastAsia="Times New Roman"/>
          <w:lang w:eastAsia="cs-CZ"/>
        </w:rPr>
        <w:t xml:space="preserve"> </w:t>
      </w:r>
    </w:p>
    <w:p w14:paraId="36DF1F7F" w14:textId="7D8851B5" w:rsidR="00810E9B" w:rsidRDefault="00906E58" w:rsidP="00810E9B">
      <w:pPr>
        <w:pStyle w:val="Odstavecseseznamem"/>
        <w:numPr>
          <w:ilvl w:val="1"/>
          <w:numId w:val="18"/>
        </w:numPr>
        <w:spacing w:after="0" w:line="240" w:lineRule="auto"/>
        <w:ind w:hanging="720"/>
        <w:jc w:val="both"/>
      </w:pPr>
      <w:r w:rsidRPr="00906E58">
        <w:rPr>
          <w:rFonts w:ascii="Verdana" w:eastAsia="Verdana" w:hAnsi="Verdana" w:cs="Times New Roman"/>
        </w:rPr>
        <w:t xml:space="preserve">Cena za zajištění technické podpory produktů </w:t>
      </w:r>
      <w:proofErr w:type="spellStart"/>
      <w:r w:rsidRPr="00906E58">
        <w:rPr>
          <w:rFonts w:ascii="Verdana" w:eastAsia="Verdana" w:hAnsi="Verdana" w:cs="Times New Roman"/>
        </w:rPr>
        <w:t>Bentley</w:t>
      </w:r>
      <w:proofErr w:type="spellEnd"/>
      <w:r w:rsidRPr="00906E58">
        <w:rPr>
          <w:rFonts w:ascii="Verdana" w:eastAsia="Verdana" w:hAnsi="Verdana" w:cs="Times New Roman"/>
        </w:rPr>
        <w:t>:</w:t>
      </w:r>
    </w:p>
    <w:p w14:paraId="4D7A10C9" w14:textId="77777777" w:rsidR="00906E58" w:rsidRDefault="00906E58" w:rsidP="00DF26A9">
      <w:pPr>
        <w:pStyle w:val="Odstavecseseznamem"/>
        <w:spacing w:after="0" w:line="240" w:lineRule="auto"/>
        <w:jc w:val="both"/>
      </w:pPr>
    </w:p>
    <w:tbl>
      <w:tblPr>
        <w:tblW w:w="0" w:type="auto"/>
        <w:tblInd w:w="212" w:type="dxa"/>
        <w:tblCellMar>
          <w:left w:w="0" w:type="dxa"/>
          <w:right w:w="0" w:type="dxa"/>
        </w:tblCellMar>
        <w:tblLook w:val="04A0" w:firstRow="1" w:lastRow="0" w:firstColumn="1" w:lastColumn="0" w:noHBand="0" w:noVBand="1"/>
      </w:tblPr>
      <w:tblGrid>
        <w:gridCol w:w="1557"/>
        <w:gridCol w:w="976"/>
        <w:gridCol w:w="1633"/>
        <w:gridCol w:w="1466"/>
        <w:gridCol w:w="1532"/>
        <w:gridCol w:w="1466"/>
      </w:tblGrid>
      <w:tr w:rsidR="00906E58" w:rsidRPr="00906E58" w14:paraId="552AAF3C" w14:textId="77777777" w:rsidTr="0054703E">
        <w:trPr>
          <w:trHeight w:hRule="exact" w:val="1357"/>
        </w:trPr>
        <w:tc>
          <w:tcPr>
            <w:tcW w:w="1701" w:type="dxa"/>
            <w:tcBorders>
              <w:top w:val="single" w:sz="12" w:space="0" w:color="auto"/>
              <w:left w:val="single" w:sz="12"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F73B640" w14:textId="77777777" w:rsidR="00906E58" w:rsidRPr="00906E58" w:rsidRDefault="00906E58" w:rsidP="00906E58">
            <w:pPr>
              <w:spacing w:after="0"/>
              <w:ind w:left="214"/>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Software</w:t>
            </w:r>
          </w:p>
        </w:tc>
        <w:tc>
          <w:tcPr>
            <w:tcW w:w="992"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523771E" w14:textId="77777777" w:rsidR="00906E58" w:rsidRPr="00906E58" w:rsidRDefault="00906E58" w:rsidP="00906E58">
            <w:pPr>
              <w:spacing w:after="0"/>
              <w:ind w:left="143"/>
              <w:jc w:val="center"/>
              <w:rPr>
                <w:rFonts w:ascii="Verdana" w:eastAsia="Calibri" w:hAnsi="Verdana" w:cs="Calibri"/>
                <w:b/>
                <w:bCs/>
                <w:color w:val="000000"/>
                <w:sz w:val="16"/>
                <w:szCs w:val="16"/>
              </w:rPr>
            </w:pPr>
            <w:r w:rsidRPr="00906E58">
              <w:rPr>
                <w:rFonts w:ascii="Verdana" w:eastAsia="Calibri" w:hAnsi="Verdana" w:cs="Calibri"/>
                <w:b/>
                <w:bCs/>
                <w:color w:val="000000"/>
                <w:sz w:val="16"/>
                <w:szCs w:val="16"/>
              </w:rPr>
              <w:t>Počet licencí</w:t>
            </w:r>
          </w:p>
        </w:tc>
        <w:tc>
          <w:tcPr>
            <w:tcW w:w="1701"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3C9D606A" w14:textId="77777777" w:rsidR="00906E58" w:rsidRPr="00906E58" w:rsidRDefault="00906E58" w:rsidP="00906E58">
            <w:pPr>
              <w:spacing w:after="0"/>
              <w:ind w:left="99" w:hanging="3"/>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podpory </w:t>
            </w:r>
            <w:r w:rsidRPr="00906E58">
              <w:rPr>
                <w:rFonts w:ascii="Verdana" w:eastAsia="Verdana" w:hAnsi="Verdana" w:cs="Times New Roman"/>
                <w:b/>
                <w:bCs/>
                <w:color w:val="000000"/>
                <w:sz w:val="16"/>
                <w:szCs w:val="16"/>
              </w:rPr>
              <w:br/>
              <w:t xml:space="preserve">za jednotku </w:t>
            </w:r>
            <w:r w:rsidRPr="00906E58">
              <w:rPr>
                <w:rFonts w:ascii="Verdana" w:eastAsia="Verdana" w:hAnsi="Verdana" w:cs="Times New Roman"/>
                <w:b/>
                <w:bCs/>
                <w:color w:val="000000"/>
                <w:sz w:val="16"/>
                <w:szCs w:val="16"/>
              </w:rPr>
              <w:br/>
              <w:t>v Kč bez DPH</w:t>
            </w:r>
          </w:p>
        </w:tc>
        <w:tc>
          <w:tcPr>
            <w:tcW w:w="1276"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C8883EB" w14:textId="77777777" w:rsidR="00906E58" w:rsidRPr="00906E58" w:rsidRDefault="00906E58" w:rsidP="00906E58">
            <w:pPr>
              <w:spacing w:after="0"/>
              <w:ind w:left="154" w:hanging="61"/>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podpory </w:t>
            </w:r>
            <w:r w:rsidRPr="00906E58">
              <w:rPr>
                <w:rFonts w:ascii="Verdana" w:eastAsia="Verdana" w:hAnsi="Verdana" w:cs="Times New Roman"/>
                <w:b/>
                <w:bCs/>
                <w:color w:val="000000"/>
                <w:sz w:val="16"/>
                <w:szCs w:val="16"/>
              </w:rPr>
              <w:br/>
              <w:t xml:space="preserve">za jednotku v Kč </w:t>
            </w:r>
            <w:r w:rsidRPr="00906E58">
              <w:rPr>
                <w:rFonts w:ascii="Verdana" w:eastAsia="Verdana" w:hAnsi="Verdana" w:cs="Times New Roman"/>
                <w:b/>
                <w:bCs/>
                <w:color w:val="000000"/>
                <w:sz w:val="16"/>
                <w:szCs w:val="16"/>
              </w:rPr>
              <w:br/>
              <w:t>vč. DPH</w:t>
            </w:r>
          </w:p>
        </w:tc>
        <w:tc>
          <w:tcPr>
            <w:tcW w:w="1559"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C39BE2B" w14:textId="77777777" w:rsidR="00906E58" w:rsidRPr="00906E58" w:rsidRDefault="00906E58" w:rsidP="00906E58">
            <w:pPr>
              <w:spacing w:after="0"/>
              <w:ind w:firstLine="34"/>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podpory celkem v Kč </w:t>
            </w:r>
            <w:r w:rsidRPr="00906E58">
              <w:rPr>
                <w:rFonts w:ascii="Verdana" w:eastAsia="Verdana" w:hAnsi="Verdana" w:cs="Times New Roman"/>
                <w:b/>
                <w:bCs/>
                <w:color w:val="000000"/>
                <w:sz w:val="16"/>
                <w:szCs w:val="16"/>
              </w:rPr>
              <w:br/>
              <w:t>bez DPH</w:t>
            </w:r>
          </w:p>
        </w:tc>
        <w:tc>
          <w:tcPr>
            <w:tcW w:w="1401" w:type="dxa"/>
            <w:tcBorders>
              <w:top w:val="single" w:sz="12" w:space="0" w:color="auto"/>
              <w:left w:val="nil"/>
              <w:bottom w:val="single" w:sz="8" w:space="0" w:color="auto"/>
              <w:right w:val="single" w:sz="12" w:space="0" w:color="auto"/>
            </w:tcBorders>
            <w:shd w:val="clear" w:color="auto" w:fill="D9D9D9"/>
            <w:tcMar>
              <w:top w:w="0" w:type="dxa"/>
              <w:left w:w="70" w:type="dxa"/>
              <w:bottom w:w="0" w:type="dxa"/>
              <w:right w:w="70" w:type="dxa"/>
            </w:tcMar>
            <w:vAlign w:val="center"/>
            <w:hideMark/>
          </w:tcPr>
          <w:p w14:paraId="6E412B65" w14:textId="77777777" w:rsidR="00906E58" w:rsidRPr="00906E58" w:rsidRDefault="00906E58" w:rsidP="00906E58">
            <w:pPr>
              <w:spacing w:after="0"/>
              <w:ind w:left="89" w:firstLine="20"/>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podpory celkem v Kč </w:t>
            </w:r>
            <w:r w:rsidRPr="00906E58">
              <w:rPr>
                <w:rFonts w:ascii="Verdana" w:eastAsia="Verdana" w:hAnsi="Verdana" w:cs="Times New Roman"/>
                <w:b/>
                <w:bCs/>
                <w:color w:val="000000"/>
                <w:sz w:val="16"/>
                <w:szCs w:val="16"/>
              </w:rPr>
              <w:br/>
              <w:t>vč. DPH</w:t>
            </w:r>
          </w:p>
        </w:tc>
      </w:tr>
      <w:tr w:rsidR="0019629A" w:rsidRPr="00906E58" w14:paraId="1BB20EA6" w14:textId="77777777" w:rsidTr="0054703E">
        <w:trPr>
          <w:trHeight w:val="324"/>
        </w:trPr>
        <w:tc>
          <w:tcPr>
            <w:tcW w:w="1701"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14:paraId="61918037" w14:textId="77777777" w:rsidR="00906E58" w:rsidRPr="00906E58" w:rsidRDefault="00906E58" w:rsidP="00906E58">
            <w:pPr>
              <w:spacing w:after="0"/>
              <w:ind w:left="567" w:hanging="495"/>
              <w:rPr>
                <w:rFonts w:ascii="Calibri" w:eastAsia="Calibri" w:hAnsi="Calibri" w:cs="Calibri"/>
                <w:b/>
                <w:bCs/>
                <w:color w:val="000000"/>
                <w:sz w:val="14"/>
                <w:szCs w:val="14"/>
              </w:rPr>
            </w:pPr>
            <w:proofErr w:type="spellStart"/>
            <w:r w:rsidRPr="00906E58">
              <w:rPr>
                <w:rFonts w:ascii="Verdana" w:eastAsia="Verdana" w:hAnsi="Verdana" w:cs="Times New Roman"/>
                <w:b/>
                <w:bCs/>
                <w:snapToGrid w:val="0"/>
                <w:color w:val="000000"/>
                <w:sz w:val="14"/>
                <w:szCs w:val="14"/>
              </w:rPr>
              <w:t>MicroStation</w:t>
            </w:r>
            <w:proofErr w:type="spellEnd"/>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F09BA5" w14:textId="77777777" w:rsidR="00906E58" w:rsidRPr="00906E58" w:rsidRDefault="00906E58" w:rsidP="00906E58">
            <w:pPr>
              <w:spacing w:after="0"/>
              <w:ind w:left="567"/>
              <w:jc w:val="center"/>
              <w:rPr>
                <w:rFonts w:ascii="Calibri" w:eastAsia="Calibri" w:hAnsi="Calibri" w:cs="Calibri"/>
                <w:b/>
                <w:bCs/>
                <w:color w:val="000000"/>
                <w:sz w:val="16"/>
                <w:szCs w:val="16"/>
              </w:rPr>
            </w:pPr>
            <w:r w:rsidRPr="00906E58">
              <w:rPr>
                <w:rFonts w:ascii="Verdana" w:eastAsia="Verdana" w:hAnsi="Verdana" w:cs="Times New Roman"/>
                <w:b/>
                <w:bCs/>
                <w:snapToGrid w:val="0"/>
                <w:color w:val="000000"/>
                <w:sz w:val="16"/>
                <w:szCs w:val="16"/>
              </w:rPr>
              <w:t>60</w:t>
            </w:r>
          </w:p>
        </w:tc>
        <w:tc>
          <w:tcPr>
            <w:tcW w:w="170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8FBE5E" w14:textId="6E29AB22"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 xml:space="preserve">* </w:t>
            </w:r>
            <w:r w:rsidR="0019629A" w:rsidRPr="0019629A">
              <w:rPr>
                <w:rFonts w:ascii="Verdana" w:eastAsia="Verdana" w:hAnsi="Verdana" w:cs="Times New Roman"/>
                <w:b/>
                <w:bCs/>
                <w:sz w:val="16"/>
                <w:szCs w:val="16"/>
                <w:highlight w:val="yellow"/>
              </w:rPr>
              <w:t>doplní účastník</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786E32F" w14:textId="4F9736F4"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doplní účastník</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C63D0B" w14:textId="7724155D"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1401" w:type="dxa"/>
            <w:tcBorders>
              <w:top w:val="nil"/>
              <w:left w:val="nil"/>
              <w:bottom w:val="single" w:sz="8" w:space="0" w:color="auto"/>
              <w:right w:val="single" w:sz="12" w:space="0" w:color="auto"/>
            </w:tcBorders>
            <w:tcMar>
              <w:top w:w="0" w:type="dxa"/>
              <w:left w:w="70" w:type="dxa"/>
              <w:bottom w:w="0" w:type="dxa"/>
              <w:right w:w="70" w:type="dxa"/>
            </w:tcMar>
            <w:vAlign w:val="center"/>
            <w:hideMark/>
          </w:tcPr>
          <w:p w14:paraId="4C20A6F6" w14:textId="3E54921D"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r>
    </w:tbl>
    <w:p w14:paraId="5EE2C962" w14:textId="77777777" w:rsidR="00906E58" w:rsidRDefault="00906E58" w:rsidP="00DF26A9">
      <w:pPr>
        <w:pStyle w:val="Odstavecseseznamem"/>
        <w:spacing w:after="0" w:line="240" w:lineRule="auto"/>
        <w:jc w:val="both"/>
      </w:pPr>
    </w:p>
    <w:p w14:paraId="72D816D3" w14:textId="77777777" w:rsidR="00906E58" w:rsidRDefault="00906E58" w:rsidP="00DF26A9">
      <w:pPr>
        <w:pStyle w:val="Odstavecseseznamem"/>
        <w:spacing w:after="0" w:line="240" w:lineRule="auto"/>
        <w:jc w:val="both"/>
      </w:pPr>
    </w:p>
    <w:p w14:paraId="18E8C3A2" w14:textId="5324F630" w:rsidR="00906E58" w:rsidRDefault="00906E58" w:rsidP="00906E58">
      <w:pPr>
        <w:pStyle w:val="Odstavecseseznamem"/>
        <w:numPr>
          <w:ilvl w:val="1"/>
          <w:numId w:val="18"/>
        </w:numPr>
        <w:spacing w:after="0" w:line="240" w:lineRule="auto"/>
        <w:ind w:hanging="720"/>
        <w:jc w:val="both"/>
      </w:pPr>
      <w:r w:rsidRPr="00906E58">
        <w:rPr>
          <w:rFonts w:ascii="Verdana" w:eastAsia="Verdana" w:hAnsi="Verdana" w:cs="Times New Roman"/>
        </w:rPr>
        <w:t xml:space="preserve">Cena za aktivace doposud nepoužívaných licencí </w:t>
      </w:r>
      <w:proofErr w:type="spellStart"/>
      <w:r w:rsidRPr="00906E58">
        <w:rPr>
          <w:rFonts w:ascii="Verdana" w:eastAsia="Verdana" w:hAnsi="Verdana" w:cs="Times New Roman"/>
        </w:rPr>
        <w:t>Bentley</w:t>
      </w:r>
      <w:proofErr w:type="spellEnd"/>
    </w:p>
    <w:p w14:paraId="57608338" w14:textId="77777777" w:rsidR="00906E58" w:rsidRDefault="00906E58" w:rsidP="00DF26A9">
      <w:pPr>
        <w:pStyle w:val="Odstavecseseznamem"/>
        <w:spacing w:after="0" w:line="240" w:lineRule="auto"/>
        <w:jc w:val="both"/>
      </w:pPr>
    </w:p>
    <w:tbl>
      <w:tblPr>
        <w:tblW w:w="0" w:type="auto"/>
        <w:tblInd w:w="212" w:type="dxa"/>
        <w:tblCellMar>
          <w:left w:w="0" w:type="dxa"/>
          <w:right w:w="0" w:type="dxa"/>
        </w:tblCellMar>
        <w:tblLook w:val="04A0" w:firstRow="1" w:lastRow="0" w:firstColumn="1" w:lastColumn="0" w:noHBand="0" w:noVBand="1"/>
      </w:tblPr>
      <w:tblGrid>
        <w:gridCol w:w="1701"/>
        <w:gridCol w:w="953"/>
        <w:gridCol w:w="1505"/>
        <w:gridCol w:w="1486"/>
        <w:gridCol w:w="1493"/>
        <w:gridCol w:w="1492"/>
      </w:tblGrid>
      <w:tr w:rsidR="0019629A" w:rsidRPr="00906E58" w14:paraId="78CF916B" w14:textId="77777777" w:rsidTr="0054703E">
        <w:trPr>
          <w:trHeight w:hRule="exact" w:val="975"/>
        </w:trPr>
        <w:tc>
          <w:tcPr>
            <w:tcW w:w="1701" w:type="dxa"/>
            <w:tcBorders>
              <w:top w:val="single" w:sz="12" w:space="0" w:color="auto"/>
              <w:left w:val="single" w:sz="12"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9EF97A6" w14:textId="77777777" w:rsidR="00906E58" w:rsidRPr="00906E58" w:rsidRDefault="00906E58" w:rsidP="00906E58">
            <w:pPr>
              <w:spacing w:after="0"/>
              <w:ind w:left="72"/>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Software</w:t>
            </w:r>
          </w:p>
        </w:tc>
        <w:tc>
          <w:tcPr>
            <w:tcW w:w="953"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799C76B" w14:textId="77777777" w:rsidR="00906E58" w:rsidRPr="00906E58" w:rsidRDefault="00906E58" w:rsidP="00906E58">
            <w:pPr>
              <w:spacing w:after="0"/>
              <w:ind w:left="199" w:hanging="16"/>
              <w:rPr>
                <w:rFonts w:ascii="Verdana" w:eastAsia="Calibri" w:hAnsi="Verdana" w:cs="Calibri"/>
                <w:b/>
                <w:bCs/>
                <w:color w:val="000000"/>
                <w:sz w:val="16"/>
                <w:szCs w:val="16"/>
              </w:rPr>
            </w:pPr>
            <w:r w:rsidRPr="00906E58">
              <w:rPr>
                <w:rFonts w:ascii="Verdana" w:eastAsia="Calibri" w:hAnsi="Verdana" w:cs="Calibri"/>
                <w:b/>
                <w:bCs/>
                <w:color w:val="000000"/>
                <w:sz w:val="16"/>
                <w:szCs w:val="16"/>
              </w:rPr>
              <w:t>Počet licencí</w:t>
            </w:r>
          </w:p>
        </w:tc>
        <w:tc>
          <w:tcPr>
            <w:tcW w:w="0" w:type="auto"/>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6184477C" w14:textId="77777777" w:rsidR="00906E58" w:rsidRPr="00906E58" w:rsidRDefault="00906E58" w:rsidP="00906E58">
            <w:pPr>
              <w:spacing w:after="0"/>
              <w:ind w:left="131" w:hanging="85"/>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cena za jednu licenci v </w:t>
            </w:r>
            <w:proofErr w:type="spellStart"/>
            <w:r w:rsidRPr="00906E58">
              <w:rPr>
                <w:rFonts w:ascii="Verdana" w:eastAsia="Verdana" w:hAnsi="Verdana" w:cs="Times New Roman"/>
                <w:b/>
                <w:bCs/>
                <w:color w:val="000000"/>
                <w:sz w:val="16"/>
                <w:szCs w:val="16"/>
              </w:rPr>
              <w:t>Kčbez</w:t>
            </w:r>
            <w:proofErr w:type="spellEnd"/>
            <w:r w:rsidRPr="00906E58">
              <w:rPr>
                <w:rFonts w:ascii="Verdana" w:eastAsia="Verdana" w:hAnsi="Verdana" w:cs="Times New Roman"/>
                <w:b/>
                <w:bCs/>
                <w:color w:val="000000"/>
                <w:sz w:val="16"/>
                <w:szCs w:val="16"/>
              </w:rPr>
              <w:t xml:space="preserve"> DPH</w:t>
            </w:r>
          </w:p>
        </w:tc>
        <w:tc>
          <w:tcPr>
            <w:tcW w:w="0" w:type="auto"/>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AB74461" w14:textId="77777777" w:rsidR="00906E58" w:rsidRPr="00906E58" w:rsidRDefault="00906E58" w:rsidP="00906E58">
            <w:pPr>
              <w:spacing w:after="0"/>
              <w:ind w:left="107" w:hanging="176"/>
              <w:jc w:val="center"/>
              <w:rPr>
                <w:rFonts w:ascii="Verdana" w:eastAsia="Verdana" w:hAnsi="Verdana" w:cs="Times New Roman"/>
                <w:b/>
                <w:bCs/>
                <w:color w:val="000000"/>
                <w:sz w:val="16"/>
                <w:szCs w:val="16"/>
              </w:rPr>
            </w:pPr>
            <w:r w:rsidRPr="00906E58">
              <w:rPr>
                <w:rFonts w:ascii="Verdana" w:eastAsia="Verdana" w:hAnsi="Verdana" w:cs="Times New Roman"/>
                <w:b/>
                <w:bCs/>
                <w:color w:val="000000"/>
                <w:sz w:val="16"/>
                <w:szCs w:val="16"/>
              </w:rPr>
              <w:t>cena za jednu licenci v Kč</w:t>
            </w:r>
            <w:r w:rsidRPr="00906E58">
              <w:rPr>
                <w:rFonts w:ascii="Verdana" w:eastAsia="Verdana" w:hAnsi="Verdana" w:cs="Times New Roman"/>
                <w:b/>
                <w:bCs/>
                <w:color w:val="000000"/>
                <w:sz w:val="16"/>
                <w:szCs w:val="16"/>
              </w:rPr>
              <w:br/>
              <w:t>vč. DPH</w:t>
            </w:r>
          </w:p>
        </w:tc>
        <w:tc>
          <w:tcPr>
            <w:tcW w:w="0" w:type="auto"/>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3C6F908" w14:textId="77777777" w:rsidR="00906E58" w:rsidRPr="00906E58" w:rsidRDefault="00906E58" w:rsidP="00906E58">
            <w:pPr>
              <w:spacing w:after="0"/>
              <w:ind w:left="54" w:firstLine="49"/>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za licence celkem v Kč </w:t>
            </w:r>
            <w:r w:rsidRPr="00906E58">
              <w:rPr>
                <w:rFonts w:ascii="Verdana" w:eastAsia="Verdana" w:hAnsi="Verdana" w:cs="Times New Roman"/>
                <w:b/>
                <w:bCs/>
                <w:color w:val="000000"/>
                <w:sz w:val="16"/>
                <w:szCs w:val="16"/>
              </w:rPr>
              <w:br/>
              <w:t>bez DPH</w:t>
            </w:r>
          </w:p>
        </w:tc>
        <w:tc>
          <w:tcPr>
            <w:tcW w:w="0" w:type="auto"/>
            <w:tcBorders>
              <w:top w:val="single" w:sz="12" w:space="0" w:color="auto"/>
              <w:left w:val="nil"/>
              <w:bottom w:val="single" w:sz="8" w:space="0" w:color="auto"/>
              <w:right w:val="single" w:sz="12" w:space="0" w:color="auto"/>
            </w:tcBorders>
            <w:shd w:val="clear" w:color="auto" w:fill="D9D9D9"/>
            <w:tcMar>
              <w:top w:w="0" w:type="dxa"/>
              <w:left w:w="70" w:type="dxa"/>
              <w:bottom w:w="0" w:type="dxa"/>
              <w:right w:w="70" w:type="dxa"/>
            </w:tcMar>
            <w:vAlign w:val="center"/>
            <w:hideMark/>
          </w:tcPr>
          <w:p w14:paraId="134C7FCD" w14:textId="77777777" w:rsidR="00906E58" w:rsidRPr="00906E58" w:rsidRDefault="00906E58" w:rsidP="00906E58">
            <w:pPr>
              <w:spacing w:after="0"/>
              <w:ind w:left="121" w:hanging="107"/>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za licence celkem v Kč </w:t>
            </w:r>
            <w:r w:rsidRPr="00906E58">
              <w:rPr>
                <w:rFonts w:ascii="Verdana" w:eastAsia="Verdana" w:hAnsi="Verdana" w:cs="Times New Roman"/>
                <w:b/>
                <w:bCs/>
                <w:color w:val="000000"/>
                <w:sz w:val="16"/>
                <w:szCs w:val="16"/>
              </w:rPr>
              <w:br/>
              <w:t>vč. DPH</w:t>
            </w:r>
          </w:p>
        </w:tc>
      </w:tr>
      <w:tr w:rsidR="0019629A" w:rsidRPr="00906E58" w14:paraId="1845DB9A" w14:textId="77777777" w:rsidTr="0054703E">
        <w:trPr>
          <w:trHeight w:val="514"/>
        </w:trPr>
        <w:tc>
          <w:tcPr>
            <w:tcW w:w="1701"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tcPr>
          <w:p w14:paraId="4E0AADAE" w14:textId="77777777" w:rsidR="00906E58" w:rsidRPr="00906E58" w:rsidRDefault="00906E58" w:rsidP="00906E58">
            <w:pPr>
              <w:spacing w:after="0"/>
              <w:ind w:left="72"/>
              <w:rPr>
                <w:rFonts w:ascii="Verdana" w:eastAsia="Verdana" w:hAnsi="Verdana" w:cs="Times New Roman"/>
                <w:b/>
                <w:bCs/>
                <w:snapToGrid w:val="0"/>
                <w:color w:val="000000"/>
                <w:sz w:val="14"/>
                <w:szCs w:val="14"/>
              </w:rPr>
            </w:pPr>
            <w:r w:rsidRPr="00906E58">
              <w:rPr>
                <w:rFonts w:ascii="Verdana" w:eastAsia="Verdana" w:hAnsi="Verdana" w:cs="Times New Roman"/>
                <w:b/>
                <w:bCs/>
                <w:snapToGrid w:val="0"/>
                <w:color w:val="000000"/>
                <w:sz w:val="14"/>
                <w:szCs w:val="14"/>
              </w:rPr>
              <w:t xml:space="preserve">BENTLEY </w:t>
            </w:r>
            <w:proofErr w:type="spellStart"/>
            <w:r w:rsidRPr="00906E58">
              <w:rPr>
                <w:rFonts w:ascii="Verdana" w:eastAsia="Verdana" w:hAnsi="Verdana" w:cs="Times New Roman"/>
                <w:b/>
                <w:bCs/>
                <w:snapToGrid w:val="0"/>
                <w:color w:val="000000"/>
                <w:sz w:val="14"/>
                <w:szCs w:val="14"/>
              </w:rPr>
              <w:t>PowerMap</w:t>
            </w:r>
            <w:proofErr w:type="spellEnd"/>
          </w:p>
        </w:tc>
        <w:tc>
          <w:tcPr>
            <w:tcW w:w="953" w:type="dxa"/>
            <w:tcBorders>
              <w:top w:val="nil"/>
              <w:left w:val="nil"/>
              <w:bottom w:val="single" w:sz="8" w:space="0" w:color="auto"/>
              <w:right w:val="single" w:sz="8" w:space="0" w:color="auto"/>
            </w:tcBorders>
            <w:tcMar>
              <w:top w:w="0" w:type="dxa"/>
              <w:left w:w="70" w:type="dxa"/>
              <w:bottom w:w="0" w:type="dxa"/>
              <w:right w:w="70" w:type="dxa"/>
            </w:tcMar>
            <w:vAlign w:val="center"/>
          </w:tcPr>
          <w:p w14:paraId="0AB5D723" w14:textId="77777777" w:rsidR="00906E58" w:rsidRPr="00906E58" w:rsidRDefault="00906E58" w:rsidP="00906E58">
            <w:pPr>
              <w:spacing w:after="0"/>
              <w:ind w:left="567"/>
              <w:jc w:val="center"/>
              <w:rPr>
                <w:rFonts w:ascii="Verdana" w:eastAsia="Calibri" w:hAnsi="Verdana" w:cs="Calibri"/>
                <w:b/>
                <w:bCs/>
                <w:color w:val="000000"/>
                <w:sz w:val="16"/>
                <w:szCs w:val="16"/>
              </w:rPr>
            </w:pPr>
            <w:r w:rsidRPr="00906E58">
              <w:rPr>
                <w:rFonts w:ascii="Verdana" w:eastAsia="Calibri" w:hAnsi="Verdana" w:cs="Calibri"/>
                <w:b/>
                <w:bCs/>
                <w:color w:val="000000"/>
                <w:sz w:val="16"/>
                <w:szCs w:val="16"/>
              </w:rPr>
              <w:t>9</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tcPr>
          <w:p w14:paraId="7D0B14E8" w14:textId="4D7629CB"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tcPr>
          <w:p w14:paraId="2D2DF527" w14:textId="492E209F"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tcPr>
          <w:p w14:paraId="5722B029" w14:textId="09A63F5E"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nil"/>
              <w:left w:val="nil"/>
              <w:bottom w:val="single" w:sz="8" w:space="0" w:color="auto"/>
              <w:right w:val="single" w:sz="12" w:space="0" w:color="auto"/>
            </w:tcBorders>
            <w:tcMar>
              <w:top w:w="0" w:type="dxa"/>
              <w:left w:w="70" w:type="dxa"/>
              <w:bottom w:w="0" w:type="dxa"/>
              <w:right w:w="70" w:type="dxa"/>
            </w:tcMar>
            <w:vAlign w:val="center"/>
          </w:tcPr>
          <w:p w14:paraId="68CCEA50" w14:textId="49D9B730"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r>
      <w:tr w:rsidR="0019629A" w:rsidRPr="00906E58" w14:paraId="5494FC7A" w14:textId="77777777" w:rsidTr="0054703E">
        <w:trPr>
          <w:trHeight w:val="324"/>
        </w:trPr>
        <w:tc>
          <w:tcPr>
            <w:tcW w:w="1701" w:type="dxa"/>
            <w:tcBorders>
              <w:top w:val="single" w:sz="8" w:space="0" w:color="auto"/>
              <w:left w:val="single" w:sz="12" w:space="0" w:color="auto"/>
              <w:bottom w:val="single" w:sz="8" w:space="0" w:color="auto"/>
              <w:right w:val="single" w:sz="8" w:space="0" w:color="auto"/>
            </w:tcBorders>
            <w:tcMar>
              <w:top w:w="0" w:type="dxa"/>
              <w:left w:w="70" w:type="dxa"/>
              <w:bottom w:w="0" w:type="dxa"/>
              <w:right w:w="70" w:type="dxa"/>
            </w:tcMar>
            <w:vAlign w:val="center"/>
            <w:hideMark/>
          </w:tcPr>
          <w:p w14:paraId="4B0662EF" w14:textId="77777777" w:rsidR="00906E58" w:rsidRPr="00906E58" w:rsidRDefault="00906E58" w:rsidP="00906E58">
            <w:pPr>
              <w:spacing w:after="0"/>
              <w:ind w:left="72"/>
              <w:rPr>
                <w:rFonts w:ascii="Verdana" w:eastAsia="Verdana" w:hAnsi="Verdana" w:cs="Times New Roman"/>
                <w:b/>
                <w:bCs/>
                <w:snapToGrid w:val="0"/>
                <w:color w:val="000000"/>
                <w:sz w:val="14"/>
                <w:szCs w:val="14"/>
              </w:rPr>
            </w:pPr>
            <w:r w:rsidRPr="00906E58">
              <w:rPr>
                <w:rFonts w:ascii="Verdana" w:eastAsia="Verdana" w:hAnsi="Verdana" w:cs="Times New Roman"/>
                <w:b/>
                <w:bCs/>
                <w:snapToGrid w:val="0"/>
                <w:color w:val="000000"/>
                <w:sz w:val="14"/>
                <w:szCs w:val="14"/>
              </w:rPr>
              <w:t>BENTLEYI/RAS B</w:t>
            </w:r>
          </w:p>
        </w:tc>
        <w:tc>
          <w:tcPr>
            <w:tcW w:w="95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F0E494F" w14:textId="77777777" w:rsidR="00906E58" w:rsidRPr="00906E58" w:rsidRDefault="00906E58" w:rsidP="00906E58">
            <w:pPr>
              <w:spacing w:after="0"/>
              <w:ind w:left="567"/>
              <w:jc w:val="center"/>
              <w:rPr>
                <w:rFonts w:ascii="Verdana" w:eastAsia="Calibri" w:hAnsi="Verdana" w:cs="Calibri"/>
                <w:b/>
                <w:bCs/>
                <w:color w:val="000000"/>
                <w:sz w:val="16"/>
                <w:szCs w:val="16"/>
              </w:rPr>
            </w:pPr>
            <w:r w:rsidRPr="00906E58">
              <w:rPr>
                <w:rFonts w:ascii="Verdana" w:eastAsia="Calibri" w:hAnsi="Verdana" w:cs="Calibri"/>
                <w:b/>
                <w:bCs/>
                <w:color w:val="000000"/>
                <w:sz w:val="16"/>
                <w:szCs w:val="16"/>
              </w:rPr>
              <w:t>12</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21F3769" w14:textId="40559590"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29D9D93" w14:textId="2E578915"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3B2CF91" w14:textId="37E4B9A6"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0" w:type="auto"/>
            <w:tcBorders>
              <w:top w:val="single" w:sz="8" w:space="0" w:color="auto"/>
              <w:left w:val="nil"/>
              <w:bottom w:val="single" w:sz="8" w:space="0" w:color="auto"/>
              <w:right w:val="single" w:sz="12" w:space="0" w:color="auto"/>
            </w:tcBorders>
            <w:tcMar>
              <w:top w:w="0" w:type="dxa"/>
              <w:left w:w="70" w:type="dxa"/>
              <w:bottom w:w="0" w:type="dxa"/>
              <w:right w:w="70" w:type="dxa"/>
            </w:tcMar>
            <w:vAlign w:val="center"/>
            <w:hideMark/>
          </w:tcPr>
          <w:p w14:paraId="5DD1CC3C" w14:textId="5CB2F4D6"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r>
      <w:tr w:rsidR="0019629A" w:rsidRPr="00906E58" w14:paraId="37FBF130" w14:textId="77777777" w:rsidTr="0054703E">
        <w:trPr>
          <w:trHeight w:val="324"/>
        </w:trPr>
        <w:tc>
          <w:tcPr>
            <w:tcW w:w="0" w:type="auto"/>
            <w:gridSpan w:val="4"/>
            <w:tcBorders>
              <w:top w:val="single" w:sz="8" w:space="0" w:color="auto"/>
              <w:left w:val="single" w:sz="12" w:space="0" w:color="auto"/>
              <w:bottom w:val="single" w:sz="8" w:space="0" w:color="auto"/>
              <w:right w:val="single" w:sz="8" w:space="0" w:color="auto"/>
            </w:tcBorders>
            <w:tcMar>
              <w:top w:w="0" w:type="dxa"/>
              <w:left w:w="70" w:type="dxa"/>
              <w:bottom w:w="0" w:type="dxa"/>
              <w:right w:w="70" w:type="dxa"/>
            </w:tcMar>
            <w:vAlign w:val="center"/>
          </w:tcPr>
          <w:p w14:paraId="72A6B6A0" w14:textId="77777777" w:rsidR="00906E58" w:rsidRPr="00906E58" w:rsidRDefault="00906E58" w:rsidP="00906E58">
            <w:pPr>
              <w:spacing w:after="0"/>
              <w:ind w:left="567"/>
              <w:jc w:val="center"/>
              <w:rPr>
                <w:rFonts w:ascii="Verdana" w:eastAsia="Verdana" w:hAnsi="Verdana" w:cs="Times New Roman"/>
                <w:b/>
                <w:bCs/>
                <w:color w:val="FF0000"/>
                <w:sz w:val="16"/>
                <w:szCs w:val="16"/>
              </w:rPr>
            </w:pPr>
            <w:r w:rsidRPr="00906E58">
              <w:rPr>
                <w:rFonts w:ascii="Verdana" w:eastAsia="Verdana" w:hAnsi="Verdana" w:cs="Times New Roman"/>
                <w:b/>
                <w:bCs/>
                <w:sz w:val="16"/>
                <w:szCs w:val="16"/>
              </w:rPr>
              <w:t>Cena za aktivaci celkem</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0B8FDF5" w14:textId="5867A649"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w:t>
            </w:r>
            <w:proofErr w:type="spellStart"/>
            <w:r w:rsidR="0019629A" w:rsidRPr="0019629A">
              <w:rPr>
                <w:rFonts w:ascii="Verdana" w:eastAsia="Verdana" w:hAnsi="Verdana" w:cs="Times New Roman"/>
                <w:b/>
                <w:bCs/>
                <w:sz w:val="16"/>
                <w:szCs w:val="16"/>
                <w:highlight w:val="yellow"/>
              </w:rPr>
              <w:t>úastník</w:t>
            </w:r>
            <w:proofErr w:type="spellEnd"/>
          </w:p>
        </w:tc>
        <w:tc>
          <w:tcPr>
            <w:tcW w:w="0" w:type="auto"/>
            <w:tcBorders>
              <w:top w:val="single" w:sz="8" w:space="0" w:color="auto"/>
              <w:left w:val="nil"/>
              <w:bottom w:val="single" w:sz="8" w:space="0" w:color="auto"/>
              <w:right w:val="single" w:sz="12" w:space="0" w:color="auto"/>
            </w:tcBorders>
            <w:tcMar>
              <w:top w:w="0" w:type="dxa"/>
              <w:left w:w="70" w:type="dxa"/>
              <w:bottom w:w="0" w:type="dxa"/>
              <w:right w:w="70" w:type="dxa"/>
            </w:tcMar>
            <w:vAlign w:val="center"/>
          </w:tcPr>
          <w:p w14:paraId="53F34DC9" w14:textId="1B63119E" w:rsidR="00906E58" w:rsidRPr="00906E58" w:rsidRDefault="00906E58" w:rsidP="00906E58">
            <w:pPr>
              <w:spacing w:after="0"/>
              <w:ind w:left="567"/>
              <w:jc w:val="center"/>
              <w:rPr>
                <w:rFonts w:ascii="Verdana" w:eastAsia="Verdana" w:hAnsi="Verdana" w:cs="Times New Roman"/>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doplní účastník</w:t>
            </w:r>
          </w:p>
        </w:tc>
      </w:tr>
    </w:tbl>
    <w:p w14:paraId="2E313D4A" w14:textId="77777777" w:rsidR="00906E58" w:rsidRDefault="00906E58" w:rsidP="00DF26A9">
      <w:pPr>
        <w:pStyle w:val="Odstavecseseznamem"/>
        <w:spacing w:after="0" w:line="240" w:lineRule="auto"/>
        <w:jc w:val="both"/>
      </w:pPr>
    </w:p>
    <w:p w14:paraId="66F09C8E" w14:textId="77777777" w:rsidR="00906E58" w:rsidRDefault="00906E58" w:rsidP="00DF26A9">
      <w:pPr>
        <w:pStyle w:val="Odstavecseseznamem"/>
        <w:spacing w:after="0" w:line="240" w:lineRule="auto"/>
        <w:jc w:val="both"/>
      </w:pPr>
    </w:p>
    <w:p w14:paraId="540DEC29" w14:textId="498B982B" w:rsidR="00906E58" w:rsidRDefault="00906E58" w:rsidP="00906E58">
      <w:pPr>
        <w:pStyle w:val="Odstavecseseznamem"/>
        <w:numPr>
          <w:ilvl w:val="1"/>
          <w:numId w:val="18"/>
        </w:numPr>
        <w:spacing w:after="0" w:line="240" w:lineRule="auto"/>
        <w:ind w:hanging="720"/>
        <w:jc w:val="both"/>
      </w:pPr>
      <w:r w:rsidRPr="00906E58">
        <w:rPr>
          <w:rFonts w:ascii="Verdana" w:eastAsia="Verdana" w:hAnsi="Verdana" w:cs="Times New Roman"/>
        </w:rPr>
        <w:t>Celková cena (cena celkem za zajištění technické podpory + cena za aktivaci celkem)</w:t>
      </w:r>
    </w:p>
    <w:p w14:paraId="3529CF6A" w14:textId="77777777" w:rsidR="00906E58" w:rsidRDefault="00906E58" w:rsidP="00DF26A9">
      <w:pPr>
        <w:pStyle w:val="Odstavecseseznamem"/>
        <w:spacing w:after="0" w:line="240" w:lineRule="auto"/>
        <w:jc w:val="both"/>
      </w:pPr>
    </w:p>
    <w:tbl>
      <w:tblPr>
        <w:tblW w:w="8647" w:type="dxa"/>
        <w:tblInd w:w="212" w:type="dxa"/>
        <w:tblCellMar>
          <w:left w:w="0" w:type="dxa"/>
          <w:right w:w="0" w:type="dxa"/>
        </w:tblCellMar>
        <w:tblLook w:val="04A0" w:firstRow="1" w:lastRow="0" w:firstColumn="1" w:lastColumn="0" w:noHBand="0" w:noVBand="1"/>
      </w:tblPr>
      <w:tblGrid>
        <w:gridCol w:w="1701"/>
        <w:gridCol w:w="3402"/>
        <w:gridCol w:w="3544"/>
      </w:tblGrid>
      <w:tr w:rsidR="00906E58" w:rsidRPr="00906E58" w14:paraId="79262FEF" w14:textId="77777777" w:rsidTr="0054703E">
        <w:trPr>
          <w:trHeight w:val="468"/>
        </w:trPr>
        <w:tc>
          <w:tcPr>
            <w:tcW w:w="1701" w:type="dxa"/>
            <w:tcBorders>
              <w:top w:val="single" w:sz="12" w:space="0" w:color="auto"/>
              <w:left w:val="single" w:sz="12" w:space="0" w:color="auto"/>
              <w:bottom w:val="single" w:sz="8" w:space="0" w:color="auto"/>
              <w:right w:val="single" w:sz="8" w:space="0" w:color="auto"/>
            </w:tcBorders>
            <w:shd w:val="clear" w:color="auto" w:fill="D9D9D9"/>
            <w:tcMar>
              <w:top w:w="0" w:type="dxa"/>
              <w:left w:w="70" w:type="dxa"/>
              <w:bottom w:w="0" w:type="dxa"/>
              <w:right w:w="70" w:type="dxa"/>
            </w:tcMar>
            <w:vAlign w:val="center"/>
          </w:tcPr>
          <w:p w14:paraId="2E7AC477" w14:textId="77777777" w:rsidR="00906E58" w:rsidRPr="00906E58" w:rsidRDefault="00906E58" w:rsidP="00906E58">
            <w:pPr>
              <w:spacing w:after="0"/>
              <w:ind w:left="214"/>
              <w:jc w:val="center"/>
              <w:rPr>
                <w:rFonts w:ascii="Calibri" w:eastAsia="Calibri" w:hAnsi="Calibri" w:cs="Calibri"/>
                <w:b/>
                <w:bCs/>
                <w:color w:val="000000"/>
                <w:sz w:val="16"/>
                <w:szCs w:val="16"/>
              </w:rPr>
            </w:pPr>
          </w:p>
        </w:tc>
        <w:tc>
          <w:tcPr>
            <w:tcW w:w="3402"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36CFD8F5" w14:textId="77777777" w:rsidR="00906E58" w:rsidRPr="00906E58" w:rsidRDefault="00906E58" w:rsidP="00906E58">
            <w:pPr>
              <w:spacing w:after="0"/>
              <w:ind w:left="99" w:hanging="3"/>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cena v Kč bez DPH</w:t>
            </w:r>
          </w:p>
        </w:tc>
        <w:tc>
          <w:tcPr>
            <w:tcW w:w="3544" w:type="dxa"/>
            <w:tcBorders>
              <w:top w:val="single" w:sz="12"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EC2FB0E" w14:textId="77777777" w:rsidR="00906E58" w:rsidRPr="00906E58" w:rsidRDefault="00906E58" w:rsidP="00906E58">
            <w:pPr>
              <w:spacing w:after="0"/>
              <w:ind w:left="154" w:hanging="61"/>
              <w:jc w:val="center"/>
              <w:rPr>
                <w:rFonts w:ascii="Calibri" w:eastAsia="Calibri" w:hAnsi="Calibri" w:cs="Calibri"/>
                <w:b/>
                <w:bCs/>
                <w:color w:val="000000"/>
                <w:sz w:val="16"/>
                <w:szCs w:val="16"/>
              </w:rPr>
            </w:pPr>
            <w:r w:rsidRPr="00906E58">
              <w:rPr>
                <w:rFonts w:ascii="Verdana" w:eastAsia="Verdana" w:hAnsi="Verdana" w:cs="Times New Roman"/>
                <w:b/>
                <w:bCs/>
                <w:color w:val="000000"/>
                <w:sz w:val="16"/>
                <w:szCs w:val="16"/>
              </w:rPr>
              <w:t xml:space="preserve">cena v Kč </w:t>
            </w:r>
            <w:r w:rsidRPr="00906E58">
              <w:rPr>
                <w:rFonts w:ascii="Verdana" w:eastAsia="Verdana" w:hAnsi="Verdana" w:cs="Times New Roman"/>
                <w:b/>
                <w:bCs/>
                <w:color w:val="000000"/>
                <w:sz w:val="16"/>
                <w:szCs w:val="16"/>
              </w:rPr>
              <w:br/>
              <w:t>vč. DPH</w:t>
            </w:r>
          </w:p>
        </w:tc>
      </w:tr>
      <w:tr w:rsidR="00906E58" w:rsidRPr="00906E58" w14:paraId="12001815" w14:textId="77777777" w:rsidTr="0054703E">
        <w:trPr>
          <w:trHeight w:val="401"/>
        </w:trPr>
        <w:tc>
          <w:tcPr>
            <w:tcW w:w="1701"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14:paraId="4909DA96" w14:textId="77777777" w:rsidR="00906E58" w:rsidRPr="00906E58" w:rsidRDefault="00906E58" w:rsidP="00906E58">
            <w:pPr>
              <w:spacing w:after="0"/>
              <w:ind w:left="567" w:hanging="495"/>
              <w:rPr>
                <w:rFonts w:ascii="Calibri" w:eastAsia="Calibri" w:hAnsi="Calibri" w:cs="Calibri"/>
                <w:b/>
                <w:bCs/>
                <w:color w:val="000000"/>
                <w:sz w:val="14"/>
                <w:szCs w:val="14"/>
              </w:rPr>
            </w:pPr>
            <w:r w:rsidRPr="00906E58">
              <w:rPr>
                <w:rFonts w:ascii="Verdana" w:eastAsia="Verdana" w:hAnsi="Verdana" w:cs="Times New Roman"/>
                <w:b/>
                <w:bCs/>
                <w:snapToGrid w:val="0"/>
                <w:color w:val="000000"/>
                <w:sz w:val="14"/>
                <w:szCs w:val="14"/>
              </w:rPr>
              <w:t>Celková cena</w:t>
            </w:r>
          </w:p>
        </w:tc>
        <w:tc>
          <w:tcPr>
            <w:tcW w:w="340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138296" w14:textId="42A79EBC"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c>
          <w:tcPr>
            <w:tcW w:w="354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858304" w14:textId="33815EF3" w:rsidR="00906E58" w:rsidRPr="00906E58" w:rsidRDefault="00906E58" w:rsidP="00906E58">
            <w:pPr>
              <w:spacing w:after="0"/>
              <w:ind w:left="567"/>
              <w:jc w:val="center"/>
              <w:rPr>
                <w:rFonts w:ascii="Calibri" w:eastAsia="Calibri" w:hAnsi="Calibri" w:cs="Calibri"/>
                <w:b/>
                <w:bCs/>
                <w:sz w:val="16"/>
                <w:szCs w:val="16"/>
                <w:highlight w:val="yellow"/>
              </w:rPr>
            </w:pPr>
            <w:r w:rsidRPr="00906E58">
              <w:rPr>
                <w:rFonts w:ascii="Verdana" w:eastAsia="Verdana" w:hAnsi="Verdana" w:cs="Times New Roman"/>
                <w:b/>
                <w:bCs/>
                <w:sz w:val="16"/>
                <w:szCs w:val="16"/>
                <w:highlight w:val="yellow"/>
              </w:rPr>
              <w:t>*</w:t>
            </w:r>
            <w:r w:rsidR="0019629A" w:rsidRPr="0019629A">
              <w:rPr>
                <w:rFonts w:ascii="Verdana" w:eastAsia="Verdana" w:hAnsi="Verdana" w:cs="Times New Roman"/>
                <w:b/>
                <w:bCs/>
                <w:sz w:val="16"/>
                <w:szCs w:val="16"/>
                <w:highlight w:val="yellow"/>
              </w:rPr>
              <w:t xml:space="preserve"> doplní účastník</w:t>
            </w:r>
          </w:p>
        </w:tc>
      </w:tr>
    </w:tbl>
    <w:p w14:paraId="2006EC47" w14:textId="77777777" w:rsidR="00906E58" w:rsidRDefault="00906E58" w:rsidP="00DF26A9">
      <w:pPr>
        <w:pStyle w:val="Odstavecseseznamem"/>
        <w:spacing w:after="0" w:line="240" w:lineRule="auto"/>
        <w:jc w:val="both"/>
      </w:pPr>
    </w:p>
    <w:p w14:paraId="607439AD" w14:textId="77777777" w:rsidR="00C562C9" w:rsidRDefault="00C562C9" w:rsidP="00DF26A9">
      <w:pPr>
        <w:spacing w:after="0" w:line="240" w:lineRule="auto"/>
        <w:jc w:val="both"/>
      </w:pPr>
    </w:p>
    <w:p w14:paraId="421D14D7" w14:textId="53B7D29C" w:rsidR="00842A35" w:rsidRDefault="00C562C9" w:rsidP="00810E9B">
      <w:pPr>
        <w:pStyle w:val="Odstavecseseznamem"/>
        <w:numPr>
          <w:ilvl w:val="1"/>
          <w:numId w:val="18"/>
        </w:numPr>
        <w:spacing w:after="0" w:line="240" w:lineRule="auto"/>
        <w:ind w:hanging="720"/>
        <w:jc w:val="both"/>
      </w:pPr>
      <w:r>
        <w:t xml:space="preserve">Cena za umožnění </w:t>
      </w:r>
      <w:r w:rsidR="00607980">
        <w:t xml:space="preserve">užívání licencí </w:t>
      </w:r>
      <w:proofErr w:type="spellStart"/>
      <w:r w:rsidR="00607980">
        <w:t>Microstation</w:t>
      </w:r>
      <w:proofErr w:type="spellEnd"/>
      <w:r w:rsidR="00607980">
        <w:t xml:space="preserve"> nad smluvený počet </w:t>
      </w:r>
      <w:r w:rsidR="00842A35">
        <w:t xml:space="preserve">(Termínované licence) </w:t>
      </w:r>
      <w:r w:rsidR="00607980">
        <w:t>podle potřeby zadavatele</w:t>
      </w:r>
      <w:r w:rsidR="00842A35">
        <w:t>, v maximáln</w:t>
      </w:r>
      <w:r w:rsidR="002A5250">
        <w:t>í hodnotě až do výše 1.400.000 K</w:t>
      </w:r>
      <w:r w:rsidR="00842A35">
        <w:t>č bez DPH.</w:t>
      </w:r>
    </w:p>
    <w:p w14:paraId="28C81697" w14:textId="037F0A01" w:rsidR="00810E9B" w:rsidRPr="007730E5" w:rsidRDefault="007730E5" w:rsidP="00810E9B">
      <w:pPr>
        <w:pStyle w:val="Odstavecseseznamem"/>
        <w:numPr>
          <w:ilvl w:val="1"/>
          <w:numId w:val="18"/>
        </w:numPr>
        <w:spacing w:after="0" w:line="240" w:lineRule="auto"/>
        <w:ind w:hanging="720"/>
        <w:jc w:val="both"/>
      </w:pPr>
      <w:r w:rsidRPr="007730E5">
        <w:t>Platba za předmět služeb vymezený v bodě 2.1 této Smlouvy bude uskutečněna na základě fakturace provedené poskytovatelem podle následujícího splátkového kalendáře:</w:t>
      </w:r>
    </w:p>
    <w:p w14:paraId="582DCAA5" w14:textId="18440DBA" w:rsidR="007730E5" w:rsidRPr="007730E5" w:rsidRDefault="007730E5" w:rsidP="007730E5">
      <w:pPr>
        <w:pStyle w:val="Odstavecseseznamem"/>
        <w:numPr>
          <w:ilvl w:val="0"/>
          <w:numId w:val="38"/>
        </w:numPr>
        <w:spacing w:after="0" w:line="240" w:lineRule="auto"/>
        <w:jc w:val="both"/>
      </w:pPr>
      <w:r w:rsidRPr="007730E5">
        <w:t>Fakturace za technickou podporu:</w:t>
      </w:r>
    </w:p>
    <w:p w14:paraId="3F9A29D8" w14:textId="51B42154" w:rsidR="007730E5" w:rsidRPr="007730E5" w:rsidRDefault="007730E5" w:rsidP="007730E5">
      <w:pPr>
        <w:pStyle w:val="Odstavecseseznamem"/>
        <w:numPr>
          <w:ilvl w:val="0"/>
          <w:numId w:val="39"/>
        </w:numPr>
        <w:spacing w:after="0" w:line="240" w:lineRule="auto"/>
        <w:jc w:val="both"/>
      </w:pPr>
      <w:r w:rsidRPr="007730E5">
        <w:t xml:space="preserve">1. </w:t>
      </w:r>
      <w:r>
        <w:t>s</w:t>
      </w:r>
      <w:r w:rsidRPr="007730E5">
        <w:t>plátka: do 30 dnů od účinnosti této Smlouvy</w:t>
      </w:r>
    </w:p>
    <w:p w14:paraId="66BA9DAC" w14:textId="7F60A415" w:rsidR="007730E5" w:rsidRPr="007730E5" w:rsidRDefault="007730E5" w:rsidP="007730E5">
      <w:pPr>
        <w:pStyle w:val="Odstavecseseznamem"/>
        <w:numPr>
          <w:ilvl w:val="0"/>
          <w:numId w:val="39"/>
        </w:numPr>
        <w:spacing w:after="0" w:line="240" w:lineRule="auto"/>
        <w:jc w:val="both"/>
      </w:pPr>
      <w:r w:rsidRPr="007730E5">
        <w:t xml:space="preserve">2. </w:t>
      </w:r>
      <w:r>
        <w:t>s</w:t>
      </w:r>
      <w:r w:rsidRPr="007730E5">
        <w:t>plátka: do 15. 1. 2020</w:t>
      </w:r>
    </w:p>
    <w:p w14:paraId="5503C101" w14:textId="0FC757BF" w:rsidR="007730E5" w:rsidRPr="007730E5" w:rsidRDefault="007730E5" w:rsidP="007730E5">
      <w:pPr>
        <w:pStyle w:val="Odstavecseseznamem"/>
        <w:numPr>
          <w:ilvl w:val="0"/>
          <w:numId w:val="39"/>
        </w:numPr>
        <w:spacing w:after="0" w:line="240" w:lineRule="auto"/>
        <w:jc w:val="both"/>
      </w:pPr>
      <w:r w:rsidRPr="007730E5">
        <w:t xml:space="preserve">3. </w:t>
      </w:r>
      <w:r>
        <w:t>s</w:t>
      </w:r>
      <w:r w:rsidRPr="007730E5">
        <w:t>plátka: do 15. 4. 2020</w:t>
      </w:r>
    </w:p>
    <w:p w14:paraId="1E62DF37" w14:textId="14939805" w:rsidR="007730E5" w:rsidRPr="007730E5" w:rsidRDefault="007730E5" w:rsidP="007730E5">
      <w:pPr>
        <w:pStyle w:val="Odstavecseseznamem"/>
        <w:numPr>
          <w:ilvl w:val="0"/>
          <w:numId w:val="39"/>
        </w:numPr>
        <w:spacing w:after="0" w:line="240" w:lineRule="auto"/>
        <w:jc w:val="both"/>
      </w:pPr>
      <w:r w:rsidRPr="007730E5">
        <w:t xml:space="preserve">4. </w:t>
      </w:r>
      <w:r>
        <w:t>s</w:t>
      </w:r>
      <w:r w:rsidRPr="007730E5">
        <w:t>plátka: do 15. 7. 2020</w:t>
      </w:r>
    </w:p>
    <w:p w14:paraId="6C07D891" w14:textId="0ABD7439" w:rsidR="007730E5" w:rsidRPr="007730E5" w:rsidRDefault="00E447A1" w:rsidP="007730E5">
      <w:pPr>
        <w:pStyle w:val="Odstavecseseznamem"/>
        <w:numPr>
          <w:ilvl w:val="0"/>
          <w:numId w:val="38"/>
        </w:numPr>
        <w:spacing w:after="0" w:line="240" w:lineRule="auto"/>
        <w:jc w:val="both"/>
      </w:pPr>
      <w:r>
        <w:t>Jednorázová f</w:t>
      </w:r>
      <w:r w:rsidR="007730E5" w:rsidRPr="007730E5">
        <w:t xml:space="preserve">akturace za aktivaci </w:t>
      </w:r>
      <w:r w:rsidR="0055205C">
        <w:t xml:space="preserve">doposud nepoužívaných </w:t>
      </w:r>
      <w:r w:rsidR="007730E5" w:rsidRPr="007730E5">
        <w:t>licencí: do 30 dnů od účinnosti této Smlouvy</w:t>
      </w:r>
    </w:p>
    <w:p w14:paraId="08B2AEB5" w14:textId="034819C3" w:rsidR="007730E5" w:rsidRDefault="007730E5" w:rsidP="007730E5">
      <w:pPr>
        <w:pStyle w:val="Odstavecseseznamem"/>
        <w:numPr>
          <w:ilvl w:val="0"/>
          <w:numId w:val="38"/>
        </w:numPr>
        <w:spacing w:after="0" w:line="240" w:lineRule="auto"/>
        <w:jc w:val="both"/>
      </w:pPr>
      <w:r w:rsidRPr="007730E5">
        <w:t>Fakturace za termínované licence – na základě protokolu o užívání licencí nad smluvený počet</w:t>
      </w:r>
    </w:p>
    <w:p w14:paraId="75125E0D" w14:textId="554BC4B6" w:rsidR="00AD3039" w:rsidRPr="007730E5" w:rsidRDefault="0059511D" w:rsidP="0059511D">
      <w:pPr>
        <w:pStyle w:val="Odstavecseseznamem"/>
        <w:numPr>
          <w:ilvl w:val="1"/>
          <w:numId w:val="18"/>
        </w:numPr>
        <w:spacing w:after="0" w:line="240" w:lineRule="auto"/>
        <w:ind w:hanging="720"/>
        <w:jc w:val="both"/>
      </w:pPr>
      <w:r w:rsidRPr="0059511D">
        <w:t xml:space="preserve">Cenu za překročení počtu nasmlouvaných licencí dle čl. </w:t>
      </w:r>
      <w:proofErr w:type="gramStart"/>
      <w:r w:rsidRPr="0059511D">
        <w:t>3</w:t>
      </w:r>
      <w:r w:rsidR="002A5250">
        <w:t>.</w:t>
      </w:r>
      <w:r w:rsidR="00452EF5">
        <w:t>4</w:t>
      </w:r>
      <w:r w:rsidR="005601B8">
        <w:t>.</w:t>
      </w:r>
      <w:r w:rsidRPr="0059511D">
        <w:t xml:space="preserve"> této</w:t>
      </w:r>
      <w:proofErr w:type="gramEnd"/>
      <w:r w:rsidRPr="0059511D">
        <w:t xml:space="preserve"> Smlouvy</w:t>
      </w:r>
      <w:r w:rsidR="005601B8">
        <w:t xml:space="preserve"> (Termínované licence)</w:t>
      </w:r>
      <w:r w:rsidRPr="0059511D">
        <w:t>, a to až do výše 1.400.000,- Kč bez DPH v souhrnu za celé období trvání této Smlouvy, může Poskytovatel po Objednateli požadovat pouze v případě skutečného využití služeb vymezených v bodě 2.2. této Smlouvy, pouze do výše skutečně</w:t>
      </w:r>
      <w:r w:rsidR="0055205C">
        <w:t xml:space="preserve"> využité</w:t>
      </w:r>
      <w:r w:rsidRPr="0059511D">
        <w:t xml:space="preserve">, a to na základě prokázání nadužívání počtu těchto licencí, formou protokolu nebo jiného výpisu o využívání licencí za určité časové období. Platba za nadužívání licencí bude provedena vždy v následujícím kvartálním období, ve kterém došlo k nadužívání licence v termínech odpovídajícím </w:t>
      </w:r>
      <w:r w:rsidR="00607980">
        <w:t>2</w:t>
      </w:r>
      <w:r w:rsidRPr="0059511D">
        <w:t xml:space="preserve">., </w:t>
      </w:r>
      <w:r w:rsidR="00607980">
        <w:t>3</w:t>
      </w:r>
      <w:r w:rsidRPr="0059511D">
        <w:t xml:space="preserve">. a </w:t>
      </w:r>
      <w:r w:rsidR="00607980">
        <w:t>4</w:t>
      </w:r>
      <w:r w:rsidRPr="0059511D">
        <w:t xml:space="preserve">. splátce dle bodu </w:t>
      </w:r>
      <w:r w:rsidR="00607980">
        <w:t>3</w:t>
      </w:r>
      <w:r w:rsidRPr="0059511D">
        <w:t>.</w:t>
      </w:r>
      <w:r w:rsidR="0055205C">
        <w:t>5</w:t>
      </w:r>
      <w:r w:rsidRPr="0059511D">
        <w:t xml:space="preserve"> této Smlouvy, na základě fakturace provedené Poskytovatelem, platba za případné nadužívání licence v 3Q/2020 bude provedena do 30 dnů od skončení poskytování služeb na základě této Smlouvy.</w:t>
      </w:r>
      <w:r w:rsidR="00700C7C">
        <w:t xml:space="preserve"> </w:t>
      </w:r>
      <w:r w:rsidR="00700C7C">
        <w:rPr>
          <w:rFonts w:ascii="Verdana" w:eastAsia="Verdana" w:hAnsi="Verdana" w:cs="Verdana"/>
          <w:position w:val="-1"/>
        </w:rPr>
        <w:t xml:space="preserve">Cena za překročení počtu nasmlouvaných licencí (za </w:t>
      </w:r>
      <w:r w:rsidR="00700C7C">
        <w:rPr>
          <w:rFonts w:ascii="Verdana" w:eastAsia="Verdana" w:hAnsi="Verdana" w:cs="Verdana"/>
          <w:position w:val="-1"/>
        </w:rPr>
        <w:lastRenderedPageBreak/>
        <w:t>termínované licence) nemusí být</w:t>
      </w:r>
      <w:r w:rsidR="0055205C">
        <w:rPr>
          <w:rFonts w:ascii="Verdana" w:eastAsia="Verdana" w:hAnsi="Verdana" w:cs="Verdana"/>
          <w:position w:val="-1"/>
        </w:rPr>
        <w:t xml:space="preserve"> Objednatelem</w:t>
      </w:r>
      <w:bookmarkStart w:id="0" w:name="_GoBack"/>
      <w:bookmarkEnd w:id="0"/>
      <w:r w:rsidR="00700C7C">
        <w:rPr>
          <w:rFonts w:ascii="Verdana" w:eastAsia="Verdana" w:hAnsi="Verdana" w:cs="Verdana"/>
          <w:position w:val="-1"/>
        </w:rPr>
        <w:t xml:space="preserve"> po dobu trvání smlouvy vůbec čerpána, nebo může být čerpána pouze částečně.</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643BBB13" w:rsidR="004E1498" w:rsidRPr="007730E5" w:rsidRDefault="004E1498" w:rsidP="00592757">
      <w:pPr>
        <w:pStyle w:val="Nadpis2"/>
        <w:jc w:val="left"/>
      </w:pPr>
      <w:r w:rsidRPr="007730E5">
        <w:t>Místem plnění je</w:t>
      </w:r>
      <w:r w:rsidR="007730E5" w:rsidRPr="007730E5">
        <w:t xml:space="preserve"> generální ředitelství SŽDC, Dlážděná 1003/7, 110 00 Praha 1</w:t>
      </w:r>
    </w:p>
    <w:p w14:paraId="4AE0DFE4" w14:textId="4A224426" w:rsidR="004E1498" w:rsidRDefault="00E73DA0" w:rsidP="00592757">
      <w:pPr>
        <w:pStyle w:val="Nadpis2"/>
        <w:jc w:val="left"/>
      </w:pPr>
      <w:r>
        <w:t>Poskytovatel je povinen provádět</w:t>
      </w:r>
      <w:r w:rsidR="004E1498" w:rsidRPr="004E1498">
        <w:t xml:space="preserve"> </w:t>
      </w:r>
      <w:r>
        <w:t>Předmět služeb</w:t>
      </w:r>
      <w:r w:rsidR="004E1498" w:rsidRPr="004E1498">
        <w:t xml:space="preserve"> nejpozději do </w:t>
      </w:r>
      <w:r w:rsidR="007730E5">
        <w:t>30. 9. 2020</w:t>
      </w:r>
      <w:r w:rsidR="0086114C" w:rsidRPr="004E1498">
        <w:t>.</w:t>
      </w:r>
    </w:p>
    <w:p w14:paraId="054CFC3E" w14:textId="50E43EDF" w:rsidR="004E1498" w:rsidRPr="004E1498" w:rsidRDefault="004E1498" w:rsidP="00592757">
      <w:pPr>
        <w:spacing w:after="0" w:line="240" w:lineRule="auto"/>
        <w:ind w:left="1843" w:hanging="1134"/>
        <w:contextualSpacing/>
        <w:rPr>
          <w:rFonts w:eastAsia="Times New Roman" w:cs="Times New Roman"/>
          <w:highlight w:val="yellow"/>
          <w:lang w:eastAsia="cs-CZ"/>
        </w:rPr>
      </w:pPr>
    </w:p>
    <w:p w14:paraId="63F5A1B3" w14:textId="77777777" w:rsidR="00214DCC" w:rsidRPr="00214DCC" w:rsidRDefault="00214DCC" w:rsidP="00214DCC">
      <w:pPr>
        <w:numPr>
          <w:ilvl w:val="0"/>
          <w:numId w:val="17"/>
        </w:numPr>
        <w:tabs>
          <w:tab w:val="num" w:pos="360"/>
        </w:tabs>
        <w:suppressAutoHyphens/>
        <w:spacing w:before="320" w:after="120" w:line="240" w:lineRule="auto"/>
        <w:ind w:left="567" w:hanging="567"/>
        <w:outlineLvl w:val="0"/>
        <w:rPr>
          <w:rFonts w:ascii="Verdana" w:eastAsia="Times New Roman" w:hAnsi="Verdana" w:cs="Times New Roman"/>
          <w:b/>
          <w:spacing w:val="-6"/>
          <w:u w:val="single"/>
          <w:lang w:eastAsia="cs-CZ"/>
        </w:rPr>
      </w:pPr>
      <w:r w:rsidRPr="00214DCC">
        <w:rPr>
          <w:rFonts w:ascii="Verdana" w:eastAsia="Times New Roman" w:hAnsi="Verdana" w:cs="Times New Roman"/>
          <w:b/>
          <w:spacing w:val="-6"/>
          <w:u w:val="single"/>
          <w:lang w:eastAsia="cs-CZ"/>
        </w:rPr>
        <w:t>Poddodavatelé a realizační tým</w:t>
      </w:r>
    </w:p>
    <w:p w14:paraId="614932EE" w14:textId="5D97367C" w:rsidR="00214DCC" w:rsidRPr="00214DCC" w:rsidRDefault="00214DCC" w:rsidP="000F5213">
      <w:pPr>
        <w:pStyle w:val="Nadpis2"/>
        <w:jc w:val="left"/>
      </w:pPr>
      <w:r w:rsidRPr="00214DCC">
        <w:t xml:space="preserve">Na poskytování Služeb se budou podílet poddodavatelé uvedení v příloze č. </w:t>
      </w:r>
      <w:r w:rsidR="00607980">
        <w:t>3</w:t>
      </w:r>
      <w:r w:rsidRPr="00214DCC">
        <w:t xml:space="preserve"> </w:t>
      </w:r>
      <w:proofErr w:type="gramStart"/>
      <w:r w:rsidRPr="00214DCC">
        <w:t>této</w:t>
      </w:r>
      <w:proofErr w:type="gramEnd"/>
      <w:r w:rsidRPr="00214DCC">
        <w:t xml:space="preserve"> smlouvy. </w:t>
      </w:r>
    </w:p>
    <w:p w14:paraId="5033CBAC" w14:textId="41018CF5" w:rsidR="00214DCC" w:rsidRPr="00214DCC" w:rsidRDefault="00214DCC" w:rsidP="00214DCC">
      <w:pPr>
        <w:spacing w:after="0" w:line="240" w:lineRule="auto"/>
        <w:ind w:left="567"/>
        <w:contextualSpacing/>
        <w:rPr>
          <w:rFonts w:ascii="Verdana" w:eastAsia="Times New Roman" w:hAnsi="Verdana" w:cs="Times New Roman"/>
          <w:lang w:eastAsia="cs-CZ"/>
        </w:rPr>
      </w:pPr>
      <w:r w:rsidRPr="00214DCC">
        <w:rPr>
          <w:rFonts w:ascii="Verdana" w:eastAsia="Times New Roman" w:hAnsi="Verdana" w:cs="Times New Roman"/>
          <w:highlight w:val="yellow"/>
          <w:lang w:eastAsia="cs-CZ"/>
        </w:rPr>
        <w:t>(jestliže se na poskytování služeb nebudou podílet poddodavatelé, dodavatel do bodu</w:t>
      </w:r>
      <w:r w:rsidR="00906E58">
        <w:rPr>
          <w:rFonts w:ascii="Verdana" w:eastAsia="Times New Roman" w:hAnsi="Verdana" w:cs="Times New Roman"/>
          <w:highlight w:val="yellow"/>
          <w:lang w:eastAsia="cs-CZ"/>
        </w:rPr>
        <w:t xml:space="preserve"> 5</w:t>
      </w:r>
      <w:r w:rsidRPr="00214DCC">
        <w:rPr>
          <w:rFonts w:ascii="Verdana" w:eastAsia="Times New Roman" w:hAnsi="Verdana" w:cs="Times New Roman"/>
          <w:highlight w:val="yellow"/>
          <w:lang w:eastAsia="cs-CZ"/>
        </w:rPr>
        <w:t>.1 napíše: „Na poskytování služeb se nebudou podílet poddodavatelé“ a vymaže tuto položku ze seznamu příloh).</w:t>
      </w:r>
    </w:p>
    <w:p w14:paraId="06FFD513" w14:textId="1F9DFD1E" w:rsidR="00433B7C" w:rsidRDefault="00433B7C" w:rsidP="00592757">
      <w:pPr>
        <w:pStyle w:val="Nadpis1"/>
        <w:rPr>
          <w:rFonts w:eastAsia="Times New Roman"/>
          <w:lang w:eastAsia="cs-CZ"/>
        </w:rPr>
      </w:pPr>
      <w:r>
        <w:rPr>
          <w:rFonts w:eastAsia="Times New Roman"/>
          <w:lang w:eastAsia="cs-CZ"/>
        </w:rPr>
        <w:t>Licenční ujednání</w:t>
      </w:r>
    </w:p>
    <w:p w14:paraId="3D437113" w14:textId="1190259A" w:rsidR="00433B7C" w:rsidRPr="00CE7347" w:rsidRDefault="00433B7C" w:rsidP="00CE7347">
      <w:pPr>
        <w:ind w:left="567"/>
        <w:rPr>
          <w:lang w:eastAsia="cs-CZ"/>
        </w:rPr>
      </w:pPr>
      <w:r>
        <w:rPr>
          <w:lang w:eastAsia="cs-CZ"/>
        </w:rPr>
        <w:t>Podmínky užívání licencí stanoví dodavatel na základě standardů BENTLEY Systems</w:t>
      </w:r>
      <w:r w:rsidR="00906E58">
        <w:rPr>
          <w:lang w:eastAsia="cs-CZ"/>
        </w:rPr>
        <w:t xml:space="preserve"> International Ltd.</w:t>
      </w:r>
    </w:p>
    <w:p w14:paraId="21F816C5" w14:textId="77777777" w:rsidR="004E1498" w:rsidRPr="004E1498" w:rsidRDefault="004E1498" w:rsidP="00592757">
      <w:pPr>
        <w:pStyle w:val="Nadpis1"/>
        <w:rPr>
          <w:rFonts w:eastAsia="Times New Roman"/>
          <w:lang w:eastAsia="cs-CZ"/>
        </w:rPr>
      </w:pPr>
      <w:r w:rsidRPr="004E1498">
        <w:rPr>
          <w:rFonts w:eastAsia="Times New Roman"/>
          <w:lang w:eastAsia="cs-CZ"/>
        </w:rPr>
        <w:t>Další ujednání</w:t>
      </w:r>
    </w:p>
    <w:p w14:paraId="458E4AF9" w14:textId="4F6F4C29" w:rsidR="004E1498" w:rsidRPr="004E1498" w:rsidRDefault="00E73DA0" w:rsidP="00592757">
      <w:pPr>
        <w:pStyle w:val="Nadpis2"/>
        <w:jc w:val="left"/>
      </w:pPr>
      <w:r>
        <w:t>Poskytovatel</w:t>
      </w:r>
      <w:r w:rsidR="004E1498" w:rsidRPr="004E1498">
        <w:t xml:space="preserve"> prohlašuje, že je způsobilý k řádnému a včasnému </w:t>
      </w:r>
      <w:r>
        <w:t>poskytnutí služeb</w:t>
      </w:r>
      <w:r w:rsidR="004E1498" w:rsidRPr="004E1498">
        <w:t xml:space="preserve"> a že disponuje takovými kapacitami a odbornými znalostmi, které jsou třeba k řádnému </w:t>
      </w:r>
      <w:r>
        <w:t>poskytování služeb</w:t>
      </w:r>
      <w:r w:rsidR="004E1498" w:rsidRPr="004E1498">
        <w:t>.</w:t>
      </w:r>
    </w:p>
    <w:p w14:paraId="7EDF1044" w14:textId="77777777" w:rsidR="004E1498" w:rsidRPr="00163968" w:rsidRDefault="004E1498" w:rsidP="00592757">
      <w:pPr>
        <w:pStyle w:val="Nadpis2"/>
        <w:jc w:val="left"/>
      </w:pPr>
      <w:r w:rsidRPr="004A6983">
        <w:rPr>
          <w:highlight w:val="yellow"/>
        </w:rPr>
        <w:t>Kontaktními osobami smluvních stran jsou</w:t>
      </w:r>
    </w:p>
    <w:p w14:paraId="4E7FEA6D" w14:textId="776D44A0" w:rsidR="004E1498" w:rsidRPr="006206A1" w:rsidRDefault="004E1498" w:rsidP="00592757">
      <w:pPr>
        <w:pStyle w:val="Nadpis3"/>
        <w:jc w:val="left"/>
        <w:rPr>
          <w:highlight w:val="lightGray"/>
        </w:rPr>
      </w:pPr>
      <w:r w:rsidRPr="006206A1">
        <w:rPr>
          <w:highlight w:val="lightGray"/>
        </w:rPr>
        <w:t>za Objednatele p. ………………</w:t>
      </w:r>
      <w:r w:rsidR="0086114C" w:rsidRPr="006206A1">
        <w:rPr>
          <w:highlight w:val="lightGray"/>
        </w:rPr>
        <w:t>……,</w:t>
      </w:r>
      <w:r w:rsidRPr="006206A1">
        <w:rPr>
          <w:highlight w:val="lightGray"/>
        </w:rPr>
        <w:t xml:space="preserve"> tel. ……………</w:t>
      </w:r>
      <w:r w:rsidR="0086114C" w:rsidRPr="006206A1">
        <w:rPr>
          <w:highlight w:val="lightGray"/>
        </w:rPr>
        <w:t>……,</w:t>
      </w:r>
      <w:r w:rsidRPr="006206A1">
        <w:rPr>
          <w:highlight w:val="lightGray"/>
        </w:rPr>
        <w:t xml:space="preserve"> email ………………</w:t>
      </w:r>
      <w:r w:rsidR="0086114C" w:rsidRPr="006206A1">
        <w:rPr>
          <w:highlight w:val="lightGray"/>
        </w:rPr>
        <w:t>……,</w:t>
      </w:r>
    </w:p>
    <w:p w14:paraId="1C513CD4" w14:textId="01B6E89F" w:rsidR="004E1498" w:rsidRPr="004E1498" w:rsidRDefault="004E1498" w:rsidP="00592757">
      <w:pPr>
        <w:pStyle w:val="Nadpis3"/>
        <w:jc w:val="left"/>
        <w:rPr>
          <w:highlight w:val="yellow"/>
        </w:rPr>
      </w:pPr>
      <w:r w:rsidRPr="004E1498">
        <w:rPr>
          <w:highlight w:val="yellow"/>
        </w:rPr>
        <w:t xml:space="preserve">za </w:t>
      </w:r>
      <w:r w:rsidR="00E73DA0">
        <w:rPr>
          <w:highlight w:val="yellow"/>
        </w:rPr>
        <w:t>Poskytovatel</w:t>
      </w:r>
      <w:r w:rsidRPr="004E1498">
        <w:rPr>
          <w:highlight w:val="yellow"/>
        </w:rPr>
        <w:t>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739753B3" w14:textId="77777777" w:rsidR="004E1498" w:rsidRPr="00214DCC" w:rsidRDefault="004E1498" w:rsidP="00592757">
      <w:pPr>
        <w:pStyle w:val="Nadpis2"/>
        <w:jc w:val="left"/>
      </w:pPr>
      <w:r w:rsidRPr="00214DCC">
        <w:t xml:space="preserve"> </w:t>
      </w:r>
      <w:r w:rsidRPr="00214DCC">
        <w:rPr>
          <w:rFonts w:eastAsia="Calibri"/>
        </w:rPr>
        <w:t xml:space="preserve">Smluvní strany berou na vědomí, že tato smlouva podléhá uveřejnění v registru smluv podle zákona č. 340/2015 Sb., o zvláštních podmínkách účinnosti některých smluv, </w:t>
      </w:r>
      <w:r w:rsidRPr="00163968">
        <w:rPr>
          <w:rFonts w:eastAsia="Calibri"/>
        </w:rPr>
        <w:t>uveřejňování těchto smluv a o registru smluv, ve znění pozdějších předpisů (dále jen</w:t>
      </w:r>
      <w:r w:rsidRPr="00214DCC">
        <w:rPr>
          <w:rFonts w:eastAsia="Calibri"/>
        </w:rPr>
        <w:t xml:space="preserve"> „ZRS“), a současně souhlasí se zveřejněním údajů o identifikaci smluvních stran, předmětu smlouvy, jeho ceně či hodnotě a datu uzavření této smlouvy.</w:t>
      </w:r>
    </w:p>
    <w:p w14:paraId="0F72ED32" w14:textId="77777777" w:rsidR="004E1498" w:rsidRPr="00214DCC" w:rsidRDefault="004E1498" w:rsidP="00592757">
      <w:pPr>
        <w:pStyle w:val="Nadpis2"/>
        <w:jc w:val="left"/>
      </w:pPr>
      <w:r w:rsidRPr="00950C1F">
        <w:rPr>
          <w:rStyle w:val="Nadpis2Char"/>
          <w:rFonts w:eastAsia="Calibri"/>
        </w:rPr>
        <w:t xml:space="preserve">Zaslání </w:t>
      </w:r>
      <w:r w:rsidRPr="004E1498">
        <w:rPr>
          <w:rFonts w:eastAsia="Calibri"/>
        </w:rPr>
        <w:t xml:space="preserve">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w:t>
      </w:r>
      <w:r w:rsidRPr="00214DCC">
        <w:rPr>
          <w:rFonts w:eastAsia="Calibri"/>
        </w:rPr>
        <w:t>nebo vzniknout mohla.</w:t>
      </w:r>
    </w:p>
    <w:p w14:paraId="470251AF" w14:textId="77777777" w:rsidR="004E1498" w:rsidRPr="00214DCC" w:rsidRDefault="004E1498" w:rsidP="00592757">
      <w:pPr>
        <w:pStyle w:val="Nadpis2"/>
        <w:jc w:val="left"/>
      </w:pPr>
      <w:r w:rsidRPr="00214DCC">
        <w:rPr>
          <w:rFonts w:eastAsia="Calibri"/>
        </w:rPr>
        <w:t>S</w:t>
      </w:r>
      <w:r w:rsidRPr="00214DCC">
        <w:rPr>
          <w:rStyle w:val="Nadpis2Char"/>
          <w:rFonts w:eastAsia="Calibri"/>
        </w:rPr>
        <w:t>mluvn</w:t>
      </w:r>
      <w:r w:rsidRPr="00214DCC">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214DCC" w:rsidRDefault="004E1498" w:rsidP="00592757">
      <w:pPr>
        <w:pStyle w:val="Nadpis2"/>
        <w:jc w:val="left"/>
      </w:pPr>
      <w:r w:rsidRPr="00214DCC">
        <w:rPr>
          <w:rFonts w:eastAsia="Calibri"/>
        </w:rPr>
        <w:t>J</w:t>
      </w:r>
      <w:r w:rsidRPr="00214DCC">
        <w:rPr>
          <w:rStyle w:val="Nadpis2Char"/>
          <w:rFonts w:eastAsia="Calibri"/>
        </w:rPr>
        <w:t>estliže</w:t>
      </w:r>
      <w:r w:rsidRPr="00214DCC">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592757">
      <w:pPr>
        <w:pStyle w:val="Nadpis2"/>
        <w:jc w:val="left"/>
        <w:rPr>
          <w:rFonts w:eastAsia="Calibri"/>
        </w:rPr>
      </w:pPr>
      <w:r w:rsidRPr="004E1498">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Default="006C7697" w:rsidP="00592757">
      <w:pPr>
        <w:pStyle w:val="Nadpis2"/>
        <w:jc w:val="left"/>
        <w:rPr>
          <w:rFonts w:eastAsia="Calibri"/>
        </w:rPr>
      </w:pPr>
      <w:r w:rsidRPr="006C7697">
        <w:rPr>
          <w:rFonts w:eastAsia="Calibri"/>
        </w:rPr>
        <w:lastRenderedPageBreak/>
        <w:t xml:space="preserve">V případě poskytnutí osobních údajů v rámci plnění smluvního vztahu se </w:t>
      </w:r>
      <w:r w:rsidR="00E73DA0">
        <w:rPr>
          <w:rFonts w:eastAsia="Calibri"/>
        </w:rPr>
        <w:t>Poskytovatel</w:t>
      </w:r>
      <w:r w:rsidRPr="006C7697">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Pr>
          <w:rFonts w:eastAsia="Calibri"/>
        </w:rPr>
        <w:t>Poskytovatel</w:t>
      </w:r>
      <w:r w:rsidRPr="006C7697">
        <w:rPr>
          <w:rFonts w:eastAsia="Calibri"/>
        </w:rPr>
        <w:t xml:space="preserve">e vztahují a plnění těchto </w:t>
      </w:r>
      <w:r w:rsidR="004A519A">
        <w:rPr>
          <w:rFonts w:eastAsia="Calibri"/>
        </w:rPr>
        <w:t>povinností na vyžádání doložit O</w:t>
      </w:r>
      <w:r w:rsidRPr="006C7697">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70DAA9B0" w:rsidR="004E1498" w:rsidRPr="004E1498" w:rsidRDefault="004E1498" w:rsidP="00592757">
      <w:pPr>
        <w:pStyle w:val="Nadpis2"/>
        <w:jc w:val="left"/>
      </w:pPr>
      <w:r w:rsidRPr="004E1498">
        <w:t xml:space="preserve">Tato smlouva se řídí Obchodními podmínkami ke Smlouvě o </w:t>
      </w:r>
      <w:r w:rsidR="00AD3039">
        <w:t>dílo</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F7617">
      <w:pPr>
        <w:pStyle w:val="Nadpis2"/>
        <w:jc w:val="left"/>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4C1A93EA" w14:textId="77777777" w:rsidR="004E1498" w:rsidRPr="00AD3039" w:rsidRDefault="004E1498" w:rsidP="001F7617">
      <w:pPr>
        <w:pStyle w:val="Nadpis2"/>
        <w:jc w:val="left"/>
      </w:pPr>
      <w:r w:rsidRPr="00AD303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AD3039"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AD3039"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AD3039">
        <w:rPr>
          <w:rFonts w:eastAsia="Times New Roman" w:cs="Times New Roman"/>
          <w:b/>
          <w:lang w:eastAsia="cs-CZ"/>
        </w:rPr>
        <w:t>Přílohy</w:t>
      </w:r>
    </w:p>
    <w:p w14:paraId="132EAB42" w14:textId="72FC9D46" w:rsidR="006E6E61" w:rsidRPr="00AD3039" w:rsidRDefault="00AD303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D3039">
        <w:rPr>
          <w:rFonts w:eastAsia="Times New Roman" w:cs="Times New Roman"/>
          <w:lang w:eastAsia="cs-CZ"/>
        </w:rPr>
        <w:t>Technická specifikace předmětu plnění</w:t>
      </w:r>
    </w:p>
    <w:p w14:paraId="006CBB1A" w14:textId="1F1CA1B9" w:rsidR="006E6E61" w:rsidRPr="00AD3039" w:rsidRDefault="00AD303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D3039">
        <w:rPr>
          <w:rFonts w:eastAsia="Times New Roman" w:cs="Times New Roman"/>
          <w:lang w:eastAsia="cs-CZ"/>
        </w:rPr>
        <w:t xml:space="preserve">Portfolio SŽDC produktů </w:t>
      </w:r>
      <w:proofErr w:type="spellStart"/>
      <w:r w:rsidRPr="00AD3039">
        <w:rPr>
          <w:rFonts w:eastAsia="Times New Roman" w:cs="Times New Roman"/>
          <w:lang w:eastAsia="cs-CZ"/>
        </w:rPr>
        <w:t>Bentley</w:t>
      </w:r>
      <w:proofErr w:type="spellEnd"/>
    </w:p>
    <w:p w14:paraId="665289CB" w14:textId="10C92A13" w:rsidR="006E6E61" w:rsidRPr="004E1498" w:rsidRDefault="00AD303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Seznam poddodavatelů – případně doplní Poskytovatel</w:t>
      </w:r>
    </w:p>
    <w:p w14:paraId="64EEE3E6" w14:textId="77777777" w:rsidR="006E6E61" w:rsidRPr="004E1498" w:rsidRDefault="006E6E61" w:rsidP="006E6E61">
      <w:pPr>
        <w:overflowPunct w:val="0"/>
        <w:autoSpaceDE w:val="0"/>
        <w:autoSpaceDN w:val="0"/>
        <w:adjustRightInd w:val="0"/>
        <w:spacing w:after="0" w:line="240" w:lineRule="auto"/>
        <w:textAlignment w:val="baseline"/>
        <w:rPr>
          <w:rFonts w:eastAsia="Times New Roman" w:cs="Times New Roman"/>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419B07D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926CBB6" w:rsidR="006C7697" w:rsidRDefault="004E1498" w:rsidP="006C7697">
      <w:pPr>
        <w:overflowPunct w:val="0"/>
        <w:autoSpaceDE w:val="0"/>
        <w:autoSpaceDN w:val="0"/>
        <w:adjustRightInd w:val="0"/>
        <w:spacing w:after="0" w:line="240" w:lineRule="auto"/>
        <w:textAlignment w:val="baseline"/>
        <w:rPr>
          <w:rFonts w:eastAsia="Times New Roman" w:cs="Times New Roman"/>
          <w:b/>
          <w:lang w:eastAsia="cs-CZ"/>
        </w:rPr>
      </w:pPr>
      <w:r w:rsidRPr="0086114C">
        <w:rPr>
          <w:rFonts w:eastAsia="Times New Roman" w:cs="Times New Roman"/>
          <w:b/>
          <w:lang w:eastAsia="cs-CZ"/>
        </w:rPr>
        <w:t xml:space="preserve">Za </w:t>
      </w:r>
      <w:proofErr w:type="gramStart"/>
      <w:r w:rsidRPr="004E1498">
        <w:rPr>
          <w:rFonts w:eastAsia="Times New Roman" w:cs="Times New Roman"/>
          <w:b/>
          <w:lang w:eastAsia="cs-CZ"/>
        </w:rPr>
        <w:t>Objednatel</w:t>
      </w:r>
      <w:proofErr w:type="gramEnd"/>
      <w:r w:rsidRPr="004E1498">
        <w:rPr>
          <w:rFonts w:eastAsia="Times New Roman" w:cs="Times New Roman"/>
          <w:b/>
          <w:lang w:eastAsia="cs-CZ"/>
        </w:rPr>
        <w:tab/>
      </w:r>
      <w:r w:rsidR="00F969C4">
        <w:rPr>
          <w:rFonts w:eastAsia="Times New Roman" w:cs="Times New Roman"/>
          <w:b/>
          <w:lang w:eastAsia="cs-CZ"/>
        </w:rPr>
        <w:t>e</w:t>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86114C">
        <w:rPr>
          <w:rFonts w:eastAsia="Times New Roman" w:cs="Times New Roman"/>
          <w:b/>
          <w:lang w:eastAsia="cs-CZ"/>
        </w:rPr>
        <w:t xml:space="preserve">Za </w:t>
      </w:r>
      <w:r w:rsidR="00E73DA0">
        <w:rPr>
          <w:rFonts w:eastAsia="Times New Roman" w:cs="Times New Roman"/>
          <w:b/>
          <w:lang w:eastAsia="cs-CZ"/>
        </w:rPr>
        <w:t>Poskytovatel</w:t>
      </w:r>
      <w:r w:rsidRPr="0086114C">
        <w:rPr>
          <w:rFonts w:eastAsia="Times New Roman" w:cs="Times New Roman"/>
          <w:b/>
          <w:lang w:eastAsia="cs-CZ"/>
        </w:rPr>
        <w:t>e</w:t>
      </w:r>
    </w:p>
    <w:p w14:paraId="35EE86DD" w14:textId="4D91FAFE" w:rsidR="006C7697" w:rsidRDefault="00AD3039"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Bc. Jiří Svoboda, MBA</w:t>
      </w:r>
    </w:p>
    <w:p w14:paraId="479F83D9" w14:textId="5605BDFD" w:rsidR="00AD3039" w:rsidRDefault="009B0C6A"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g</w:t>
      </w:r>
      <w:r w:rsidR="00AD3039">
        <w:rPr>
          <w:rFonts w:eastAsia="Calibri" w:cs="Times New Roman"/>
        </w:rPr>
        <w:t>enerální ředitel</w:t>
      </w:r>
    </w:p>
    <w:p w14:paraId="6F0C7533" w14:textId="77777777" w:rsidR="006206A1" w:rsidRDefault="006206A1" w:rsidP="006C7697">
      <w:pPr>
        <w:overflowPunct w:val="0"/>
        <w:autoSpaceDE w:val="0"/>
        <w:autoSpaceDN w:val="0"/>
        <w:adjustRightInd w:val="0"/>
        <w:spacing w:after="0" w:line="240" w:lineRule="auto"/>
        <w:textAlignment w:val="baseline"/>
        <w:rPr>
          <w:rFonts w:eastAsia="Calibri" w:cs="Times New Roman"/>
        </w:rPr>
      </w:pPr>
    </w:p>
    <w:p w14:paraId="4BF9273A" w14:textId="77777777" w:rsidR="006206A1" w:rsidRDefault="006206A1" w:rsidP="006C7697">
      <w:pPr>
        <w:overflowPunct w:val="0"/>
        <w:autoSpaceDE w:val="0"/>
        <w:autoSpaceDN w:val="0"/>
        <w:adjustRightInd w:val="0"/>
        <w:spacing w:after="0" w:line="240" w:lineRule="auto"/>
        <w:textAlignment w:val="baseline"/>
        <w:rPr>
          <w:rFonts w:eastAsia="Calibri" w:cs="Times New Roman"/>
        </w:rPr>
      </w:pPr>
    </w:p>
    <w:p w14:paraId="3D6E84C1" w14:textId="06F31162"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řednictvím registru smluv dne …</w:t>
      </w:r>
    </w:p>
    <w:sectPr w:rsidR="009F392E"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00F24" w14:textId="77777777" w:rsidR="00A6318F" w:rsidRDefault="00A6318F" w:rsidP="00962258">
      <w:pPr>
        <w:spacing w:after="0" w:line="240" w:lineRule="auto"/>
      </w:pPr>
      <w:r>
        <w:separator/>
      </w:r>
    </w:p>
  </w:endnote>
  <w:endnote w:type="continuationSeparator" w:id="0">
    <w:p w14:paraId="76B5521C" w14:textId="77777777" w:rsidR="00A6318F" w:rsidRDefault="00A631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1B6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1B61">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1B6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1B61">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7A746" w14:textId="77777777" w:rsidR="00A6318F" w:rsidRDefault="00A6318F" w:rsidP="00962258">
      <w:pPr>
        <w:spacing w:after="0" w:line="240" w:lineRule="auto"/>
      </w:pPr>
      <w:r>
        <w:separator/>
      </w:r>
    </w:p>
  </w:footnote>
  <w:footnote w:type="continuationSeparator" w:id="0">
    <w:p w14:paraId="40C51496" w14:textId="77777777" w:rsidR="00A6318F" w:rsidRDefault="00A6318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C972D22"/>
    <w:multiLevelType w:val="hybridMultilevel"/>
    <w:tmpl w:val="332C78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E551F97"/>
    <w:multiLevelType w:val="hybridMultilevel"/>
    <w:tmpl w:val="591E3B9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860"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2F312EE8"/>
    <w:multiLevelType w:val="hybridMultilevel"/>
    <w:tmpl w:val="AF5C07EE"/>
    <w:lvl w:ilvl="0" w:tplc="1B30838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6A353AC"/>
    <w:multiLevelType w:val="hybridMultilevel"/>
    <w:tmpl w:val="51B4BA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4070991"/>
    <w:multiLevelType w:val="multilevel"/>
    <w:tmpl w:val="CABE99FC"/>
    <w:numStyleLink w:val="ListNumbermultilevel"/>
  </w:abstractNum>
  <w:abstractNum w:abstractNumId="22">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21"/>
  </w:num>
  <w:num w:numId="5">
    <w:abstractNumId w:val="11"/>
  </w:num>
  <w:num w:numId="6">
    <w:abstractNumId w:val="0"/>
  </w:num>
  <w:num w:numId="7">
    <w:abstractNumId w:val="13"/>
  </w:num>
  <w:num w:numId="8">
    <w:abstractNumId w:val="22"/>
  </w:num>
  <w:num w:numId="9">
    <w:abstractNumId w:val="14"/>
  </w:num>
  <w:num w:numId="10">
    <w:abstractNumId w:val="8"/>
  </w:num>
  <w:num w:numId="11">
    <w:abstractNumId w:val="3"/>
  </w:num>
  <w:num w:numId="12">
    <w:abstractNumId w:val="19"/>
  </w:num>
  <w:num w:numId="13">
    <w:abstractNumId w:val="20"/>
  </w:num>
  <w:num w:numId="14">
    <w:abstractNumId w:val="5"/>
  </w:num>
  <w:num w:numId="15">
    <w:abstractNumId w:val="23"/>
  </w:num>
  <w:num w:numId="16">
    <w:abstractNumId w:val="15"/>
  </w:num>
  <w:num w:numId="17">
    <w:abstractNumId w:val="9"/>
  </w:num>
  <w:num w:numId="18">
    <w:abstractNumId w:val="12"/>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2"/>
  </w:num>
  <w:num w:numId="37">
    <w:abstractNumId w:val="18"/>
  </w:num>
  <w:num w:numId="38">
    <w:abstractNumId w:val="10"/>
  </w:num>
  <w:num w:numId="39">
    <w:abstractNumId w:val="7"/>
  </w:num>
  <w:num w:numId="4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7618"/>
    <w:rsid w:val="0004594E"/>
    <w:rsid w:val="000506C6"/>
    <w:rsid w:val="00072C1E"/>
    <w:rsid w:val="00073A69"/>
    <w:rsid w:val="000A13BC"/>
    <w:rsid w:val="000A3F85"/>
    <w:rsid w:val="000D1A0F"/>
    <w:rsid w:val="000E23A7"/>
    <w:rsid w:val="000F5213"/>
    <w:rsid w:val="0010693F"/>
    <w:rsid w:val="00107E5E"/>
    <w:rsid w:val="00114472"/>
    <w:rsid w:val="0013379C"/>
    <w:rsid w:val="001473D3"/>
    <w:rsid w:val="001550BC"/>
    <w:rsid w:val="001605B9"/>
    <w:rsid w:val="00163968"/>
    <w:rsid w:val="00170EC5"/>
    <w:rsid w:val="001747C1"/>
    <w:rsid w:val="00183D4E"/>
    <w:rsid w:val="00184743"/>
    <w:rsid w:val="0019629A"/>
    <w:rsid w:val="001F7617"/>
    <w:rsid w:val="00207DF5"/>
    <w:rsid w:val="00214DCC"/>
    <w:rsid w:val="00280E07"/>
    <w:rsid w:val="002A5250"/>
    <w:rsid w:val="002C31BF"/>
    <w:rsid w:val="002D08B1"/>
    <w:rsid w:val="002E0CD7"/>
    <w:rsid w:val="003013FA"/>
    <w:rsid w:val="003071BD"/>
    <w:rsid w:val="00341DCF"/>
    <w:rsid w:val="00357BC6"/>
    <w:rsid w:val="003956C6"/>
    <w:rsid w:val="003A4D59"/>
    <w:rsid w:val="003B39EC"/>
    <w:rsid w:val="003B6383"/>
    <w:rsid w:val="003D703A"/>
    <w:rsid w:val="003F20D8"/>
    <w:rsid w:val="00433B7C"/>
    <w:rsid w:val="00441430"/>
    <w:rsid w:val="00450F07"/>
    <w:rsid w:val="00452EF5"/>
    <w:rsid w:val="00453CD3"/>
    <w:rsid w:val="0045597C"/>
    <w:rsid w:val="00460660"/>
    <w:rsid w:val="00486107"/>
    <w:rsid w:val="00491827"/>
    <w:rsid w:val="00493B1B"/>
    <w:rsid w:val="004A519A"/>
    <w:rsid w:val="004A6222"/>
    <w:rsid w:val="004A6983"/>
    <w:rsid w:val="004B348C"/>
    <w:rsid w:val="004C4399"/>
    <w:rsid w:val="004C728D"/>
    <w:rsid w:val="004C787C"/>
    <w:rsid w:val="004E143C"/>
    <w:rsid w:val="004E1498"/>
    <w:rsid w:val="004E1E3C"/>
    <w:rsid w:val="004E3A53"/>
    <w:rsid w:val="004F4B9B"/>
    <w:rsid w:val="00503B7A"/>
    <w:rsid w:val="00511AB9"/>
    <w:rsid w:val="00522467"/>
    <w:rsid w:val="00523EA7"/>
    <w:rsid w:val="00527421"/>
    <w:rsid w:val="00537B7A"/>
    <w:rsid w:val="0055205C"/>
    <w:rsid w:val="00553375"/>
    <w:rsid w:val="005601B8"/>
    <w:rsid w:val="005736B7"/>
    <w:rsid w:val="00575E5A"/>
    <w:rsid w:val="00592757"/>
    <w:rsid w:val="0059400B"/>
    <w:rsid w:val="0059511D"/>
    <w:rsid w:val="00597E84"/>
    <w:rsid w:val="005B76DD"/>
    <w:rsid w:val="005D5624"/>
    <w:rsid w:val="005E7A24"/>
    <w:rsid w:val="005F1404"/>
    <w:rsid w:val="0060520C"/>
    <w:rsid w:val="00607980"/>
    <w:rsid w:val="0061068E"/>
    <w:rsid w:val="006206A1"/>
    <w:rsid w:val="00660AD3"/>
    <w:rsid w:val="00677B7F"/>
    <w:rsid w:val="00683131"/>
    <w:rsid w:val="006A5570"/>
    <w:rsid w:val="006A689C"/>
    <w:rsid w:val="006B3D79"/>
    <w:rsid w:val="006C7697"/>
    <w:rsid w:val="006D7AFE"/>
    <w:rsid w:val="006E0578"/>
    <w:rsid w:val="006E314D"/>
    <w:rsid w:val="006E6E61"/>
    <w:rsid w:val="007009FB"/>
    <w:rsid w:val="00700C7C"/>
    <w:rsid w:val="00702628"/>
    <w:rsid w:val="007061F8"/>
    <w:rsid w:val="00710723"/>
    <w:rsid w:val="00723ED1"/>
    <w:rsid w:val="00743525"/>
    <w:rsid w:val="007510DD"/>
    <w:rsid w:val="0076286B"/>
    <w:rsid w:val="00766846"/>
    <w:rsid w:val="007730E5"/>
    <w:rsid w:val="0077673A"/>
    <w:rsid w:val="007846E1"/>
    <w:rsid w:val="007A0C04"/>
    <w:rsid w:val="007A27FA"/>
    <w:rsid w:val="007B570C"/>
    <w:rsid w:val="007C589B"/>
    <w:rsid w:val="007E4A6E"/>
    <w:rsid w:val="007F5678"/>
    <w:rsid w:val="007F56A7"/>
    <w:rsid w:val="00807DD0"/>
    <w:rsid w:val="00810E9B"/>
    <w:rsid w:val="00842A35"/>
    <w:rsid w:val="0085491C"/>
    <w:rsid w:val="0086114C"/>
    <w:rsid w:val="008659F3"/>
    <w:rsid w:val="008860DF"/>
    <w:rsid w:val="00886D4B"/>
    <w:rsid w:val="00895406"/>
    <w:rsid w:val="008A3568"/>
    <w:rsid w:val="008D03B9"/>
    <w:rsid w:val="008E1E86"/>
    <w:rsid w:val="008F18D6"/>
    <w:rsid w:val="008F7DFE"/>
    <w:rsid w:val="00904780"/>
    <w:rsid w:val="00906E58"/>
    <w:rsid w:val="00922385"/>
    <w:rsid w:val="009223DF"/>
    <w:rsid w:val="00936091"/>
    <w:rsid w:val="00940D8A"/>
    <w:rsid w:val="00950C1F"/>
    <w:rsid w:val="00962258"/>
    <w:rsid w:val="009678B7"/>
    <w:rsid w:val="009833E1"/>
    <w:rsid w:val="00992D9C"/>
    <w:rsid w:val="00996CB8"/>
    <w:rsid w:val="009A0078"/>
    <w:rsid w:val="009B0C6A"/>
    <w:rsid w:val="009B14A9"/>
    <w:rsid w:val="009B2E97"/>
    <w:rsid w:val="009C651E"/>
    <w:rsid w:val="009D3556"/>
    <w:rsid w:val="009E07F4"/>
    <w:rsid w:val="009F2CCD"/>
    <w:rsid w:val="009F392E"/>
    <w:rsid w:val="00A02EE7"/>
    <w:rsid w:val="00A435E3"/>
    <w:rsid w:val="00A52B36"/>
    <w:rsid w:val="00A6177B"/>
    <w:rsid w:val="00A6318F"/>
    <w:rsid w:val="00A66136"/>
    <w:rsid w:val="00AA4CBB"/>
    <w:rsid w:val="00AA65FA"/>
    <w:rsid w:val="00AA7351"/>
    <w:rsid w:val="00AB1AC6"/>
    <w:rsid w:val="00AB53C9"/>
    <w:rsid w:val="00AB6759"/>
    <w:rsid w:val="00AD056F"/>
    <w:rsid w:val="00AD3039"/>
    <w:rsid w:val="00AD6731"/>
    <w:rsid w:val="00B15D0D"/>
    <w:rsid w:val="00B70856"/>
    <w:rsid w:val="00B75EE1"/>
    <w:rsid w:val="00B77481"/>
    <w:rsid w:val="00B8518B"/>
    <w:rsid w:val="00BB184D"/>
    <w:rsid w:val="00BD7E91"/>
    <w:rsid w:val="00C02D0A"/>
    <w:rsid w:val="00C03A6E"/>
    <w:rsid w:val="00C25494"/>
    <w:rsid w:val="00C44F6A"/>
    <w:rsid w:val="00C47AE3"/>
    <w:rsid w:val="00C562C9"/>
    <w:rsid w:val="00CD1FC4"/>
    <w:rsid w:val="00CD4533"/>
    <w:rsid w:val="00CE7347"/>
    <w:rsid w:val="00D05446"/>
    <w:rsid w:val="00D21061"/>
    <w:rsid w:val="00D3546C"/>
    <w:rsid w:val="00D4108E"/>
    <w:rsid w:val="00D6163D"/>
    <w:rsid w:val="00D73101"/>
    <w:rsid w:val="00D831A3"/>
    <w:rsid w:val="00D85C5B"/>
    <w:rsid w:val="00DB295F"/>
    <w:rsid w:val="00DC75F3"/>
    <w:rsid w:val="00DD46F3"/>
    <w:rsid w:val="00DD66B9"/>
    <w:rsid w:val="00DE56F2"/>
    <w:rsid w:val="00DF116D"/>
    <w:rsid w:val="00DF26A9"/>
    <w:rsid w:val="00E447A1"/>
    <w:rsid w:val="00E73DA0"/>
    <w:rsid w:val="00EA1001"/>
    <w:rsid w:val="00EB104F"/>
    <w:rsid w:val="00EC1E46"/>
    <w:rsid w:val="00ED14BD"/>
    <w:rsid w:val="00EF1804"/>
    <w:rsid w:val="00F0533E"/>
    <w:rsid w:val="00F1048D"/>
    <w:rsid w:val="00F12DEC"/>
    <w:rsid w:val="00F1715C"/>
    <w:rsid w:val="00F310F8"/>
    <w:rsid w:val="00F35939"/>
    <w:rsid w:val="00F45607"/>
    <w:rsid w:val="00F51B61"/>
    <w:rsid w:val="00F659EB"/>
    <w:rsid w:val="00F86BA6"/>
    <w:rsid w:val="00F969C4"/>
    <w:rsid w:val="00FC6389"/>
    <w:rsid w:val="00FD1301"/>
    <w:rsid w:val="00FE4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7730E5"/>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730E5"/>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7730E5"/>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730E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984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4E29-F58F-4F95-8EE2-CEC52871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1651</Words>
  <Characters>9742</Characters>
  <Application>Microsoft Office Word</Application>
  <DocSecurity>0</DocSecurity>
  <Lines>81</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9</cp:revision>
  <cp:lastPrinted>2019-10-02T08:53:00Z</cp:lastPrinted>
  <dcterms:created xsi:type="dcterms:W3CDTF">2019-10-01T12:32:00Z</dcterms:created>
  <dcterms:modified xsi:type="dcterms:W3CDTF">2019-10-02T10:06:00Z</dcterms:modified>
</cp:coreProperties>
</file>