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52595" w:rsidP="00852595">
            <w:r>
              <w:rPr>
                <w:rFonts w:ascii="Helvetica" w:hAnsi="Helvetica" w:cs="Helvetica"/>
              </w:rPr>
              <w:t>8886/2019-SŽDC-SSV-Ú3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852595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C3332">
              <w:rPr>
                <w:noProof/>
              </w:rPr>
              <w:t>14. října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vč. PEÚ Brno - Zastávka u Brna, 1.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852595" w:rsidRPr="00852595">
        <w:rPr>
          <w:rFonts w:eastAsia="Times New Roman" w:cs="Times New Roman"/>
          <w:lang w:eastAsia="cs-CZ"/>
        </w:rPr>
        <w:t>1</w:t>
      </w:r>
      <w:r w:rsidRPr="00852595">
        <w:rPr>
          <w:rFonts w:eastAsia="Calibri" w:cs="Times New Roman"/>
          <w:lang w:eastAsia="cs-CZ"/>
        </w:rPr>
        <w:t xml:space="preserve"> </w:t>
      </w:r>
      <w:bookmarkStart w:id="1" w:name="_GoBack"/>
      <w:bookmarkEnd w:id="1"/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852595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2595">
        <w:rPr>
          <w:rFonts w:eastAsia="Times New Roman" w:cs="Times New Roman"/>
          <w:lang w:eastAsia="cs-CZ"/>
        </w:rPr>
        <w:t xml:space="preserve">Zadavatel </w:t>
      </w:r>
      <w:r w:rsidRPr="00852595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852595">
        <w:rPr>
          <w:rFonts w:eastAsia="Times New Roman" w:cs="Times New Roman"/>
          <w:lang w:eastAsia="cs-CZ"/>
        </w:rPr>
        <w:t xml:space="preserve"> </w:t>
      </w:r>
      <w:r w:rsidRPr="00852595">
        <w:rPr>
          <w:rFonts w:eastAsia="Calibri" w:cs="Times New Roman"/>
          <w:lang w:eastAsia="cs-CZ"/>
        </w:rPr>
        <w:t>bez předchozí žádosti.</w:t>
      </w:r>
    </w:p>
    <w:p w:rsidR="00BD5319" w:rsidRPr="00852595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Pr="00852595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852595" w:rsidRPr="00852595" w:rsidRDefault="00852595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852595">
        <w:rPr>
          <w:rFonts w:eastAsia="Times New Roman" w:cs="Times New Roman"/>
          <w:lang w:eastAsia="cs-CZ"/>
        </w:rPr>
        <w:t>Z</w:t>
      </w:r>
      <w:r w:rsidR="008C59EF">
        <w:rPr>
          <w:rFonts w:eastAsia="Times New Roman" w:cs="Times New Roman"/>
          <w:lang w:eastAsia="cs-CZ"/>
        </w:rPr>
        <w:t>adavatel upozorňuje, že dnešního dne, tj. ve stejný den, kdy byla prostřednictvím elektronického nástroje E-ZAK uveřejněna zadávací dokumentace k předmětné zakázce, byl nucen z</w:t>
      </w:r>
      <w:r>
        <w:rPr>
          <w:rFonts w:eastAsia="Times New Roman" w:cs="Times New Roman"/>
          <w:lang w:eastAsia="cs-CZ"/>
        </w:rPr>
        <w:t> technický</w:t>
      </w:r>
      <w:r w:rsidR="008C59EF">
        <w:rPr>
          <w:rFonts w:eastAsia="Times New Roman" w:cs="Times New Roman"/>
          <w:lang w:eastAsia="cs-CZ"/>
        </w:rPr>
        <w:t>ch</w:t>
      </w:r>
      <w:r>
        <w:rPr>
          <w:rFonts w:eastAsia="Times New Roman" w:cs="Times New Roman"/>
          <w:lang w:eastAsia="cs-CZ"/>
        </w:rPr>
        <w:t xml:space="preserve"> </w:t>
      </w:r>
      <w:r w:rsidRPr="00852595">
        <w:rPr>
          <w:rFonts w:eastAsia="Times New Roman" w:cs="Times New Roman"/>
          <w:lang w:eastAsia="cs-CZ"/>
        </w:rPr>
        <w:t xml:space="preserve">důvodů </w:t>
      </w:r>
      <w:r w:rsidR="008C59EF">
        <w:rPr>
          <w:rFonts w:eastAsia="Times New Roman" w:cs="Times New Roman"/>
          <w:lang w:eastAsia="cs-CZ"/>
        </w:rPr>
        <w:t xml:space="preserve">znovu </w:t>
      </w:r>
      <w:r w:rsidRPr="00852595">
        <w:rPr>
          <w:rFonts w:eastAsia="Times New Roman" w:cs="Times New Roman"/>
          <w:lang w:eastAsia="cs-CZ"/>
        </w:rPr>
        <w:t>nahrá</w:t>
      </w:r>
      <w:r w:rsidR="008C59EF">
        <w:rPr>
          <w:rFonts w:eastAsia="Times New Roman" w:cs="Times New Roman"/>
          <w:lang w:eastAsia="cs-CZ"/>
        </w:rPr>
        <w:t>t</w:t>
      </w:r>
      <w:r w:rsidRPr="00852595">
        <w:rPr>
          <w:rFonts w:eastAsia="Times New Roman" w:cs="Times New Roman"/>
          <w:lang w:eastAsia="cs-CZ"/>
        </w:rPr>
        <w:t xml:space="preserve"> </w:t>
      </w:r>
      <w:r w:rsidR="008C59EF">
        <w:rPr>
          <w:rFonts w:eastAsia="Times New Roman" w:cs="Times New Roman"/>
          <w:lang w:eastAsia="cs-CZ"/>
        </w:rPr>
        <w:t xml:space="preserve">části 2/10 – 10/10 </w:t>
      </w:r>
      <w:r w:rsidRPr="00852595">
        <w:rPr>
          <w:rFonts w:eastAsia="Times New Roman" w:cs="Times New Roman"/>
          <w:lang w:eastAsia="cs-CZ"/>
        </w:rPr>
        <w:t>zadávací dokumentac</w:t>
      </w:r>
      <w:r w:rsidR="008C59EF">
        <w:rPr>
          <w:rFonts w:eastAsia="Times New Roman" w:cs="Times New Roman"/>
          <w:lang w:eastAsia="cs-CZ"/>
        </w:rPr>
        <w:t>e</w:t>
      </w:r>
      <w:r>
        <w:rPr>
          <w:rFonts w:eastAsia="Times New Roman" w:cs="Times New Roman"/>
          <w:lang w:eastAsia="cs-CZ"/>
        </w:rPr>
        <w:t>.</w:t>
      </w:r>
    </w:p>
    <w:p w:rsidR="00852595" w:rsidRPr="00852595" w:rsidRDefault="00852595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852595" w:rsidRDefault="0085259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852595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852595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852595">
        <w:rPr>
          <w:rFonts w:eastAsia="Calibri" w:cs="Times New Roman"/>
          <w:u w:val="single"/>
          <w:lang w:eastAsia="cs-CZ"/>
        </w:rPr>
        <w:t>.</w:t>
      </w:r>
    </w:p>
    <w:p w:rsidR="00BD5319" w:rsidRPr="00852595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852595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852595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852595">
        <w:rPr>
          <w:rFonts w:eastAsia="Calibri" w:cs="Times New Roman"/>
          <w:bCs/>
          <w:lang w:eastAsia="cs-CZ"/>
        </w:rPr>
        <w:instrText xml:space="preserve"> FORMTEXT </w:instrText>
      </w:r>
      <w:r w:rsidRPr="00852595">
        <w:rPr>
          <w:rFonts w:eastAsia="Calibri" w:cs="Times New Roman"/>
          <w:bCs/>
          <w:lang w:eastAsia="cs-CZ"/>
        </w:rPr>
      </w:r>
      <w:r w:rsidRPr="00852595">
        <w:rPr>
          <w:rFonts w:eastAsia="Calibri" w:cs="Times New Roman"/>
          <w:bCs/>
          <w:lang w:eastAsia="cs-CZ"/>
        </w:rPr>
        <w:fldChar w:fldCharType="separate"/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t> </w:t>
      </w:r>
      <w:r w:rsidRPr="00852595">
        <w:rPr>
          <w:rFonts w:eastAsia="Calibri" w:cs="Times New Roman"/>
          <w:bCs/>
          <w:lang w:eastAsia="cs-CZ"/>
        </w:rPr>
        <w:fldChar w:fldCharType="end"/>
      </w: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2595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852595">
        <w:rPr>
          <w:rFonts w:eastAsia="Calibri" w:cs="Times New Roman"/>
          <w:lang w:eastAsia="cs-CZ"/>
        </w:rPr>
        <w:t>14. 10. 2019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Pr="00BD5319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Správa železniční dopravní cesty,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D50" w:rsidRDefault="006A1D50" w:rsidP="00962258">
      <w:pPr>
        <w:spacing w:after="0" w:line="240" w:lineRule="auto"/>
      </w:pPr>
      <w:r>
        <w:separator/>
      </w:r>
    </w:p>
  </w:endnote>
  <w:endnote w:type="continuationSeparator" w:id="0">
    <w:p w:rsidR="006A1D50" w:rsidRDefault="006A1D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25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25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BE27EB" wp14:editId="0A0E23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B76FFD6" wp14:editId="7F419B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33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33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290458B" wp14:editId="73C89C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21FD470" wp14:editId="4A25C7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D50" w:rsidRDefault="006A1D50" w:rsidP="00962258">
      <w:pPr>
        <w:spacing w:after="0" w:line="240" w:lineRule="auto"/>
      </w:pPr>
      <w:r>
        <w:separator/>
      </w:r>
    </w:p>
  </w:footnote>
  <w:footnote w:type="continuationSeparator" w:id="0">
    <w:p w:rsidR="006A1D50" w:rsidRDefault="006A1D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2ED85F3" wp14:editId="3D38687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80C3EA6" wp14:editId="48CC409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ED6DC56" wp14:editId="73CFB64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1D5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2595"/>
    <w:rsid w:val="00891334"/>
    <w:rsid w:val="008A3568"/>
    <w:rsid w:val="008C59EF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C3332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7BC41E-711E-49D3-B62F-BA29286B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2019-02-22T13:28:00Z</cp:lastPrinted>
  <dcterms:created xsi:type="dcterms:W3CDTF">2019-10-14T10:58:00Z</dcterms:created>
  <dcterms:modified xsi:type="dcterms:W3CDTF">2019-10-14T11:28:00Z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