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6.xml" ContentType="application/vnd.openxmlformats-officedocument.wordprocessingml.header+xml"/>
  <Override PartName="/word/footer13.xml" ContentType="application/vnd.openxmlformats-officedocument.wordprocessingml.footer+xml"/>
  <Override PartName="/word/header7.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225B27" w:rsidRDefault="004E4D1F" w:rsidP="00F5279A">
      <w:pPr>
        <w:pStyle w:val="Formul10"/>
        <w:rPr>
          <w:lang w:val="en-US"/>
        </w:rPr>
      </w:pPr>
      <w:r>
        <w:rPr>
          <w:lang w:eastAsia="cs-CZ"/>
        </w:rPr>
        <w:drawing>
          <wp:inline distT="0" distB="0" distL="0" distR="0" wp14:anchorId="64AEE0B5" wp14:editId="23EF5D44">
            <wp:extent cx="5934710" cy="46609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4710" cy="466090"/>
                    </a:xfrm>
                    <a:prstGeom prst="rect">
                      <a:avLst/>
                    </a:prstGeom>
                    <a:noFill/>
                    <a:ln>
                      <a:noFill/>
                    </a:ln>
                  </pic:spPr>
                </pic:pic>
              </a:graphicData>
            </a:graphic>
          </wp:inline>
        </w:drawing>
      </w:r>
    </w:p>
    <w:p w:rsidR="00225B27" w:rsidRDefault="00225B27">
      <w:pPr>
        <w:rPr>
          <w:b/>
          <w:bCs/>
          <w:color w:val="000000"/>
          <w:sz w:val="32"/>
          <w:lang w:val="en-US"/>
        </w:rPr>
      </w:pPr>
    </w:p>
    <w:p w:rsidR="00486AB2" w:rsidRDefault="00486AB2">
      <w:pPr>
        <w:rPr>
          <w:b/>
          <w:bCs/>
          <w:color w:val="000000"/>
          <w:sz w:val="32"/>
          <w:lang w:val="en-US"/>
        </w:rPr>
      </w:pPr>
    </w:p>
    <w:p w:rsidR="003622F1" w:rsidRDefault="003622F1">
      <w:pPr>
        <w:rPr>
          <w:b/>
          <w:bCs/>
          <w:color w:val="000000"/>
          <w:sz w:val="32"/>
          <w:lang w:val="en-US"/>
        </w:rPr>
      </w:pPr>
    </w:p>
    <w:p w:rsidR="003622F1" w:rsidRPr="0053239B" w:rsidRDefault="003622F1">
      <w:pPr>
        <w:rPr>
          <w:b/>
          <w:bCs/>
          <w:color w:val="000000"/>
          <w:sz w:val="32"/>
          <w:lang w:val="en-US"/>
        </w:rPr>
      </w:pPr>
    </w:p>
    <w:p w:rsidR="00486AB2" w:rsidRPr="0053239B" w:rsidRDefault="00486AB2">
      <w:pPr>
        <w:rPr>
          <w:b/>
          <w:bCs/>
          <w:color w:val="000000"/>
          <w:sz w:val="32"/>
          <w:lang w:val="en-US"/>
        </w:rPr>
      </w:pPr>
    </w:p>
    <w:p w:rsidR="00486AB2" w:rsidRPr="0053239B" w:rsidRDefault="00486AB2">
      <w:pPr>
        <w:rPr>
          <w:b/>
          <w:bCs/>
          <w:color w:val="000000"/>
          <w:sz w:val="32"/>
          <w:lang w:val="en-US"/>
        </w:rPr>
      </w:pPr>
    </w:p>
    <w:p w:rsidR="00486AB2" w:rsidRPr="00A53212" w:rsidRDefault="00A53212" w:rsidP="00A53212">
      <w:pPr>
        <w:jc w:val="center"/>
        <w:rPr>
          <w:rFonts w:ascii="MS Reference Sans Serif" w:hAnsi="MS Reference Sans Serif"/>
          <w:b/>
          <w:bCs/>
          <w:color w:val="000000"/>
          <w:sz w:val="32"/>
          <w:szCs w:val="32"/>
          <w:lang w:val="en-US"/>
        </w:rPr>
      </w:pPr>
      <w:r w:rsidRPr="00A53212">
        <w:rPr>
          <w:rFonts w:ascii="MS Reference Sans Serif" w:hAnsi="MS Reference Sans Serif"/>
          <w:b/>
          <w:bCs/>
          <w:color w:val="003F80"/>
          <w:sz w:val="32"/>
          <w:szCs w:val="32"/>
          <w:lang w:val="en-US"/>
        </w:rPr>
        <w:t>Vypracování této studie proveditelnosti je navrženo ke spolufinancování z Fondu soudržnosti, v rámci technické pomoci OPD</w:t>
      </w:r>
      <w:r w:rsidRPr="00A53212">
        <w:rPr>
          <w:rFonts w:ascii="MS Reference Sans Serif" w:hAnsi="MS Reference Sans Serif"/>
          <w:b/>
          <w:bCs/>
          <w:color w:val="000000"/>
          <w:sz w:val="32"/>
          <w:szCs w:val="32"/>
          <w:lang w:val="en-US"/>
        </w:rPr>
        <w:br w:type="page"/>
      </w:r>
    </w:p>
    <w:p w:rsidR="00A53212" w:rsidRDefault="00A53212">
      <w:pPr>
        <w:rPr>
          <w:b/>
          <w:bCs/>
          <w:color w:val="000000"/>
          <w:sz w:val="32"/>
          <w:lang w:val="en-US"/>
        </w:rPr>
      </w:pPr>
    </w:p>
    <w:p w:rsidR="00A53212" w:rsidRDefault="00A53212">
      <w:pPr>
        <w:rPr>
          <w:b/>
          <w:bCs/>
          <w:color w:val="000000"/>
          <w:sz w:val="32"/>
          <w:lang w:val="en-US"/>
        </w:rPr>
      </w:pPr>
    </w:p>
    <w:p w:rsidR="00A53212" w:rsidRDefault="00A53212">
      <w:pPr>
        <w:rPr>
          <w:b/>
          <w:bCs/>
          <w:color w:val="000000"/>
          <w:sz w:val="32"/>
          <w:lang w:val="en-US"/>
        </w:rPr>
      </w:pPr>
    </w:p>
    <w:p w:rsidR="00A53212" w:rsidRDefault="00A53212">
      <w:pPr>
        <w:rPr>
          <w:b/>
          <w:bCs/>
          <w:color w:val="000000"/>
          <w:sz w:val="32"/>
          <w:lang w:val="en-US"/>
        </w:rPr>
      </w:pPr>
    </w:p>
    <w:p w:rsidR="00A53212" w:rsidRDefault="00A53212">
      <w:pPr>
        <w:rPr>
          <w:b/>
          <w:bCs/>
          <w:color w:val="000000"/>
          <w:sz w:val="32"/>
          <w:lang w:val="en-US"/>
        </w:rPr>
      </w:pPr>
    </w:p>
    <w:p w:rsidR="00A53212" w:rsidRDefault="00A53212">
      <w:pPr>
        <w:rPr>
          <w:b/>
          <w:bCs/>
          <w:color w:val="000000"/>
          <w:sz w:val="32"/>
          <w:lang w:val="en-US"/>
        </w:rPr>
      </w:pPr>
    </w:p>
    <w:p w:rsidR="000D52AE" w:rsidRDefault="000D52AE">
      <w:pPr>
        <w:rPr>
          <w:b/>
          <w:bCs/>
          <w:color w:val="000000"/>
          <w:sz w:val="32"/>
          <w:lang w:val="en-US"/>
        </w:rPr>
      </w:pPr>
    </w:p>
    <w:p w:rsidR="00486AB2" w:rsidRDefault="00486AB2">
      <w:pPr>
        <w:rPr>
          <w:b/>
          <w:bCs/>
          <w:color w:val="000000"/>
          <w:sz w:val="32"/>
          <w:lang w:val="en-US"/>
        </w:rPr>
      </w:pPr>
    </w:p>
    <w:tbl>
      <w:tblPr>
        <w:tblW w:w="0" w:type="auto"/>
        <w:tblCellMar>
          <w:left w:w="70" w:type="dxa"/>
          <w:right w:w="70" w:type="dxa"/>
        </w:tblCellMar>
        <w:tblLook w:val="0000" w:firstRow="0" w:lastRow="0" w:firstColumn="0" w:lastColumn="0" w:noHBand="0" w:noVBand="0"/>
      </w:tblPr>
      <w:tblGrid>
        <w:gridCol w:w="2049"/>
        <w:gridCol w:w="3780"/>
        <w:gridCol w:w="3490"/>
      </w:tblGrid>
      <w:tr w:rsidR="00225B27" w:rsidTr="00486AB2">
        <w:trPr>
          <w:trHeight w:val="561"/>
        </w:trPr>
        <w:tc>
          <w:tcPr>
            <w:tcW w:w="2049" w:type="dxa"/>
            <w:tcBorders>
              <w:top w:val="single" w:sz="12" w:space="0" w:color="auto"/>
              <w:left w:val="single" w:sz="12" w:space="0" w:color="auto"/>
              <w:bottom w:val="single" w:sz="12" w:space="0" w:color="auto"/>
              <w:right w:val="single" w:sz="4" w:space="0" w:color="auto"/>
            </w:tcBorders>
            <w:shd w:val="clear" w:color="auto" w:fill="8DB3E2"/>
            <w:vAlign w:val="center"/>
          </w:tcPr>
          <w:p w:rsidR="00225B27" w:rsidRDefault="00225B27">
            <w:pPr>
              <w:jc w:val="left"/>
              <w:rPr>
                <w:b/>
                <w:bCs/>
              </w:rPr>
            </w:pPr>
            <w:r>
              <w:rPr>
                <w:b/>
                <w:bCs/>
              </w:rPr>
              <w:t>Název akce</w:t>
            </w:r>
          </w:p>
        </w:tc>
        <w:tc>
          <w:tcPr>
            <w:tcW w:w="7270" w:type="dxa"/>
            <w:gridSpan w:val="2"/>
            <w:tcBorders>
              <w:top w:val="single" w:sz="12" w:space="0" w:color="auto"/>
              <w:left w:val="single" w:sz="4" w:space="0" w:color="auto"/>
              <w:bottom w:val="single" w:sz="12" w:space="0" w:color="auto"/>
              <w:right w:val="single" w:sz="12" w:space="0" w:color="auto"/>
            </w:tcBorders>
            <w:shd w:val="clear" w:color="auto" w:fill="8DB3E2"/>
            <w:vAlign w:val="center"/>
          </w:tcPr>
          <w:p w:rsidR="00F2196D" w:rsidRPr="00F5279A" w:rsidRDefault="00F2196D" w:rsidP="008A63BF">
            <w:pPr>
              <w:spacing w:before="60" w:after="60" w:line="240" w:lineRule="auto"/>
              <w:jc w:val="left"/>
              <w:rPr>
                <w:b/>
                <w:bCs/>
              </w:rPr>
            </w:pPr>
            <w:r w:rsidRPr="00F5279A">
              <w:rPr>
                <w:b/>
                <w:bCs/>
              </w:rPr>
              <w:t>Aktualizace studie proveditelnosti Hradec Králové – Pardubice 04/2014</w:t>
            </w:r>
          </w:p>
          <w:p w:rsidR="00225B27" w:rsidRPr="00F5279A" w:rsidRDefault="001E1232" w:rsidP="00EC146E">
            <w:pPr>
              <w:spacing w:before="60" w:after="60" w:line="240" w:lineRule="auto"/>
              <w:jc w:val="left"/>
              <w:rPr>
                <w:b/>
                <w:bCs/>
              </w:rPr>
            </w:pPr>
            <w:r w:rsidRPr="00F5279A">
              <w:rPr>
                <w:b/>
                <w:bCs/>
              </w:rPr>
              <w:t>Modernizace trati Hradec Králové – Pardubice – Chrudim,</w:t>
            </w:r>
            <w:r w:rsidR="00F2196D" w:rsidRPr="00F5279A">
              <w:rPr>
                <w:b/>
                <w:bCs/>
              </w:rPr>
              <w:t xml:space="preserve"> 1. stavba zdvoukolejnění úseku Stéblová – Opatovice nad Labem</w:t>
            </w:r>
          </w:p>
        </w:tc>
      </w:tr>
      <w:tr w:rsidR="00225B27">
        <w:trPr>
          <w:trHeight w:val="527"/>
        </w:trPr>
        <w:tc>
          <w:tcPr>
            <w:tcW w:w="2049" w:type="dxa"/>
            <w:tcBorders>
              <w:top w:val="single" w:sz="12" w:space="0" w:color="auto"/>
              <w:left w:val="single" w:sz="12" w:space="0" w:color="auto"/>
              <w:bottom w:val="single" w:sz="4" w:space="0" w:color="auto"/>
              <w:right w:val="single" w:sz="4" w:space="0" w:color="auto"/>
            </w:tcBorders>
            <w:vAlign w:val="center"/>
          </w:tcPr>
          <w:p w:rsidR="00225B27" w:rsidRPr="001E1232" w:rsidRDefault="001E1232">
            <w:pPr>
              <w:spacing w:before="0" w:after="0"/>
              <w:jc w:val="left"/>
              <w:rPr>
                <w:rFonts w:cs="Arial"/>
                <w:b/>
              </w:rPr>
            </w:pPr>
            <w:r w:rsidRPr="001E1232">
              <w:rPr>
                <w:rFonts w:cs="Arial"/>
                <w:b/>
              </w:rPr>
              <w:t>Část</w:t>
            </w:r>
          </w:p>
        </w:tc>
        <w:tc>
          <w:tcPr>
            <w:tcW w:w="7270" w:type="dxa"/>
            <w:gridSpan w:val="2"/>
            <w:tcBorders>
              <w:top w:val="single" w:sz="12" w:space="0" w:color="auto"/>
              <w:left w:val="single" w:sz="4" w:space="0" w:color="auto"/>
              <w:bottom w:val="single" w:sz="4" w:space="0" w:color="auto"/>
              <w:right w:val="single" w:sz="12" w:space="0" w:color="auto"/>
            </w:tcBorders>
            <w:vAlign w:val="center"/>
          </w:tcPr>
          <w:p w:rsidR="00FE4C31" w:rsidRPr="00F5279A" w:rsidRDefault="00486AB2" w:rsidP="007759FB">
            <w:pPr>
              <w:spacing w:before="0" w:after="0"/>
              <w:jc w:val="left"/>
              <w:rPr>
                <w:rFonts w:cs="Arial"/>
                <w:b/>
                <w:color w:val="FF0000"/>
              </w:rPr>
            </w:pPr>
            <w:r w:rsidRPr="00F5279A">
              <w:rPr>
                <w:rFonts w:cs="Arial"/>
                <w:b/>
              </w:rPr>
              <w:t xml:space="preserve">Textová část </w:t>
            </w:r>
          </w:p>
        </w:tc>
      </w:tr>
      <w:tr w:rsidR="00225B27">
        <w:trPr>
          <w:trHeight w:val="781"/>
        </w:trPr>
        <w:tc>
          <w:tcPr>
            <w:tcW w:w="2049" w:type="dxa"/>
            <w:tcBorders>
              <w:top w:val="single" w:sz="4" w:space="0" w:color="auto"/>
              <w:left w:val="single" w:sz="12" w:space="0" w:color="auto"/>
              <w:bottom w:val="single" w:sz="4" w:space="0" w:color="auto"/>
              <w:right w:val="single" w:sz="4" w:space="0" w:color="auto"/>
            </w:tcBorders>
            <w:vAlign w:val="center"/>
          </w:tcPr>
          <w:p w:rsidR="00225B27" w:rsidRDefault="001E1232">
            <w:pPr>
              <w:spacing w:before="0" w:after="0"/>
              <w:jc w:val="left"/>
              <w:rPr>
                <w:rFonts w:cs="Arial"/>
              </w:rPr>
            </w:pPr>
            <w:r>
              <w:rPr>
                <w:rFonts w:cs="Arial"/>
              </w:rPr>
              <w:t>Druh dokumentace</w:t>
            </w:r>
          </w:p>
        </w:tc>
        <w:tc>
          <w:tcPr>
            <w:tcW w:w="3780" w:type="dxa"/>
            <w:tcBorders>
              <w:top w:val="single" w:sz="4" w:space="0" w:color="auto"/>
              <w:left w:val="single" w:sz="4" w:space="0" w:color="auto"/>
              <w:bottom w:val="single" w:sz="4" w:space="0" w:color="auto"/>
              <w:right w:val="single" w:sz="4" w:space="0" w:color="auto"/>
            </w:tcBorders>
            <w:vAlign w:val="center"/>
          </w:tcPr>
          <w:p w:rsidR="00225B27" w:rsidRPr="00F5279A" w:rsidRDefault="008A63BF">
            <w:pPr>
              <w:spacing w:before="0" w:after="0"/>
              <w:jc w:val="left"/>
              <w:rPr>
                <w:rFonts w:cs="Arial"/>
              </w:rPr>
            </w:pPr>
            <w:r w:rsidRPr="00F5279A">
              <w:rPr>
                <w:rFonts w:cs="Arial"/>
              </w:rPr>
              <w:t>Studie proveditelnosti</w:t>
            </w:r>
          </w:p>
        </w:tc>
        <w:tc>
          <w:tcPr>
            <w:tcW w:w="3490" w:type="dxa"/>
            <w:tcBorders>
              <w:top w:val="single" w:sz="4" w:space="0" w:color="auto"/>
              <w:left w:val="single" w:sz="4" w:space="0" w:color="auto"/>
              <w:bottom w:val="single" w:sz="4" w:space="0" w:color="auto"/>
              <w:right w:val="single" w:sz="12" w:space="0" w:color="auto"/>
            </w:tcBorders>
            <w:vAlign w:val="center"/>
          </w:tcPr>
          <w:p w:rsidR="00FE4C31" w:rsidRPr="00E01AD3" w:rsidRDefault="00EC146E" w:rsidP="00944AF2">
            <w:pPr>
              <w:spacing w:before="0" w:after="0"/>
              <w:jc w:val="center"/>
              <w:rPr>
                <w:rFonts w:cs="Arial"/>
              </w:rPr>
            </w:pPr>
            <w:r w:rsidRPr="00F5279A">
              <w:rPr>
                <w:rFonts w:cs="Arial"/>
              </w:rPr>
              <w:t>0</w:t>
            </w:r>
            <w:r w:rsidR="00944AF2">
              <w:rPr>
                <w:rFonts w:cs="Arial"/>
              </w:rPr>
              <w:t>5</w:t>
            </w:r>
            <w:r w:rsidR="00225B27" w:rsidRPr="00F5279A">
              <w:rPr>
                <w:rFonts w:cs="Arial"/>
              </w:rPr>
              <w:t>/20</w:t>
            </w:r>
            <w:r w:rsidR="008A63BF" w:rsidRPr="00F5279A">
              <w:rPr>
                <w:rFonts w:cs="Arial"/>
              </w:rPr>
              <w:t>1</w:t>
            </w:r>
            <w:r w:rsidRPr="00F5279A">
              <w:rPr>
                <w:rFonts w:cs="Arial"/>
              </w:rPr>
              <w:t>4</w:t>
            </w:r>
            <w:r w:rsidR="00F2196D" w:rsidRPr="00F5279A">
              <w:rPr>
                <w:rFonts w:cs="Arial"/>
              </w:rPr>
              <w:t xml:space="preserve"> </w:t>
            </w:r>
          </w:p>
        </w:tc>
      </w:tr>
      <w:tr w:rsidR="00225B27">
        <w:trPr>
          <w:trHeight w:val="1267"/>
        </w:trPr>
        <w:tc>
          <w:tcPr>
            <w:tcW w:w="2049" w:type="dxa"/>
            <w:tcBorders>
              <w:top w:val="single" w:sz="4" w:space="0" w:color="auto"/>
              <w:left w:val="single" w:sz="12" w:space="0" w:color="auto"/>
              <w:bottom w:val="single" w:sz="4" w:space="0" w:color="auto"/>
              <w:right w:val="single" w:sz="4" w:space="0" w:color="auto"/>
            </w:tcBorders>
            <w:vAlign w:val="center"/>
          </w:tcPr>
          <w:p w:rsidR="00225B27" w:rsidRDefault="00225B27">
            <w:pPr>
              <w:spacing w:before="0" w:after="0"/>
              <w:jc w:val="left"/>
              <w:rPr>
                <w:rFonts w:cs="Arial"/>
              </w:rPr>
            </w:pPr>
            <w:r>
              <w:rPr>
                <w:rFonts w:cs="Arial"/>
              </w:rPr>
              <w:t>Objednatel</w:t>
            </w:r>
          </w:p>
        </w:tc>
        <w:tc>
          <w:tcPr>
            <w:tcW w:w="3780" w:type="dxa"/>
            <w:tcBorders>
              <w:top w:val="single" w:sz="4" w:space="0" w:color="auto"/>
              <w:left w:val="single" w:sz="4" w:space="0" w:color="auto"/>
              <w:bottom w:val="single" w:sz="4" w:space="0" w:color="auto"/>
              <w:right w:val="single" w:sz="4" w:space="0" w:color="auto"/>
            </w:tcBorders>
            <w:vAlign w:val="center"/>
          </w:tcPr>
          <w:p w:rsidR="00225B27" w:rsidRDefault="00225B27">
            <w:pPr>
              <w:spacing w:before="0" w:after="0"/>
              <w:jc w:val="left"/>
              <w:rPr>
                <w:rFonts w:cs="Arial"/>
              </w:rPr>
            </w:pPr>
            <w:r>
              <w:rPr>
                <w:rFonts w:cs="Arial"/>
              </w:rPr>
              <w:t xml:space="preserve">SŽDC, s.o. </w:t>
            </w:r>
          </w:p>
          <w:p w:rsidR="00225B27" w:rsidRDefault="00225B27">
            <w:pPr>
              <w:spacing w:before="0" w:after="0"/>
              <w:jc w:val="left"/>
              <w:rPr>
                <w:rFonts w:cs="Arial"/>
              </w:rPr>
            </w:pPr>
            <w:r>
              <w:rPr>
                <w:rFonts w:cs="Arial"/>
              </w:rPr>
              <w:t xml:space="preserve">Stavební správa </w:t>
            </w:r>
            <w:r w:rsidR="000D52AE">
              <w:rPr>
                <w:rFonts w:cs="Arial"/>
              </w:rPr>
              <w:t>východ</w:t>
            </w:r>
          </w:p>
          <w:p w:rsidR="00225B27" w:rsidRDefault="0090117B">
            <w:pPr>
              <w:spacing w:before="0" w:after="0"/>
              <w:jc w:val="left"/>
              <w:rPr>
                <w:rFonts w:cs="Arial"/>
              </w:rPr>
            </w:pPr>
            <w:r>
              <w:rPr>
                <w:rFonts w:ascii="Arial" w:hAnsi="Arial" w:cs="Arial"/>
              </w:rPr>
              <w:t>Nerudova 1</w:t>
            </w:r>
            <w:r>
              <w:rPr>
                <w:rFonts w:cs="Arial"/>
              </w:rPr>
              <w:t>772 58 Olomouc</w:t>
            </w:r>
          </w:p>
        </w:tc>
        <w:tc>
          <w:tcPr>
            <w:tcW w:w="3490" w:type="dxa"/>
            <w:tcBorders>
              <w:top w:val="single" w:sz="4" w:space="0" w:color="auto"/>
              <w:left w:val="single" w:sz="4" w:space="0" w:color="auto"/>
              <w:bottom w:val="single" w:sz="4" w:space="0" w:color="auto"/>
              <w:right w:val="single" w:sz="12" w:space="0" w:color="auto"/>
            </w:tcBorders>
            <w:vAlign w:val="center"/>
          </w:tcPr>
          <w:p w:rsidR="00225B27" w:rsidRDefault="004E4D1F">
            <w:pPr>
              <w:spacing w:before="0" w:after="0"/>
              <w:jc w:val="center"/>
              <w:rPr>
                <w:rFonts w:cs="Arial"/>
              </w:rPr>
            </w:pPr>
            <w:r>
              <w:rPr>
                <w:noProof/>
                <w:lang w:eastAsia="cs-CZ"/>
              </w:rPr>
              <w:drawing>
                <wp:inline distT="0" distB="0" distL="0" distR="0" wp14:anchorId="73DA03F4" wp14:editId="0DD6ABD1">
                  <wp:extent cx="966470" cy="560705"/>
                  <wp:effectExtent l="0" t="0" r="0" b="0"/>
                  <wp:docPr id="2" name="obrázek 2" descr="logo-barva-pozitiv-SZ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barva-pozitiv-SZDC"/>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66470" cy="560705"/>
                          </a:xfrm>
                          <a:prstGeom prst="rect">
                            <a:avLst/>
                          </a:prstGeom>
                          <a:noFill/>
                          <a:ln>
                            <a:noFill/>
                          </a:ln>
                        </pic:spPr>
                      </pic:pic>
                    </a:graphicData>
                  </a:graphic>
                </wp:inline>
              </w:drawing>
            </w:r>
          </w:p>
        </w:tc>
      </w:tr>
      <w:tr w:rsidR="00225B27">
        <w:trPr>
          <w:trHeight w:val="1271"/>
        </w:trPr>
        <w:tc>
          <w:tcPr>
            <w:tcW w:w="2049" w:type="dxa"/>
            <w:tcBorders>
              <w:top w:val="single" w:sz="4" w:space="0" w:color="auto"/>
              <w:left w:val="single" w:sz="12" w:space="0" w:color="auto"/>
              <w:bottom w:val="single" w:sz="4" w:space="0" w:color="auto"/>
              <w:right w:val="single" w:sz="4" w:space="0" w:color="auto"/>
            </w:tcBorders>
            <w:vAlign w:val="center"/>
          </w:tcPr>
          <w:p w:rsidR="00225B27" w:rsidRDefault="00225B27">
            <w:pPr>
              <w:spacing w:before="0" w:after="0"/>
              <w:jc w:val="left"/>
              <w:rPr>
                <w:rFonts w:cs="Arial"/>
              </w:rPr>
            </w:pPr>
            <w:r>
              <w:rPr>
                <w:rFonts w:cs="Arial"/>
              </w:rPr>
              <w:t>Zhotovitel</w:t>
            </w:r>
          </w:p>
        </w:tc>
        <w:tc>
          <w:tcPr>
            <w:tcW w:w="3780" w:type="dxa"/>
            <w:tcBorders>
              <w:top w:val="single" w:sz="4" w:space="0" w:color="auto"/>
              <w:left w:val="single" w:sz="4" w:space="0" w:color="auto"/>
              <w:bottom w:val="single" w:sz="4" w:space="0" w:color="auto"/>
              <w:right w:val="single" w:sz="4" w:space="0" w:color="auto"/>
            </w:tcBorders>
            <w:vAlign w:val="center"/>
          </w:tcPr>
          <w:p w:rsidR="00225B27" w:rsidRDefault="00225B27">
            <w:pPr>
              <w:spacing w:before="0" w:after="0"/>
              <w:jc w:val="left"/>
              <w:rPr>
                <w:rFonts w:cs="Arial"/>
              </w:rPr>
            </w:pPr>
            <w:r>
              <w:rPr>
                <w:rFonts w:cs="Arial"/>
              </w:rPr>
              <w:t>SUDOP PRAHA a.s.</w:t>
            </w:r>
          </w:p>
          <w:p w:rsidR="00225B27" w:rsidRDefault="00D224C0">
            <w:pPr>
              <w:spacing w:before="0" w:after="0"/>
              <w:jc w:val="left"/>
              <w:rPr>
                <w:rFonts w:cs="Arial"/>
              </w:rPr>
            </w:pPr>
            <w:r>
              <w:rPr>
                <w:rFonts w:cs="Arial"/>
              </w:rPr>
              <w:t>Středisko</w:t>
            </w:r>
            <w:r w:rsidR="00225B27">
              <w:rPr>
                <w:rFonts w:cs="Arial"/>
              </w:rPr>
              <w:t xml:space="preserve"> koncepce dopravy</w:t>
            </w:r>
          </w:p>
          <w:p w:rsidR="00225B27" w:rsidRDefault="00225B27">
            <w:pPr>
              <w:spacing w:before="0" w:after="0"/>
              <w:jc w:val="left"/>
              <w:rPr>
                <w:rFonts w:cs="Arial"/>
              </w:rPr>
            </w:pPr>
            <w:r>
              <w:rPr>
                <w:rFonts w:cs="Arial"/>
              </w:rPr>
              <w:t>Olšanská 1a</w:t>
            </w:r>
          </w:p>
          <w:p w:rsidR="00225B27" w:rsidRDefault="00225B27">
            <w:pPr>
              <w:spacing w:before="0" w:after="0"/>
              <w:jc w:val="left"/>
              <w:rPr>
                <w:rFonts w:cs="Arial"/>
              </w:rPr>
            </w:pPr>
            <w:r>
              <w:rPr>
                <w:rFonts w:cs="Arial"/>
              </w:rPr>
              <w:t>130 80 Praha 3 – Žižkov</w:t>
            </w:r>
          </w:p>
        </w:tc>
        <w:tc>
          <w:tcPr>
            <w:tcW w:w="3490" w:type="dxa"/>
            <w:tcBorders>
              <w:top w:val="single" w:sz="4" w:space="0" w:color="auto"/>
              <w:left w:val="single" w:sz="4" w:space="0" w:color="auto"/>
              <w:bottom w:val="single" w:sz="4" w:space="0" w:color="auto"/>
              <w:right w:val="single" w:sz="12" w:space="0" w:color="auto"/>
            </w:tcBorders>
            <w:vAlign w:val="center"/>
          </w:tcPr>
          <w:p w:rsidR="00225B27" w:rsidRDefault="004E4D1F">
            <w:pPr>
              <w:pStyle w:val="t"/>
              <w:spacing w:before="0" w:after="0"/>
              <w:jc w:val="center"/>
              <w:rPr>
                <w:rFonts w:ascii="Arial" w:hAnsi="Arial" w:cs="Arial"/>
                <w:szCs w:val="24"/>
              </w:rPr>
            </w:pPr>
            <w:r>
              <w:rPr>
                <w:noProof/>
                <w:lang w:eastAsia="cs-CZ"/>
              </w:rPr>
              <w:drawing>
                <wp:inline distT="0" distB="0" distL="0" distR="0" wp14:anchorId="7F8A3448" wp14:editId="7404B9AB">
                  <wp:extent cx="1190625" cy="414020"/>
                  <wp:effectExtent l="0" t="0" r="0" b="0"/>
                  <wp:docPr id="3" name="obrázek 3" descr="logoSUD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SUDOP"/>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90625" cy="414020"/>
                          </a:xfrm>
                          <a:prstGeom prst="rect">
                            <a:avLst/>
                          </a:prstGeom>
                          <a:noFill/>
                          <a:ln>
                            <a:noFill/>
                          </a:ln>
                        </pic:spPr>
                      </pic:pic>
                    </a:graphicData>
                  </a:graphic>
                </wp:inline>
              </w:drawing>
            </w:r>
          </w:p>
        </w:tc>
      </w:tr>
      <w:tr w:rsidR="00225B27">
        <w:trPr>
          <w:trHeight w:val="601"/>
        </w:trPr>
        <w:tc>
          <w:tcPr>
            <w:tcW w:w="2049" w:type="dxa"/>
            <w:tcBorders>
              <w:top w:val="single" w:sz="4" w:space="0" w:color="auto"/>
              <w:left w:val="single" w:sz="12" w:space="0" w:color="auto"/>
              <w:bottom w:val="single" w:sz="4" w:space="0" w:color="auto"/>
              <w:right w:val="single" w:sz="4" w:space="0" w:color="auto"/>
            </w:tcBorders>
            <w:vAlign w:val="center"/>
          </w:tcPr>
          <w:p w:rsidR="00225B27" w:rsidRDefault="00225B27">
            <w:pPr>
              <w:spacing w:before="0" w:after="0"/>
              <w:jc w:val="left"/>
              <w:rPr>
                <w:rFonts w:cs="Arial"/>
              </w:rPr>
            </w:pPr>
            <w:r>
              <w:rPr>
                <w:rFonts w:cs="Arial"/>
              </w:rPr>
              <w:t>Číslo smlouvy</w:t>
            </w:r>
          </w:p>
        </w:tc>
        <w:tc>
          <w:tcPr>
            <w:tcW w:w="3780" w:type="dxa"/>
            <w:tcBorders>
              <w:top w:val="single" w:sz="4" w:space="0" w:color="auto"/>
              <w:left w:val="single" w:sz="4" w:space="0" w:color="auto"/>
              <w:bottom w:val="single" w:sz="4" w:space="0" w:color="auto"/>
              <w:right w:val="single" w:sz="4" w:space="0" w:color="auto"/>
            </w:tcBorders>
            <w:vAlign w:val="center"/>
          </w:tcPr>
          <w:p w:rsidR="00225B27" w:rsidRPr="00E01AD3" w:rsidRDefault="00225B27">
            <w:pPr>
              <w:rPr>
                <w:rFonts w:cs="Arial"/>
              </w:rPr>
            </w:pPr>
            <w:r w:rsidRPr="00E01AD3">
              <w:rPr>
                <w:rFonts w:cs="Arial"/>
              </w:rPr>
              <w:t xml:space="preserve">objednatele </w:t>
            </w:r>
            <w:r w:rsidR="00E01AD3" w:rsidRPr="00E01AD3">
              <w:rPr>
                <w:rFonts w:cs="Arial"/>
              </w:rPr>
              <w:t>E617-S-1596/2014-SSV</w:t>
            </w:r>
          </w:p>
        </w:tc>
        <w:tc>
          <w:tcPr>
            <w:tcW w:w="3490" w:type="dxa"/>
            <w:tcBorders>
              <w:top w:val="single" w:sz="4" w:space="0" w:color="auto"/>
              <w:left w:val="single" w:sz="4" w:space="0" w:color="auto"/>
              <w:bottom w:val="single" w:sz="4" w:space="0" w:color="auto"/>
              <w:right w:val="single" w:sz="12" w:space="0" w:color="auto"/>
            </w:tcBorders>
            <w:vAlign w:val="center"/>
          </w:tcPr>
          <w:p w:rsidR="00225B27" w:rsidRPr="00E01AD3" w:rsidRDefault="00225B27" w:rsidP="00F2196D">
            <w:pPr>
              <w:jc w:val="center"/>
              <w:rPr>
                <w:rFonts w:cs="Arial"/>
              </w:rPr>
            </w:pPr>
            <w:r w:rsidRPr="00E01AD3">
              <w:rPr>
                <w:rFonts w:cs="Arial"/>
              </w:rPr>
              <w:t xml:space="preserve">zhotovitele </w:t>
            </w:r>
            <w:r w:rsidR="00F2196D" w:rsidRPr="00E01AD3">
              <w:rPr>
                <w:rFonts w:cs="Arial"/>
              </w:rPr>
              <w:t>14-132.205</w:t>
            </w:r>
          </w:p>
        </w:tc>
      </w:tr>
      <w:tr w:rsidR="00225B27" w:rsidTr="00E01AD3">
        <w:trPr>
          <w:trHeight w:val="601"/>
        </w:trPr>
        <w:tc>
          <w:tcPr>
            <w:tcW w:w="2049" w:type="dxa"/>
            <w:tcBorders>
              <w:top w:val="single" w:sz="4" w:space="0" w:color="auto"/>
              <w:left w:val="single" w:sz="12" w:space="0" w:color="auto"/>
              <w:bottom w:val="single" w:sz="4" w:space="0" w:color="auto"/>
              <w:right w:val="single" w:sz="4" w:space="0" w:color="auto"/>
            </w:tcBorders>
            <w:vAlign w:val="center"/>
          </w:tcPr>
          <w:p w:rsidR="00225B27" w:rsidRDefault="00225B27">
            <w:pPr>
              <w:spacing w:before="0" w:after="0"/>
              <w:jc w:val="left"/>
              <w:rPr>
                <w:rFonts w:cs="Arial"/>
              </w:rPr>
            </w:pPr>
            <w:r>
              <w:rPr>
                <w:rFonts w:cs="Arial"/>
              </w:rPr>
              <w:t>Odpovědný zpracovatel projektu</w:t>
            </w:r>
          </w:p>
        </w:tc>
        <w:tc>
          <w:tcPr>
            <w:tcW w:w="3780" w:type="dxa"/>
            <w:tcBorders>
              <w:top w:val="single" w:sz="4" w:space="0" w:color="auto"/>
              <w:left w:val="single" w:sz="4" w:space="0" w:color="auto"/>
              <w:bottom w:val="single" w:sz="4" w:space="0" w:color="auto"/>
              <w:right w:val="single" w:sz="4" w:space="0" w:color="auto"/>
            </w:tcBorders>
            <w:vAlign w:val="center"/>
          </w:tcPr>
          <w:p w:rsidR="00225B27" w:rsidRDefault="001E1232" w:rsidP="00486AB2">
            <w:pPr>
              <w:spacing w:before="0" w:after="0"/>
              <w:jc w:val="left"/>
              <w:rPr>
                <w:rFonts w:cs="Arial"/>
              </w:rPr>
            </w:pPr>
            <w:r>
              <w:rPr>
                <w:rFonts w:cs="Arial"/>
              </w:rPr>
              <w:t xml:space="preserve">Ing. </w:t>
            </w:r>
            <w:r w:rsidR="00486AB2">
              <w:rPr>
                <w:rFonts w:cs="Arial"/>
              </w:rPr>
              <w:t>Vladislav Černý</w:t>
            </w:r>
          </w:p>
        </w:tc>
        <w:tc>
          <w:tcPr>
            <w:tcW w:w="3490" w:type="dxa"/>
            <w:tcBorders>
              <w:top w:val="single" w:sz="4" w:space="0" w:color="auto"/>
              <w:left w:val="single" w:sz="4" w:space="0" w:color="auto"/>
              <w:bottom w:val="single" w:sz="4" w:space="0" w:color="auto"/>
              <w:right w:val="single" w:sz="12" w:space="0" w:color="auto"/>
            </w:tcBorders>
            <w:vAlign w:val="center"/>
          </w:tcPr>
          <w:p w:rsidR="00225B27" w:rsidRDefault="003670C9" w:rsidP="003670C9">
            <w:pPr>
              <w:spacing w:before="0" w:after="0"/>
              <w:jc w:val="left"/>
              <w:rPr>
                <w:rFonts w:cs="Arial"/>
              </w:rPr>
            </w:pPr>
            <w:r>
              <w:rPr>
                <w:rFonts w:cs="Arial"/>
              </w:rPr>
              <w:t>v.r.</w:t>
            </w:r>
          </w:p>
        </w:tc>
      </w:tr>
      <w:tr w:rsidR="001E1232">
        <w:tc>
          <w:tcPr>
            <w:tcW w:w="2049" w:type="dxa"/>
            <w:tcBorders>
              <w:top w:val="single" w:sz="4" w:space="0" w:color="auto"/>
              <w:left w:val="single" w:sz="12" w:space="0" w:color="auto"/>
              <w:bottom w:val="nil"/>
              <w:right w:val="single" w:sz="4" w:space="0" w:color="auto"/>
            </w:tcBorders>
            <w:vAlign w:val="center"/>
          </w:tcPr>
          <w:p w:rsidR="001E1232" w:rsidRDefault="001E1232">
            <w:pPr>
              <w:spacing w:before="0" w:after="0"/>
              <w:jc w:val="left"/>
              <w:rPr>
                <w:rFonts w:cs="Arial"/>
              </w:rPr>
            </w:pPr>
            <w:r>
              <w:rPr>
                <w:rFonts w:cs="Arial"/>
              </w:rPr>
              <w:t>Zpracovali</w:t>
            </w:r>
          </w:p>
        </w:tc>
        <w:tc>
          <w:tcPr>
            <w:tcW w:w="3780" w:type="dxa"/>
            <w:tcBorders>
              <w:top w:val="single" w:sz="4" w:space="0" w:color="auto"/>
              <w:left w:val="single" w:sz="4" w:space="0" w:color="auto"/>
              <w:bottom w:val="nil"/>
              <w:right w:val="nil"/>
            </w:tcBorders>
            <w:vAlign w:val="center"/>
          </w:tcPr>
          <w:p w:rsidR="001E1232" w:rsidRDefault="001E1232" w:rsidP="006A0D46">
            <w:pPr>
              <w:spacing w:before="0" w:after="0"/>
              <w:jc w:val="left"/>
              <w:rPr>
                <w:rFonts w:cs="Arial"/>
              </w:rPr>
            </w:pPr>
            <w:r>
              <w:rPr>
                <w:rFonts w:cs="Arial"/>
              </w:rPr>
              <w:t>Ing. Vladi</w:t>
            </w:r>
            <w:r w:rsidR="006A0D46">
              <w:rPr>
                <w:rFonts w:cs="Arial"/>
              </w:rPr>
              <w:t>slav</w:t>
            </w:r>
            <w:r>
              <w:rPr>
                <w:rFonts w:cs="Arial"/>
              </w:rPr>
              <w:t xml:space="preserve"> Černý </w:t>
            </w:r>
          </w:p>
        </w:tc>
        <w:tc>
          <w:tcPr>
            <w:tcW w:w="3490" w:type="dxa"/>
            <w:tcBorders>
              <w:top w:val="single" w:sz="4" w:space="0" w:color="auto"/>
              <w:left w:val="nil"/>
              <w:bottom w:val="nil"/>
              <w:right w:val="single" w:sz="12" w:space="0" w:color="auto"/>
            </w:tcBorders>
            <w:vAlign w:val="center"/>
          </w:tcPr>
          <w:p w:rsidR="001E1232" w:rsidRDefault="00486AB2">
            <w:pPr>
              <w:spacing w:before="0" w:after="0"/>
              <w:jc w:val="left"/>
              <w:rPr>
                <w:rFonts w:cs="Arial"/>
              </w:rPr>
            </w:pPr>
            <w:r>
              <w:rPr>
                <w:rFonts w:cs="Arial"/>
              </w:rPr>
              <w:t>Koncepce, dopravní technologie</w:t>
            </w:r>
          </w:p>
        </w:tc>
      </w:tr>
      <w:tr w:rsidR="001E1232">
        <w:tc>
          <w:tcPr>
            <w:tcW w:w="2049" w:type="dxa"/>
            <w:tcBorders>
              <w:top w:val="nil"/>
              <w:left w:val="single" w:sz="12" w:space="0" w:color="auto"/>
              <w:bottom w:val="nil"/>
              <w:right w:val="single" w:sz="4" w:space="0" w:color="auto"/>
            </w:tcBorders>
            <w:vAlign w:val="center"/>
          </w:tcPr>
          <w:p w:rsidR="001E1232" w:rsidRDefault="001E1232">
            <w:pPr>
              <w:spacing w:before="0" w:after="0"/>
              <w:jc w:val="left"/>
              <w:rPr>
                <w:rFonts w:cs="Arial"/>
              </w:rPr>
            </w:pPr>
          </w:p>
        </w:tc>
        <w:tc>
          <w:tcPr>
            <w:tcW w:w="3780" w:type="dxa"/>
            <w:tcBorders>
              <w:top w:val="nil"/>
              <w:left w:val="single" w:sz="4" w:space="0" w:color="auto"/>
              <w:bottom w:val="nil"/>
              <w:right w:val="nil"/>
            </w:tcBorders>
            <w:vAlign w:val="center"/>
          </w:tcPr>
          <w:p w:rsidR="001E1232" w:rsidRDefault="001E1232" w:rsidP="001E1232">
            <w:pPr>
              <w:spacing w:before="0" w:after="0"/>
              <w:jc w:val="left"/>
              <w:rPr>
                <w:rFonts w:cs="Arial"/>
              </w:rPr>
            </w:pPr>
            <w:r>
              <w:rPr>
                <w:rFonts w:cs="Arial"/>
              </w:rPr>
              <w:t>Ing. Tomáš Němec</w:t>
            </w:r>
          </w:p>
        </w:tc>
        <w:tc>
          <w:tcPr>
            <w:tcW w:w="3490" w:type="dxa"/>
            <w:tcBorders>
              <w:top w:val="nil"/>
              <w:left w:val="nil"/>
              <w:bottom w:val="nil"/>
              <w:right w:val="single" w:sz="12" w:space="0" w:color="auto"/>
            </w:tcBorders>
            <w:vAlign w:val="center"/>
          </w:tcPr>
          <w:p w:rsidR="001E1232" w:rsidRDefault="00486AB2">
            <w:pPr>
              <w:spacing w:before="0" w:after="0"/>
              <w:jc w:val="left"/>
              <w:rPr>
                <w:rFonts w:cs="Arial"/>
              </w:rPr>
            </w:pPr>
            <w:r>
              <w:rPr>
                <w:rFonts w:cs="Arial"/>
              </w:rPr>
              <w:t>Přepravní prognóza</w:t>
            </w:r>
          </w:p>
        </w:tc>
      </w:tr>
      <w:tr w:rsidR="001E1232">
        <w:tc>
          <w:tcPr>
            <w:tcW w:w="2049" w:type="dxa"/>
            <w:tcBorders>
              <w:top w:val="nil"/>
              <w:left w:val="single" w:sz="12" w:space="0" w:color="auto"/>
              <w:bottom w:val="nil"/>
              <w:right w:val="single" w:sz="4" w:space="0" w:color="auto"/>
            </w:tcBorders>
            <w:vAlign w:val="center"/>
          </w:tcPr>
          <w:p w:rsidR="001E1232" w:rsidRDefault="001E1232">
            <w:pPr>
              <w:spacing w:before="0" w:after="0"/>
              <w:jc w:val="left"/>
              <w:rPr>
                <w:rFonts w:cs="Arial"/>
              </w:rPr>
            </w:pPr>
          </w:p>
        </w:tc>
        <w:tc>
          <w:tcPr>
            <w:tcW w:w="3780" w:type="dxa"/>
            <w:tcBorders>
              <w:top w:val="nil"/>
              <w:left w:val="single" w:sz="4" w:space="0" w:color="auto"/>
              <w:bottom w:val="nil"/>
              <w:right w:val="nil"/>
            </w:tcBorders>
            <w:vAlign w:val="center"/>
          </w:tcPr>
          <w:p w:rsidR="001E1232" w:rsidRDefault="001E1232" w:rsidP="00FD70B4">
            <w:pPr>
              <w:spacing w:before="0" w:after="0"/>
              <w:jc w:val="left"/>
              <w:rPr>
                <w:rFonts w:cs="Arial"/>
              </w:rPr>
            </w:pPr>
            <w:r w:rsidRPr="00E01AD3">
              <w:rPr>
                <w:rFonts w:cs="Arial"/>
              </w:rPr>
              <w:t>Ing. Martin Van</w:t>
            </w:r>
            <w:r w:rsidRPr="00E01AD3">
              <w:rPr>
                <w:rFonts w:cs="Arial" w:hint="eastAsia"/>
              </w:rPr>
              <w:t>ě</w:t>
            </w:r>
            <w:r w:rsidRPr="00E01AD3">
              <w:rPr>
                <w:rFonts w:cs="Arial"/>
              </w:rPr>
              <w:t>k</w:t>
            </w:r>
          </w:p>
        </w:tc>
        <w:tc>
          <w:tcPr>
            <w:tcW w:w="3490" w:type="dxa"/>
            <w:tcBorders>
              <w:top w:val="nil"/>
              <w:left w:val="nil"/>
              <w:bottom w:val="nil"/>
              <w:right w:val="single" w:sz="12" w:space="0" w:color="auto"/>
            </w:tcBorders>
            <w:vAlign w:val="center"/>
          </w:tcPr>
          <w:p w:rsidR="001E1232" w:rsidRDefault="00486AB2">
            <w:pPr>
              <w:spacing w:before="0" w:after="0"/>
              <w:jc w:val="left"/>
              <w:rPr>
                <w:rFonts w:cs="Arial"/>
              </w:rPr>
            </w:pPr>
            <w:r>
              <w:rPr>
                <w:rFonts w:cs="Arial"/>
              </w:rPr>
              <w:t>Technické řešení</w:t>
            </w:r>
          </w:p>
        </w:tc>
      </w:tr>
      <w:tr w:rsidR="001E1232">
        <w:tc>
          <w:tcPr>
            <w:tcW w:w="2049" w:type="dxa"/>
            <w:tcBorders>
              <w:top w:val="nil"/>
              <w:left w:val="single" w:sz="12" w:space="0" w:color="auto"/>
              <w:bottom w:val="nil"/>
              <w:right w:val="single" w:sz="4" w:space="0" w:color="auto"/>
            </w:tcBorders>
            <w:vAlign w:val="center"/>
          </w:tcPr>
          <w:p w:rsidR="001E1232" w:rsidRDefault="001E1232">
            <w:pPr>
              <w:spacing w:before="0" w:after="0"/>
              <w:jc w:val="left"/>
              <w:rPr>
                <w:rFonts w:cs="Arial"/>
              </w:rPr>
            </w:pPr>
          </w:p>
        </w:tc>
        <w:tc>
          <w:tcPr>
            <w:tcW w:w="3780" w:type="dxa"/>
            <w:tcBorders>
              <w:top w:val="nil"/>
              <w:left w:val="single" w:sz="4" w:space="0" w:color="auto"/>
              <w:bottom w:val="nil"/>
              <w:right w:val="nil"/>
            </w:tcBorders>
            <w:vAlign w:val="center"/>
          </w:tcPr>
          <w:p w:rsidR="001E1232" w:rsidRDefault="001E1232" w:rsidP="00225B27">
            <w:pPr>
              <w:spacing w:before="0" w:after="0"/>
              <w:jc w:val="left"/>
              <w:rPr>
                <w:rFonts w:cs="Arial"/>
              </w:rPr>
            </w:pPr>
            <w:r>
              <w:rPr>
                <w:rFonts w:cs="Arial"/>
              </w:rPr>
              <w:t>Ing. Martin Večeřa</w:t>
            </w:r>
          </w:p>
        </w:tc>
        <w:tc>
          <w:tcPr>
            <w:tcW w:w="3490" w:type="dxa"/>
            <w:tcBorders>
              <w:top w:val="nil"/>
              <w:left w:val="nil"/>
              <w:bottom w:val="nil"/>
              <w:right w:val="single" w:sz="12" w:space="0" w:color="auto"/>
            </w:tcBorders>
            <w:vAlign w:val="center"/>
          </w:tcPr>
          <w:p w:rsidR="001E1232" w:rsidRDefault="00486AB2">
            <w:pPr>
              <w:spacing w:before="0" w:after="0"/>
              <w:jc w:val="left"/>
              <w:rPr>
                <w:rFonts w:cs="Arial"/>
              </w:rPr>
            </w:pPr>
            <w:r>
              <w:rPr>
                <w:rFonts w:cs="Arial"/>
              </w:rPr>
              <w:t>Ekonomické hodnocení</w:t>
            </w:r>
          </w:p>
        </w:tc>
      </w:tr>
      <w:tr w:rsidR="001E1232">
        <w:trPr>
          <w:trHeight w:val="524"/>
        </w:trPr>
        <w:tc>
          <w:tcPr>
            <w:tcW w:w="2049" w:type="dxa"/>
            <w:tcBorders>
              <w:top w:val="single" w:sz="4" w:space="0" w:color="auto"/>
              <w:left w:val="single" w:sz="12" w:space="0" w:color="auto"/>
              <w:bottom w:val="single" w:sz="12" w:space="0" w:color="auto"/>
              <w:right w:val="single" w:sz="4" w:space="0" w:color="auto"/>
            </w:tcBorders>
            <w:vAlign w:val="center"/>
          </w:tcPr>
          <w:p w:rsidR="001E1232" w:rsidRDefault="001E1232">
            <w:pPr>
              <w:spacing w:before="0" w:after="0"/>
              <w:jc w:val="left"/>
              <w:rPr>
                <w:rFonts w:cs="Arial"/>
              </w:rPr>
            </w:pPr>
            <w:r>
              <w:rPr>
                <w:rFonts w:cs="Arial"/>
              </w:rPr>
              <w:t>Kontroloval</w:t>
            </w:r>
          </w:p>
        </w:tc>
        <w:tc>
          <w:tcPr>
            <w:tcW w:w="3780" w:type="dxa"/>
            <w:tcBorders>
              <w:top w:val="single" w:sz="4" w:space="0" w:color="auto"/>
              <w:left w:val="single" w:sz="4" w:space="0" w:color="auto"/>
              <w:bottom w:val="single" w:sz="12" w:space="0" w:color="auto"/>
              <w:right w:val="single" w:sz="4" w:space="0" w:color="auto"/>
            </w:tcBorders>
            <w:vAlign w:val="center"/>
          </w:tcPr>
          <w:p w:rsidR="001E1232" w:rsidRDefault="001E1232">
            <w:pPr>
              <w:spacing w:before="0" w:after="0"/>
              <w:jc w:val="left"/>
              <w:rPr>
                <w:rFonts w:cs="Arial"/>
              </w:rPr>
            </w:pPr>
            <w:r>
              <w:rPr>
                <w:rFonts w:cs="Arial"/>
              </w:rPr>
              <w:t>Ing. Pavel Tikman</w:t>
            </w:r>
          </w:p>
        </w:tc>
        <w:tc>
          <w:tcPr>
            <w:tcW w:w="3490" w:type="dxa"/>
            <w:tcBorders>
              <w:top w:val="single" w:sz="4" w:space="0" w:color="auto"/>
              <w:left w:val="single" w:sz="4" w:space="0" w:color="auto"/>
              <w:bottom w:val="single" w:sz="12" w:space="0" w:color="auto"/>
              <w:right w:val="single" w:sz="12" w:space="0" w:color="auto"/>
            </w:tcBorders>
            <w:vAlign w:val="center"/>
          </w:tcPr>
          <w:p w:rsidR="001E1232" w:rsidRDefault="003670C9" w:rsidP="003670C9">
            <w:pPr>
              <w:spacing w:before="0" w:after="0"/>
              <w:jc w:val="left"/>
              <w:rPr>
                <w:rFonts w:cs="Arial"/>
              </w:rPr>
            </w:pPr>
            <w:r>
              <w:rPr>
                <w:rFonts w:cs="Arial"/>
                <w:noProof/>
                <w:lang w:eastAsia="cs-CZ"/>
              </w:rPr>
              <w:t>v.r.</w:t>
            </w:r>
          </w:p>
        </w:tc>
      </w:tr>
    </w:tbl>
    <w:p w:rsidR="00E01AD3" w:rsidRDefault="00E01AD3">
      <w:pPr>
        <w:rPr>
          <w:b/>
          <w:bCs/>
          <w:color w:val="000000"/>
          <w:sz w:val="32"/>
          <w:lang w:val="en-US"/>
        </w:rPr>
      </w:pPr>
    </w:p>
    <w:p w:rsidR="00E01AD3" w:rsidRDefault="00E01AD3">
      <w:pPr>
        <w:suppressAutoHyphens w:val="0"/>
        <w:spacing w:before="0" w:after="0" w:line="240" w:lineRule="auto"/>
        <w:jc w:val="left"/>
        <w:rPr>
          <w:b/>
          <w:bCs/>
          <w:color w:val="000000"/>
          <w:sz w:val="32"/>
          <w:lang w:val="en-US"/>
        </w:rPr>
      </w:pPr>
      <w:r>
        <w:rPr>
          <w:b/>
          <w:bCs/>
          <w:color w:val="000000"/>
          <w:sz w:val="32"/>
          <w:lang w:val="en-US"/>
        </w:rPr>
        <w:br w:type="page"/>
      </w:r>
    </w:p>
    <w:p w:rsidR="00225B27" w:rsidRDefault="00225B27">
      <w:pPr>
        <w:rPr>
          <w:b/>
          <w:bCs/>
          <w:color w:val="000000"/>
          <w:sz w:val="32"/>
          <w:lang w:val="en-US"/>
        </w:rPr>
      </w:pPr>
      <w:r>
        <w:rPr>
          <w:b/>
          <w:bCs/>
          <w:color w:val="000000"/>
          <w:sz w:val="32"/>
          <w:lang w:val="en-US"/>
        </w:rPr>
        <w:lastRenderedPageBreak/>
        <w:t>OBSAH</w:t>
      </w:r>
    </w:p>
    <w:p w:rsidR="00CF2E45" w:rsidRDefault="00AC5CDF">
      <w:pPr>
        <w:pStyle w:val="Obsah1"/>
        <w:tabs>
          <w:tab w:val="left" w:pos="440"/>
          <w:tab w:val="right" w:pos="9343"/>
        </w:tabs>
        <w:rPr>
          <w:rFonts w:asciiTheme="minorHAnsi" w:eastAsiaTheme="minorEastAsia" w:hAnsiTheme="minorHAnsi" w:cstheme="minorBidi"/>
          <w:b w:val="0"/>
          <w:bCs w:val="0"/>
          <w:caps w:val="0"/>
          <w:noProof/>
          <w:sz w:val="22"/>
          <w:szCs w:val="22"/>
          <w:lang w:eastAsia="cs-CZ"/>
        </w:rPr>
      </w:pPr>
      <w:r>
        <w:rPr>
          <w:lang w:val="en-US"/>
        </w:rPr>
        <w:fldChar w:fldCharType="begin"/>
      </w:r>
      <w:r w:rsidR="00225B27">
        <w:rPr>
          <w:lang w:val="en-US"/>
        </w:rPr>
        <w:instrText xml:space="preserve"> TOC \o "1-2" \h \z </w:instrText>
      </w:r>
      <w:r>
        <w:rPr>
          <w:lang w:val="en-US"/>
        </w:rPr>
        <w:fldChar w:fldCharType="separate"/>
      </w:r>
      <w:hyperlink w:anchor="_Toc390958677" w:history="1">
        <w:r w:rsidR="00CF2E45" w:rsidRPr="00665411">
          <w:rPr>
            <w:rStyle w:val="Hypertextovodkaz"/>
          </w:rPr>
          <w:t>1</w:t>
        </w:r>
        <w:r w:rsidR="00CF2E45">
          <w:rPr>
            <w:rFonts w:asciiTheme="minorHAnsi" w:eastAsiaTheme="minorEastAsia" w:hAnsiTheme="minorHAnsi" w:cstheme="minorBidi"/>
            <w:b w:val="0"/>
            <w:bCs w:val="0"/>
            <w:caps w:val="0"/>
            <w:noProof/>
            <w:sz w:val="22"/>
            <w:szCs w:val="22"/>
            <w:lang w:eastAsia="cs-CZ"/>
          </w:rPr>
          <w:tab/>
        </w:r>
        <w:r w:rsidR="00CF2E45" w:rsidRPr="00665411">
          <w:rPr>
            <w:rStyle w:val="Hypertextovodkaz"/>
          </w:rPr>
          <w:t>Úvod</w:t>
        </w:r>
        <w:r w:rsidR="00CF2E45">
          <w:rPr>
            <w:noProof/>
            <w:webHidden/>
          </w:rPr>
          <w:tab/>
        </w:r>
        <w:r w:rsidR="00CF2E45">
          <w:rPr>
            <w:noProof/>
            <w:webHidden/>
          </w:rPr>
          <w:fldChar w:fldCharType="begin"/>
        </w:r>
        <w:r w:rsidR="00CF2E45">
          <w:rPr>
            <w:noProof/>
            <w:webHidden/>
          </w:rPr>
          <w:instrText xml:space="preserve"> PAGEREF _Toc390958677 \h </w:instrText>
        </w:r>
        <w:r w:rsidR="00CF2E45">
          <w:rPr>
            <w:noProof/>
            <w:webHidden/>
          </w:rPr>
        </w:r>
        <w:r w:rsidR="00CF2E45">
          <w:rPr>
            <w:noProof/>
            <w:webHidden/>
          </w:rPr>
          <w:fldChar w:fldCharType="separate"/>
        </w:r>
        <w:r w:rsidR="003843F3">
          <w:rPr>
            <w:noProof/>
            <w:webHidden/>
          </w:rPr>
          <w:t>11</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78" w:history="1">
        <w:r w:rsidR="00CF2E45" w:rsidRPr="00665411">
          <w:rPr>
            <w:rStyle w:val="Hypertextovodkaz"/>
          </w:rPr>
          <w:t>1.1</w:t>
        </w:r>
        <w:r w:rsidR="00CF2E45">
          <w:rPr>
            <w:rFonts w:asciiTheme="minorHAnsi" w:eastAsiaTheme="minorEastAsia" w:hAnsiTheme="minorHAnsi" w:cstheme="minorBidi"/>
            <w:noProof/>
            <w:sz w:val="22"/>
            <w:szCs w:val="22"/>
            <w:lang w:eastAsia="cs-CZ"/>
          </w:rPr>
          <w:tab/>
        </w:r>
        <w:r w:rsidR="00CF2E45" w:rsidRPr="00665411">
          <w:rPr>
            <w:rStyle w:val="Hypertextovodkaz"/>
          </w:rPr>
          <w:t>Základní údaje, zadání</w:t>
        </w:r>
        <w:r w:rsidR="00CF2E45">
          <w:rPr>
            <w:noProof/>
            <w:webHidden/>
          </w:rPr>
          <w:tab/>
        </w:r>
        <w:r w:rsidR="00CF2E45">
          <w:rPr>
            <w:noProof/>
            <w:webHidden/>
          </w:rPr>
          <w:fldChar w:fldCharType="begin"/>
        </w:r>
        <w:r w:rsidR="00CF2E45">
          <w:rPr>
            <w:noProof/>
            <w:webHidden/>
          </w:rPr>
          <w:instrText xml:space="preserve"> PAGEREF _Toc390958678 \h </w:instrText>
        </w:r>
        <w:r w:rsidR="00CF2E45">
          <w:rPr>
            <w:noProof/>
            <w:webHidden/>
          </w:rPr>
        </w:r>
        <w:r w:rsidR="00CF2E45">
          <w:rPr>
            <w:noProof/>
            <w:webHidden/>
          </w:rPr>
          <w:fldChar w:fldCharType="separate"/>
        </w:r>
        <w:r w:rsidR="003843F3">
          <w:rPr>
            <w:noProof/>
            <w:webHidden/>
          </w:rPr>
          <w:t>11</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79" w:history="1">
        <w:r w:rsidR="00CF2E45" w:rsidRPr="00665411">
          <w:rPr>
            <w:rStyle w:val="Hypertextovodkaz"/>
            <w:rFonts w:cs="Tahoma"/>
          </w:rPr>
          <w:t>1.2</w:t>
        </w:r>
        <w:r w:rsidR="00CF2E45">
          <w:rPr>
            <w:rFonts w:asciiTheme="minorHAnsi" w:eastAsiaTheme="minorEastAsia" w:hAnsiTheme="minorHAnsi" w:cstheme="minorBidi"/>
            <w:noProof/>
            <w:sz w:val="22"/>
            <w:szCs w:val="22"/>
            <w:lang w:eastAsia="cs-CZ"/>
          </w:rPr>
          <w:tab/>
        </w:r>
        <w:r w:rsidR="00CF2E45" w:rsidRPr="00665411">
          <w:rPr>
            <w:rStyle w:val="Hypertextovodkaz"/>
          </w:rPr>
          <w:t>Úkoly stavby a její cíle</w:t>
        </w:r>
        <w:r w:rsidR="00CF2E45">
          <w:rPr>
            <w:noProof/>
            <w:webHidden/>
          </w:rPr>
          <w:tab/>
        </w:r>
        <w:r w:rsidR="00CF2E45">
          <w:rPr>
            <w:noProof/>
            <w:webHidden/>
          </w:rPr>
          <w:fldChar w:fldCharType="begin"/>
        </w:r>
        <w:r w:rsidR="00CF2E45">
          <w:rPr>
            <w:noProof/>
            <w:webHidden/>
          </w:rPr>
          <w:instrText xml:space="preserve"> PAGEREF _Toc390958679 \h </w:instrText>
        </w:r>
        <w:r w:rsidR="00CF2E45">
          <w:rPr>
            <w:noProof/>
            <w:webHidden/>
          </w:rPr>
        </w:r>
        <w:r w:rsidR="00CF2E45">
          <w:rPr>
            <w:noProof/>
            <w:webHidden/>
          </w:rPr>
          <w:fldChar w:fldCharType="separate"/>
        </w:r>
        <w:r w:rsidR="003843F3">
          <w:rPr>
            <w:noProof/>
            <w:webHidden/>
          </w:rPr>
          <w:t>12</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80" w:history="1">
        <w:r w:rsidR="00CF2E45" w:rsidRPr="00665411">
          <w:rPr>
            <w:rStyle w:val="Hypertextovodkaz"/>
          </w:rPr>
          <w:t>1.3</w:t>
        </w:r>
        <w:r w:rsidR="00CF2E45">
          <w:rPr>
            <w:rFonts w:asciiTheme="minorHAnsi" w:eastAsiaTheme="minorEastAsia" w:hAnsiTheme="minorHAnsi" w:cstheme="minorBidi"/>
            <w:noProof/>
            <w:sz w:val="22"/>
            <w:szCs w:val="22"/>
            <w:lang w:eastAsia="cs-CZ"/>
          </w:rPr>
          <w:tab/>
        </w:r>
        <w:r w:rsidR="00CF2E45" w:rsidRPr="00665411">
          <w:rPr>
            <w:rStyle w:val="Hypertextovodkaz"/>
          </w:rPr>
          <w:t>České železnice a jejich postavení v Evropě, minulost a budoucnost</w:t>
        </w:r>
        <w:r w:rsidR="00CF2E45">
          <w:rPr>
            <w:noProof/>
            <w:webHidden/>
          </w:rPr>
          <w:tab/>
        </w:r>
        <w:r w:rsidR="00CF2E45">
          <w:rPr>
            <w:noProof/>
            <w:webHidden/>
          </w:rPr>
          <w:fldChar w:fldCharType="begin"/>
        </w:r>
        <w:r w:rsidR="00CF2E45">
          <w:rPr>
            <w:noProof/>
            <w:webHidden/>
          </w:rPr>
          <w:instrText xml:space="preserve"> PAGEREF _Toc390958680 \h </w:instrText>
        </w:r>
        <w:r w:rsidR="00CF2E45">
          <w:rPr>
            <w:noProof/>
            <w:webHidden/>
          </w:rPr>
        </w:r>
        <w:r w:rsidR="00CF2E45">
          <w:rPr>
            <w:noProof/>
            <w:webHidden/>
          </w:rPr>
          <w:fldChar w:fldCharType="separate"/>
        </w:r>
        <w:r w:rsidR="003843F3">
          <w:rPr>
            <w:noProof/>
            <w:webHidden/>
          </w:rPr>
          <w:t>13</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81" w:history="1">
        <w:r w:rsidR="00CF2E45" w:rsidRPr="00665411">
          <w:rPr>
            <w:rStyle w:val="Hypertextovodkaz"/>
          </w:rPr>
          <w:t>1.4</w:t>
        </w:r>
        <w:r w:rsidR="00CF2E45">
          <w:rPr>
            <w:rFonts w:asciiTheme="minorHAnsi" w:eastAsiaTheme="minorEastAsia" w:hAnsiTheme="minorHAnsi" w:cstheme="minorBidi"/>
            <w:noProof/>
            <w:sz w:val="22"/>
            <w:szCs w:val="22"/>
            <w:lang w:eastAsia="cs-CZ"/>
          </w:rPr>
          <w:tab/>
        </w:r>
        <w:r w:rsidR="00CF2E45" w:rsidRPr="00665411">
          <w:rPr>
            <w:rStyle w:val="Hypertextovodkaz"/>
          </w:rPr>
          <w:t>Program obnovy železniční sítě ve správě SŽDC</w:t>
        </w:r>
        <w:r w:rsidR="00CF2E45">
          <w:rPr>
            <w:noProof/>
            <w:webHidden/>
          </w:rPr>
          <w:tab/>
        </w:r>
        <w:r w:rsidR="00CF2E45">
          <w:rPr>
            <w:noProof/>
            <w:webHidden/>
          </w:rPr>
          <w:fldChar w:fldCharType="begin"/>
        </w:r>
        <w:r w:rsidR="00CF2E45">
          <w:rPr>
            <w:noProof/>
            <w:webHidden/>
          </w:rPr>
          <w:instrText xml:space="preserve"> PAGEREF _Toc390958681 \h </w:instrText>
        </w:r>
        <w:r w:rsidR="00CF2E45">
          <w:rPr>
            <w:noProof/>
            <w:webHidden/>
          </w:rPr>
        </w:r>
        <w:r w:rsidR="00CF2E45">
          <w:rPr>
            <w:noProof/>
            <w:webHidden/>
          </w:rPr>
          <w:fldChar w:fldCharType="separate"/>
        </w:r>
        <w:r w:rsidR="003843F3">
          <w:rPr>
            <w:noProof/>
            <w:webHidden/>
          </w:rPr>
          <w:t>13</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82" w:history="1">
        <w:r w:rsidR="00CF2E45" w:rsidRPr="00665411">
          <w:rPr>
            <w:rStyle w:val="Hypertextovodkaz"/>
          </w:rPr>
          <w:t>1.5</w:t>
        </w:r>
        <w:r w:rsidR="00CF2E45">
          <w:rPr>
            <w:rFonts w:asciiTheme="minorHAnsi" w:eastAsiaTheme="minorEastAsia" w:hAnsiTheme="minorHAnsi" w:cstheme="minorBidi"/>
            <w:noProof/>
            <w:sz w:val="22"/>
            <w:szCs w:val="22"/>
            <w:lang w:eastAsia="cs-CZ"/>
          </w:rPr>
          <w:tab/>
        </w:r>
        <w:r w:rsidR="00CF2E45" w:rsidRPr="00665411">
          <w:rPr>
            <w:rStyle w:val="Hypertextovodkaz"/>
          </w:rPr>
          <w:t>Význam a funkce železniční trati Hradec Králové – Pardubice</w:t>
        </w:r>
        <w:r w:rsidR="00CF2E45">
          <w:rPr>
            <w:noProof/>
            <w:webHidden/>
          </w:rPr>
          <w:tab/>
        </w:r>
        <w:r w:rsidR="00CF2E45">
          <w:rPr>
            <w:noProof/>
            <w:webHidden/>
          </w:rPr>
          <w:fldChar w:fldCharType="begin"/>
        </w:r>
        <w:r w:rsidR="00CF2E45">
          <w:rPr>
            <w:noProof/>
            <w:webHidden/>
          </w:rPr>
          <w:instrText xml:space="preserve"> PAGEREF _Toc390958682 \h </w:instrText>
        </w:r>
        <w:r w:rsidR="00CF2E45">
          <w:rPr>
            <w:noProof/>
            <w:webHidden/>
          </w:rPr>
        </w:r>
        <w:r w:rsidR="00CF2E45">
          <w:rPr>
            <w:noProof/>
            <w:webHidden/>
          </w:rPr>
          <w:fldChar w:fldCharType="separate"/>
        </w:r>
        <w:r w:rsidR="003843F3">
          <w:rPr>
            <w:noProof/>
            <w:webHidden/>
          </w:rPr>
          <w:t>14</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83" w:history="1">
        <w:r w:rsidR="00CF2E45" w:rsidRPr="00665411">
          <w:rPr>
            <w:rStyle w:val="Hypertextovodkaz"/>
          </w:rPr>
          <w:t>1.6</w:t>
        </w:r>
        <w:r w:rsidR="00CF2E45">
          <w:rPr>
            <w:rFonts w:asciiTheme="minorHAnsi" w:eastAsiaTheme="minorEastAsia" w:hAnsiTheme="minorHAnsi" w:cstheme="minorBidi"/>
            <w:noProof/>
            <w:sz w:val="22"/>
            <w:szCs w:val="22"/>
            <w:lang w:eastAsia="cs-CZ"/>
          </w:rPr>
          <w:tab/>
        </w:r>
        <w:r w:rsidR="00CF2E45" w:rsidRPr="00665411">
          <w:rPr>
            <w:rStyle w:val="Hypertextovodkaz"/>
          </w:rPr>
          <w:t>Vazba na mezinárodní i národní dopravní koridory, jiné podmiňující stavby</w:t>
        </w:r>
        <w:r w:rsidR="00CF2E45">
          <w:rPr>
            <w:noProof/>
            <w:webHidden/>
          </w:rPr>
          <w:tab/>
        </w:r>
        <w:r w:rsidR="00CF2E45">
          <w:rPr>
            <w:noProof/>
            <w:webHidden/>
          </w:rPr>
          <w:fldChar w:fldCharType="begin"/>
        </w:r>
        <w:r w:rsidR="00CF2E45">
          <w:rPr>
            <w:noProof/>
            <w:webHidden/>
          </w:rPr>
          <w:instrText xml:space="preserve"> PAGEREF _Toc390958683 \h </w:instrText>
        </w:r>
        <w:r w:rsidR="00CF2E45">
          <w:rPr>
            <w:noProof/>
            <w:webHidden/>
          </w:rPr>
        </w:r>
        <w:r w:rsidR="00CF2E45">
          <w:rPr>
            <w:noProof/>
            <w:webHidden/>
          </w:rPr>
          <w:fldChar w:fldCharType="separate"/>
        </w:r>
        <w:r w:rsidR="003843F3">
          <w:rPr>
            <w:noProof/>
            <w:webHidden/>
          </w:rPr>
          <w:t>15</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84" w:history="1">
        <w:r w:rsidR="00CF2E45" w:rsidRPr="00665411">
          <w:rPr>
            <w:rStyle w:val="Hypertextovodkaz"/>
          </w:rPr>
          <w:t>1.7</w:t>
        </w:r>
        <w:r w:rsidR="00CF2E45">
          <w:rPr>
            <w:rFonts w:asciiTheme="minorHAnsi" w:eastAsiaTheme="minorEastAsia" w:hAnsiTheme="minorHAnsi" w:cstheme="minorBidi"/>
            <w:noProof/>
            <w:sz w:val="22"/>
            <w:szCs w:val="22"/>
            <w:lang w:eastAsia="cs-CZ"/>
          </w:rPr>
          <w:tab/>
        </w:r>
        <w:r w:rsidR="00CF2E45" w:rsidRPr="00665411">
          <w:rPr>
            <w:rStyle w:val="Hypertextovodkaz"/>
          </w:rPr>
          <w:t>Hlavní nedostatky současného stavu</w:t>
        </w:r>
        <w:r w:rsidR="00CF2E45">
          <w:rPr>
            <w:noProof/>
            <w:webHidden/>
          </w:rPr>
          <w:tab/>
        </w:r>
        <w:r w:rsidR="00CF2E45">
          <w:rPr>
            <w:noProof/>
            <w:webHidden/>
          </w:rPr>
          <w:fldChar w:fldCharType="begin"/>
        </w:r>
        <w:r w:rsidR="00CF2E45">
          <w:rPr>
            <w:noProof/>
            <w:webHidden/>
          </w:rPr>
          <w:instrText xml:space="preserve"> PAGEREF _Toc390958684 \h </w:instrText>
        </w:r>
        <w:r w:rsidR="00CF2E45">
          <w:rPr>
            <w:noProof/>
            <w:webHidden/>
          </w:rPr>
        </w:r>
        <w:r w:rsidR="00CF2E45">
          <w:rPr>
            <w:noProof/>
            <w:webHidden/>
          </w:rPr>
          <w:fldChar w:fldCharType="separate"/>
        </w:r>
        <w:r w:rsidR="003843F3">
          <w:rPr>
            <w:noProof/>
            <w:webHidden/>
          </w:rPr>
          <w:t>16</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85" w:history="1">
        <w:r w:rsidR="00CF2E45" w:rsidRPr="00665411">
          <w:rPr>
            <w:rStyle w:val="Hypertextovodkaz"/>
          </w:rPr>
          <w:t>1.8</w:t>
        </w:r>
        <w:r w:rsidR="00CF2E45">
          <w:rPr>
            <w:rFonts w:asciiTheme="minorHAnsi" w:eastAsiaTheme="minorEastAsia" w:hAnsiTheme="minorHAnsi" w:cstheme="minorBidi"/>
            <w:noProof/>
            <w:sz w:val="22"/>
            <w:szCs w:val="22"/>
            <w:lang w:eastAsia="cs-CZ"/>
          </w:rPr>
          <w:tab/>
        </w:r>
        <w:r w:rsidR="00CF2E45" w:rsidRPr="00665411">
          <w:rPr>
            <w:rStyle w:val="Hypertextovodkaz"/>
          </w:rPr>
          <w:t>Metodologie studie</w:t>
        </w:r>
        <w:r w:rsidR="00CF2E45">
          <w:rPr>
            <w:noProof/>
            <w:webHidden/>
          </w:rPr>
          <w:tab/>
        </w:r>
        <w:r w:rsidR="00CF2E45">
          <w:rPr>
            <w:noProof/>
            <w:webHidden/>
          </w:rPr>
          <w:fldChar w:fldCharType="begin"/>
        </w:r>
        <w:r w:rsidR="00CF2E45">
          <w:rPr>
            <w:noProof/>
            <w:webHidden/>
          </w:rPr>
          <w:instrText xml:space="preserve"> PAGEREF _Toc390958685 \h </w:instrText>
        </w:r>
        <w:r w:rsidR="00CF2E45">
          <w:rPr>
            <w:noProof/>
            <w:webHidden/>
          </w:rPr>
        </w:r>
        <w:r w:rsidR="00CF2E45">
          <w:rPr>
            <w:noProof/>
            <w:webHidden/>
          </w:rPr>
          <w:fldChar w:fldCharType="separate"/>
        </w:r>
        <w:r w:rsidR="003843F3">
          <w:rPr>
            <w:noProof/>
            <w:webHidden/>
          </w:rPr>
          <w:t>16</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86" w:history="1">
        <w:r w:rsidR="00CF2E45" w:rsidRPr="00665411">
          <w:rPr>
            <w:rStyle w:val="Hypertextovodkaz"/>
          </w:rPr>
          <w:t>1.9</w:t>
        </w:r>
        <w:r w:rsidR="00CF2E45">
          <w:rPr>
            <w:rFonts w:asciiTheme="minorHAnsi" w:eastAsiaTheme="minorEastAsia" w:hAnsiTheme="minorHAnsi" w:cstheme="minorBidi"/>
            <w:noProof/>
            <w:sz w:val="22"/>
            <w:szCs w:val="22"/>
            <w:lang w:eastAsia="cs-CZ"/>
          </w:rPr>
          <w:tab/>
        </w:r>
        <w:r w:rsidR="00CF2E45" w:rsidRPr="00665411">
          <w:rPr>
            <w:rStyle w:val="Hypertextovodkaz"/>
          </w:rPr>
          <w:t>Napojení na síť městské hromadné dopravy, vliv projektu</w:t>
        </w:r>
        <w:r w:rsidR="00CF2E45">
          <w:rPr>
            <w:noProof/>
            <w:webHidden/>
          </w:rPr>
          <w:tab/>
        </w:r>
        <w:r w:rsidR="00CF2E45">
          <w:rPr>
            <w:noProof/>
            <w:webHidden/>
          </w:rPr>
          <w:fldChar w:fldCharType="begin"/>
        </w:r>
        <w:r w:rsidR="00CF2E45">
          <w:rPr>
            <w:noProof/>
            <w:webHidden/>
          </w:rPr>
          <w:instrText xml:space="preserve"> PAGEREF _Toc390958686 \h </w:instrText>
        </w:r>
        <w:r w:rsidR="00CF2E45">
          <w:rPr>
            <w:noProof/>
            <w:webHidden/>
          </w:rPr>
        </w:r>
        <w:r w:rsidR="00CF2E45">
          <w:rPr>
            <w:noProof/>
            <w:webHidden/>
          </w:rPr>
          <w:fldChar w:fldCharType="separate"/>
        </w:r>
        <w:r w:rsidR="003843F3">
          <w:rPr>
            <w:noProof/>
            <w:webHidden/>
          </w:rPr>
          <w:t>17</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87" w:history="1">
        <w:r w:rsidR="00CF2E45" w:rsidRPr="00665411">
          <w:rPr>
            <w:rStyle w:val="Hypertextovodkaz"/>
            <w:rFonts w:cs="Tahoma"/>
          </w:rPr>
          <w:t>1.10</w:t>
        </w:r>
        <w:r w:rsidR="00CF2E45">
          <w:rPr>
            <w:rFonts w:asciiTheme="minorHAnsi" w:eastAsiaTheme="minorEastAsia" w:hAnsiTheme="minorHAnsi" w:cstheme="minorBidi"/>
            <w:noProof/>
            <w:sz w:val="22"/>
            <w:szCs w:val="22"/>
            <w:lang w:eastAsia="cs-CZ"/>
          </w:rPr>
          <w:tab/>
        </w:r>
        <w:r w:rsidR="00CF2E45" w:rsidRPr="00665411">
          <w:rPr>
            <w:rStyle w:val="Hypertextovodkaz"/>
          </w:rPr>
          <w:t>Hlavní vnější rizika a možné dopady na dosažení cílů stavby</w:t>
        </w:r>
        <w:r w:rsidR="00CF2E45">
          <w:rPr>
            <w:noProof/>
            <w:webHidden/>
          </w:rPr>
          <w:tab/>
        </w:r>
        <w:r w:rsidR="00CF2E45">
          <w:rPr>
            <w:noProof/>
            <w:webHidden/>
          </w:rPr>
          <w:fldChar w:fldCharType="begin"/>
        </w:r>
        <w:r w:rsidR="00CF2E45">
          <w:rPr>
            <w:noProof/>
            <w:webHidden/>
          </w:rPr>
          <w:instrText xml:space="preserve"> PAGEREF _Toc390958687 \h </w:instrText>
        </w:r>
        <w:r w:rsidR="00CF2E45">
          <w:rPr>
            <w:noProof/>
            <w:webHidden/>
          </w:rPr>
        </w:r>
        <w:r w:rsidR="00CF2E45">
          <w:rPr>
            <w:noProof/>
            <w:webHidden/>
          </w:rPr>
          <w:fldChar w:fldCharType="separate"/>
        </w:r>
        <w:r w:rsidR="003843F3">
          <w:rPr>
            <w:noProof/>
            <w:webHidden/>
          </w:rPr>
          <w:t>18</w:t>
        </w:r>
        <w:r w:rsidR="00CF2E45">
          <w:rPr>
            <w:noProof/>
            <w:webHidden/>
          </w:rPr>
          <w:fldChar w:fldCharType="end"/>
        </w:r>
      </w:hyperlink>
    </w:p>
    <w:p w:rsidR="00CF2E45" w:rsidRDefault="000E79AE">
      <w:pPr>
        <w:pStyle w:val="Obsah1"/>
        <w:tabs>
          <w:tab w:val="left" w:pos="440"/>
          <w:tab w:val="right" w:pos="9343"/>
        </w:tabs>
        <w:rPr>
          <w:rFonts w:asciiTheme="minorHAnsi" w:eastAsiaTheme="minorEastAsia" w:hAnsiTheme="minorHAnsi" w:cstheme="minorBidi"/>
          <w:b w:val="0"/>
          <w:bCs w:val="0"/>
          <w:caps w:val="0"/>
          <w:noProof/>
          <w:sz w:val="22"/>
          <w:szCs w:val="22"/>
          <w:lang w:eastAsia="cs-CZ"/>
        </w:rPr>
      </w:pPr>
      <w:hyperlink w:anchor="_Toc390958688" w:history="1">
        <w:r w:rsidR="00CF2E45" w:rsidRPr="00665411">
          <w:rPr>
            <w:rStyle w:val="Hypertextovodkaz"/>
          </w:rPr>
          <w:t>2</w:t>
        </w:r>
        <w:r w:rsidR="00CF2E45">
          <w:rPr>
            <w:rFonts w:asciiTheme="minorHAnsi" w:eastAsiaTheme="minorEastAsia" w:hAnsiTheme="minorHAnsi" w:cstheme="minorBidi"/>
            <w:b w:val="0"/>
            <w:bCs w:val="0"/>
            <w:caps w:val="0"/>
            <w:noProof/>
            <w:sz w:val="22"/>
            <w:szCs w:val="22"/>
            <w:lang w:eastAsia="cs-CZ"/>
          </w:rPr>
          <w:tab/>
        </w:r>
        <w:r w:rsidR="00CF2E45" w:rsidRPr="00665411">
          <w:rPr>
            <w:rStyle w:val="Hypertextovodkaz"/>
          </w:rPr>
          <w:t>Projednání, Shrnutí</w:t>
        </w:r>
        <w:r w:rsidR="00CF2E45">
          <w:rPr>
            <w:noProof/>
            <w:webHidden/>
          </w:rPr>
          <w:tab/>
        </w:r>
        <w:r w:rsidR="00CF2E45">
          <w:rPr>
            <w:noProof/>
            <w:webHidden/>
          </w:rPr>
          <w:fldChar w:fldCharType="begin"/>
        </w:r>
        <w:r w:rsidR="00CF2E45">
          <w:rPr>
            <w:noProof/>
            <w:webHidden/>
          </w:rPr>
          <w:instrText xml:space="preserve"> PAGEREF _Toc390958688 \h </w:instrText>
        </w:r>
        <w:r w:rsidR="00CF2E45">
          <w:rPr>
            <w:noProof/>
            <w:webHidden/>
          </w:rPr>
        </w:r>
        <w:r w:rsidR="00CF2E45">
          <w:rPr>
            <w:noProof/>
            <w:webHidden/>
          </w:rPr>
          <w:fldChar w:fldCharType="separate"/>
        </w:r>
        <w:r w:rsidR="003843F3">
          <w:rPr>
            <w:noProof/>
            <w:webHidden/>
          </w:rPr>
          <w:t>19</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89" w:history="1">
        <w:r w:rsidR="00CF2E45" w:rsidRPr="00665411">
          <w:rPr>
            <w:rStyle w:val="Hypertextovodkaz"/>
          </w:rPr>
          <w:t>2.1</w:t>
        </w:r>
        <w:r w:rsidR="00CF2E45">
          <w:rPr>
            <w:rFonts w:asciiTheme="minorHAnsi" w:eastAsiaTheme="minorEastAsia" w:hAnsiTheme="minorHAnsi" w:cstheme="minorBidi"/>
            <w:noProof/>
            <w:sz w:val="22"/>
            <w:szCs w:val="22"/>
            <w:lang w:eastAsia="cs-CZ"/>
          </w:rPr>
          <w:tab/>
        </w:r>
        <w:r w:rsidR="00CF2E45" w:rsidRPr="00665411">
          <w:rPr>
            <w:rStyle w:val="Hypertextovodkaz"/>
          </w:rPr>
          <w:t>Projednání studie</w:t>
        </w:r>
        <w:r w:rsidR="00CF2E45">
          <w:rPr>
            <w:noProof/>
            <w:webHidden/>
          </w:rPr>
          <w:tab/>
        </w:r>
        <w:r w:rsidR="00CF2E45">
          <w:rPr>
            <w:noProof/>
            <w:webHidden/>
          </w:rPr>
          <w:fldChar w:fldCharType="begin"/>
        </w:r>
        <w:r w:rsidR="00CF2E45">
          <w:rPr>
            <w:noProof/>
            <w:webHidden/>
          </w:rPr>
          <w:instrText xml:space="preserve"> PAGEREF _Toc390958689 \h </w:instrText>
        </w:r>
        <w:r w:rsidR="00CF2E45">
          <w:rPr>
            <w:noProof/>
            <w:webHidden/>
          </w:rPr>
        </w:r>
        <w:r w:rsidR="00CF2E45">
          <w:rPr>
            <w:noProof/>
            <w:webHidden/>
          </w:rPr>
          <w:fldChar w:fldCharType="separate"/>
        </w:r>
        <w:r w:rsidR="003843F3">
          <w:rPr>
            <w:noProof/>
            <w:webHidden/>
          </w:rPr>
          <w:t>19</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90" w:history="1">
        <w:r w:rsidR="00CF2E45" w:rsidRPr="00665411">
          <w:rPr>
            <w:rStyle w:val="Hypertextovodkaz"/>
          </w:rPr>
          <w:t>2.2</w:t>
        </w:r>
        <w:r w:rsidR="00CF2E45">
          <w:rPr>
            <w:rFonts w:asciiTheme="minorHAnsi" w:eastAsiaTheme="minorEastAsia" w:hAnsiTheme="minorHAnsi" w:cstheme="minorBidi"/>
            <w:noProof/>
            <w:sz w:val="22"/>
            <w:szCs w:val="22"/>
            <w:lang w:eastAsia="cs-CZ"/>
          </w:rPr>
          <w:tab/>
        </w:r>
        <w:r w:rsidR="00CF2E45" w:rsidRPr="00665411">
          <w:rPr>
            <w:rStyle w:val="Hypertextovodkaz"/>
          </w:rPr>
          <w:t>Hlavní výsledky studie</w:t>
        </w:r>
        <w:r w:rsidR="00CF2E45">
          <w:rPr>
            <w:noProof/>
            <w:webHidden/>
          </w:rPr>
          <w:tab/>
        </w:r>
        <w:r w:rsidR="00CF2E45">
          <w:rPr>
            <w:noProof/>
            <w:webHidden/>
          </w:rPr>
          <w:fldChar w:fldCharType="begin"/>
        </w:r>
        <w:r w:rsidR="00CF2E45">
          <w:rPr>
            <w:noProof/>
            <w:webHidden/>
          </w:rPr>
          <w:instrText xml:space="preserve"> PAGEREF _Toc390958690 \h </w:instrText>
        </w:r>
        <w:r w:rsidR="00CF2E45">
          <w:rPr>
            <w:noProof/>
            <w:webHidden/>
          </w:rPr>
        </w:r>
        <w:r w:rsidR="00CF2E45">
          <w:rPr>
            <w:noProof/>
            <w:webHidden/>
          </w:rPr>
          <w:fldChar w:fldCharType="separate"/>
        </w:r>
        <w:r w:rsidR="003843F3">
          <w:rPr>
            <w:noProof/>
            <w:webHidden/>
          </w:rPr>
          <w:t>19</w:t>
        </w:r>
        <w:r w:rsidR="00CF2E45">
          <w:rPr>
            <w:noProof/>
            <w:webHidden/>
          </w:rPr>
          <w:fldChar w:fldCharType="end"/>
        </w:r>
      </w:hyperlink>
    </w:p>
    <w:p w:rsidR="00CF2E45" w:rsidRDefault="000E79AE">
      <w:pPr>
        <w:pStyle w:val="Obsah1"/>
        <w:tabs>
          <w:tab w:val="left" w:pos="440"/>
          <w:tab w:val="right" w:pos="9343"/>
        </w:tabs>
        <w:rPr>
          <w:rFonts w:asciiTheme="minorHAnsi" w:eastAsiaTheme="minorEastAsia" w:hAnsiTheme="minorHAnsi" w:cstheme="minorBidi"/>
          <w:b w:val="0"/>
          <w:bCs w:val="0"/>
          <w:caps w:val="0"/>
          <w:noProof/>
          <w:sz w:val="22"/>
          <w:szCs w:val="22"/>
          <w:lang w:eastAsia="cs-CZ"/>
        </w:rPr>
      </w:pPr>
      <w:hyperlink w:anchor="_Toc390958691" w:history="1">
        <w:r w:rsidR="00CF2E45" w:rsidRPr="00665411">
          <w:rPr>
            <w:rStyle w:val="Hypertextovodkaz"/>
          </w:rPr>
          <w:t>3</w:t>
        </w:r>
        <w:r w:rsidR="00CF2E45">
          <w:rPr>
            <w:rFonts w:asciiTheme="minorHAnsi" w:eastAsiaTheme="minorEastAsia" w:hAnsiTheme="minorHAnsi" w:cstheme="minorBidi"/>
            <w:b w:val="0"/>
            <w:bCs w:val="0"/>
            <w:caps w:val="0"/>
            <w:noProof/>
            <w:sz w:val="22"/>
            <w:szCs w:val="22"/>
            <w:lang w:eastAsia="cs-CZ"/>
          </w:rPr>
          <w:tab/>
        </w:r>
        <w:r w:rsidR="00CF2E45" w:rsidRPr="00665411">
          <w:rPr>
            <w:rStyle w:val="Hypertextovodkaz"/>
          </w:rPr>
          <w:t>Technické řešení</w:t>
        </w:r>
        <w:r w:rsidR="00CF2E45">
          <w:rPr>
            <w:noProof/>
            <w:webHidden/>
          </w:rPr>
          <w:tab/>
        </w:r>
        <w:r w:rsidR="00CF2E45">
          <w:rPr>
            <w:noProof/>
            <w:webHidden/>
          </w:rPr>
          <w:fldChar w:fldCharType="begin"/>
        </w:r>
        <w:r w:rsidR="00CF2E45">
          <w:rPr>
            <w:noProof/>
            <w:webHidden/>
          </w:rPr>
          <w:instrText xml:space="preserve"> PAGEREF _Toc390958691 \h </w:instrText>
        </w:r>
        <w:r w:rsidR="00CF2E45">
          <w:rPr>
            <w:noProof/>
            <w:webHidden/>
          </w:rPr>
        </w:r>
        <w:r w:rsidR="00CF2E45">
          <w:rPr>
            <w:noProof/>
            <w:webHidden/>
          </w:rPr>
          <w:fldChar w:fldCharType="separate"/>
        </w:r>
        <w:r w:rsidR="003843F3">
          <w:rPr>
            <w:noProof/>
            <w:webHidden/>
          </w:rPr>
          <w:t>26</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92" w:history="1">
        <w:r w:rsidR="00CF2E45" w:rsidRPr="00665411">
          <w:rPr>
            <w:rStyle w:val="Hypertextovodkaz"/>
          </w:rPr>
          <w:t>3.1</w:t>
        </w:r>
        <w:r w:rsidR="00CF2E45">
          <w:rPr>
            <w:rFonts w:asciiTheme="minorHAnsi" w:eastAsiaTheme="minorEastAsia" w:hAnsiTheme="minorHAnsi" w:cstheme="minorBidi"/>
            <w:noProof/>
            <w:sz w:val="22"/>
            <w:szCs w:val="22"/>
            <w:lang w:eastAsia="cs-CZ"/>
          </w:rPr>
          <w:tab/>
        </w:r>
        <w:r w:rsidR="00CF2E45" w:rsidRPr="00665411">
          <w:rPr>
            <w:rStyle w:val="Hypertextovodkaz"/>
          </w:rPr>
          <w:t>Výchozí stav</w:t>
        </w:r>
        <w:r w:rsidR="00CF2E45">
          <w:rPr>
            <w:noProof/>
            <w:webHidden/>
          </w:rPr>
          <w:tab/>
        </w:r>
        <w:r w:rsidR="00CF2E45">
          <w:rPr>
            <w:noProof/>
            <w:webHidden/>
          </w:rPr>
          <w:fldChar w:fldCharType="begin"/>
        </w:r>
        <w:r w:rsidR="00CF2E45">
          <w:rPr>
            <w:noProof/>
            <w:webHidden/>
          </w:rPr>
          <w:instrText xml:space="preserve"> PAGEREF _Toc390958692 \h </w:instrText>
        </w:r>
        <w:r w:rsidR="00CF2E45">
          <w:rPr>
            <w:noProof/>
            <w:webHidden/>
          </w:rPr>
        </w:r>
        <w:r w:rsidR="00CF2E45">
          <w:rPr>
            <w:noProof/>
            <w:webHidden/>
          </w:rPr>
          <w:fldChar w:fldCharType="separate"/>
        </w:r>
        <w:r w:rsidR="003843F3">
          <w:rPr>
            <w:noProof/>
            <w:webHidden/>
          </w:rPr>
          <w:t>26</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93" w:history="1">
        <w:r w:rsidR="00CF2E45" w:rsidRPr="00665411">
          <w:rPr>
            <w:rStyle w:val="Hypertextovodkaz"/>
          </w:rPr>
          <w:t>3.2</w:t>
        </w:r>
        <w:r w:rsidR="00CF2E45">
          <w:rPr>
            <w:rFonts w:asciiTheme="minorHAnsi" w:eastAsiaTheme="minorEastAsia" w:hAnsiTheme="minorHAnsi" w:cstheme="minorBidi"/>
            <w:noProof/>
            <w:sz w:val="22"/>
            <w:szCs w:val="22"/>
            <w:lang w:eastAsia="cs-CZ"/>
          </w:rPr>
          <w:tab/>
        </w:r>
        <w:r w:rsidR="00CF2E45" w:rsidRPr="00665411">
          <w:rPr>
            <w:rStyle w:val="Hypertextovodkaz"/>
          </w:rPr>
          <w:t>Varianta Bez projektu</w:t>
        </w:r>
        <w:r w:rsidR="00CF2E45">
          <w:rPr>
            <w:noProof/>
            <w:webHidden/>
          </w:rPr>
          <w:tab/>
        </w:r>
        <w:r w:rsidR="00CF2E45">
          <w:rPr>
            <w:noProof/>
            <w:webHidden/>
          </w:rPr>
          <w:fldChar w:fldCharType="begin"/>
        </w:r>
        <w:r w:rsidR="00CF2E45">
          <w:rPr>
            <w:noProof/>
            <w:webHidden/>
          </w:rPr>
          <w:instrText xml:space="preserve"> PAGEREF _Toc390958693 \h </w:instrText>
        </w:r>
        <w:r w:rsidR="00CF2E45">
          <w:rPr>
            <w:noProof/>
            <w:webHidden/>
          </w:rPr>
        </w:r>
        <w:r w:rsidR="00CF2E45">
          <w:rPr>
            <w:noProof/>
            <w:webHidden/>
          </w:rPr>
          <w:fldChar w:fldCharType="separate"/>
        </w:r>
        <w:r w:rsidR="003843F3">
          <w:rPr>
            <w:noProof/>
            <w:webHidden/>
          </w:rPr>
          <w:t>33</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94" w:history="1">
        <w:r w:rsidR="00CF2E45" w:rsidRPr="00665411">
          <w:rPr>
            <w:rStyle w:val="Hypertextovodkaz"/>
          </w:rPr>
          <w:t>3.3</w:t>
        </w:r>
        <w:r w:rsidR="00CF2E45">
          <w:rPr>
            <w:rFonts w:asciiTheme="minorHAnsi" w:eastAsiaTheme="minorEastAsia" w:hAnsiTheme="minorHAnsi" w:cstheme="minorBidi"/>
            <w:noProof/>
            <w:sz w:val="22"/>
            <w:szCs w:val="22"/>
            <w:lang w:eastAsia="cs-CZ"/>
          </w:rPr>
          <w:tab/>
        </w:r>
        <w:r w:rsidR="00CF2E45" w:rsidRPr="00665411">
          <w:rPr>
            <w:rStyle w:val="Hypertextovodkaz"/>
          </w:rPr>
          <w:t>Varianta projektová Minimální</w:t>
        </w:r>
        <w:r w:rsidR="00CF2E45">
          <w:rPr>
            <w:noProof/>
            <w:webHidden/>
          </w:rPr>
          <w:tab/>
        </w:r>
        <w:r w:rsidR="00CF2E45">
          <w:rPr>
            <w:noProof/>
            <w:webHidden/>
          </w:rPr>
          <w:fldChar w:fldCharType="begin"/>
        </w:r>
        <w:r w:rsidR="00CF2E45">
          <w:rPr>
            <w:noProof/>
            <w:webHidden/>
          </w:rPr>
          <w:instrText xml:space="preserve"> PAGEREF _Toc390958694 \h </w:instrText>
        </w:r>
        <w:r w:rsidR="00CF2E45">
          <w:rPr>
            <w:noProof/>
            <w:webHidden/>
          </w:rPr>
        </w:r>
        <w:r w:rsidR="00CF2E45">
          <w:rPr>
            <w:noProof/>
            <w:webHidden/>
          </w:rPr>
          <w:fldChar w:fldCharType="separate"/>
        </w:r>
        <w:r w:rsidR="003843F3">
          <w:rPr>
            <w:noProof/>
            <w:webHidden/>
          </w:rPr>
          <w:t>42</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95" w:history="1">
        <w:r w:rsidR="00CF2E45" w:rsidRPr="00665411">
          <w:rPr>
            <w:rStyle w:val="Hypertextovodkaz"/>
          </w:rPr>
          <w:t>3.4</w:t>
        </w:r>
        <w:r w:rsidR="00CF2E45">
          <w:rPr>
            <w:rFonts w:asciiTheme="minorHAnsi" w:eastAsiaTheme="minorEastAsia" w:hAnsiTheme="minorHAnsi" w:cstheme="minorBidi"/>
            <w:noProof/>
            <w:sz w:val="22"/>
            <w:szCs w:val="22"/>
            <w:lang w:eastAsia="cs-CZ"/>
          </w:rPr>
          <w:tab/>
        </w:r>
        <w:r w:rsidR="00CF2E45" w:rsidRPr="00665411">
          <w:rPr>
            <w:rStyle w:val="Hypertextovodkaz"/>
          </w:rPr>
          <w:t>Etapa (varianty Maximální)</w:t>
        </w:r>
        <w:r w:rsidR="00CF2E45">
          <w:rPr>
            <w:noProof/>
            <w:webHidden/>
          </w:rPr>
          <w:tab/>
        </w:r>
        <w:r w:rsidR="00CF2E45">
          <w:rPr>
            <w:noProof/>
            <w:webHidden/>
          </w:rPr>
          <w:fldChar w:fldCharType="begin"/>
        </w:r>
        <w:r w:rsidR="00CF2E45">
          <w:rPr>
            <w:noProof/>
            <w:webHidden/>
          </w:rPr>
          <w:instrText xml:space="preserve"> PAGEREF _Toc390958695 \h </w:instrText>
        </w:r>
        <w:r w:rsidR="00CF2E45">
          <w:rPr>
            <w:noProof/>
            <w:webHidden/>
          </w:rPr>
        </w:r>
        <w:r w:rsidR="00CF2E45">
          <w:rPr>
            <w:noProof/>
            <w:webHidden/>
          </w:rPr>
          <w:fldChar w:fldCharType="separate"/>
        </w:r>
        <w:r w:rsidR="003843F3">
          <w:rPr>
            <w:noProof/>
            <w:webHidden/>
          </w:rPr>
          <w:t>46</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96" w:history="1">
        <w:r w:rsidR="00CF2E45" w:rsidRPr="00665411">
          <w:rPr>
            <w:rStyle w:val="Hypertextovodkaz"/>
          </w:rPr>
          <w:t>3.5</w:t>
        </w:r>
        <w:r w:rsidR="00CF2E45">
          <w:rPr>
            <w:rFonts w:asciiTheme="minorHAnsi" w:eastAsiaTheme="minorEastAsia" w:hAnsiTheme="minorHAnsi" w:cstheme="minorBidi"/>
            <w:noProof/>
            <w:sz w:val="22"/>
            <w:szCs w:val="22"/>
            <w:lang w:eastAsia="cs-CZ"/>
          </w:rPr>
          <w:tab/>
        </w:r>
        <w:r w:rsidR="00CF2E45" w:rsidRPr="00665411">
          <w:rPr>
            <w:rStyle w:val="Hypertextovodkaz"/>
          </w:rPr>
          <w:t>Varianta projektová Maximální</w:t>
        </w:r>
        <w:r w:rsidR="00CF2E45">
          <w:rPr>
            <w:noProof/>
            <w:webHidden/>
          </w:rPr>
          <w:tab/>
        </w:r>
        <w:r w:rsidR="00CF2E45">
          <w:rPr>
            <w:noProof/>
            <w:webHidden/>
          </w:rPr>
          <w:fldChar w:fldCharType="begin"/>
        </w:r>
        <w:r w:rsidR="00CF2E45">
          <w:rPr>
            <w:noProof/>
            <w:webHidden/>
          </w:rPr>
          <w:instrText xml:space="preserve"> PAGEREF _Toc390958696 \h </w:instrText>
        </w:r>
        <w:r w:rsidR="00CF2E45">
          <w:rPr>
            <w:noProof/>
            <w:webHidden/>
          </w:rPr>
        </w:r>
        <w:r w:rsidR="00CF2E45">
          <w:rPr>
            <w:noProof/>
            <w:webHidden/>
          </w:rPr>
          <w:fldChar w:fldCharType="separate"/>
        </w:r>
        <w:r w:rsidR="003843F3">
          <w:rPr>
            <w:noProof/>
            <w:webHidden/>
          </w:rPr>
          <w:t>52</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97" w:history="1">
        <w:r w:rsidR="00CF2E45" w:rsidRPr="00665411">
          <w:rPr>
            <w:rStyle w:val="Hypertextovodkaz"/>
          </w:rPr>
          <w:t>3.6</w:t>
        </w:r>
        <w:r w:rsidR="00CF2E45">
          <w:rPr>
            <w:rFonts w:asciiTheme="minorHAnsi" w:eastAsiaTheme="minorEastAsia" w:hAnsiTheme="minorHAnsi" w:cstheme="minorBidi"/>
            <w:noProof/>
            <w:sz w:val="22"/>
            <w:szCs w:val="22"/>
            <w:lang w:eastAsia="cs-CZ"/>
          </w:rPr>
          <w:tab/>
        </w:r>
        <w:r w:rsidR="00CF2E45" w:rsidRPr="00665411">
          <w:rPr>
            <w:rStyle w:val="Hypertextovodkaz"/>
          </w:rPr>
          <w:t>Posouzení modernizace z hlediska interoperability</w:t>
        </w:r>
        <w:r w:rsidR="00CF2E45">
          <w:rPr>
            <w:noProof/>
            <w:webHidden/>
          </w:rPr>
          <w:tab/>
        </w:r>
        <w:r w:rsidR="00CF2E45">
          <w:rPr>
            <w:noProof/>
            <w:webHidden/>
          </w:rPr>
          <w:fldChar w:fldCharType="begin"/>
        </w:r>
        <w:r w:rsidR="00CF2E45">
          <w:rPr>
            <w:noProof/>
            <w:webHidden/>
          </w:rPr>
          <w:instrText xml:space="preserve"> PAGEREF _Toc390958697 \h </w:instrText>
        </w:r>
        <w:r w:rsidR="00CF2E45">
          <w:rPr>
            <w:noProof/>
            <w:webHidden/>
          </w:rPr>
        </w:r>
        <w:r w:rsidR="00CF2E45">
          <w:rPr>
            <w:noProof/>
            <w:webHidden/>
          </w:rPr>
          <w:fldChar w:fldCharType="separate"/>
        </w:r>
        <w:r w:rsidR="003843F3">
          <w:rPr>
            <w:noProof/>
            <w:webHidden/>
          </w:rPr>
          <w:t>58</w:t>
        </w:r>
        <w:r w:rsidR="00CF2E45">
          <w:rPr>
            <w:noProof/>
            <w:webHidden/>
          </w:rPr>
          <w:fldChar w:fldCharType="end"/>
        </w:r>
      </w:hyperlink>
    </w:p>
    <w:p w:rsidR="00CF2E45" w:rsidRDefault="000E79AE">
      <w:pPr>
        <w:pStyle w:val="Obsah1"/>
        <w:tabs>
          <w:tab w:val="left" w:pos="440"/>
          <w:tab w:val="right" w:pos="9343"/>
        </w:tabs>
        <w:rPr>
          <w:rFonts w:asciiTheme="minorHAnsi" w:eastAsiaTheme="minorEastAsia" w:hAnsiTheme="minorHAnsi" w:cstheme="minorBidi"/>
          <w:b w:val="0"/>
          <w:bCs w:val="0"/>
          <w:caps w:val="0"/>
          <w:noProof/>
          <w:sz w:val="22"/>
          <w:szCs w:val="22"/>
          <w:lang w:eastAsia="cs-CZ"/>
        </w:rPr>
      </w:pPr>
      <w:hyperlink w:anchor="_Toc390958698" w:history="1">
        <w:r w:rsidR="00CF2E45" w:rsidRPr="00665411">
          <w:rPr>
            <w:rStyle w:val="Hypertextovodkaz"/>
          </w:rPr>
          <w:t>4</w:t>
        </w:r>
        <w:r w:rsidR="00CF2E45">
          <w:rPr>
            <w:rFonts w:asciiTheme="minorHAnsi" w:eastAsiaTheme="minorEastAsia" w:hAnsiTheme="minorHAnsi" w:cstheme="minorBidi"/>
            <w:b w:val="0"/>
            <w:bCs w:val="0"/>
            <w:caps w:val="0"/>
            <w:noProof/>
            <w:sz w:val="22"/>
            <w:szCs w:val="22"/>
            <w:lang w:eastAsia="cs-CZ"/>
          </w:rPr>
          <w:tab/>
        </w:r>
        <w:r w:rsidR="00CF2E45" w:rsidRPr="00665411">
          <w:rPr>
            <w:rStyle w:val="Hypertextovodkaz"/>
          </w:rPr>
          <w:t>Dopravně-technologická část</w:t>
        </w:r>
        <w:r w:rsidR="00CF2E45">
          <w:rPr>
            <w:noProof/>
            <w:webHidden/>
          </w:rPr>
          <w:tab/>
        </w:r>
        <w:r w:rsidR="00CF2E45">
          <w:rPr>
            <w:noProof/>
            <w:webHidden/>
          </w:rPr>
          <w:fldChar w:fldCharType="begin"/>
        </w:r>
        <w:r w:rsidR="00CF2E45">
          <w:rPr>
            <w:noProof/>
            <w:webHidden/>
          </w:rPr>
          <w:instrText xml:space="preserve"> PAGEREF _Toc390958698 \h </w:instrText>
        </w:r>
        <w:r w:rsidR="00CF2E45">
          <w:rPr>
            <w:noProof/>
            <w:webHidden/>
          </w:rPr>
        </w:r>
        <w:r w:rsidR="00CF2E45">
          <w:rPr>
            <w:noProof/>
            <w:webHidden/>
          </w:rPr>
          <w:fldChar w:fldCharType="separate"/>
        </w:r>
        <w:r w:rsidR="003843F3">
          <w:rPr>
            <w:noProof/>
            <w:webHidden/>
          </w:rPr>
          <w:t>66</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699" w:history="1">
        <w:r w:rsidR="00CF2E45" w:rsidRPr="00665411">
          <w:rPr>
            <w:rStyle w:val="Hypertextovodkaz"/>
          </w:rPr>
          <w:t>4.1</w:t>
        </w:r>
        <w:r w:rsidR="00CF2E45">
          <w:rPr>
            <w:rFonts w:asciiTheme="minorHAnsi" w:eastAsiaTheme="minorEastAsia" w:hAnsiTheme="minorHAnsi" w:cstheme="minorBidi"/>
            <w:noProof/>
            <w:sz w:val="22"/>
            <w:szCs w:val="22"/>
            <w:lang w:eastAsia="cs-CZ"/>
          </w:rPr>
          <w:tab/>
        </w:r>
        <w:r w:rsidR="00CF2E45" w:rsidRPr="00665411">
          <w:rPr>
            <w:rStyle w:val="Hypertextovodkaz"/>
          </w:rPr>
          <w:t>Rozsah dopravy</w:t>
        </w:r>
        <w:r w:rsidR="00CF2E45">
          <w:rPr>
            <w:noProof/>
            <w:webHidden/>
          </w:rPr>
          <w:tab/>
        </w:r>
        <w:r w:rsidR="00CF2E45">
          <w:rPr>
            <w:noProof/>
            <w:webHidden/>
          </w:rPr>
          <w:fldChar w:fldCharType="begin"/>
        </w:r>
        <w:r w:rsidR="00CF2E45">
          <w:rPr>
            <w:noProof/>
            <w:webHidden/>
          </w:rPr>
          <w:instrText xml:space="preserve"> PAGEREF _Toc390958699 \h </w:instrText>
        </w:r>
        <w:r w:rsidR="00CF2E45">
          <w:rPr>
            <w:noProof/>
            <w:webHidden/>
          </w:rPr>
        </w:r>
        <w:r w:rsidR="00CF2E45">
          <w:rPr>
            <w:noProof/>
            <w:webHidden/>
          </w:rPr>
          <w:fldChar w:fldCharType="separate"/>
        </w:r>
        <w:r w:rsidR="003843F3">
          <w:rPr>
            <w:noProof/>
            <w:webHidden/>
          </w:rPr>
          <w:t>66</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00" w:history="1">
        <w:r w:rsidR="00CF2E45" w:rsidRPr="00665411">
          <w:rPr>
            <w:rStyle w:val="Hypertextovodkaz"/>
          </w:rPr>
          <w:t>4.2</w:t>
        </w:r>
        <w:r w:rsidR="00CF2E45">
          <w:rPr>
            <w:rFonts w:asciiTheme="minorHAnsi" w:eastAsiaTheme="minorEastAsia" w:hAnsiTheme="minorHAnsi" w:cstheme="minorBidi"/>
            <w:noProof/>
            <w:sz w:val="22"/>
            <w:szCs w:val="22"/>
            <w:lang w:eastAsia="cs-CZ"/>
          </w:rPr>
          <w:tab/>
        </w:r>
        <w:r w:rsidR="00CF2E45" w:rsidRPr="00665411">
          <w:rPr>
            <w:rStyle w:val="Hypertextovodkaz"/>
          </w:rPr>
          <w:t>Jízdní/cestovní doby</w:t>
        </w:r>
        <w:r w:rsidR="00CF2E45">
          <w:rPr>
            <w:noProof/>
            <w:webHidden/>
          </w:rPr>
          <w:tab/>
        </w:r>
        <w:r w:rsidR="00CF2E45">
          <w:rPr>
            <w:noProof/>
            <w:webHidden/>
          </w:rPr>
          <w:fldChar w:fldCharType="begin"/>
        </w:r>
        <w:r w:rsidR="00CF2E45">
          <w:rPr>
            <w:noProof/>
            <w:webHidden/>
          </w:rPr>
          <w:instrText xml:space="preserve"> PAGEREF _Toc390958700 \h </w:instrText>
        </w:r>
        <w:r w:rsidR="00CF2E45">
          <w:rPr>
            <w:noProof/>
            <w:webHidden/>
          </w:rPr>
        </w:r>
        <w:r w:rsidR="00CF2E45">
          <w:rPr>
            <w:noProof/>
            <w:webHidden/>
          </w:rPr>
          <w:fldChar w:fldCharType="separate"/>
        </w:r>
        <w:r w:rsidR="003843F3">
          <w:rPr>
            <w:noProof/>
            <w:webHidden/>
          </w:rPr>
          <w:t>72</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01" w:history="1">
        <w:r w:rsidR="00CF2E45" w:rsidRPr="00665411">
          <w:rPr>
            <w:rStyle w:val="Hypertextovodkaz"/>
          </w:rPr>
          <w:t>4.3</w:t>
        </w:r>
        <w:r w:rsidR="00CF2E45">
          <w:rPr>
            <w:rFonts w:asciiTheme="minorHAnsi" w:eastAsiaTheme="minorEastAsia" w:hAnsiTheme="minorHAnsi" w:cstheme="minorBidi"/>
            <w:noProof/>
            <w:sz w:val="22"/>
            <w:szCs w:val="22"/>
            <w:lang w:eastAsia="cs-CZ"/>
          </w:rPr>
          <w:tab/>
        </w:r>
        <w:r w:rsidR="00CF2E45" w:rsidRPr="00665411">
          <w:rPr>
            <w:rStyle w:val="Hypertextovodkaz"/>
          </w:rPr>
          <w:t>Dopravní kapacita</w:t>
        </w:r>
        <w:r w:rsidR="00CF2E45">
          <w:rPr>
            <w:noProof/>
            <w:webHidden/>
          </w:rPr>
          <w:tab/>
        </w:r>
        <w:r w:rsidR="00CF2E45">
          <w:rPr>
            <w:noProof/>
            <w:webHidden/>
          </w:rPr>
          <w:fldChar w:fldCharType="begin"/>
        </w:r>
        <w:r w:rsidR="00CF2E45">
          <w:rPr>
            <w:noProof/>
            <w:webHidden/>
          </w:rPr>
          <w:instrText xml:space="preserve"> PAGEREF _Toc390958701 \h </w:instrText>
        </w:r>
        <w:r w:rsidR="00CF2E45">
          <w:rPr>
            <w:noProof/>
            <w:webHidden/>
          </w:rPr>
        </w:r>
        <w:r w:rsidR="00CF2E45">
          <w:rPr>
            <w:noProof/>
            <w:webHidden/>
          </w:rPr>
          <w:fldChar w:fldCharType="separate"/>
        </w:r>
        <w:r w:rsidR="003843F3">
          <w:rPr>
            <w:noProof/>
            <w:webHidden/>
          </w:rPr>
          <w:t>80</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02" w:history="1">
        <w:r w:rsidR="00CF2E45" w:rsidRPr="00665411">
          <w:rPr>
            <w:rStyle w:val="Hypertextovodkaz"/>
          </w:rPr>
          <w:t>4.4</w:t>
        </w:r>
        <w:r w:rsidR="00CF2E45">
          <w:rPr>
            <w:rFonts w:asciiTheme="minorHAnsi" w:eastAsiaTheme="minorEastAsia" w:hAnsiTheme="minorHAnsi" w:cstheme="minorBidi"/>
            <w:noProof/>
            <w:sz w:val="22"/>
            <w:szCs w:val="22"/>
            <w:lang w:eastAsia="cs-CZ"/>
          </w:rPr>
          <w:tab/>
        </w:r>
        <w:r w:rsidR="00CF2E45" w:rsidRPr="00665411">
          <w:rPr>
            <w:rStyle w:val="Hypertextovodkaz"/>
          </w:rPr>
          <w:t>Úspory dopravních zaměstnanců</w:t>
        </w:r>
        <w:r w:rsidR="00CF2E45">
          <w:rPr>
            <w:noProof/>
            <w:webHidden/>
          </w:rPr>
          <w:tab/>
        </w:r>
        <w:r w:rsidR="00CF2E45">
          <w:rPr>
            <w:noProof/>
            <w:webHidden/>
          </w:rPr>
          <w:fldChar w:fldCharType="begin"/>
        </w:r>
        <w:r w:rsidR="00CF2E45">
          <w:rPr>
            <w:noProof/>
            <w:webHidden/>
          </w:rPr>
          <w:instrText xml:space="preserve"> PAGEREF _Toc390958702 \h </w:instrText>
        </w:r>
        <w:r w:rsidR="00CF2E45">
          <w:rPr>
            <w:noProof/>
            <w:webHidden/>
          </w:rPr>
        </w:r>
        <w:r w:rsidR="00CF2E45">
          <w:rPr>
            <w:noProof/>
            <w:webHidden/>
          </w:rPr>
          <w:fldChar w:fldCharType="separate"/>
        </w:r>
        <w:r w:rsidR="003843F3">
          <w:rPr>
            <w:noProof/>
            <w:webHidden/>
          </w:rPr>
          <w:t>87</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03" w:history="1">
        <w:r w:rsidR="00CF2E45" w:rsidRPr="00665411">
          <w:rPr>
            <w:rStyle w:val="Hypertextovodkaz"/>
          </w:rPr>
          <w:t>4.5</w:t>
        </w:r>
        <w:r w:rsidR="00CF2E45">
          <w:rPr>
            <w:rFonts w:asciiTheme="minorHAnsi" w:eastAsiaTheme="minorEastAsia" w:hAnsiTheme="minorHAnsi" w:cstheme="minorBidi"/>
            <w:noProof/>
            <w:sz w:val="22"/>
            <w:szCs w:val="22"/>
            <w:lang w:eastAsia="cs-CZ"/>
          </w:rPr>
          <w:tab/>
        </w:r>
        <w:r w:rsidR="00CF2E45" w:rsidRPr="00665411">
          <w:rPr>
            <w:rStyle w:val="Hypertextovodkaz"/>
          </w:rPr>
          <w:t>Vliv variant na organizaci výluk</w:t>
        </w:r>
        <w:r w:rsidR="00CF2E45">
          <w:rPr>
            <w:noProof/>
            <w:webHidden/>
          </w:rPr>
          <w:tab/>
        </w:r>
        <w:r w:rsidR="00CF2E45">
          <w:rPr>
            <w:noProof/>
            <w:webHidden/>
          </w:rPr>
          <w:fldChar w:fldCharType="begin"/>
        </w:r>
        <w:r w:rsidR="00CF2E45">
          <w:rPr>
            <w:noProof/>
            <w:webHidden/>
          </w:rPr>
          <w:instrText xml:space="preserve"> PAGEREF _Toc390958703 \h </w:instrText>
        </w:r>
        <w:r w:rsidR="00CF2E45">
          <w:rPr>
            <w:noProof/>
            <w:webHidden/>
          </w:rPr>
        </w:r>
        <w:r w:rsidR="00CF2E45">
          <w:rPr>
            <w:noProof/>
            <w:webHidden/>
          </w:rPr>
          <w:fldChar w:fldCharType="separate"/>
        </w:r>
        <w:r w:rsidR="003843F3">
          <w:rPr>
            <w:noProof/>
            <w:webHidden/>
          </w:rPr>
          <w:t>88</w:t>
        </w:r>
        <w:r w:rsidR="00CF2E45">
          <w:rPr>
            <w:noProof/>
            <w:webHidden/>
          </w:rPr>
          <w:fldChar w:fldCharType="end"/>
        </w:r>
      </w:hyperlink>
    </w:p>
    <w:p w:rsidR="00CF2E45" w:rsidRDefault="000E79AE">
      <w:pPr>
        <w:pStyle w:val="Obsah1"/>
        <w:tabs>
          <w:tab w:val="left" w:pos="440"/>
          <w:tab w:val="right" w:pos="9343"/>
        </w:tabs>
        <w:rPr>
          <w:rFonts w:asciiTheme="minorHAnsi" w:eastAsiaTheme="minorEastAsia" w:hAnsiTheme="minorHAnsi" w:cstheme="minorBidi"/>
          <w:b w:val="0"/>
          <w:bCs w:val="0"/>
          <w:caps w:val="0"/>
          <w:noProof/>
          <w:sz w:val="22"/>
          <w:szCs w:val="22"/>
          <w:lang w:eastAsia="cs-CZ"/>
        </w:rPr>
      </w:pPr>
      <w:hyperlink w:anchor="_Toc390958704" w:history="1">
        <w:r w:rsidR="00CF2E45" w:rsidRPr="00665411">
          <w:rPr>
            <w:rStyle w:val="Hypertextovodkaz"/>
          </w:rPr>
          <w:t>5</w:t>
        </w:r>
        <w:r w:rsidR="00CF2E45">
          <w:rPr>
            <w:rFonts w:asciiTheme="minorHAnsi" w:eastAsiaTheme="minorEastAsia" w:hAnsiTheme="minorHAnsi" w:cstheme="minorBidi"/>
            <w:b w:val="0"/>
            <w:bCs w:val="0"/>
            <w:caps w:val="0"/>
            <w:noProof/>
            <w:sz w:val="22"/>
            <w:szCs w:val="22"/>
            <w:lang w:eastAsia="cs-CZ"/>
          </w:rPr>
          <w:tab/>
        </w:r>
        <w:r w:rsidR="00CF2E45" w:rsidRPr="00665411">
          <w:rPr>
            <w:rStyle w:val="Hypertextovodkaz"/>
          </w:rPr>
          <w:t>Přepravní prognóza</w:t>
        </w:r>
        <w:r w:rsidR="00CF2E45">
          <w:rPr>
            <w:noProof/>
            <w:webHidden/>
          </w:rPr>
          <w:tab/>
        </w:r>
        <w:r w:rsidR="00CF2E45">
          <w:rPr>
            <w:noProof/>
            <w:webHidden/>
          </w:rPr>
          <w:fldChar w:fldCharType="begin"/>
        </w:r>
        <w:r w:rsidR="00CF2E45">
          <w:rPr>
            <w:noProof/>
            <w:webHidden/>
          </w:rPr>
          <w:instrText xml:space="preserve"> PAGEREF _Toc390958704 \h </w:instrText>
        </w:r>
        <w:r w:rsidR="00CF2E45">
          <w:rPr>
            <w:noProof/>
            <w:webHidden/>
          </w:rPr>
        </w:r>
        <w:r w:rsidR="00CF2E45">
          <w:rPr>
            <w:noProof/>
            <w:webHidden/>
          </w:rPr>
          <w:fldChar w:fldCharType="separate"/>
        </w:r>
        <w:r w:rsidR="003843F3">
          <w:rPr>
            <w:noProof/>
            <w:webHidden/>
          </w:rPr>
          <w:t>89</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05" w:history="1">
        <w:r w:rsidR="00CF2E45" w:rsidRPr="00665411">
          <w:rPr>
            <w:rStyle w:val="Hypertextovodkaz"/>
          </w:rPr>
          <w:t>5.1</w:t>
        </w:r>
        <w:r w:rsidR="00CF2E45">
          <w:rPr>
            <w:rFonts w:asciiTheme="minorHAnsi" w:eastAsiaTheme="minorEastAsia" w:hAnsiTheme="minorHAnsi" w:cstheme="minorBidi"/>
            <w:noProof/>
            <w:sz w:val="22"/>
            <w:szCs w:val="22"/>
            <w:lang w:eastAsia="cs-CZ"/>
          </w:rPr>
          <w:tab/>
        </w:r>
        <w:r w:rsidR="00CF2E45" w:rsidRPr="00665411">
          <w:rPr>
            <w:rStyle w:val="Hypertextovodkaz"/>
          </w:rPr>
          <w:t>Ovlivněná oblast</w:t>
        </w:r>
        <w:r w:rsidR="00CF2E45">
          <w:rPr>
            <w:noProof/>
            <w:webHidden/>
          </w:rPr>
          <w:tab/>
        </w:r>
        <w:r w:rsidR="00CF2E45">
          <w:rPr>
            <w:noProof/>
            <w:webHidden/>
          </w:rPr>
          <w:fldChar w:fldCharType="begin"/>
        </w:r>
        <w:r w:rsidR="00CF2E45">
          <w:rPr>
            <w:noProof/>
            <w:webHidden/>
          </w:rPr>
          <w:instrText xml:space="preserve"> PAGEREF _Toc390958705 \h </w:instrText>
        </w:r>
        <w:r w:rsidR="00CF2E45">
          <w:rPr>
            <w:noProof/>
            <w:webHidden/>
          </w:rPr>
        </w:r>
        <w:r w:rsidR="00CF2E45">
          <w:rPr>
            <w:noProof/>
            <w:webHidden/>
          </w:rPr>
          <w:fldChar w:fldCharType="separate"/>
        </w:r>
        <w:r w:rsidR="003843F3">
          <w:rPr>
            <w:noProof/>
            <w:webHidden/>
          </w:rPr>
          <w:t>89</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06" w:history="1">
        <w:r w:rsidR="00CF2E45" w:rsidRPr="00665411">
          <w:rPr>
            <w:rStyle w:val="Hypertextovodkaz"/>
          </w:rPr>
          <w:t>5.2</w:t>
        </w:r>
        <w:r w:rsidR="00CF2E45">
          <w:rPr>
            <w:rFonts w:asciiTheme="minorHAnsi" w:eastAsiaTheme="minorEastAsia" w:hAnsiTheme="minorHAnsi" w:cstheme="minorBidi"/>
            <w:noProof/>
            <w:sz w:val="22"/>
            <w:szCs w:val="22"/>
            <w:lang w:eastAsia="cs-CZ"/>
          </w:rPr>
          <w:tab/>
        </w:r>
        <w:r w:rsidR="00CF2E45" w:rsidRPr="00665411">
          <w:rPr>
            <w:rStyle w:val="Hypertextovodkaz"/>
          </w:rPr>
          <w:t>Vstupní data prognózy</w:t>
        </w:r>
        <w:r w:rsidR="00CF2E45">
          <w:rPr>
            <w:noProof/>
            <w:webHidden/>
          </w:rPr>
          <w:tab/>
        </w:r>
        <w:r w:rsidR="00CF2E45">
          <w:rPr>
            <w:noProof/>
            <w:webHidden/>
          </w:rPr>
          <w:fldChar w:fldCharType="begin"/>
        </w:r>
        <w:r w:rsidR="00CF2E45">
          <w:rPr>
            <w:noProof/>
            <w:webHidden/>
          </w:rPr>
          <w:instrText xml:space="preserve"> PAGEREF _Toc390958706 \h </w:instrText>
        </w:r>
        <w:r w:rsidR="00CF2E45">
          <w:rPr>
            <w:noProof/>
            <w:webHidden/>
          </w:rPr>
        </w:r>
        <w:r w:rsidR="00CF2E45">
          <w:rPr>
            <w:noProof/>
            <w:webHidden/>
          </w:rPr>
          <w:fldChar w:fldCharType="separate"/>
        </w:r>
        <w:r w:rsidR="003843F3">
          <w:rPr>
            <w:noProof/>
            <w:webHidden/>
          </w:rPr>
          <w:t>95</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07" w:history="1">
        <w:r w:rsidR="00CF2E45" w:rsidRPr="00665411">
          <w:rPr>
            <w:rStyle w:val="Hypertextovodkaz"/>
          </w:rPr>
          <w:t>5.3</w:t>
        </w:r>
        <w:r w:rsidR="00CF2E45">
          <w:rPr>
            <w:rFonts w:asciiTheme="minorHAnsi" w:eastAsiaTheme="minorEastAsia" w:hAnsiTheme="minorHAnsi" w:cstheme="minorBidi"/>
            <w:noProof/>
            <w:sz w:val="22"/>
            <w:szCs w:val="22"/>
            <w:lang w:eastAsia="cs-CZ"/>
          </w:rPr>
          <w:tab/>
        </w:r>
        <w:r w:rsidR="00CF2E45" w:rsidRPr="00665411">
          <w:rPr>
            <w:rStyle w:val="Hypertextovodkaz"/>
          </w:rPr>
          <w:t>Prognóza osobní dopravy</w:t>
        </w:r>
        <w:r w:rsidR="00CF2E45">
          <w:rPr>
            <w:noProof/>
            <w:webHidden/>
          </w:rPr>
          <w:tab/>
        </w:r>
        <w:r w:rsidR="00CF2E45">
          <w:rPr>
            <w:noProof/>
            <w:webHidden/>
          </w:rPr>
          <w:fldChar w:fldCharType="begin"/>
        </w:r>
        <w:r w:rsidR="00CF2E45">
          <w:rPr>
            <w:noProof/>
            <w:webHidden/>
          </w:rPr>
          <w:instrText xml:space="preserve"> PAGEREF _Toc390958707 \h </w:instrText>
        </w:r>
        <w:r w:rsidR="00CF2E45">
          <w:rPr>
            <w:noProof/>
            <w:webHidden/>
          </w:rPr>
        </w:r>
        <w:r w:rsidR="00CF2E45">
          <w:rPr>
            <w:noProof/>
            <w:webHidden/>
          </w:rPr>
          <w:fldChar w:fldCharType="separate"/>
        </w:r>
        <w:r w:rsidR="003843F3">
          <w:rPr>
            <w:noProof/>
            <w:webHidden/>
          </w:rPr>
          <w:t>99</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08" w:history="1">
        <w:r w:rsidR="00CF2E45" w:rsidRPr="00665411">
          <w:rPr>
            <w:rStyle w:val="Hypertextovodkaz"/>
          </w:rPr>
          <w:t>5.4</w:t>
        </w:r>
        <w:r w:rsidR="00CF2E45">
          <w:rPr>
            <w:rFonts w:asciiTheme="minorHAnsi" w:eastAsiaTheme="minorEastAsia" w:hAnsiTheme="minorHAnsi" w:cstheme="minorBidi"/>
            <w:noProof/>
            <w:sz w:val="22"/>
            <w:szCs w:val="22"/>
            <w:lang w:eastAsia="cs-CZ"/>
          </w:rPr>
          <w:tab/>
        </w:r>
        <w:r w:rsidR="00CF2E45" w:rsidRPr="00665411">
          <w:rPr>
            <w:rStyle w:val="Hypertextovodkaz"/>
          </w:rPr>
          <w:t>Prognóza nákladní dopravy</w:t>
        </w:r>
        <w:r w:rsidR="00CF2E45">
          <w:rPr>
            <w:noProof/>
            <w:webHidden/>
          </w:rPr>
          <w:tab/>
        </w:r>
        <w:r w:rsidR="00CF2E45">
          <w:rPr>
            <w:noProof/>
            <w:webHidden/>
          </w:rPr>
          <w:fldChar w:fldCharType="begin"/>
        </w:r>
        <w:r w:rsidR="00CF2E45">
          <w:rPr>
            <w:noProof/>
            <w:webHidden/>
          </w:rPr>
          <w:instrText xml:space="preserve"> PAGEREF _Toc390958708 \h </w:instrText>
        </w:r>
        <w:r w:rsidR="00CF2E45">
          <w:rPr>
            <w:noProof/>
            <w:webHidden/>
          </w:rPr>
        </w:r>
        <w:r w:rsidR="00CF2E45">
          <w:rPr>
            <w:noProof/>
            <w:webHidden/>
          </w:rPr>
          <w:fldChar w:fldCharType="separate"/>
        </w:r>
        <w:r w:rsidR="003843F3">
          <w:rPr>
            <w:noProof/>
            <w:webHidden/>
          </w:rPr>
          <w:t>117</w:t>
        </w:r>
        <w:r w:rsidR="00CF2E45">
          <w:rPr>
            <w:noProof/>
            <w:webHidden/>
          </w:rPr>
          <w:fldChar w:fldCharType="end"/>
        </w:r>
      </w:hyperlink>
    </w:p>
    <w:p w:rsidR="00CF2E45" w:rsidRDefault="000E79AE">
      <w:pPr>
        <w:pStyle w:val="Obsah1"/>
        <w:tabs>
          <w:tab w:val="left" w:pos="440"/>
          <w:tab w:val="right" w:pos="9343"/>
        </w:tabs>
        <w:rPr>
          <w:rFonts w:asciiTheme="minorHAnsi" w:eastAsiaTheme="minorEastAsia" w:hAnsiTheme="minorHAnsi" w:cstheme="minorBidi"/>
          <w:b w:val="0"/>
          <w:bCs w:val="0"/>
          <w:caps w:val="0"/>
          <w:noProof/>
          <w:sz w:val="22"/>
          <w:szCs w:val="22"/>
          <w:lang w:eastAsia="cs-CZ"/>
        </w:rPr>
      </w:pPr>
      <w:hyperlink w:anchor="_Toc390958709" w:history="1">
        <w:r w:rsidR="00CF2E45" w:rsidRPr="00665411">
          <w:rPr>
            <w:rStyle w:val="Hypertextovodkaz"/>
          </w:rPr>
          <w:t>6</w:t>
        </w:r>
        <w:r w:rsidR="00CF2E45">
          <w:rPr>
            <w:rFonts w:asciiTheme="minorHAnsi" w:eastAsiaTheme="minorEastAsia" w:hAnsiTheme="minorHAnsi" w:cstheme="minorBidi"/>
            <w:b w:val="0"/>
            <w:bCs w:val="0"/>
            <w:caps w:val="0"/>
            <w:noProof/>
            <w:sz w:val="22"/>
            <w:szCs w:val="22"/>
            <w:lang w:eastAsia="cs-CZ"/>
          </w:rPr>
          <w:tab/>
        </w:r>
        <w:r w:rsidR="00CF2E45" w:rsidRPr="00665411">
          <w:rPr>
            <w:rStyle w:val="Hypertextovodkaz"/>
          </w:rPr>
          <w:t>Vztah k životnímu prostředí</w:t>
        </w:r>
        <w:r w:rsidR="00CF2E45">
          <w:rPr>
            <w:noProof/>
            <w:webHidden/>
          </w:rPr>
          <w:tab/>
        </w:r>
        <w:r w:rsidR="00CF2E45">
          <w:rPr>
            <w:noProof/>
            <w:webHidden/>
          </w:rPr>
          <w:fldChar w:fldCharType="begin"/>
        </w:r>
        <w:r w:rsidR="00CF2E45">
          <w:rPr>
            <w:noProof/>
            <w:webHidden/>
          </w:rPr>
          <w:instrText xml:space="preserve"> PAGEREF _Toc390958709 \h </w:instrText>
        </w:r>
        <w:r w:rsidR="00CF2E45">
          <w:rPr>
            <w:noProof/>
            <w:webHidden/>
          </w:rPr>
        </w:r>
        <w:r w:rsidR="00CF2E45">
          <w:rPr>
            <w:noProof/>
            <w:webHidden/>
          </w:rPr>
          <w:fldChar w:fldCharType="separate"/>
        </w:r>
        <w:r w:rsidR="003843F3">
          <w:rPr>
            <w:noProof/>
            <w:webHidden/>
          </w:rPr>
          <w:t>118</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10" w:history="1">
        <w:r w:rsidR="00CF2E45" w:rsidRPr="00665411">
          <w:rPr>
            <w:rStyle w:val="Hypertextovodkaz"/>
          </w:rPr>
          <w:t>6.1</w:t>
        </w:r>
        <w:r w:rsidR="00CF2E45">
          <w:rPr>
            <w:rFonts w:asciiTheme="minorHAnsi" w:eastAsiaTheme="minorEastAsia" w:hAnsiTheme="minorHAnsi" w:cstheme="minorBidi"/>
            <w:noProof/>
            <w:sz w:val="22"/>
            <w:szCs w:val="22"/>
            <w:lang w:eastAsia="cs-CZ"/>
          </w:rPr>
          <w:tab/>
        </w:r>
        <w:r w:rsidR="00CF2E45" w:rsidRPr="00665411">
          <w:rPr>
            <w:rStyle w:val="Hypertextovodkaz"/>
          </w:rPr>
          <w:t>Vztah k proceduře EIA</w:t>
        </w:r>
        <w:r w:rsidR="00CF2E45">
          <w:rPr>
            <w:noProof/>
            <w:webHidden/>
          </w:rPr>
          <w:tab/>
        </w:r>
        <w:r w:rsidR="00CF2E45">
          <w:rPr>
            <w:noProof/>
            <w:webHidden/>
          </w:rPr>
          <w:fldChar w:fldCharType="begin"/>
        </w:r>
        <w:r w:rsidR="00CF2E45">
          <w:rPr>
            <w:noProof/>
            <w:webHidden/>
          </w:rPr>
          <w:instrText xml:space="preserve"> PAGEREF _Toc390958710 \h </w:instrText>
        </w:r>
        <w:r w:rsidR="00CF2E45">
          <w:rPr>
            <w:noProof/>
            <w:webHidden/>
          </w:rPr>
        </w:r>
        <w:r w:rsidR="00CF2E45">
          <w:rPr>
            <w:noProof/>
            <w:webHidden/>
          </w:rPr>
          <w:fldChar w:fldCharType="separate"/>
        </w:r>
        <w:r w:rsidR="003843F3">
          <w:rPr>
            <w:noProof/>
            <w:webHidden/>
          </w:rPr>
          <w:t>118</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11" w:history="1">
        <w:r w:rsidR="00CF2E45" w:rsidRPr="00665411">
          <w:rPr>
            <w:rStyle w:val="Hypertextovodkaz"/>
          </w:rPr>
          <w:t>6.2</w:t>
        </w:r>
        <w:r w:rsidR="00CF2E45">
          <w:rPr>
            <w:rFonts w:asciiTheme="minorHAnsi" w:eastAsiaTheme="minorEastAsia" w:hAnsiTheme="minorHAnsi" w:cstheme="minorBidi"/>
            <w:noProof/>
            <w:sz w:val="22"/>
            <w:szCs w:val="22"/>
            <w:lang w:eastAsia="cs-CZ"/>
          </w:rPr>
          <w:tab/>
        </w:r>
        <w:r w:rsidR="00CF2E45" w:rsidRPr="00665411">
          <w:rPr>
            <w:rStyle w:val="Hypertextovodkaz"/>
          </w:rPr>
          <w:t>Bioregion</w:t>
        </w:r>
        <w:r w:rsidR="00CF2E45">
          <w:rPr>
            <w:noProof/>
            <w:webHidden/>
          </w:rPr>
          <w:tab/>
        </w:r>
        <w:r w:rsidR="00CF2E45">
          <w:rPr>
            <w:noProof/>
            <w:webHidden/>
          </w:rPr>
          <w:fldChar w:fldCharType="begin"/>
        </w:r>
        <w:r w:rsidR="00CF2E45">
          <w:rPr>
            <w:noProof/>
            <w:webHidden/>
          </w:rPr>
          <w:instrText xml:space="preserve"> PAGEREF _Toc390958711 \h </w:instrText>
        </w:r>
        <w:r w:rsidR="00CF2E45">
          <w:rPr>
            <w:noProof/>
            <w:webHidden/>
          </w:rPr>
        </w:r>
        <w:r w:rsidR="00CF2E45">
          <w:rPr>
            <w:noProof/>
            <w:webHidden/>
          </w:rPr>
          <w:fldChar w:fldCharType="separate"/>
        </w:r>
        <w:r w:rsidR="003843F3">
          <w:rPr>
            <w:noProof/>
            <w:webHidden/>
          </w:rPr>
          <w:t>118</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12" w:history="1">
        <w:r w:rsidR="00CF2E45" w:rsidRPr="00665411">
          <w:rPr>
            <w:rStyle w:val="Hypertextovodkaz"/>
          </w:rPr>
          <w:t>6.3</w:t>
        </w:r>
        <w:r w:rsidR="00CF2E45">
          <w:rPr>
            <w:rFonts w:asciiTheme="minorHAnsi" w:eastAsiaTheme="minorEastAsia" w:hAnsiTheme="minorHAnsi" w:cstheme="minorBidi"/>
            <w:noProof/>
            <w:sz w:val="22"/>
            <w:szCs w:val="22"/>
            <w:lang w:eastAsia="cs-CZ"/>
          </w:rPr>
          <w:tab/>
        </w:r>
        <w:r w:rsidR="00CF2E45" w:rsidRPr="00665411">
          <w:rPr>
            <w:rStyle w:val="Hypertextovodkaz"/>
          </w:rPr>
          <w:t>Zvláště chráněná území</w:t>
        </w:r>
        <w:r w:rsidR="00CF2E45">
          <w:rPr>
            <w:noProof/>
            <w:webHidden/>
          </w:rPr>
          <w:tab/>
        </w:r>
        <w:r w:rsidR="00CF2E45">
          <w:rPr>
            <w:noProof/>
            <w:webHidden/>
          </w:rPr>
          <w:fldChar w:fldCharType="begin"/>
        </w:r>
        <w:r w:rsidR="00CF2E45">
          <w:rPr>
            <w:noProof/>
            <w:webHidden/>
          </w:rPr>
          <w:instrText xml:space="preserve"> PAGEREF _Toc390958712 \h </w:instrText>
        </w:r>
        <w:r w:rsidR="00CF2E45">
          <w:rPr>
            <w:noProof/>
            <w:webHidden/>
          </w:rPr>
        </w:r>
        <w:r w:rsidR="00CF2E45">
          <w:rPr>
            <w:noProof/>
            <w:webHidden/>
          </w:rPr>
          <w:fldChar w:fldCharType="separate"/>
        </w:r>
        <w:r w:rsidR="003843F3">
          <w:rPr>
            <w:noProof/>
            <w:webHidden/>
          </w:rPr>
          <w:t>119</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13" w:history="1">
        <w:r w:rsidR="00CF2E45" w:rsidRPr="00665411">
          <w:rPr>
            <w:rStyle w:val="Hypertextovodkaz"/>
          </w:rPr>
          <w:t>6.4</w:t>
        </w:r>
        <w:r w:rsidR="00CF2E45">
          <w:rPr>
            <w:rFonts w:asciiTheme="minorHAnsi" w:eastAsiaTheme="minorEastAsia" w:hAnsiTheme="minorHAnsi" w:cstheme="minorBidi"/>
            <w:noProof/>
            <w:sz w:val="22"/>
            <w:szCs w:val="22"/>
            <w:lang w:eastAsia="cs-CZ"/>
          </w:rPr>
          <w:tab/>
        </w:r>
        <w:r w:rsidR="00CF2E45" w:rsidRPr="00665411">
          <w:rPr>
            <w:rStyle w:val="Hypertextovodkaz"/>
          </w:rPr>
          <w:t>Natura 2000</w:t>
        </w:r>
        <w:r w:rsidR="00CF2E45">
          <w:rPr>
            <w:noProof/>
            <w:webHidden/>
          </w:rPr>
          <w:tab/>
        </w:r>
        <w:r w:rsidR="00CF2E45">
          <w:rPr>
            <w:noProof/>
            <w:webHidden/>
          </w:rPr>
          <w:fldChar w:fldCharType="begin"/>
        </w:r>
        <w:r w:rsidR="00CF2E45">
          <w:rPr>
            <w:noProof/>
            <w:webHidden/>
          </w:rPr>
          <w:instrText xml:space="preserve"> PAGEREF _Toc390958713 \h </w:instrText>
        </w:r>
        <w:r w:rsidR="00CF2E45">
          <w:rPr>
            <w:noProof/>
            <w:webHidden/>
          </w:rPr>
        </w:r>
        <w:r w:rsidR="00CF2E45">
          <w:rPr>
            <w:noProof/>
            <w:webHidden/>
          </w:rPr>
          <w:fldChar w:fldCharType="separate"/>
        </w:r>
        <w:r w:rsidR="003843F3">
          <w:rPr>
            <w:noProof/>
            <w:webHidden/>
          </w:rPr>
          <w:t>119</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14" w:history="1">
        <w:r w:rsidR="00CF2E45" w:rsidRPr="00665411">
          <w:rPr>
            <w:rStyle w:val="Hypertextovodkaz"/>
          </w:rPr>
          <w:t>6.5</w:t>
        </w:r>
        <w:r w:rsidR="00CF2E45">
          <w:rPr>
            <w:rFonts w:asciiTheme="minorHAnsi" w:eastAsiaTheme="minorEastAsia" w:hAnsiTheme="minorHAnsi" w:cstheme="minorBidi"/>
            <w:noProof/>
            <w:sz w:val="22"/>
            <w:szCs w:val="22"/>
            <w:lang w:eastAsia="cs-CZ"/>
          </w:rPr>
          <w:tab/>
        </w:r>
        <w:r w:rsidR="00CF2E45" w:rsidRPr="00665411">
          <w:rPr>
            <w:rStyle w:val="Hypertextovodkaz"/>
          </w:rPr>
          <w:t>Významné krajinné prvky</w:t>
        </w:r>
        <w:r w:rsidR="00CF2E45">
          <w:rPr>
            <w:noProof/>
            <w:webHidden/>
          </w:rPr>
          <w:tab/>
        </w:r>
        <w:r w:rsidR="00CF2E45">
          <w:rPr>
            <w:noProof/>
            <w:webHidden/>
          </w:rPr>
          <w:fldChar w:fldCharType="begin"/>
        </w:r>
        <w:r w:rsidR="00CF2E45">
          <w:rPr>
            <w:noProof/>
            <w:webHidden/>
          </w:rPr>
          <w:instrText xml:space="preserve"> PAGEREF _Toc390958714 \h </w:instrText>
        </w:r>
        <w:r w:rsidR="00CF2E45">
          <w:rPr>
            <w:noProof/>
            <w:webHidden/>
          </w:rPr>
        </w:r>
        <w:r w:rsidR="00CF2E45">
          <w:rPr>
            <w:noProof/>
            <w:webHidden/>
          </w:rPr>
          <w:fldChar w:fldCharType="separate"/>
        </w:r>
        <w:r w:rsidR="003843F3">
          <w:rPr>
            <w:noProof/>
            <w:webHidden/>
          </w:rPr>
          <w:t>120</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15" w:history="1">
        <w:r w:rsidR="00CF2E45" w:rsidRPr="00665411">
          <w:rPr>
            <w:rStyle w:val="Hypertextovodkaz"/>
          </w:rPr>
          <w:t>6.6</w:t>
        </w:r>
        <w:r w:rsidR="00CF2E45">
          <w:rPr>
            <w:rFonts w:asciiTheme="minorHAnsi" w:eastAsiaTheme="minorEastAsia" w:hAnsiTheme="minorHAnsi" w:cstheme="minorBidi"/>
            <w:noProof/>
            <w:sz w:val="22"/>
            <w:szCs w:val="22"/>
            <w:lang w:eastAsia="cs-CZ"/>
          </w:rPr>
          <w:tab/>
        </w:r>
        <w:r w:rsidR="00CF2E45" w:rsidRPr="00665411">
          <w:rPr>
            <w:rStyle w:val="Hypertextovodkaz"/>
          </w:rPr>
          <w:t>Vliv na krajinný ráz</w:t>
        </w:r>
        <w:r w:rsidR="00CF2E45">
          <w:rPr>
            <w:noProof/>
            <w:webHidden/>
          </w:rPr>
          <w:tab/>
        </w:r>
        <w:r w:rsidR="00CF2E45">
          <w:rPr>
            <w:noProof/>
            <w:webHidden/>
          </w:rPr>
          <w:fldChar w:fldCharType="begin"/>
        </w:r>
        <w:r w:rsidR="00CF2E45">
          <w:rPr>
            <w:noProof/>
            <w:webHidden/>
          </w:rPr>
          <w:instrText xml:space="preserve"> PAGEREF _Toc390958715 \h </w:instrText>
        </w:r>
        <w:r w:rsidR="00CF2E45">
          <w:rPr>
            <w:noProof/>
            <w:webHidden/>
          </w:rPr>
        </w:r>
        <w:r w:rsidR="00CF2E45">
          <w:rPr>
            <w:noProof/>
            <w:webHidden/>
          </w:rPr>
          <w:fldChar w:fldCharType="separate"/>
        </w:r>
        <w:r w:rsidR="003843F3">
          <w:rPr>
            <w:noProof/>
            <w:webHidden/>
          </w:rPr>
          <w:t>121</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16" w:history="1">
        <w:r w:rsidR="00CF2E45" w:rsidRPr="00665411">
          <w:rPr>
            <w:rStyle w:val="Hypertextovodkaz"/>
          </w:rPr>
          <w:t>6.7</w:t>
        </w:r>
        <w:r w:rsidR="00CF2E45">
          <w:rPr>
            <w:rFonts w:asciiTheme="minorHAnsi" w:eastAsiaTheme="minorEastAsia" w:hAnsiTheme="minorHAnsi" w:cstheme="minorBidi"/>
            <w:noProof/>
            <w:sz w:val="22"/>
            <w:szCs w:val="22"/>
            <w:lang w:eastAsia="cs-CZ"/>
          </w:rPr>
          <w:tab/>
        </w:r>
        <w:r w:rsidR="00CF2E45" w:rsidRPr="00665411">
          <w:rPr>
            <w:rStyle w:val="Hypertextovodkaz"/>
          </w:rPr>
          <w:t>Půda</w:t>
        </w:r>
        <w:r w:rsidR="00CF2E45">
          <w:rPr>
            <w:noProof/>
            <w:webHidden/>
          </w:rPr>
          <w:tab/>
        </w:r>
        <w:r w:rsidR="00CF2E45">
          <w:rPr>
            <w:noProof/>
            <w:webHidden/>
          </w:rPr>
          <w:fldChar w:fldCharType="begin"/>
        </w:r>
        <w:r w:rsidR="00CF2E45">
          <w:rPr>
            <w:noProof/>
            <w:webHidden/>
          </w:rPr>
          <w:instrText xml:space="preserve"> PAGEREF _Toc390958716 \h </w:instrText>
        </w:r>
        <w:r w:rsidR="00CF2E45">
          <w:rPr>
            <w:noProof/>
            <w:webHidden/>
          </w:rPr>
        </w:r>
        <w:r w:rsidR="00CF2E45">
          <w:rPr>
            <w:noProof/>
            <w:webHidden/>
          </w:rPr>
          <w:fldChar w:fldCharType="separate"/>
        </w:r>
        <w:r w:rsidR="003843F3">
          <w:rPr>
            <w:noProof/>
            <w:webHidden/>
          </w:rPr>
          <w:t>121</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17" w:history="1">
        <w:r w:rsidR="00CF2E45" w:rsidRPr="00665411">
          <w:rPr>
            <w:rStyle w:val="Hypertextovodkaz"/>
          </w:rPr>
          <w:t>6.8</w:t>
        </w:r>
        <w:r w:rsidR="00CF2E45">
          <w:rPr>
            <w:rFonts w:asciiTheme="minorHAnsi" w:eastAsiaTheme="minorEastAsia" w:hAnsiTheme="minorHAnsi" w:cstheme="minorBidi"/>
            <w:noProof/>
            <w:sz w:val="22"/>
            <w:szCs w:val="22"/>
            <w:lang w:eastAsia="cs-CZ"/>
          </w:rPr>
          <w:tab/>
        </w:r>
        <w:r w:rsidR="00CF2E45" w:rsidRPr="00665411">
          <w:rPr>
            <w:rStyle w:val="Hypertextovodkaz"/>
          </w:rPr>
          <w:t>Vlivy na památky a archeologické nálezy</w:t>
        </w:r>
        <w:r w:rsidR="00CF2E45">
          <w:rPr>
            <w:noProof/>
            <w:webHidden/>
          </w:rPr>
          <w:tab/>
        </w:r>
        <w:r w:rsidR="00CF2E45">
          <w:rPr>
            <w:noProof/>
            <w:webHidden/>
          </w:rPr>
          <w:fldChar w:fldCharType="begin"/>
        </w:r>
        <w:r w:rsidR="00CF2E45">
          <w:rPr>
            <w:noProof/>
            <w:webHidden/>
          </w:rPr>
          <w:instrText xml:space="preserve"> PAGEREF _Toc390958717 \h </w:instrText>
        </w:r>
        <w:r w:rsidR="00CF2E45">
          <w:rPr>
            <w:noProof/>
            <w:webHidden/>
          </w:rPr>
        </w:r>
        <w:r w:rsidR="00CF2E45">
          <w:rPr>
            <w:noProof/>
            <w:webHidden/>
          </w:rPr>
          <w:fldChar w:fldCharType="separate"/>
        </w:r>
        <w:r w:rsidR="003843F3">
          <w:rPr>
            <w:noProof/>
            <w:webHidden/>
          </w:rPr>
          <w:t>122</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18" w:history="1">
        <w:r w:rsidR="00CF2E45" w:rsidRPr="00665411">
          <w:rPr>
            <w:rStyle w:val="Hypertextovodkaz"/>
          </w:rPr>
          <w:t>6.9</w:t>
        </w:r>
        <w:r w:rsidR="00CF2E45">
          <w:rPr>
            <w:rFonts w:asciiTheme="minorHAnsi" w:eastAsiaTheme="minorEastAsia" w:hAnsiTheme="minorHAnsi" w:cstheme="minorBidi"/>
            <w:noProof/>
            <w:sz w:val="22"/>
            <w:szCs w:val="22"/>
            <w:lang w:eastAsia="cs-CZ"/>
          </w:rPr>
          <w:tab/>
        </w:r>
        <w:r w:rsidR="00CF2E45" w:rsidRPr="00665411">
          <w:rPr>
            <w:rStyle w:val="Hypertextovodkaz"/>
          </w:rPr>
          <w:t>Voda</w:t>
        </w:r>
        <w:r w:rsidR="00CF2E45">
          <w:rPr>
            <w:noProof/>
            <w:webHidden/>
          </w:rPr>
          <w:tab/>
        </w:r>
        <w:r w:rsidR="00CF2E45">
          <w:rPr>
            <w:noProof/>
            <w:webHidden/>
          </w:rPr>
          <w:fldChar w:fldCharType="begin"/>
        </w:r>
        <w:r w:rsidR="00CF2E45">
          <w:rPr>
            <w:noProof/>
            <w:webHidden/>
          </w:rPr>
          <w:instrText xml:space="preserve"> PAGEREF _Toc390958718 \h </w:instrText>
        </w:r>
        <w:r w:rsidR="00CF2E45">
          <w:rPr>
            <w:noProof/>
            <w:webHidden/>
          </w:rPr>
        </w:r>
        <w:r w:rsidR="00CF2E45">
          <w:rPr>
            <w:noProof/>
            <w:webHidden/>
          </w:rPr>
          <w:fldChar w:fldCharType="separate"/>
        </w:r>
        <w:r w:rsidR="003843F3">
          <w:rPr>
            <w:noProof/>
            <w:webHidden/>
          </w:rPr>
          <w:t>123</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19" w:history="1">
        <w:r w:rsidR="00CF2E45" w:rsidRPr="00665411">
          <w:rPr>
            <w:rStyle w:val="Hypertextovodkaz"/>
          </w:rPr>
          <w:t>6.10</w:t>
        </w:r>
        <w:r w:rsidR="00CF2E45">
          <w:rPr>
            <w:rFonts w:asciiTheme="minorHAnsi" w:eastAsiaTheme="minorEastAsia" w:hAnsiTheme="minorHAnsi" w:cstheme="minorBidi"/>
            <w:noProof/>
            <w:sz w:val="22"/>
            <w:szCs w:val="22"/>
            <w:lang w:eastAsia="cs-CZ"/>
          </w:rPr>
          <w:tab/>
        </w:r>
        <w:r w:rsidR="00CF2E45" w:rsidRPr="00665411">
          <w:rPr>
            <w:rStyle w:val="Hypertextovodkaz"/>
          </w:rPr>
          <w:t>Hluk</w:t>
        </w:r>
        <w:r w:rsidR="00CF2E45">
          <w:rPr>
            <w:noProof/>
            <w:webHidden/>
          </w:rPr>
          <w:tab/>
        </w:r>
        <w:r w:rsidR="00CF2E45">
          <w:rPr>
            <w:noProof/>
            <w:webHidden/>
          </w:rPr>
          <w:fldChar w:fldCharType="begin"/>
        </w:r>
        <w:r w:rsidR="00CF2E45">
          <w:rPr>
            <w:noProof/>
            <w:webHidden/>
          </w:rPr>
          <w:instrText xml:space="preserve"> PAGEREF _Toc390958719 \h </w:instrText>
        </w:r>
        <w:r w:rsidR="00CF2E45">
          <w:rPr>
            <w:noProof/>
            <w:webHidden/>
          </w:rPr>
        </w:r>
        <w:r w:rsidR="00CF2E45">
          <w:rPr>
            <w:noProof/>
            <w:webHidden/>
          </w:rPr>
          <w:fldChar w:fldCharType="separate"/>
        </w:r>
        <w:r w:rsidR="003843F3">
          <w:rPr>
            <w:noProof/>
            <w:webHidden/>
          </w:rPr>
          <w:t>125</w:t>
        </w:r>
        <w:r w:rsidR="00CF2E45">
          <w:rPr>
            <w:noProof/>
            <w:webHidden/>
          </w:rPr>
          <w:fldChar w:fldCharType="end"/>
        </w:r>
      </w:hyperlink>
    </w:p>
    <w:p w:rsidR="00CF2E45" w:rsidRDefault="000E79AE">
      <w:pPr>
        <w:pStyle w:val="Obsah1"/>
        <w:tabs>
          <w:tab w:val="left" w:pos="440"/>
          <w:tab w:val="right" w:pos="9343"/>
        </w:tabs>
        <w:rPr>
          <w:rFonts w:asciiTheme="minorHAnsi" w:eastAsiaTheme="minorEastAsia" w:hAnsiTheme="minorHAnsi" w:cstheme="minorBidi"/>
          <w:b w:val="0"/>
          <w:bCs w:val="0"/>
          <w:caps w:val="0"/>
          <w:noProof/>
          <w:sz w:val="22"/>
          <w:szCs w:val="22"/>
          <w:lang w:eastAsia="cs-CZ"/>
        </w:rPr>
      </w:pPr>
      <w:hyperlink w:anchor="_Toc390958720" w:history="1">
        <w:r w:rsidR="00CF2E45" w:rsidRPr="00665411">
          <w:rPr>
            <w:rStyle w:val="Hypertextovodkaz"/>
          </w:rPr>
          <w:t>7</w:t>
        </w:r>
        <w:r w:rsidR="00CF2E45">
          <w:rPr>
            <w:rFonts w:asciiTheme="minorHAnsi" w:eastAsiaTheme="minorEastAsia" w:hAnsiTheme="minorHAnsi" w:cstheme="minorBidi"/>
            <w:b w:val="0"/>
            <w:bCs w:val="0"/>
            <w:caps w:val="0"/>
            <w:noProof/>
            <w:sz w:val="22"/>
            <w:szCs w:val="22"/>
            <w:lang w:eastAsia="cs-CZ"/>
          </w:rPr>
          <w:tab/>
        </w:r>
        <w:r w:rsidR="00CF2E45" w:rsidRPr="00665411">
          <w:rPr>
            <w:rStyle w:val="Hypertextovodkaz"/>
          </w:rPr>
          <w:t>Ekonomické hodnocení</w:t>
        </w:r>
        <w:r w:rsidR="00CF2E45">
          <w:rPr>
            <w:noProof/>
            <w:webHidden/>
          </w:rPr>
          <w:tab/>
        </w:r>
        <w:r w:rsidR="00CF2E45">
          <w:rPr>
            <w:noProof/>
            <w:webHidden/>
          </w:rPr>
          <w:fldChar w:fldCharType="begin"/>
        </w:r>
        <w:r w:rsidR="00CF2E45">
          <w:rPr>
            <w:noProof/>
            <w:webHidden/>
          </w:rPr>
          <w:instrText xml:space="preserve"> PAGEREF _Toc390958720 \h </w:instrText>
        </w:r>
        <w:r w:rsidR="00CF2E45">
          <w:rPr>
            <w:noProof/>
            <w:webHidden/>
          </w:rPr>
        </w:r>
        <w:r w:rsidR="00CF2E45">
          <w:rPr>
            <w:noProof/>
            <w:webHidden/>
          </w:rPr>
          <w:fldChar w:fldCharType="separate"/>
        </w:r>
        <w:r w:rsidR="003843F3">
          <w:rPr>
            <w:noProof/>
            <w:webHidden/>
          </w:rPr>
          <w:t>126</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21" w:history="1">
        <w:r w:rsidR="00CF2E45" w:rsidRPr="00665411">
          <w:rPr>
            <w:rStyle w:val="Hypertextovodkaz"/>
          </w:rPr>
          <w:t>7.1</w:t>
        </w:r>
        <w:r w:rsidR="00CF2E45">
          <w:rPr>
            <w:rFonts w:asciiTheme="minorHAnsi" w:eastAsiaTheme="minorEastAsia" w:hAnsiTheme="minorHAnsi" w:cstheme="minorBidi"/>
            <w:noProof/>
            <w:sz w:val="22"/>
            <w:szCs w:val="22"/>
            <w:lang w:eastAsia="cs-CZ"/>
          </w:rPr>
          <w:tab/>
        </w:r>
        <w:r w:rsidR="00CF2E45" w:rsidRPr="00665411">
          <w:rPr>
            <w:rStyle w:val="Hypertextovodkaz"/>
          </w:rPr>
          <w:t>Finanční analýza</w:t>
        </w:r>
        <w:r w:rsidR="00CF2E45">
          <w:rPr>
            <w:noProof/>
            <w:webHidden/>
          </w:rPr>
          <w:tab/>
        </w:r>
        <w:r w:rsidR="00CF2E45">
          <w:rPr>
            <w:noProof/>
            <w:webHidden/>
          </w:rPr>
          <w:fldChar w:fldCharType="begin"/>
        </w:r>
        <w:r w:rsidR="00CF2E45">
          <w:rPr>
            <w:noProof/>
            <w:webHidden/>
          </w:rPr>
          <w:instrText xml:space="preserve"> PAGEREF _Toc390958721 \h </w:instrText>
        </w:r>
        <w:r w:rsidR="00CF2E45">
          <w:rPr>
            <w:noProof/>
            <w:webHidden/>
          </w:rPr>
        </w:r>
        <w:r w:rsidR="00CF2E45">
          <w:rPr>
            <w:noProof/>
            <w:webHidden/>
          </w:rPr>
          <w:fldChar w:fldCharType="separate"/>
        </w:r>
        <w:r w:rsidR="003843F3">
          <w:rPr>
            <w:noProof/>
            <w:webHidden/>
          </w:rPr>
          <w:t>127</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22" w:history="1">
        <w:r w:rsidR="00CF2E45" w:rsidRPr="00665411">
          <w:rPr>
            <w:rStyle w:val="Hypertextovodkaz"/>
          </w:rPr>
          <w:t>7.2</w:t>
        </w:r>
        <w:r w:rsidR="00CF2E45">
          <w:rPr>
            <w:rFonts w:asciiTheme="minorHAnsi" w:eastAsiaTheme="minorEastAsia" w:hAnsiTheme="minorHAnsi" w:cstheme="minorBidi"/>
            <w:noProof/>
            <w:sz w:val="22"/>
            <w:szCs w:val="22"/>
            <w:lang w:eastAsia="cs-CZ"/>
          </w:rPr>
          <w:tab/>
        </w:r>
        <w:r w:rsidR="00CF2E45" w:rsidRPr="00665411">
          <w:rPr>
            <w:rStyle w:val="Hypertextovodkaz"/>
          </w:rPr>
          <w:t>Ekonomická analýza</w:t>
        </w:r>
        <w:r w:rsidR="00CF2E45">
          <w:rPr>
            <w:noProof/>
            <w:webHidden/>
          </w:rPr>
          <w:tab/>
        </w:r>
        <w:r w:rsidR="00CF2E45">
          <w:rPr>
            <w:noProof/>
            <w:webHidden/>
          </w:rPr>
          <w:fldChar w:fldCharType="begin"/>
        </w:r>
        <w:r w:rsidR="00CF2E45">
          <w:rPr>
            <w:noProof/>
            <w:webHidden/>
          </w:rPr>
          <w:instrText xml:space="preserve"> PAGEREF _Toc390958722 \h </w:instrText>
        </w:r>
        <w:r w:rsidR="00CF2E45">
          <w:rPr>
            <w:noProof/>
            <w:webHidden/>
          </w:rPr>
        </w:r>
        <w:r w:rsidR="00CF2E45">
          <w:rPr>
            <w:noProof/>
            <w:webHidden/>
          </w:rPr>
          <w:fldChar w:fldCharType="separate"/>
        </w:r>
        <w:r w:rsidR="003843F3">
          <w:rPr>
            <w:noProof/>
            <w:webHidden/>
          </w:rPr>
          <w:t>139</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23" w:history="1">
        <w:r w:rsidR="00CF2E45" w:rsidRPr="00665411">
          <w:rPr>
            <w:rStyle w:val="Hypertextovodkaz"/>
          </w:rPr>
          <w:t>7.3</w:t>
        </w:r>
        <w:r w:rsidR="00CF2E45">
          <w:rPr>
            <w:rFonts w:asciiTheme="minorHAnsi" w:eastAsiaTheme="minorEastAsia" w:hAnsiTheme="minorHAnsi" w:cstheme="minorBidi"/>
            <w:noProof/>
            <w:sz w:val="22"/>
            <w:szCs w:val="22"/>
            <w:lang w:eastAsia="cs-CZ"/>
          </w:rPr>
          <w:tab/>
        </w:r>
        <w:r w:rsidR="00CF2E45" w:rsidRPr="00665411">
          <w:rPr>
            <w:rStyle w:val="Hypertextovodkaz"/>
          </w:rPr>
          <w:t>Analýza citlivosti a rizik</w:t>
        </w:r>
        <w:r w:rsidR="00CF2E45">
          <w:rPr>
            <w:noProof/>
            <w:webHidden/>
          </w:rPr>
          <w:tab/>
        </w:r>
        <w:r w:rsidR="00CF2E45">
          <w:rPr>
            <w:noProof/>
            <w:webHidden/>
          </w:rPr>
          <w:fldChar w:fldCharType="begin"/>
        </w:r>
        <w:r w:rsidR="00CF2E45">
          <w:rPr>
            <w:noProof/>
            <w:webHidden/>
          </w:rPr>
          <w:instrText xml:space="preserve"> PAGEREF _Toc390958723 \h </w:instrText>
        </w:r>
        <w:r w:rsidR="00CF2E45">
          <w:rPr>
            <w:noProof/>
            <w:webHidden/>
          </w:rPr>
        </w:r>
        <w:r w:rsidR="00CF2E45">
          <w:rPr>
            <w:noProof/>
            <w:webHidden/>
          </w:rPr>
          <w:fldChar w:fldCharType="separate"/>
        </w:r>
        <w:r w:rsidR="003843F3">
          <w:rPr>
            <w:noProof/>
            <w:webHidden/>
          </w:rPr>
          <w:t>152</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24" w:history="1">
        <w:r w:rsidR="00CF2E45" w:rsidRPr="00665411">
          <w:rPr>
            <w:rStyle w:val="Hypertextovodkaz"/>
          </w:rPr>
          <w:t>7.4</w:t>
        </w:r>
        <w:r w:rsidR="00CF2E45">
          <w:rPr>
            <w:rFonts w:asciiTheme="minorHAnsi" w:eastAsiaTheme="minorEastAsia" w:hAnsiTheme="minorHAnsi" w:cstheme="minorBidi"/>
            <w:noProof/>
            <w:sz w:val="22"/>
            <w:szCs w:val="22"/>
            <w:lang w:eastAsia="cs-CZ"/>
          </w:rPr>
          <w:tab/>
        </w:r>
        <w:r w:rsidR="00CF2E45" w:rsidRPr="00665411">
          <w:rPr>
            <w:rStyle w:val="Hypertextovodkaz"/>
          </w:rPr>
          <w:t>Závěr ekonomického hodnocení</w:t>
        </w:r>
        <w:r w:rsidR="00CF2E45">
          <w:rPr>
            <w:noProof/>
            <w:webHidden/>
          </w:rPr>
          <w:tab/>
        </w:r>
        <w:r w:rsidR="00CF2E45">
          <w:rPr>
            <w:noProof/>
            <w:webHidden/>
          </w:rPr>
          <w:fldChar w:fldCharType="begin"/>
        </w:r>
        <w:r w:rsidR="00CF2E45">
          <w:rPr>
            <w:noProof/>
            <w:webHidden/>
          </w:rPr>
          <w:instrText xml:space="preserve"> PAGEREF _Toc390958724 \h </w:instrText>
        </w:r>
        <w:r w:rsidR="00CF2E45">
          <w:rPr>
            <w:noProof/>
            <w:webHidden/>
          </w:rPr>
        </w:r>
        <w:r w:rsidR="00CF2E45">
          <w:rPr>
            <w:noProof/>
            <w:webHidden/>
          </w:rPr>
          <w:fldChar w:fldCharType="separate"/>
        </w:r>
        <w:r w:rsidR="003843F3">
          <w:rPr>
            <w:noProof/>
            <w:webHidden/>
          </w:rPr>
          <w:t>156</w:t>
        </w:r>
        <w:r w:rsidR="00CF2E45">
          <w:rPr>
            <w:noProof/>
            <w:webHidden/>
          </w:rPr>
          <w:fldChar w:fldCharType="end"/>
        </w:r>
      </w:hyperlink>
    </w:p>
    <w:p w:rsidR="00CF2E45" w:rsidRDefault="000E79AE">
      <w:pPr>
        <w:pStyle w:val="Obsah1"/>
        <w:tabs>
          <w:tab w:val="left" w:pos="440"/>
          <w:tab w:val="right" w:pos="9343"/>
        </w:tabs>
        <w:rPr>
          <w:rFonts w:asciiTheme="minorHAnsi" w:eastAsiaTheme="minorEastAsia" w:hAnsiTheme="minorHAnsi" w:cstheme="minorBidi"/>
          <w:b w:val="0"/>
          <w:bCs w:val="0"/>
          <w:caps w:val="0"/>
          <w:noProof/>
          <w:sz w:val="22"/>
          <w:szCs w:val="22"/>
          <w:lang w:eastAsia="cs-CZ"/>
        </w:rPr>
      </w:pPr>
      <w:hyperlink w:anchor="_Toc390958725" w:history="1">
        <w:r w:rsidR="00CF2E45" w:rsidRPr="00665411">
          <w:rPr>
            <w:rStyle w:val="Hypertextovodkaz"/>
          </w:rPr>
          <w:t>8</w:t>
        </w:r>
        <w:r w:rsidR="00CF2E45">
          <w:rPr>
            <w:rFonts w:asciiTheme="minorHAnsi" w:eastAsiaTheme="minorEastAsia" w:hAnsiTheme="minorHAnsi" w:cstheme="minorBidi"/>
            <w:b w:val="0"/>
            <w:bCs w:val="0"/>
            <w:caps w:val="0"/>
            <w:noProof/>
            <w:sz w:val="22"/>
            <w:szCs w:val="22"/>
            <w:lang w:eastAsia="cs-CZ"/>
          </w:rPr>
          <w:tab/>
        </w:r>
        <w:r w:rsidR="00CF2E45" w:rsidRPr="00665411">
          <w:rPr>
            <w:rStyle w:val="Hypertextovodkaz"/>
          </w:rPr>
          <w:t>Závěr, doporučení pro další postup</w:t>
        </w:r>
        <w:r w:rsidR="00CF2E45">
          <w:rPr>
            <w:noProof/>
            <w:webHidden/>
          </w:rPr>
          <w:tab/>
        </w:r>
        <w:r w:rsidR="00CF2E45">
          <w:rPr>
            <w:noProof/>
            <w:webHidden/>
          </w:rPr>
          <w:fldChar w:fldCharType="begin"/>
        </w:r>
        <w:r w:rsidR="00CF2E45">
          <w:rPr>
            <w:noProof/>
            <w:webHidden/>
          </w:rPr>
          <w:instrText xml:space="preserve"> PAGEREF _Toc390958725 \h </w:instrText>
        </w:r>
        <w:r w:rsidR="00CF2E45">
          <w:rPr>
            <w:noProof/>
            <w:webHidden/>
          </w:rPr>
        </w:r>
        <w:r w:rsidR="00CF2E45">
          <w:rPr>
            <w:noProof/>
            <w:webHidden/>
          </w:rPr>
          <w:fldChar w:fldCharType="separate"/>
        </w:r>
        <w:r w:rsidR="003843F3">
          <w:rPr>
            <w:noProof/>
            <w:webHidden/>
          </w:rPr>
          <w:t>158</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26" w:history="1">
        <w:r w:rsidR="00CF2E45" w:rsidRPr="00665411">
          <w:rPr>
            <w:rStyle w:val="Hypertextovodkaz"/>
          </w:rPr>
          <w:t>8.1</w:t>
        </w:r>
        <w:r w:rsidR="00CF2E45">
          <w:rPr>
            <w:rFonts w:asciiTheme="minorHAnsi" w:eastAsiaTheme="minorEastAsia" w:hAnsiTheme="minorHAnsi" w:cstheme="minorBidi"/>
            <w:noProof/>
            <w:sz w:val="22"/>
            <w:szCs w:val="22"/>
            <w:lang w:eastAsia="cs-CZ"/>
          </w:rPr>
          <w:tab/>
        </w:r>
        <w:r w:rsidR="00CF2E45" w:rsidRPr="00665411">
          <w:rPr>
            <w:rStyle w:val="Hypertextovodkaz"/>
          </w:rPr>
          <w:t>Stručné vyhodnocení</w:t>
        </w:r>
        <w:r w:rsidR="00CF2E45">
          <w:rPr>
            <w:noProof/>
            <w:webHidden/>
          </w:rPr>
          <w:tab/>
        </w:r>
        <w:r w:rsidR="00CF2E45">
          <w:rPr>
            <w:noProof/>
            <w:webHidden/>
          </w:rPr>
          <w:fldChar w:fldCharType="begin"/>
        </w:r>
        <w:r w:rsidR="00CF2E45">
          <w:rPr>
            <w:noProof/>
            <w:webHidden/>
          </w:rPr>
          <w:instrText xml:space="preserve"> PAGEREF _Toc390958726 \h </w:instrText>
        </w:r>
        <w:r w:rsidR="00CF2E45">
          <w:rPr>
            <w:noProof/>
            <w:webHidden/>
          </w:rPr>
        </w:r>
        <w:r w:rsidR="00CF2E45">
          <w:rPr>
            <w:noProof/>
            <w:webHidden/>
          </w:rPr>
          <w:fldChar w:fldCharType="separate"/>
        </w:r>
        <w:r w:rsidR="003843F3">
          <w:rPr>
            <w:noProof/>
            <w:webHidden/>
          </w:rPr>
          <w:t>158</w:t>
        </w:r>
        <w:r w:rsidR="00CF2E45">
          <w:rPr>
            <w:noProof/>
            <w:webHidden/>
          </w:rPr>
          <w:fldChar w:fldCharType="end"/>
        </w:r>
      </w:hyperlink>
    </w:p>
    <w:p w:rsidR="00CF2E45" w:rsidRDefault="000E79AE">
      <w:pPr>
        <w:pStyle w:val="Obsah2"/>
        <w:rPr>
          <w:rFonts w:asciiTheme="minorHAnsi" w:eastAsiaTheme="minorEastAsia" w:hAnsiTheme="minorHAnsi" w:cstheme="minorBidi"/>
          <w:noProof/>
          <w:sz w:val="22"/>
          <w:szCs w:val="22"/>
          <w:lang w:eastAsia="cs-CZ"/>
        </w:rPr>
      </w:pPr>
      <w:hyperlink w:anchor="_Toc390958727" w:history="1">
        <w:r w:rsidR="00CF2E45" w:rsidRPr="00665411">
          <w:rPr>
            <w:rStyle w:val="Hypertextovodkaz"/>
          </w:rPr>
          <w:t>8.2</w:t>
        </w:r>
        <w:r w:rsidR="00CF2E45">
          <w:rPr>
            <w:rFonts w:asciiTheme="minorHAnsi" w:eastAsiaTheme="minorEastAsia" w:hAnsiTheme="minorHAnsi" w:cstheme="minorBidi"/>
            <w:noProof/>
            <w:sz w:val="22"/>
            <w:szCs w:val="22"/>
            <w:lang w:eastAsia="cs-CZ"/>
          </w:rPr>
          <w:tab/>
        </w:r>
        <w:r w:rsidR="00CF2E45" w:rsidRPr="00665411">
          <w:rPr>
            <w:rStyle w:val="Hypertextovodkaz"/>
          </w:rPr>
          <w:t>Doporučení pro další postup</w:t>
        </w:r>
        <w:r w:rsidR="00CF2E45">
          <w:rPr>
            <w:noProof/>
            <w:webHidden/>
          </w:rPr>
          <w:tab/>
        </w:r>
        <w:r w:rsidR="00CF2E45">
          <w:rPr>
            <w:noProof/>
            <w:webHidden/>
          </w:rPr>
          <w:fldChar w:fldCharType="begin"/>
        </w:r>
        <w:r w:rsidR="00CF2E45">
          <w:rPr>
            <w:noProof/>
            <w:webHidden/>
          </w:rPr>
          <w:instrText xml:space="preserve"> PAGEREF _Toc390958727 \h </w:instrText>
        </w:r>
        <w:r w:rsidR="00CF2E45">
          <w:rPr>
            <w:noProof/>
            <w:webHidden/>
          </w:rPr>
        </w:r>
        <w:r w:rsidR="00CF2E45">
          <w:rPr>
            <w:noProof/>
            <w:webHidden/>
          </w:rPr>
          <w:fldChar w:fldCharType="separate"/>
        </w:r>
        <w:r w:rsidR="003843F3">
          <w:rPr>
            <w:noProof/>
            <w:webHidden/>
          </w:rPr>
          <w:t>160</w:t>
        </w:r>
        <w:r w:rsidR="00CF2E45">
          <w:rPr>
            <w:noProof/>
            <w:webHidden/>
          </w:rPr>
          <w:fldChar w:fldCharType="end"/>
        </w:r>
      </w:hyperlink>
    </w:p>
    <w:p w:rsidR="00CF2E45" w:rsidRDefault="000E79AE">
      <w:pPr>
        <w:pStyle w:val="Obsah1"/>
        <w:tabs>
          <w:tab w:val="left" w:pos="440"/>
          <w:tab w:val="right" w:pos="9343"/>
        </w:tabs>
        <w:rPr>
          <w:rFonts w:asciiTheme="minorHAnsi" w:eastAsiaTheme="minorEastAsia" w:hAnsiTheme="minorHAnsi" w:cstheme="minorBidi"/>
          <w:b w:val="0"/>
          <w:bCs w:val="0"/>
          <w:caps w:val="0"/>
          <w:noProof/>
          <w:sz w:val="22"/>
          <w:szCs w:val="22"/>
          <w:lang w:eastAsia="cs-CZ"/>
        </w:rPr>
      </w:pPr>
      <w:hyperlink w:anchor="_Toc390958728" w:history="1">
        <w:r w:rsidR="00CF2E45" w:rsidRPr="00665411">
          <w:rPr>
            <w:rStyle w:val="Hypertextovodkaz"/>
          </w:rPr>
          <w:t>9</w:t>
        </w:r>
        <w:r w:rsidR="00CF2E45">
          <w:rPr>
            <w:rFonts w:asciiTheme="minorHAnsi" w:eastAsiaTheme="minorEastAsia" w:hAnsiTheme="minorHAnsi" w:cstheme="minorBidi"/>
            <w:b w:val="0"/>
            <w:bCs w:val="0"/>
            <w:caps w:val="0"/>
            <w:noProof/>
            <w:sz w:val="22"/>
            <w:szCs w:val="22"/>
            <w:lang w:eastAsia="cs-CZ"/>
          </w:rPr>
          <w:tab/>
        </w:r>
        <w:r w:rsidR="00CF2E45" w:rsidRPr="00665411">
          <w:rPr>
            <w:rStyle w:val="Hypertextovodkaz"/>
          </w:rPr>
          <w:t>Seznam použité literatury</w:t>
        </w:r>
        <w:r w:rsidR="00CF2E45">
          <w:rPr>
            <w:noProof/>
            <w:webHidden/>
          </w:rPr>
          <w:tab/>
        </w:r>
        <w:r w:rsidR="00CF2E45">
          <w:rPr>
            <w:noProof/>
            <w:webHidden/>
          </w:rPr>
          <w:fldChar w:fldCharType="begin"/>
        </w:r>
        <w:r w:rsidR="00CF2E45">
          <w:rPr>
            <w:noProof/>
            <w:webHidden/>
          </w:rPr>
          <w:instrText xml:space="preserve"> PAGEREF _Toc390958728 \h </w:instrText>
        </w:r>
        <w:r w:rsidR="00CF2E45">
          <w:rPr>
            <w:noProof/>
            <w:webHidden/>
          </w:rPr>
        </w:r>
        <w:r w:rsidR="00CF2E45">
          <w:rPr>
            <w:noProof/>
            <w:webHidden/>
          </w:rPr>
          <w:fldChar w:fldCharType="separate"/>
        </w:r>
        <w:r w:rsidR="003843F3">
          <w:rPr>
            <w:noProof/>
            <w:webHidden/>
          </w:rPr>
          <w:t>161</w:t>
        </w:r>
        <w:r w:rsidR="00CF2E45">
          <w:rPr>
            <w:noProof/>
            <w:webHidden/>
          </w:rPr>
          <w:fldChar w:fldCharType="end"/>
        </w:r>
      </w:hyperlink>
    </w:p>
    <w:p w:rsidR="00CF2E45" w:rsidRDefault="000E79AE">
      <w:pPr>
        <w:pStyle w:val="Obsah1"/>
        <w:tabs>
          <w:tab w:val="left" w:pos="720"/>
          <w:tab w:val="right" w:pos="9343"/>
        </w:tabs>
        <w:rPr>
          <w:rFonts w:asciiTheme="minorHAnsi" w:eastAsiaTheme="minorEastAsia" w:hAnsiTheme="minorHAnsi" w:cstheme="minorBidi"/>
          <w:b w:val="0"/>
          <w:bCs w:val="0"/>
          <w:caps w:val="0"/>
          <w:noProof/>
          <w:sz w:val="22"/>
          <w:szCs w:val="22"/>
          <w:lang w:eastAsia="cs-CZ"/>
        </w:rPr>
      </w:pPr>
      <w:hyperlink w:anchor="_Toc390958729" w:history="1">
        <w:r w:rsidR="00CF2E45" w:rsidRPr="00665411">
          <w:rPr>
            <w:rStyle w:val="Hypertextovodkaz"/>
          </w:rPr>
          <w:t>10</w:t>
        </w:r>
        <w:r w:rsidR="00CF2E45">
          <w:rPr>
            <w:rFonts w:asciiTheme="minorHAnsi" w:eastAsiaTheme="minorEastAsia" w:hAnsiTheme="minorHAnsi" w:cstheme="minorBidi"/>
            <w:b w:val="0"/>
            <w:bCs w:val="0"/>
            <w:caps w:val="0"/>
            <w:noProof/>
            <w:sz w:val="22"/>
            <w:szCs w:val="22"/>
            <w:lang w:eastAsia="cs-CZ"/>
          </w:rPr>
          <w:tab/>
        </w:r>
        <w:r w:rsidR="00CF2E45" w:rsidRPr="00665411">
          <w:rPr>
            <w:rStyle w:val="Hypertextovodkaz"/>
          </w:rPr>
          <w:t>DOKLADOVÁ ČÁST</w:t>
        </w:r>
        <w:r w:rsidR="00CF2E45">
          <w:rPr>
            <w:noProof/>
            <w:webHidden/>
          </w:rPr>
          <w:tab/>
        </w:r>
        <w:r w:rsidR="00CF2E45">
          <w:rPr>
            <w:noProof/>
            <w:webHidden/>
          </w:rPr>
          <w:fldChar w:fldCharType="begin"/>
        </w:r>
        <w:r w:rsidR="00CF2E45">
          <w:rPr>
            <w:noProof/>
            <w:webHidden/>
          </w:rPr>
          <w:instrText xml:space="preserve"> PAGEREF _Toc390958729 \h </w:instrText>
        </w:r>
        <w:r w:rsidR="00CF2E45">
          <w:rPr>
            <w:noProof/>
            <w:webHidden/>
          </w:rPr>
        </w:r>
        <w:r w:rsidR="00CF2E45">
          <w:rPr>
            <w:noProof/>
            <w:webHidden/>
          </w:rPr>
          <w:fldChar w:fldCharType="separate"/>
        </w:r>
        <w:r w:rsidR="003843F3">
          <w:rPr>
            <w:noProof/>
            <w:webHidden/>
          </w:rPr>
          <w:t>162</w:t>
        </w:r>
        <w:r w:rsidR="00CF2E45">
          <w:rPr>
            <w:noProof/>
            <w:webHidden/>
          </w:rPr>
          <w:fldChar w:fldCharType="end"/>
        </w:r>
      </w:hyperlink>
    </w:p>
    <w:p w:rsidR="00CF2E45" w:rsidRDefault="000E79AE">
      <w:pPr>
        <w:pStyle w:val="Obsah1"/>
        <w:tabs>
          <w:tab w:val="left" w:pos="720"/>
          <w:tab w:val="right" w:pos="9343"/>
        </w:tabs>
        <w:rPr>
          <w:rFonts w:asciiTheme="minorHAnsi" w:eastAsiaTheme="minorEastAsia" w:hAnsiTheme="minorHAnsi" w:cstheme="minorBidi"/>
          <w:b w:val="0"/>
          <w:bCs w:val="0"/>
          <w:caps w:val="0"/>
          <w:noProof/>
          <w:sz w:val="22"/>
          <w:szCs w:val="22"/>
          <w:lang w:eastAsia="cs-CZ"/>
        </w:rPr>
      </w:pPr>
      <w:hyperlink w:anchor="_Toc390958730" w:history="1">
        <w:r w:rsidR="00CF2E45" w:rsidRPr="00665411">
          <w:rPr>
            <w:rStyle w:val="Hypertextovodkaz"/>
          </w:rPr>
          <w:t>11</w:t>
        </w:r>
        <w:r w:rsidR="00CF2E45">
          <w:rPr>
            <w:rFonts w:asciiTheme="minorHAnsi" w:eastAsiaTheme="minorEastAsia" w:hAnsiTheme="minorHAnsi" w:cstheme="minorBidi"/>
            <w:b w:val="0"/>
            <w:bCs w:val="0"/>
            <w:caps w:val="0"/>
            <w:noProof/>
            <w:sz w:val="22"/>
            <w:szCs w:val="22"/>
            <w:lang w:eastAsia="cs-CZ"/>
          </w:rPr>
          <w:tab/>
        </w:r>
        <w:r w:rsidR="00CF2E45" w:rsidRPr="00665411">
          <w:rPr>
            <w:rStyle w:val="Hypertextovodkaz"/>
          </w:rPr>
          <w:t>PŘÍLOHY</w:t>
        </w:r>
        <w:r w:rsidR="00CF2E45">
          <w:rPr>
            <w:noProof/>
            <w:webHidden/>
          </w:rPr>
          <w:tab/>
        </w:r>
        <w:r w:rsidR="00CF2E45">
          <w:rPr>
            <w:noProof/>
            <w:webHidden/>
          </w:rPr>
          <w:fldChar w:fldCharType="begin"/>
        </w:r>
        <w:r w:rsidR="00CF2E45">
          <w:rPr>
            <w:noProof/>
            <w:webHidden/>
          </w:rPr>
          <w:instrText xml:space="preserve"> PAGEREF _Toc390958730 \h </w:instrText>
        </w:r>
        <w:r w:rsidR="00CF2E45">
          <w:rPr>
            <w:noProof/>
            <w:webHidden/>
          </w:rPr>
        </w:r>
        <w:r w:rsidR="00CF2E45">
          <w:rPr>
            <w:noProof/>
            <w:webHidden/>
          </w:rPr>
          <w:fldChar w:fldCharType="separate"/>
        </w:r>
        <w:r w:rsidR="003843F3">
          <w:rPr>
            <w:noProof/>
            <w:webHidden/>
          </w:rPr>
          <w:t>207</w:t>
        </w:r>
        <w:r w:rsidR="00CF2E45">
          <w:rPr>
            <w:noProof/>
            <w:webHidden/>
          </w:rPr>
          <w:fldChar w:fldCharType="end"/>
        </w:r>
      </w:hyperlink>
    </w:p>
    <w:p w:rsidR="00225B27" w:rsidRDefault="00AC5CDF" w:rsidP="00155950">
      <w:pPr>
        <w:spacing w:line="240" w:lineRule="auto"/>
        <w:rPr>
          <w:lang w:val="en-US"/>
        </w:rPr>
      </w:pPr>
      <w:r>
        <w:rPr>
          <w:lang w:val="en-US"/>
        </w:rPr>
        <w:fldChar w:fldCharType="end"/>
      </w:r>
    </w:p>
    <w:p w:rsidR="00225B27" w:rsidRDefault="00225B27">
      <w:pPr>
        <w:rPr>
          <w:b/>
          <w:bCs/>
          <w:color w:val="000000"/>
          <w:sz w:val="32"/>
          <w:lang w:val="en-US"/>
        </w:rPr>
      </w:pPr>
      <w:r>
        <w:rPr>
          <w:lang w:val="en-US"/>
        </w:rPr>
        <w:br w:type="page"/>
      </w:r>
      <w:r>
        <w:rPr>
          <w:b/>
          <w:bCs/>
          <w:color w:val="000000"/>
          <w:sz w:val="32"/>
          <w:lang w:val="en-US"/>
        </w:rPr>
        <w:lastRenderedPageBreak/>
        <w:t>SEZNAM TABULEK</w:t>
      </w:r>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r>
        <w:fldChar w:fldCharType="begin"/>
      </w:r>
      <w:r>
        <w:instrText xml:space="preserve"> TOC \f F \h \z \c "Tab." </w:instrText>
      </w:r>
      <w:r>
        <w:fldChar w:fldCharType="separate"/>
      </w:r>
      <w:hyperlink w:anchor="_Toc391034535" w:history="1">
        <w:r w:rsidRPr="008014E5">
          <w:rPr>
            <w:rStyle w:val="Hypertextovodkaz"/>
          </w:rPr>
          <w:t>Tab. 2</w:t>
        </w:r>
        <w:r w:rsidRPr="008014E5">
          <w:rPr>
            <w:rStyle w:val="Hypertextovodkaz"/>
          </w:rPr>
          <w:noBreakHyphen/>
          <w:t>1: Schematický přehled projektových variant a Etapy</w:t>
        </w:r>
        <w:r>
          <w:rPr>
            <w:noProof/>
            <w:webHidden/>
          </w:rPr>
          <w:tab/>
        </w:r>
        <w:r>
          <w:rPr>
            <w:noProof/>
            <w:webHidden/>
          </w:rPr>
          <w:fldChar w:fldCharType="begin"/>
        </w:r>
        <w:r>
          <w:rPr>
            <w:noProof/>
            <w:webHidden/>
          </w:rPr>
          <w:instrText xml:space="preserve"> PAGEREF _Toc391034535 \h </w:instrText>
        </w:r>
        <w:r>
          <w:rPr>
            <w:noProof/>
            <w:webHidden/>
          </w:rPr>
        </w:r>
        <w:r>
          <w:rPr>
            <w:noProof/>
            <w:webHidden/>
          </w:rPr>
          <w:fldChar w:fldCharType="separate"/>
        </w:r>
        <w:r w:rsidR="003843F3">
          <w:rPr>
            <w:noProof/>
            <w:webHidden/>
          </w:rPr>
          <w:t>21</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36" w:history="1">
        <w:r w:rsidRPr="008014E5">
          <w:rPr>
            <w:rStyle w:val="Hypertextovodkaz"/>
          </w:rPr>
          <w:t>Tab. 2</w:t>
        </w:r>
        <w:r w:rsidRPr="008014E5">
          <w:rPr>
            <w:rStyle w:val="Hypertextovodkaz"/>
          </w:rPr>
          <w:noBreakHyphen/>
          <w:t>2: Charakteristika a rozsah staveb v rámci úseků pro jednotlivé varianty a Etapu</w:t>
        </w:r>
        <w:r>
          <w:rPr>
            <w:noProof/>
            <w:webHidden/>
          </w:rPr>
          <w:tab/>
        </w:r>
        <w:r>
          <w:rPr>
            <w:noProof/>
            <w:webHidden/>
          </w:rPr>
          <w:fldChar w:fldCharType="begin"/>
        </w:r>
        <w:r>
          <w:rPr>
            <w:noProof/>
            <w:webHidden/>
          </w:rPr>
          <w:instrText xml:space="preserve"> PAGEREF _Toc391034536 \h </w:instrText>
        </w:r>
        <w:r>
          <w:rPr>
            <w:noProof/>
            <w:webHidden/>
          </w:rPr>
        </w:r>
        <w:r>
          <w:rPr>
            <w:noProof/>
            <w:webHidden/>
          </w:rPr>
          <w:fldChar w:fldCharType="separate"/>
        </w:r>
        <w:r w:rsidR="003843F3">
          <w:rPr>
            <w:noProof/>
            <w:webHidden/>
          </w:rPr>
          <w:t>21</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37" w:history="1">
        <w:r w:rsidRPr="008014E5">
          <w:rPr>
            <w:rStyle w:val="Hypertextovodkaz"/>
          </w:rPr>
          <w:t>Tab. 2</w:t>
        </w:r>
        <w:r w:rsidRPr="008014E5">
          <w:rPr>
            <w:rStyle w:val="Hypertextovodkaz"/>
          </w:rPr>
          <w:noBreakHyphen/>
          <w:t>3: Investiční náklady jednotlivých úseků, variant a Etapy (v tis. Kč, CÚ 2013)</w:t>
        </w:r>
        <w:r>
          <w:rPr>
            <w:noProof/>
            <w:webHidden/>
          </w:rPr>
          <w:tab/>
        </w:r>
        <w:r>
          <w:rPr>
            <w:noProof/>
            <w:webHidden/>
          </w:rPr>
          <w:fldChar w:fldCharType="begin"/>
        </w:r>
        <w:r>
          <w:rPr>
            <w:noProof/>
            <w:webHidden/>
          </w:rPr>
          <w:instrText xml:space="preserve"> PAGEREF _Toc391034537 \h </w:instrText>
        </w:r>
        <w:r>
          <w:rPr>
            <w:noProof/>
            <w:webHidden/>
          </w:rPr>
        </w:r>
        <w:r>
          <w:rPr>
            <w:noProof/>
            <w:webHidden/>
          </w:rPr>
          <w:fldChar w:fldCharType="separate"/>
        </w:r>
        <w:r w:rsidR="003843F3">
          <w:rPr>
            <w:noProof/>
            <w:webHidden/>
          </w:rPr>
          <w:t>22</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38" w:history="1">
        <w:r w:rsidRPr="008014E5">
          <w:rPr>
            <w:rStyle w:val="Hypertextovodkaz"/>
          </w:rPr>
          <w:t>Tab. 2</w:t>
        </w:r>
        <w:r w:rsidRPr="008014E5">
          <w:rPr>
            <w:rStyle w:val="Hypertextovodkaz"/>
          </w:rPr>
          <w:noBreakHyphen/>
          <w:t>4: Závěrečné shrnutí variant – přehled halvních parametrů</w:t>
        </w:r>
        <w:r>
          <w:rPr>
            <w:noProof/>
            <w:webHidden/>
          </w:rPr>
          <w:tab/>
        </w:r>
        <w:r>
          <w:rPr>
            <w:noProof/>
            <w:webHidden/>
          </w:rPr>
          <w:fldChar w:fldCharType="begin"/>
        </w:r>
        <w:r>
          <w:rPr>
            <w:noProof/>
            <w:webHidden/>
          </w:rPr>
          <w:instrText xml:space="preserve"> PAGEREF _Toc391034538 \h </w:instrText>
        </w:r>
        <w:r>
          <w:rPr>
            <w:noProof/>
            <w:webHidden/>
          </w:rPr>
        </w:r>
        <w:r>
          <w:rPr>
            <w:noProof/>
            <w:webHidden/>
          </w:rPr>
          <w:fldChar w:fldCharType="separate"/>
        </w:r>
        <w:r w:rsidR="003843F3">
          <w:rPr>
            <w:noProof/>
            <w:webHidden/>
          </w:rPr>
          <w:t>22</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39" w:history="1">
        <w:r w:rsidRPr="008014E5">
          <w:rPr>
            <w:rStyle w:val="Hypertextovodkaz"/>
          </w:rPr>
          <w:t>Tab. 2</w:t>
        </w:r>
        <w:r w:rsidRPr="008014E5">
          <w:rPr>
            <w:rStyle w:val="Hypertextovodkaz"/>
          </w:rPr>
          <w:noBreakHyphen/>
          <w:t>5: Přehled výsledků</w:t>
        </w:r>
        <w:r>
          <w:rPr>
            <w:noProof/>
            <w:webHidden/>
          </w:rPr>
          <w:tab/>
        </w:r>
        <w:r>
          <w:rPr>
            <w:noProof/>
            <w:webHidden/>
          </w:rPr>
          <w:fldChar w:fldCharType="begin"/>
        </w:r>
        <w:r>
          <w:rPr>
            <w:noProof/>
            <w:webHidden/>
          </w:rPr>
          <w:instrText xml:space="preserve"> PAGEREF _Toc391034539 \h </w:instrText>
        </w:r>
        <w:r>
          <w:rPr>
            <w:noProof/>
            <w:webHidden/>
          </w:rPr>
        </w:r>
        <w:r>
          <w:rPr>
            <w:noProof/>
            <w:webHidden/>
          </w:rPr>
          <w:fldChar w:fldCharType="separate"/>
        </w:r>
        <w:r w:rsidR="003843F3">
          <w:rPr>
            <w:noProof/>
            <w:webHidden/>
          </w:rPr>
          <w:t>25</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40" w:history="1">
        <w:r w:rsidRPr="008014E5">
          <w:rPr>
            <w:rStyle w:val="Hypertextovodkaz"/>
          </w:rPr>
          <w:t>Tab. 3</w:t>
        </w:r>
        <w:r w:rsidRPr="008014E5">
          <w:rPr>
            <w:rStyle w:val="Hypertextovodkaz"/>
          </w:rPr>
          <w:noBreakHyphen/>
          <w:t>1: Staniční zabezpečovací zařízení - přehled</w:t>
        </w:r>
        <w:r>
          <w:rPr>
            <w:noProof/>
            <w:webHidden/>
          </w:rPr>
          <w:tab/>
        </w:r>
        <w:r>
          <w:rPr>
            <w:noProof/>
            <w:webHidden/>
          </w:rPr>
          <w:fldChar w:fldCharType="begin"/>
        </w:r>
        <w:r>
          <w:rPr>
            <w:noProof/>
            <w:webHidden/>
          </w:rPr>
          <w:instrText xml:space="preserve"> PAGEREF _Toc391034540 \h </w:instrText>
        </w:r>
        <w:r>
          <w:rPr>
            <w:noProof/>
            <w:webHidden/>
          </w:rPr>
        </w:r>
        <w:r>
          <w:rPr>
            <w:noProof/>
            <w:webHidden/>
          </w:rPr>
          <w:fldChar w:fldCharType="separate"/>
        </w:r>
        <w:r w:rsidR="003843F3">
          <w:rPr>
            <w:noProof/>
            <w:webHidden/>
          </w:rPr>
          <w:t>27</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41" w:history="1">
        <w:r w:rsidRPr="008014E5">
          <w:rPr>
            <w:rStyle w:val="Hypertextovodkaz"/>
          </w:rPr>
          <w:t>Tab. 3</w:t>
        </w:r>
        <w:r w:rsidRPr="008014E5">
          <w:rPr>
            <w:rStyle w:val="Hypertextovodkaz"/>
          </w:rPr>
          <w:noBreakHyphen/>
          <w:t>2: Traťové zabezpečovací zařízení - přehled</w:t>
        </w:r>
        <w:r>
          <w:rPr>
            <w:noProof/>
            <w:webHidden/>
          </w:rPr>
          <w:tab/>
        </w:r>
        <w:r>
          <w:rPr>
            <w:noProof/>
            <w:webHidden/>
          </w:rPr>
          <w:fldChar w:fldCharType="begin"/>
        </w:r>
        <w:r>
          <w:rPr>
            <w:noProof/>
            <w:webHidden/>
          </w:rPr>
          <w:instrText xml:space="preserve"> PAGEREF _Toc391034541 \h </w:instrText>
        </w:r>
        <w:r>
          <w:rPr>
            <w:noProof/>
            <w:webHidden/>
          </w:rPr>
        </w:r>
        <w:r>
          <w:rPr>
            <w:noProof/>
            <w:webHidden/>
          </w:rPr>
          <w:fldChar w:fldCharType="separate"/>
        </w:r>
        <w:r w:rsidR="003843F3">
          <w:rPr>
            <w:noProof/>
            <w:webHidden/>
          </w:rPr>
          <w:t>27</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42" w:history="1">
        <w:r w:rsidRPr="008014E5">
          <w:rPr>
            <w:rStyle w:val="Hypertextovodkaz"/>
          </w:rPr>
          <w:t>Tab. 3</w:t>
        </w:r>
        <w:r w:rsidRPr="008014E5">
          <w:rPr>
            <w:rStyle w:val="Hypertextovodkaz"/>
          </w:rPr>
          <w:noBreakHyphen/>
          <w:t>3: Zabezpečení přejezdů - přehled</w:t>
        </w:r>
        <w:r>
          <w:rPr>
            <w:noProof/>
            <w:webHidden/>
          </w:rPr>
          <w:tab/>
        </w:r>
        <w:r>
          <w:rPr>
            <w:noProof/>
            <w:webHidden/>
          </w:rPr>
          <w:fldChar w:fldCharType="begin"/>
        </w:r>
        <w:r>
          <w:rPr>
            <w:noProof/>
            <w:webHidden/>
          </w:rPr>
          <w:instrText xml:space="preserve"> PAGEREF _Toc391034542 \h </w:instrText>
        </w:r>
        <w:r>
          <w:rPr>
            <w:noProof/>
            <w:webHidden/>
          </w:rPr>
        </w:r>
        <w:r>
          <w:rPr>
            <w:noProof/>
            <w:webHidden/>
          </w:rPr>
          <w:fldChar w:fldCharType="separate"/>
        </w:r>
        <w:r w:rsidR="003843F3">
          <w:rPr>
            <w:noProof/>
            <w:webHidden/>
          </w:rPr>
          <w:t>28</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43" w:history="1">
        <w:r w:rsidRPr="008014E5">
          <w:rPr>
            <w:rStyle w:val="Hypertextovodkaz"/>
          </w:rPr>
          <w:t>Tab. 3</w:t>
        </w:r>
        <w:r w:rsidRPr="008014E5">
          <w:rPr>
            <w:rStyle w:val="Hypertextovodkaz"/>
          </w:rPr>
          <w:noBreakHyphen/>
          <w:t>4: Mosty – přehled</w:t>
        </w:r>
        <w:r>
          <w:rPr>
            <w:noProof/>
            <w:webHidden/>
          </w:rPr>
          <w:tab/>
        </w:r>
        <w:r>
          <w:rPr>
            <w:noProof/>
            <w:webHidden/>
          </w:rPr>
          <w:fldChar w:fldCharType="begin"/>
        </w:r>
        <w:r>
          <w:rPr>
            <w:noProof/>
            <w:webHidden/>
          </w:rPr>
          <w:instrText xml:space="preserve"> PAGEREF _Toc391034543 \h </w:instrText>
        </w:r>
        <w:r>
          <w:rPr>
            <w:noProof/>
            <w:webHidden/>
          </w:rPr>
        </w:r>
        <w:r>
          <w:rPr>
            <w:noProof/>
            <w:webHidden/>
          </w:rPr>
          <w:fldChar w:fldCharType="separate"/>
        </w:r>
        <w:r w:rsidR="003843F3">
          <w:rPr>
            <w:noProof/>
            <w:webHidden/>
          </w:rPr>
          <w:t>31</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44" w:history="1">
        <w:r w:rsidRPr="008014E5">
          <w:rPr>
            <w:rStyle w:val="Hypertextovodkaz"/>
          </w:rPr>
          <w:t>Tab. 3</w:t>
        </w:r>
        <w:r w:rsidRPr="008014E5">
          <w:rPr>
            <w:rStyle w:val="Hypertextovodkaz"/>
          </w:rPr>
          <w:noBreakHyphen/>
          <w:t>5: Propustky – přehled</w:t>
        </w:r>
        <w:r>
          <w:rPr>
            <w:noProof/>
            <w:webHidden/>
          </w:rPr>
          <w:tab/>
        </w:r>
        <w:r>
          <w:rPr>
            <w:noProof/>
            <w:webHidden/>
          </w:rPr>
          <w:fldChar w:fldCharType="begin"/>
        </w:r>
        <w:r>
          <w:rPr>
            <w:noProof/>
            <w:webHidden/>
          </w:rPr>
          <w:instrText xml:space="preserve"> PAGEREF _Toc391034544 \h </w:instrText>
        </w:r>
        <w:r>
          <w:rPr>
            <w:noProof/>
            <w:webHidden/>
          </w:rPr>
        </w:r>
        <w:r>
          <w:rPr>
            <w:noProof/>
            <w:webHidden/>
          </w:rPr>
          <w:fldChar w:fldCharType="separate"/>
        </w:r>
        <w:r w:rsidR="003843F3">
          <w:rPr>
            <w:noProof/>
            <w:webHidden/>
          </w:rPr>
          <w:t>32</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45" w:history="1">
        <w:r w:rsidRPr="008014E5">
          <w:rPr>
            <w:rStyle w:val="Hypertextovodkaz"/>
          </w:rPr>
          <w:t>Tab. 3</w:t>
        </w:r>
        <w:r w:rsidRPr="008014E5">
          <w:rPr>
            <w:rStyle w:val="Hypertextovodkaz"/>
          </w:rPr>
          <w:noBreakHyphen/>
          <w:t>6: Rozdělení nákladů na opravy v letech 2014 – 2023 (varianta Bez projektu)</w:t>
        </w:r>
        <w:r>
          <w:rPr>
            <w:noProof/>
            <w:webHidden/>
          </w:rPr>
          <w:tab/>
        </w:r>
        <w:r>
          <w:rPr>
            <w:noProof/>
            <w:webHidden/>
          </w:rPr>
          <w:fldChar w:fldCharType="begin"/>
        </w:r>
        <w:r>
          <w:rPr>
            <w:noProof/>
            <w:webHidden/>
          </w:rPr>
          <w:instrText xml:space="preserve"> PAGEREF _Toc391034545 \h </w:instrText>
        </w:r>
        <w:r>
          <w:rPr>
            <w:noProof/>
            <w:webHidden/>
          </w:rPr>
        </w:r>
        <w:r>
          <w:rPr>
            <w:noProof/>
            <w:webHidden/>
          </w:rPr>
          <w:fldChar w:fldCharType="separate"/>
        </w:r>
        <w:r w:rsidR="003843F3">
          <w:rPr>
            <w:noProof/>
            <w:webHidden/>
          </w:rPr>
          <w:t>39</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46" w:history="1">
        <w:r w:rsidRPr="008014E5">
          <w:rPr>
            <w:rStyle w:val="Hypertextovodkaz"/>
          </w:rPr>
          <w:t>Tab. 3</w:t>
        </w:r>
        <w:r w:rsidRPr="008014E5">
          <w:rPr>
            <w:rStyle w:val="Hypertextovodkaz"/>
          </w:rPr>
          <w:noBreakHyphen/>
          <w:t>7: Rozdělení nákladů na opravy v letech 2024 – 2033 (varianta Bez projektu)</w:t>
        </w:r>
        <w:r>
          <w:rPr>
            <w:noProof/>
            <w:webHidden/>
          </w:rPr>
          <w:tab/>
        </w:r>
        <w:r>
          <w:rPr>
            <w:noProof/>
            <w:webHidden/>
          </w:rPr>
          <w:fldChar w:fldCharType="begin"/>
        </w:r>
        <w:r>
          <w:rPr>
            <w:noProof/>
            <w:webHidden/>
          </w:rPr>
          <w:instrText xml:space="preserve"> PAGEREF _Toc391034546 \h </w:instrText>
        </w:r>
        <w:r>
          <w:rPr>
            <w:noProof/>
            <w:webHidden/>
          </w:rPr>
        </w:r>
        <w:r>
          <w:rPr>
            <w:noProof/>
            <w:webHidden/>
          </w:rPr>
          <w:fldChar w:fldCharType="separate"/>
        </w:r>
        <w:r w:rsidR="003843F3">
          <w:rPr>
            <w:noProof/>
            <w:webHidden/>
          </w:rPr>
          <w:t>39</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47" w:history="1">
        <w:r w:rsidRPr="008014E5">
          <w:rPr>
            <w:rStyle w:val="Hypertextovodkaz"/>
          </w:rPr>
          <w:t>Tab. 3</w:t>
        </w:r>
        <w:r w:rsidRPr="008014E5">
          <w:rPr>
            <w:rStyle w:val="Hypertextovodkaz"/>
          </w:rPr>
          <w:noBreakHyphen/>
          <w:t>8: Rozdělení nákladů na opravy v letech 2034 – 2043 (varianta Bez projektu)</w:t>
        </w:r>
        <w:r>
          <w:rPr>
            <w:noProof/>
            <w:webHidden/>
          </w:rPr>
          <w:tab/>
        </w:r>
        <w:r>
          <w:rPr>
            <w:noProof/>
            <w:webHidden/>
          </w:rPr>
          <w:fldChar w:fldCharType="begin"/>
        </w:r>
        <w:r>
          <w:rPr>
            <w:noProof/>
            <w:webHidden/>
          </w:rPr>
          <w:instrText xml:space="preserve"> PAGEREF _Toc391034547 \h </w:instrText>
        </w:r>
        <w:r>
          <w:rPr>
            <w:noProof/>
            <w:webHidden/>
          </w:rPr>
        </w:r>
        <w:r>
          <w:rPr>
            <w:noProof/>
            <w:webHidden/>
          </w:rPr>
          <w:fldChar w:fldCharType="separate"/>
        </w:r>
        <w:r w:rsidR="003843F3">
          <w:rPr>
            <w:noProof/>
            <w:webHidden/>
          </w:rPr>
          <w:t>39</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48" w:history="1">
        <w:r w:rsidRPr="008014E5">
          <w:rPr>
            <w:rStyle w:val="Hypertextovodkaz"/>
          </w:rPr>
          <w:t>Tab. 3</w:t>
        </w:r>
        <w:r w:rsidRPr="008014E5">
          <w:rPr>
            <w:rStyle w:val="Hypertextovodkaz"/>
          </w:rPr>
          <w:noBreakHyphen/>
          <w:t>9: Rozpis</w:t>
        </w:r>
        <w:r w:rsidRPr="008014E5">
          <w:rPr>
            <w:rStyle w:val="Hypertextovodkaz"/>
            <w:rFonts w:ascii="Arial" w:hAnsi="Arial" w:cs="Arial"/>
            <w:bCs/>
            <w:lang w:eastAsia="cs-CZ"/>
          </w:rPr>
          <w:t xml:space="preserve"> nákladů realizace varianty Minimální [mil. Kč]</w:t>
        </w:r>
        <w:r>
          <w:rPr>
            <w:noProof/>
            <w:webHidden/>
          </w:rPr>
          <w:tab/>
        </w:r>
        <w:r>
          <w:rPr>
            <w:noProof/>
            <w:webHidden/>
          </w:rPr>
          <w:fldChar w:fldCharType="begin"/>
        </w:r>
        <w:r>
          <w:rPr>
            <w:noProof/>
            <w:webHidden/>
          </w:rPr>
          <w:instrText xml:space="preserve"> PAGEREF _Toc391034548 \h </w:instrText>
        </w:r>
        <w:r>
          <w:rPr>
            <w:noProof/>
            <w:webHidden/>
          </w:rPr>
        </w:r>
        <w:r>
          <w:rPr>
            <w:noProof/>
            <w:webHidden/>
          </w:rPr>
          <w:fldChar w:fldCharType="separate"/>
        </w:r>
        <w:r w:rsidR="003843F3">
          <w:rPr>
            <w:noProof/>
            <w:webHidden/>
          </w:rPr>
          <w:t>46</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49" w:history="1">
        <w:r w:rsidRPr="008014E5">
          <w:rPr>
            <w:rStyle w:val="Hypertextovodkaz"/>
          </w:rPr>
          <w:t>Tab. 3</w:t>
        </w:r>
        <w:r w:rsidRPr="008014E5">
          <w:rPr>
            <w:rStyle w:val="Hypertextovodkaz"/>
          </w:rPr>
          <w:noBreakHyphen/>
          <w:t>10: Rozpis nákladů realizace Etapy [mil. Kč]</w:t>
        </w:r>
        <w:r>
          <w:rPr>
            <w:noProof/>
            <w:webHidden/>
          </w:rPr>
          <w:tab/>
        </w:r>
        <w:r>
          <w:rPr>
            <w:noProof/>
            <w:webHidden/>
          </w:rPr>
          <w:fldChar w:fldCharType="begin"/>
        </w:r>
        <w:r>
          <w:rPr>
            <w:noProof/>
            <w:webHidden/>
          </w:rPr>
          <w:instrText xml:space="preserve"> PAGEREF _Toc391034549 \h </w:instrText>
        </w:r>
        <w:r>
          <w:rPr>
            <w:noProof/>
            <w:webHidden/>
          </w:rPr>
        </w:r>
        <w:r>
          <w:rPr>
            <w:noProof/>
            <w:webHidden/>
          </w:rPr>
          <w:fldChar w:fldCharType="separate"/>
        </w:r>
        <w:r w:rsidR="003843F3">
          <w:rPr>
            <w:noProof/>
            <w:webHidden/>
          </w:rPr>
          <w:t>52</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50" w:history="1">
        <w:r w:rsidRPr="008014E5">
          <w:rPr>
            <w:rStyle w:val="Hypertextovodkaz"/>
          </w:rPr>
          <w:t>Tab. 3</w:t>
        </w:r>
        <w:r w:rsidRPr="008014E5">
          <w:rPr>
            <w:rStyle w:val="Hypertextovodkaz"/>
          </w:rPr>
          <w:noBreakHyphen/>
          <w:t>11: Rozpis</w:t>
        </w:r>
        <w:r w:rsidRPr="008014E5">
          <w:rPr>
            <w:rStyle w:val="Hypertextovodkaz"/>
            <w:bCs/>
            <w:lang w:eastAsia="cs-CZ"/>
          </w:rPr>
          <w:t xml:space="preserve"> nákladů realizace varianty Maximální [mil. Kč]</w:t>
        </w:r>
        <w:r>
          <w:rPr>
            <w:noProof/>
            <w:webHidden/>
          </w:rPr>
          <w:tab/>
        </w:r>
        <w:r>
          <w:rPr>
            <w:noProof/>
            <w:webHidden/>
          </w:rPr>
          <w:fldChar w:fldCharType="begin"/>
        </w:r>
        <w:r>
          <w:rPr>
            <w:noProof/>
            <w:webHidden/>
          </w:rPr>
          <w:instrText xml:space="preserve"> PAGEREF _Toc391034550 \h </w:instrText>
        </w:r>
        <w:r>
          <w:rPr>
            <w:noProof/>
            <w:webHidden/>
          </w:rPr>
        </w:r>
        <w:r>
          <w:rPr>
            <w:noProof/>
            <w:webHidden/>
          </w:rPr>
          <w:fldChar w:fldCharType="separate"/>
        </w:r>
        <w:r w:rsidR="003843F3">
          <w:rPr>
            <w:noProof/>
            <w:webHidden/>
          </w:rPr>
          <w:t>58</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51" w:history="1">
        <w:r w:rsidRPr="008014E5">
          <w:rPr>
            <w:rStyle w:val="Hypertextovodkaz"/>
          </w:rPr>
          <w:t>Tab. 3</w:t>
        </w:r>
        <w:r w:rsidRPr="008014E5">
          <w:rPr>
            <w:rStyle w:val="Hypertextovodkaz"/>
          </w:rPr>
          <w:noBreakHyphen/>
          <w:t>12: Přehled kategorií tratí dle TSI INF</w:t>
        </w:r>
        <w:r>
          <w:rPr>
            <w:noProof/>
            <w:webHidden/>
          </w:rPr>
          <w:tab/>
        </w:r>
        <w:r>
          <w:rPr>
            <w:noProof/>
            <w:webHidden/>
          </w:rPr>
          <w:fldChar w:fldCharType="begin"/>
        </w:r>
        <w:r>
          <w:rPr>
            <w:noProof/>
            <w:webHidden/>
          </w:rPr>
          <w:instrText xml:space="preserve"> PAGEREF _Toc391034551 \h </w:instrText>
        </w:r>
        <w:r>
          <w:rPr>
            <w:noProof/>
            <w:webHidden/>
          </w:rPr>
        </w:r>
        <w:r>
          <w:rPr>
            <w:noProof/>
            <w:webHidden/>
          </w:rPr>
          <w:fldChar w:fldCharType="separate"/>
        </w:r>
        <w:r w:rsidR="003843F3">
          <w:rPr>
            <w:noProof/>
            <w:webHidden/>
          </w:rPr>
          <w:t>61</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52" w:history="1">
        <w:r w:rsidRPr="008014E5">
          <w:rPr>
            <w:rStyle w:val="Hypertextovodkaz"/>
          </w:rPr>
          <w:t>Tab. 3</w:t>
        </w:r>
        <w:r w:rsidRPr="008014E5">
          <w:rPr>
            <w:rStyle w:val="Hypertextovodkaz"/>
          </w:rPr>
          <w:noBreakHyphen/>
          <w:t>13: Základní technické parametry tratě Pardubice hl. n. – Hradec Králové hl. n. dle TSI INF</w:t>
        </w:r>
        <w:r>
          <w:rPr>
            <w:noProof/>
            <w:webHidden/>
          </w:rPr>
          <w:tab/>
        </w:r>
        <w:r>
          <w:rPr>
            <w:noProof/>
            <w:webHidden/>
          </w:rPr>
          <w:fldChar w:fldCharType="begin"/>
        </w:r>
        <w:r>
          <w:rPr>
            <w:noProof/>
            <w:webHidden/>
          </w:rPr>
          <w:instrText xml:space="preserve"> PAGEREF _Toc391034552 \h </w:instrText>
        </w:r>
        <w:r>
          <w:rPr>
            <w:noProof/>
            <w:webHidden/>
          </w:rPr>
        </w:r>
        <w:r>
          <w:rPr>
            <w:noProof/>
            <w:webHidden/>
          </w:rPr>
          <w:fldChar w:fldCharType="separate"/>
        </w:r>
        <w:r w:rsidR="003843F3">
          <w:rPr>
            <w:noProof/>
            <w:webHidden/>
          </w:rPr>
          <w:t>62</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53" w:history="1">
        <w:r w:rsidRPr="008014E5">
          <w:rPr>
            <w:rStyle w:val="Hypertextovodkaz"/>
          </w:rPr>
          <w:t>Tab. 3</w:t>
        </w:r>
        <w:r w:rsidRPr="008014E5">
          <w:rPr>
            <w:rStyle w:val="Hypertextovodkaz"/>
          </w:rPr>
          <w:noBreakHyphen/>
          <w:t>14: Prostorové uspořádání trati (A)</w:t>
        </w:r>
        <w:r>
          <w:rPr>
            <w:noProof/>
            <w:webHidden/>
          </w:rPr>
          <w:tab/>
        </w:r>
        <w:r>
          <w:rPr>
            <w:noProof/>
            <w:webHidden/>
          </w:rPr>
          <w:fldChar w:fldCharType="begin"/>
        </w:r>
        <w:r>
          <w:rPr>
            <w:noProof/>
            <w:webHidden/>
          </w:rPr>
          <w:instrText xml:space="preserve"> PAGEREF _Toc391034553 \h </w:instrText>
        </w:r>
        <w:r>
          <w:rPr>
            <w:noProof/>
            <w:webHidden/>
          </w:rPr>
        </w:r>
        <w:r>
          <w:rPr>
            <w:noProof/>
            <w:webHidden/>
          </w:rPr>
          <w:fldChar w:fldCharType="separate"/>
        </w:r>
        <w:r w:rsidR="003843F3">
          <w:rPr>
            <w:noProof/>
            <w:webHidden/>
          </w:rPr>
          <w:t>62</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54" w:history="1">
        <w:r w:rsidRPr="008014E5">
          <w:rPr>
            <w:rStyle w:val="Hypertextovodkaz"/>
          </w:rPr>
          <w:t>Tab. 3</w:t>
        </w:r>
        <w:r w:rsidRPr="008014E5">
          <w:rPr>
            <w:rStyle w:val="Hypertextovodkaz"/>
          </w:rPr>
          <w:noBreakHyphen/>
          <w:t>15: Parametry koleje (B)</w:t>
        </w:r>
        <w:r>
          <w:rPr>
            <w:noProof/>
            <w:webHidden/>
          </w:rPr>
          <w:tab/>
        </w:r>
        <w:r>
          <w:rPr>
            <w:noProof/>
            <w:webHidden/>
          </w:rPr>
          <w:fldChar w:fldCharType="begin"/>
        </w:r>
        <w:r>
          <w:rPr>
            <w:noProof/>
            <w:webHidden/>
          </w:rPr>
          <w:instrText xml:space="preserve"> PAGEREF _Toc391034554 \h </w:instrText>
        </w:r>
        <w:r>
          <w:rPr>
            <w:noProof/>
            <w:webHidden/>
          </w:rPr>
        </w:r>
        <w:r>
          <w:rPr>
            <w:noProof/>
            <w:webHidden/>
          </w:rPr>
          <w:fldChar w:fldCharType="separate"/>
        </w:r>
        <w:r w:rsidR="003843F3">
          <w:rPr>
            <w:noProof/>
            <w:webHidden/>
          </w:rPr>
          <w:t>63</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55" w:history="1">
        <w:r w:rsidRPr="008014E5">
          <w:rPr>
            <w:rStyle w:val="Hypertextovodkaz"/>
          </w:rPr>
          <w:t>Tab. 3</w:t>
        </w:r>
        <w:r w:rsidRPr="008014E5">
          <w:rPr>
            <w:rStyle w:val="Hypertextovodkaz"/>
          </w:rPr>
          <w:noBreakHyphen/>
          <w:t>16: Parametry nástupišť (G)</w:t>
        </w:r>
        <w:r>
          <w:rPr>
            <w:noProof/>
            <w:webHidden/>
          </w:rPr>
          <w:tab/>
        </w:r>
        <w:r>
          <w:rPr>
            <w:noProof/>
            <w:webHidden/>
          </w:rPr>
          <w:fldChar w:fldCharType="begin"/>
        </w:r>
        <w:r>
          <w:rPr>
            <w:noProof/>
            <w:webHidden/>
          </w:rPr>
          <w:instrText xml:space="preserve"> PAGEREF _Toc391034555 \h </w:instrText>
        </w:r>
        <w:r>
          <w:rPr>
            <w:noProof/>
            <w:webHidden/>
          </w:rPr>
        </w:r>
        <w:r>
          <w:rPr>
            <w:noProof/>
            <w:webHidden/>
          </w:rPr>
          <w:fldChar w:fldCharType="separate"/>
        </w:r>
        <w:r w:rsidR="003843F3">
          <w:rPr>
            <w:noProof/>
            <w:webHidden/>
          </w:rPr>
          <w:t>64</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56" w:history="1">
        <w:r w:rsidRPr="008014E5">
          <w:rPr>
            <w:rStyle w:val="Hypertextovodkaz"/>
          </w:rPr>
          <w:t>Tab. 4</w:t>
        </w:r>
        <w:r w:rsidRPr="008014E5">
          <w:rPr>
            <w:rStyle w:val="Hypertextovodkaz"/>
          </w:rPr>
          <w:noBreakHyphen/>
          <w:t>1: Přehled vlaků osobní dopravy v sudém směru (Pardubice hl. n. – Hradec Králové hl. n.)</w:t>
        </w:r>
        <w:r>
          <w:rPr>
            <w:noProof/>
            <w:webHidden/>
          </w:rPr>
          <w:tab/>
        </w:r>
        <w:r>
          <w:rPr>
            <w:noProof/>
            <w:webHidden/>
          </w:rPr>
          <w:fldChar w:fldCharType="begin"/>
        </w:r>
        <w:r>
          <w:rPr>
            <w:noProof/>
            <w:webHidden/>
          </w:rPr>
          <w:instrText xml:space="preserve"> PAGEREF _Toc391034556 \h </w:instrText>
        </w:r>
        <w:r>
          <w:rPr>
            <w:noProof/>
            <w:webHidden/>
          </w:rPr>
        </w:r>
        <w:r>
          <w:rPr>
            <w:noProof/>
            <w:webHidden/>
          </w:rPr>
          <w:fldChar w:fldCharType="separate"/>
        </w:r>
        <w:r w:rsidR="003843F3">
          <w:rPr>
            <w:noProof/>
            <w:webHidden/>
          </w:rPr>
          <w:t>66</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57" w:history="1">
        <w:r w:rsidRPr="008014E5">
          <w:rPr>
            <w:rStyle w:val="Hypertextovodkaz"/>
          </w:rPr>
          <w:t>Tab. 4</w:t>
        </w:r>
        <w:r w:rsidRPr="008014E5">
          <w:rPr>
            <w:rStyle w:val="Hypertextovodkaz"/>
          </w:rPr>
          <w:noBreakHyphen/>
          <w:t>2: Přehled vlaků osobní dopravy v lichém směru (Hradec Králové hl. n. – Pardubice hl. n.)</w:t>
        </w:r>
        <w:r>
          <w:rPr>
            <w:noProof/>
            <w:webHidden/>
          </w:rPr>
          <w:tab/>
        </w:r>
        <w:r>
          <w:rPr>
            <w:noProof/>
            <w:webHidden/>
          </w:rPr>
          <w:fldChar w:fldCharType="begin"/>
        </w:r>
        <w:r>
          <w:rPr>
            <w:noProof/>
            <w:webHidden/>
          </w:rPr>
          <w:instrText xml:space="preserve"> PAGEREF _Toc391034557 \h </w:instrText>
        </w:r>
        <w:r>
          <w:rPr>
            <w:noProof/>
            <w:webHidden/>
          </w:rPr>
        </w:r>
        <w:r>
          <w:rPr>
            <w:noProof/>
            <w:webHidden/>
          </w:rPr>
          <w:fldChar w:fldCharType="separate"/>
        </w:r>
        <w:r w:rsidR="003843F3">
          <w:rPr>
            <w:noProof/>
            <w:webHidden/>
          </w:rPr>
          <w:t>67</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58" w:history="1">
        <w:r w:rsidRPr="008014E5">
          <w:rPr>
            <w:rStyle w:val="Hypertextovodkaz"/>
          </w:rPr>
          <w:t>Tab. 4</w:t>
        </w:r>
        <w:r w:rsidRPr="008014E5">
          <w:rPr>
            <w:rStyle w:val="Hypertextovodkaz"/>
          </w:rPr>
          <w:noBreakHyphen/>
          <w:t>3: Výhledový počet párů vlaků osobní dopravy –  Etapa</w:t>
        </w:r>
        <w:r>
          <w:rPr>
            <w:noProof/>
            <w:webHidden/>
          </w:rPr>
          <w:tab/>
        </w:r>
        <w:r>
          <w:rPr>
            <w:noProof/>
            <w:webHidden/>
          </w:rPr>
          <w:fldChar w:fldCharType="begin"/>
        </w:r>
        <w:r>
          <w:rPr>
            <w:noProof/>
            <w:webHidden/>
          </w:rPr>
          <w:instrText xml:space="preserve"> PAGEREF _Toc391034558 \h </w:instrText>
        </w:r>
        <w:r>
          <w:rPr>
            <w:noProof/>
            <w:webHidden/>
          </w:rPr>
        </w:r>
        <w:r>
          <w:rPr>
            <w:noProof/>
            <w:webHidden/>
          </w:rPr>
          <w:fldChar w:fldCharType="separate"/>
        </w:r>
        <w:r w:rsidR="003843F3">
          <w:rPr>
            <w:noProof/>
            <w:webHidden/>
          </w:rPr>
          <w:t>69</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59" w:history="1">
        <w:r w:rsidRPr="008014E5">
          <w:rPr>
            <w:rStyle w:val="Hypertextovodkaz"/>
          </w:rPr>
          <w:t>Tab. 4</w:t>
        </w:r>
        <w:r w:rsidRPr="008014E5">
          <w:rPr>
            <w:rStyle w:val="Hypertextovodkaz"/>
          </w:rPr>
          <w:noBreakHyphen/>
          <w:t>4: Výhledový počet párů vlaků osobní dopravy – projektová varianta Maximální</w:t>
        </w:r>
        <w:r>
          <w:rPr>
            <w:noProof/>
            <w:webHidden/>
          </w:rPr>
          <w:tab/>
        </w:r>
        <w:r>
          <w:rPr>
            <w:noProof/>
            <w:webHidden/>
          </w:rPr>
          <w:fldChar w:fldCharType="begin"/>
        </w:r>
        <w:r>
          <w:rPr>
            <w:noProof/>
            <w:webHidden/>
          </w:rPr>
          <w:instrText xml:space="preserve"> PAGEREF _Toc391034559 \h </w:instrText>
        </w:r>
        <w:r>
          <w:rPr>
            <w:noProof/>
            <w:webHidden/>
          </w:rPr>
        </w:r>
        <w:r>
          <w:rPr>
            <w:noProof/>
            <w:webHidden/>
          </w:rPr>
          <w:fldChar w:fldCharType="separate"/>
        </w:r>
        <w:r w:rsidR="003843F3">
          <w:rPr>
            <w:noProof/>
            <w:webHidden/>
          </w:rPr>
          <w:t>69</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60" w:history="1">
        <w:r w:rsidRPr="008014E5">
          <w:rPr>
            <w:rStyle w:val="Hypertextovodkaz"/>
          </w:rPr>
          <w:t>Tab. 4</w:t>
        </w:r>
        <w:r w:rsidRPr="008014E5">
          <w:rPr>
            <w:rStyle w:val="Hypertextovodkaz"/>
          </w:rPr>
          <w:noBreakHyphen/>
          <w:t>5: Přehled nákladních vlaků podle úseků a účelu</w:t>
        </w:r>
        <w:r>
          <w:rPr>
            <w:noProof/>
            <w:webHidden/>
          </w:rPr>
          <w:tab/>
        </w:r>
        <w:r>
          <w:rPr>
            <w:noProof/>
            <w:webHidden/>
          </w:rPr>
          <w:fldChar w:fldCharType="begin"/>
        </w:r>
        <w:r>
          <w:rPr>
            <w:noProof/>
            <w:webHidden/>
          </w:rPr>
          <w:instrText xml:space="preserve"> PAGEREF _Toc391034560 \h </w:instrText>
        </w:r>
        <w:r>
          <w:rPr>
            <w:noProof/>
            <w:webHidden/>
          </w:rPr>
        </w:r>
        <w:r>
          <w:rPr>
            <w:noProof/>
            <w:webHidden/>
          </w:rPr>
          <w:fldChar w:fldCharType="separate"/>
        </w:r>
        <w:r w:rsidR="003843F3">
          <w:rPr>
            <w:noProof/>
            <w:webHidden/>
          </w:rPr>
          <w:t>70</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61" w:history="1">
        <w:r w:rsidRPr="008014E5">
          <w:rPr>
            <w:rStyle w:val="Hypertextovodkaz"/>
          </w:rPr>
          <w:t>Tab. 4</w:t>
        </w:r>
        <w:r w:rsidRPr="008014E5">
          <w:rPr>
            <w:rStyle w:val="Hypertextovodkaz"/>
          </w:rPr>
          <w:noBreakHyphen/>
          <w:t>6: Přehled nakládky 2008-2011</w:t>
        </w:r>
        <w:r>
          <w:rPr>
            <w:noProof/>
            <w:webHidden/>
          </w:rPr>
          <w:tab/>
        </w:r>
        <w:r>
          <w:rPr>
            <w:noProof/>
            <w:webHidden/>
          </w:rPr>
          <w:fldChar w:fldCharType="begin"/>
        </w:r>
        <w:r>
          <w:rPr>
            <w:noProof/>
            <w:webHidden/>
          </w:rPr>
          <w:instrText xml:space="preserve"> PAGEREF _Toc391034561 \h </w:instrText>
        </w:r>
        <w:r>
          <w:rPr>
            <w:noProof/>
            <w:webHidden/>
          </w:rPr>
        </w:r>
        <w:r>
          <w:rPr>
            <w:noProof/>
            <w:webHidden/>
          </w:rPr>
          <w:fldChar w:fldCharType="separate"/>
        </w:r>
        <w:r w:rsidR="003843F3">
          <w:rPr>
            <w:noProof/>
            <w:webHidden/>
          </w:rPr>
          <w:t>70</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62" w:history="1">
        <w:r w:rsidRPr="008014E5">
          <w:rPr>
            <w:rStyle w:val="Hypertextovodkaz"/>
          </w:rPr>
          <w:t>Tab. 4</w:t>
        </w:r>
        <w:r w:rsidRPr="008014E5">
          <w:rPr>
            <w:rStyle w:val="Hypertextovodkaz"/>
          </w:rPr>
          <w:noBreakHyphen/>
          <w:t>7: Přehled vykládky 2008-2011</w:t>
        </w:r>
        <w:r>
          <w:rPr>
            <w:noProof/>
            <w:webHidden/>
          </w:rPr>
          <w:tab/>
        </w:r>
        <w:r>
          <w:rPr>
            <w:noProof/>
            <w:webHidden/>
          </w:rPr>
          <w:fldChar w:fldCharType="begin"/>
        </w:r>
        <w:r>
          <w:rPr>
            <w:noProof/>
            <w:webHidden/>
          </w:rPr>
          <w:instrText xml:space="preserve"> PAGEREF _Toc391034562 \h </w:instrText>
        </w:r>
        <w:r>
          <w:rPr>
            <w:noProof/>
            <w:webHidden/>
          </w:rPr>
        </w:r>
        <w:r>
          <w:rPr>
            <w:noProof/>
            <w:webHidden/>
          </w:rPr>
          <w:fldChar w:fldCharType="separate"/>
        </w:r>
        <w:r w:rsidR="003843F3">
          <w:rPr>
            <w:noProof/>
            <w:webHidden/>
          </w:rPr>
          <w:t>71</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63" w:history="1">
        <w:r w:rsidRPr="008014E5">
          <w:rPr>
            <w:rStyle w:val="Hypertextovodkaz"/>
          </w:rPr>
          <w:t>Tab. 4</w:t>
        </w:r>
        <w:r w:rsidRPr="008014E5">
          <w:rPr>
            <w:rStyle w:val="Hypertextovodkaz"/>
          </w:rPr>
          <w:noBreakHyphen/>
          <w:t>8: Parametry souprav k výpočtu jízdních dob (SP VlaDyka v. 1.12.3)</w:t>
        </w:r>
        <w:r>
          <w:rPr>
            <w:noProof/>
            <w:webHidden/>
          </w:rPr>
          <w:tab/>
        </w:r>
        <w:r>
          <w:rPr>
            <w:noProof/>
            <w:webHidden/>
          </w:rPr>
          <w:fldChar w:fldCharType="begin"/>
        </w:r>
        <w:r>
          <w:rPr>
            <w:noProof/>
            <w:webHidden/>
          </w:rPr>
          <w:instrText xml:space="preserve"> PAGEREF _Toc391034563 \h </w:instrText>
        </w:r>
        <w:r>
          <w:rPr>
            <w:noProof/>
            <w:webHidden/>
          </w:rPr>
        </w:r>
        <w:r>
          <w:rPr>
            <w:noProof/>
            <w:webHidden/>
          </w:rPr>
          <w:fldChar w:fldCharType="separate"/>
        </w:r>
        <w:r w:rsidR="003843F3">
          <w:rPr>
            <w:noProof/>
            <w:webHidden/>
          </w:rPr>
          <w:t>73</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64" w:history="1">
        <w:r w:rsidRPr="008014E5">
          <w:rPr>
            <w:rStyle w:val="Hypertextovodkaz"/>
          </w:rPr>
          <w:t>Tab. 4</w:t>
        </w:r>
        <w:r w:rsidRPr="008014E5">
          <w:rPr>
            <w:rStyle w:val="Hypertextovodkaz"/>
          </w:rPr>
          <w:noBreakHyphen/>
          <w:t>9: Jízdní doby v úseku Pardubice hl. nádr. – Hradec Králové hl. nádr., současný stav</w:t>
        </w:r>
        <w:r>
          <w:rPr>
            <w:noProof/>
            <w:webHidden/>
          </w:rPr>
          <w:tab/>
        </w:r>
        <w:r>
          <w:rPr>
            <w:noProof/>
            <w:webHidden/>
          </w:rPr>
          <w:fldChar w:fldCharType="begin"/>
        </w:r>
        <w:r>
          <w:rPr>
            <w:noProof/>
            <w:webHidden/>
          </w:rPr>
          <w:instrText xml:space="preserve"> PAGEREF _Toc391034564 \h </w:instrText>
        </w:r>
        <w:r>
          <w:rPr>
            <w:noProof/>
            <w:webHidden/>
          </w:rPr>
        </w:r>
        <w:r>
          <w:rPr>
            <w:noProof/>
            <w:webHidden/>
          </w:rPr>
          <w:fldChar w:fldCharType="separate"/>
        </w:r>
        <w:r w:rsidR="003843F3">
          <w:rPr>
            <w:noProof/>
            <w:webHidden/>
          </w:rPr>
          <w:t>73</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65" w:history="1">
        <w:r w:rsidRPr="008014E5">
          <w:rPr>
            <w:rStyle w:val="Hypertextovodkaz"/>
          </w:rPr>
          <w:t>Tab. 4</w:t>
        </w:r>
        <w:r w:rsidRPr="008014E5">
          <w:rPr>
            <w:rStyle w:val="Hypertextovodkaz"/>
          </w:rPr>
          <w:noBreakHyphen/>
          <w:t>10: Jízdní doby v úseku Pardubice hl. n. – Hradec Králové hl. n., var. proj. Minimální</w:t>
        </w:r>
        <w:r>
          <w:rPr>
            <w:noProof/>
            <w:webHidden/>
          </w:rPr>
          <w:tab/>
        </w:r>
        <w:r>
          <w:rPr>
            <w:noProof/>
            <w:webHidden/>
          </w:rPr>
          <w:fldChar w:fldCharType="begin"/>
        </w:r>
        <w:r>
          <w:rPr>
            <w:noProof/>
            <w:webHidden/>
          </w:rPr>
          <w:instrText xml:space="preserve"> PAGEREF _Toc391034565 \h </w:instrText>
        </w:r>
        <w:r>
          <w:rPr>
            <w:noProof/>
            <w:webHidden/>
          </w:rPr>
        </w:r>
        <w:r>
          <w:rPr>
            <w:noProof/>
            <w:webHidden/>
          </w:rPr>
          <w:fldChar w:fldCharType="separate"/>
        </w:r>
        <w:r w:rsidR="003843F3">
          <w:rPr>
            <w:noProof/>
            <w:webHidden/>
          </w:rPr>
          <w:t>74</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66" w:history="1">
        <w:r w:rsidRPr="008014E5">
          <w:rPr>
            <w:rStyle w:val="Hypertextovodkaz"/>
          </w:rPr>
          <w:t>Tab. 4</w:t>
        </w:r>
        <w:r w:rsidRPr="008014E5">
          <w:rPr>
            <w:rStyle w:val="Hypertextovodkaz"/>
          </w:rPr>
          <w:noBreakHyphen/>
          <w:t>11: Jízdní doby v úseku Pardubice hl. n. – Hradec Králové hl. n., Etapa</w:t>
        </w:r>
        <w:r>
          <w:rPr>
            <w:noProof/>
            <w:webHidden/>
          </w:rPr>
          <w:tab/>
        </w:r>
        <w:r>
          <w:rPr>
            <w:noProof/>
            <w:webHidden/>
          </w:rPr>
          <w:fldChar w:fldCharType="begin"/>
        </w:r>
        <w:r>
          <w:rPr>
            <w:noProof/>
            <w:webHidden/>
          </w:rPr>
          <w:instrText xml:space="preserve"> PAGEREF _Toc391034566 \h </w:instrText>
        </w:r>
        <w:r>
          <w:rPr>
            <w:noProof/>
            <w:webHidden/>
          </w:rPr>
        </w:r>
        <w:r>
          <w:rPr>
            <w:noProof/>
            <w:webHidden/>
          </w:rPr>
          <w:fldChar w:fldCharType="separate"/>
        </w:r>
        <w:r w:rsidR="003843F3">
          <w:rPr>
            <w:noProof/>
            <w:webHidden/>
          </w:rPr>
          <w:t>75</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67" w:history="1">
        <w:r w:rsidRPr="008014E5">
          <w:rPr>
            <w:rStyle w:val="Hypertextovodkaz"/>
          </w:rPr>
          <w:t>Tab. 4</w:t>
        </w:r>
        <w:r w:rsidRPr="008014E5">
          <w:rPr>
            <w:rStyle w:val="Hypertextovodkaz"/>
          </w:rPr>
          <w:noBreakHyphen/>
          <w:t>12: Jízdní doby v úseku Pardubice hl. n. – Hradec Králové hl. n., var. proj. Maximální</w:t>
        </w:r>
        <w:r>
          <w:rPr>
            <w:noProof/>
            <w:webHidden/>
          </w:rPr>
          <w:tab/>
        </w:r>
        <w:r>
          <w:rPr>
            <w:noProof/>
            <w:webHidden/>
          </w:rPr>
          <w:fldChar w:fldCharType="begin"/>
        </w:r>
        <w:r>
          <w:rPr>
            <w:noProof/>
            <w:webHidden/>
          </w:rPr>
          <w:instrText xml:space="preserve"> PAGEREF _Toc391034567 \h </w:instrText>
        </w:r>
        <w:r>
          <w:rPr>
            <w:noProof/>
            <w:webHidden/>
          </w:rPr>
        </w:r>
        <w:r>
          <w:rPr>
            <w:noProof/>
            <w:webHidden/>
          </w:rPr>
          <w:fldChar w:fldCharType="separate"/>
        </w:r>
        <w:r w:rsidR="003843F3">
          <w:rPr>
            <w:noProof/>
            <w:webHidden/>
          </w:rPr>
          <w:t>76</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68" w:history="1">
        <w:r w:rsidRPr="008014E5">
          <w:rPr>
            <w:rStyle w:val="Hypertextovodkaz"/>
          </w:rPr>
          <w:t>Tab. 4</w:t>
        </w:r>
        <w:r w:rsidRPr="008014E5">
          <w:rPr>
            <w:rStyle w:val="Hypertextovodkaz"/>
          </w:rPr>
          <w:noBreakHyphen/>
          <w:t>13: Ukazatelé propustnosti pro současný stav + variantu minimální (P-Rosice n/L. – Stéblová)</w:t>
        </w:r>
        <w:r>
          <w:rPr>
            <w:noProof/>
            <w:webHidden/>
          </w:rPr>
          <w:tab/>
        </w:r>
        <w:r>
          <w:rPr>
            <w:noProof/>
            <w:webHidden/>
          </w:rPr>
          <w:fldChar w:fldCharType="begin"/>
        </w:r>
        <w:r>
          <w:rPr>
            <w:noProof/>
            <w:webHidden/>
          </w:rPr>
          <w:instrText xml:space="preserve"> PAGEREF _Toc391034568 \h </w:instrText>
        </w:r>
        <w:r>
          <w:rPr>
            <w:noProof/>
            <w:webHidden/>
          </w:rPr>
        </w:r>
        <w:r>
          <w:rPr>
            <w:noProof/>
            <w:webHidden/>
          </w:rPr>
          <w:fldChar w:fldCharType="separate"/>
        </w:r>
        <w:r w:rsidR="003843F3">
          <w:rPr>
            <w:noProof/>
            <w:webHidden/>
          </w:rPr>
          <w:t>80</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69" w:history="1">
        <w:r w:rsidRPr="008014E5">
          <w:rPr>
            <w:rStyle w:val="Hypertextovodkaz"/>
          </w:rPr>
          <w:t>Tab. 4</w:t>
        </w:r>
        <w:r w:rsidRPr="008014E5">
          <w:rPr>
            <w:rStyle w:val="Hypertextovodkaz"/>
          </w:rPr>
          <w:noBreakHyphen/>
          <w:t>14: Ukazatelé propustnosti pro Etapu (05-22 hod)</w:t>
        </w:r>
        <w:r>
          <w:rPr>
            <w:noProof/>
            <w:webHidden/>
          </w:rPr>
          <w:tab/>
        </w:r>
        <w:r>
          <w:rPr>
            <w:noProof/>
            <w:webHidden/>
          </w:rPr>
          <w:fldChar w:fldCharType="begin"/>
        </w:r>
        <w:r>
          <w:rPr>
            <w:noProof/>
            <w:webHidden/>
          </w:rPr>
          <w:instrText xml:space="preserve"> PAGEREF _Toc391034569 \h </w:instrText>
        </w:r>
        <w:r>
          <w:rPr>
            <w:noProof/>
            <w:webHidden/>
          </w:rPr>
        </w:r>
        <w:r>
          <w:rPr>
            <w:noProof/>
            <w:webHidden/>
          </w:rPr>
          <w:fldChar w:fldCharType="separate"/>
        </w:r>
        <w:r w:rsidR="003843F3">
          <w:rPr>
            <w:noProof/>
            <w:webHidden/>
          </w:rPr>
          <w:t>80</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70" w:history="1">
        <w:r w:rsidRPr="008014E5">
          <w:rPr>
            <w:rStyle w:val="Hypertextovodkaz"/>
          </w:rPr>
          <w:t>Tab. 4</w:t>
        </w:r>
        <w:r w:rsidRPr="008014E5">
          <w:rPr>
            <w:rStyle w:val="Hypertextovodkaz"/>
          </w:rPr>
          <w:noBreakHyphen/>
          <w:t>15: Ukazatelé propustnosti pro Etapu (120 min)</w:t>
        </w:r>
        <w:r>
          <w:rPr>
            <w:noProof/>
            <w:webHidden/>
          </w:rPr>
          <w:tab/>
        </w:r>
        <w:r>
          <w:rPr>
            <w:noProof/>
            <w:webHidden/>
          </w:rPr>
          <w:fldChar w:fldCharType="begin"/>
        </w:r>
        <w:r>
          <w:rPr>
            <w:noProof/>
            <w:webHidden/>
          </w:rPr>
          <w:instrText xml:space="preserve"> PAGEREF _Toc391034570 \h </w:instrText>
        </w:r>
        <w:r>
          <w:rPr>
            <w:noProof/>
            <w:webHidden/>
          </w:rPr>
        </w:r>
        <w:r>
          <w:rPr>
            <w:noProof/>
            <w:webHidden/>
          </w:rPr>
          <w:fldChar w:fldCharType="separate"/>
        </w:r>
        <w:r w:rsidR="003843F3">
          <w:rPr>
            <w:noProof/>
            <w:webHidden/>
          </w:rPr>
          <w:t>81</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71" w:history="1">
        <w:r w:rsidRPr="008014E5">
          <w:rPr>
            <w:rStyle w:val="Hypertextovodkaz"/>
          </w:rPr>
          <w:t>Tab. 4</w:t>
        </w:r>
        <w:r w:rsidRPr="008014E5">
          <w:rPr>
            <w:rStyle w:val="Hypertextovodkaz"/>
          </w:rPr>
          <w:noBreakHyphen/>
          <w:t>16: Ukazatelé propustnosti pro úsek Pardubice hl. nádr. – Pardubice-Rosice nad Lab.</w:t>
        </w:r>
        <w:r>
          <w:rPr>
            <w:noProof/>
            <w:webHidden/>
          </w:rPr>
          <w:tab/>
        </w:r>
        <w:r>
          <w:rPr>
            <w:noProof/>
            <w:webHidden/>
          </w:rPr>
          <w:fldChar w:fldCharType="begin"/>
        </w:r>
        <w:r>
          <w:rPr>
            <w:noProof/>
            <w:webHidden/>
          </w:rPr>
          <w:instrText xml:space="preserve"> PAGEREF _Toc391034571 \h </w:instrText>
        </w:r>
        <w:r>
          <w:rPr>
            <w:noProof/>
            <w:webHidden/>
          </w:rPr>
        </w:r>
        <w:r>
          <w:rPr>
            <w:noProof/>
            <w:webHidden/>
          </w:rPr>
          <w:fldChar w:fldCharType="separate"/>
        </w:r>
        <w:r w:rsidR="003843F3">
          <w:rPr>
            <w:noProof/>
            <w:webHidden/>
          </w:rPr>
          <w:t>82</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72" w:history="1">
        <w:r w:rsidRPr="008014E5">
          <w:rPr>
            <w:rStyle w:val="Hypertextovodkaz"/>
          </w:rPr>
          <w:t>Tab. 4</w:t>
        </w:r>
        <w:r w:rsidRPr="008014E5">
          <w:rPr>
            <w:rStyle w:val="Hypertextovodkaz"/>
          </w:rPr>
          <w:noBreakHyphen/>
          <w:t>17: Ukazatelé propustnosti pro variantu Minimální</w:t>
        </w:r>
        <w:r>
          <w:rPr>
            <w:noProof/>
            <w:webHidden/>
          </w:rPr>
          <w:tab/>
        </w:r>
        <w:r>
          <w:rPr>
            <w:noProof/>
            <w:webHidden/>
          </w:rPr>
          <w:fldChar w:fldCharType="begin"/>
        </w:r>
        <w:r>
          <w:rPr>
            <w:noProof/>
            <w:webHidden/>
          </w:rPr>
          <w:instrText xml:space="preserve"> PAGEREF _Toc391034572 \h </w:instrText>
        </w:r>
        <w:r>
          <w:rPr>
            <w:noProof/>
            <w:webHidden/>
          </w:rPr>
        </w:r>
        <w:r>
          <w:rPr>
            <w:noProof/>
            <w:webHidden/>
          </w:rPr>
          <w:fldChar w:fldCharType="separate"/>
        </w:r>
        <w:r w:rsidR="003843F3">
          <w:rPr>
            <w:noProof/>
            <w:webHidden/>
          </w:rPr>
          <w:t>83</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73" w:history="1">
        <w:r w:rsidRPr="008014E5">
          <w:rPr>
            <w:rStyle w:val="Hypertextovodkaz"/>
          </w:rPr>
          <w:t>Tab. 4</w:t>
        </w:r>
        <w:r w:rsidRPr="008014E5">
          <w:rPr>
            <w:rStyle w:val="Hypertextovodkaz"/>
          </w:rPr>
          <w:noBreakHyphen/>
          <w:t>18: Následná mezidobí pro mezistaniční úsek Pardubice-Rosice nad Lab. - Stéblová</w:t>
        </w:r>
        <w:r>
          <w:rPr>
            <w:noProof/>
            <w:webHidden/>
          </w:rPr>
          <w:tab/>
        </w:r>
        <w:r>
          <w:rPr>
            <w:noProof/>
            <w:webHidden/>
          </w:rPr>
          <w:fldChar w:fldCharType="begin"/>
        </w:r>
        <w:r>
          <w:rPr>
            <w:noProof/>
            <w:webHidden/>
          </w:rPr>
          <w:instrText xml:space="preserve"> PAGEREF _Toc391034573 \h </w:instrText>
        </w:r>
        <w:r>
          <w:rPr>
            <w:noProof/>
            <w:webHidden/>
          </w:rPr>
        </w:r>
        <w:r>
          <w:rPr>
            <w:noProof/>
            <w:webHidden/>
          </w:rPr>
          <w:fldChar w:fldCharType="separate"/>
        </w:r>
        <w:r w:rsidR="003843F3">
          <w:rPr>
            <w:noProof/>
            <w:webHidden/>
          </w:rPr>
          <w:t>83</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74" w:history="1">
        <w:r w:rsidRPr="008014E5">
          <w:rPr>
            <w:rStyle w:val="Hypertextovodkaz"/>
          </w:rPr>
          <w:t>Tab. 4</w:t>
        </w:r>
        <w:r w:rsidRPr="008014E5">
          <w:rPr>
            <w:rStyle w:val="Hypertextovodkaz"/>
          </w:rPr>
          <w:noBreakHyphen/>
          <w:t>19: Následná mezidobí pro mezistaniční úsek Opatovice nad Lab. – Hr. Králové hl.n.</w:t>
        </w:r>
        <w:r>
          <w:rPr>
            <w:noProof/>
            <w:webHidden/>
          </w:rPr>
          <w:tab/>
        </w:r>
        <w:r>
          <w:rPr>
            <w:noProof/>
            <w:webHidden/>
          </w:rPr>
          <w:fldChar w:fldCharType="begin"/>
        </w:r>
        <w:r>
          <w:rPr>
            <w:noProof/>
            <w:webHidden/>
          </w:rPr>
          <w:instrText xml:space="preserve"> PAGEREF _Toc391034574 \h </w:instrText>
        </w:r>
        <w:r>
          <w:rPr>
            <w:noProof/>
            <w:webHidden/>
          </w:rPr>
        </w:r>
        <w:r>
          <w:rPr>
            <w:noProof/>
            <w:webHidden/>
          </w:rPr>
          <w:fldChar w:fldCharType="separate"/>
        </w:r>
        <w:r w:rsidR="003843F3">
          <w:rPr>
            <w:noProof/>
            <w:webHidden/>
          </w:rPr>
          <w:t>83</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75" w:history="1">
        <w:r w:rsidRPr="008014E5">
          <w:rPr>
            <w:rStyle w:val="Hypertextovodkaz"/>
          </w:rPr>
          <w:t>Tab. 4</w:t>
        </w:r>
        <w:r w:rsidRPr="008014E5">
          <w:rPr>
            <w:rStyle w:val="Hypertextovodkaz"/>
          </w:rPr>
          <w:noBreakHyphen/>
          <w:t>20: Následná mezidobí pro mezistaniční úsek Stéblová – Opatovice nad Labem</w:t>
        </w:r>
        <w:r>
          <w:rPr>
            <w:noProof/>
            <w:webHidden/>
          </w:rPr>
          <w:tab/>
        </w:r>
        <w:r>
          <w:rPr>
            <w:noProof/>
            <w:webHidden/>
          </w:rPr>
          <w:fldChar w:fldCharType="begin"/>
        </w:r>
        <w:r>
          <w:rPr>
            <w:noProof/>
            <w:webHidden/>
          </w:rPr>
          <w:instrText xml:space="preserve"> PAGEREF _Toc391034575 \h </w:instrText>
        </w:r>
        <w:r>
          <w:rPr>
            <w:noProof/>
            <w:webHidden/>
          </w:rPr>
        </w:r>
        <w:r>
          <w:rPr>
            <w:noProof/>
            <w:webHidden/>
          </w:rPr>
          <w:fldChar w:fldCharType="separate"/>
        </w:r>
        <w:r w:rsidR="003843F3">
          <w:rPr>
            <w:noProof/>
            <w:webHidden/>
          </w:rPr>
          <w:t>84</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76" w:history="1">
        <w:r w:rsidRPr="008014E5">
          <w:rPr>
            <w:rStyle w:val="Hypertextovodkaz"/>
          </w:rPr>
          <w:t>Tab. 4</w:t>
        </w:r>
        <w:r w:rsidRPr="008014E5">
          <w:rPr>
            <w:rStyle w:val="Hypertextovodkaz"/>
          </w:rPr>
          <w:noBreakHyphen/>
          <w:t>21: Předpokládaný rozsah personálních úspor</w:t>
        </w:r>
        <w:r>
          <w:rPr>
            <w:noProof/>
            <w:webHidden/>
          </w:rPr>
          <w:tab/>
        </w:r>
        <w:r>
          <w:rPr>
            <w:noProof/>
            <w:webHidden/>
          </w:rPr>
          <w:fldChar w:fldCharType="begin"/>
        </w:r>
        <w:r>
          <w:rPr>
            <w:noProof/>
            <w:webHidden/>
          </w:rPr>
          <w:instrText xml:space="preserve"> PAGEREF _Toc391034576 \h </w:instrText>
        </w:r>
        <w:r>
          <w:rPr>
            <w:noProof/>
            <w:webHidden/>
          </w:rPr>
        </w:r>
        <w:r>
          <w:rPr>
            <w:noProof/>
            <w:webHidden/>
          </w:rPr>
          <w:fldChar w:fldCharType="separate"/>
        </w:r>
        <w:r w:rsidR="003843F3">
          <w:rPr>
            <w:noProof/>
            <w:webHidden/>
          </w:rPr>
          <w:t>87</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77" w:history="1">
        <w:r w:rsidRPr="008014E5">
          <w:rPr>
            <w:rStyle w:val="Hypertextovodkaz"/>
          </w:rPr>
          <w:t>Tab. 5</w:t>
        </w:r>
        <w:r w:rsidRPr="008014E5">
          <w:rPr>
            <w:rStyle w:val="Hypertextovodkaz"/>
          </w:rPr>
          <w:noBreakHyphen/>
          <w:t>1: Obsazenost vlaků v jednotlivých variantách (průměr za den)</w:t>
        </w:r>
        <w:r>
          <w:rPr>
            <w:noProof/>
            <w:webHidden/>
          </w:rPr>
          <w:tab/>
        </w:r>
        <w:r>
          <w:rPr>
            <w:noProof/>
            <w:webHidden/>
          </w:rPr>
          <w:fldChar w:fldCharType="begin"/>
        </w:r>
        <w:r>
          <w:rPr>
            <w:noProof/>
            <w:webHidden/>
          </w:rPr>
          <w:instrText xml:space="preserve"> PAGEREF _Toc391034577 \h </w:instrText>
        </w:r>
        <w:r>
          <w:rPr>
            <w:noProof/>
            <w:webHidden/>
          </w:rPr>
        </w:r>
        <w:r>
          <w:rPr>
            <w:noProof/>
            <w:webHidden/>
          </w:rPr>
          <w:fldChar w:fldCharType="separate"/>
        </w:r>
        <w:r w:rsidR="003843F3">
          <w:rPr>
            <w:noProof/>
            <w:webHidden/>
          </w:rPr>
          <w:t>114</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78" w:history="1">
        <w:r w:rsidRPr="008014E5">
          <w:rPr>
            <w:rStyle w:val="Hypertextovodkaz"/>
          </w:rPr>
          <w:t>Tab. 5</w:t>
        </w:r>
        <w:r w:rsidRPr="008014E5">
          <w:rPr>
            <w:rStyle w:val="Hypertextovodkaz"/>
          </w:rPr>
          <w:noBreakHyphen/>
          <w:t>2: Obsazenost vlaků v nejzatíženější špičkové hodině v jednotlivých variantách</w:t>
        </w:r>
        <w:r>
          <w:rPr>
            <w:noProof/>
            <w:webHidden/>
          </w:rPr>
          <w:tab/>
        </w:r>
        <w:r>
          <w:rPr>
            <w:noProof/>
            <w:webHidden/>
          </w:rPr>
          <w:fldChar w:fldCharType="begin"/>
        </w:r>
        <w:r>
          <w:rPr>
            <w:noProof/>
            <w:webHidden/>
          </w:rPr>
          <w:instrText xml:space="preserve"> PAGEREF _Toc391034578 \h </w:instrText>
        </w:r>
        <w:r>
          <w:rPr>
            <w:noProof/>
            <w:webHidden/>
          </w:rPr>
        </w:r>
        <w:r>
          <w:rPr>
            <w:noProof/>
            <w:webHidden/>
          </w:rPr>
          <w:fldChar w:fldCharType="separate"/>
        </w:r>
        <w:r w:rsidR="003843F3">
          <w:rPr>
            <w:noProof/>
            <w:webHidden/>
          </w:rPr>
          <w:t>116</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79" w:history="1">
        <w:r w:rsidRPr="008014E5">
          <w:rPr>
            <w:rStyle w:val="Hypertextovodkaz"/>
          </w:rPr>
          <w:t>Tab. 6</w:t>
        </w:r>
        <w:r w:rsidRPr="008014E5">
          <w:rPr>
            <w:rStyle w:val="Hypertextovodkaz"/>
          </w:rPr>
          <w:noBreakHyphen/>
          <w:t>1: Proces EIA podle § 8 zákona č. 100/2001Sb</w:t>
        </w:r>
        <w:r>
          <w:rPr>
            <w:noProof/>
            <w:webHidden/>
          </w:rPr>
          <w:tab/>
        </w:r>
        <w:r>
          <w:rPr>
            <w:noProof/>
            <w:webHidden/>
          </w:rPr>
          <w:fldChar w:fldCharType="begin"/>
        </w:r>
        <w:r>
          <w:rPr>
            <w:noProof/>
            <w:webHidden/>
          </w:rPr>
          <w:instrText xml:space="preserve"> PAGEREF _Toc391034579 \h </w:instrText>
        </w:r>
        <w:r>
          <w:rPr>
            <w:noProof/>
            <w:webHidden/>
          </w:rPr>
        </w:r>
        <w:r>
          <w:rPr>
            <w:noProof/>
            <w:webHidden/>
          </w:rPr>
          <w:fldChar w:fldCharType="separate"/>
        </w:r>
        <w:r w:rsidR="003843F3">
          <w:rPr>
            <w:noProof/>
            <w:webHidden/>
          </w:rPr>
          <w:t>118</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80" w:history="1">
        <w:r w:rsidRPr="008014E5">
          <w:rPr>
            <w:rStyle w:val="Hypertextovodkaz"/>
          </w:rPr>
          <w:t>Tab. 6</w:t>
        </w:r>
        <w:r w:rsidRPr="008014E5">
          <w:rPr>
            <w:rStyle w:val="Hypertextovodkaz"/>
          </w:rPr>
          <w:noBreakHyphen/>
          <w:t>2: Křížení s VKP podle §3 Zákona č. 114/1992 Sb.</w:t>
        </w:r>
        <w:r>
          <w:rPr>
            <w:noProof/>
            <w:webHidden/>
          </w:rPr>
          <w:tab/>
        </w:r>
        <w:r>
          <w:rPr>
            <w:noProof/>
            <w:webHidden/>
          </w:rPr>
          <w:fldChar w:fldCharType="begin"/>
        </w:r>
        <w:r>
          <w:rPr>
            <w:noProof/>
            <w:webHidden/>
          </w:rPr>
          <w:instrText xml:space="preserve"> PAGEREF _Toc391034580 \h </w:instrText>
        </w:r>
        <w:r>
          <w:rPr>
            <w:noProof/>
            <w:webHidden/>
          </w:rPr>
        </w:r>
        <w:r>
          <w:rPr>
            <w:noProof/>
            <w:webHidden/>
          </w:rPr>
          <w:fldChar w:fldCharType="separate"/>
        </w:r>
        <w:r w:rsidR="003843F3">
          <w:rPr>
            <w:noProof/>
            <w:webHidden/>
          </w:rPr>
          <w:t>121</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81" w:history="1">
        <w:r w:rsidRPr="008014E5">
          <w:rPr>
            <w:rStyle w:val="Hypertextovodkaz"/>
          </w:rPr>
          <w:t>Tab. 7</w:t>
        </w:r>
        <w:r w:rsidRPr="008014E5">
          <w:rPr>
            <w:rStyle w:val="Hypertextovodkaz"/>
          </w:rPr>
          <w:noBreakHyphen/>
          <w:t>1: Investiční náklady varianty Minimální v tis. Kč, CÚ 2013</w:t>
        </w:r>
        <w:r>
          <w:rPr>
            <w:noProof/>
            <w:webHidden/>
          </w:rPr>
          <w:tab/>
        </w:r>
        <w:r>
          <w:rPr>
            <w:noProof/>
            <w:webHidden/>
          </w:rPr>
          <w:fldChar w:fldCharType="begin"/>
        </w:r>
        <w:r>
          <w:rPr>
            <w:noProof/>
            <w:webHidden/>
          </w:rPr>
          <w:instrText xml:space="preserve"> PAGEREF _Toc391034581 \h </w:instrText>
        </w:r>
        <w:r>
          <w:rPr>
            <w:noProof/>
            <w:webHidden/>
          </w:rPr>
        </w:r>
        <w:r>
          <w:rPr>
            <w:noProof/>
            <w:webHidden/>
          </w:rPr>
          <w:fldChar w:fldCharType="separate"/>
        </w:r>
        <w:r w:rsidR="003843F3">
          <w:rPr>
            <w:noProof/>
            <w:webHidden/>
          </w:rPr>
          <w:t>128</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82" w:history="1">
        <w:r w:rsidRPr="008014E5">
          <w:rPr>
            <w:rStyle w:val="Hypertextovodkaz"/>
          </w:rPr>
          <w:t>Tab. 7</w:t>
        </w:r>
        <w:r w:rsidRPr="008014E5">
          <w:rPr>
            <w:rStyle w:val="Hypertextovodkaz"/>
          </w:rPr>
          <w:noBreakHyphen/>
          <w:t>2: Investiční náklady varianty Etapa v tis. Kč, CÚ 2013</w:t>
        </w:r>
        <w:r>
          <w:rPr>
            <w:noProof/>
            <w:webHidden/>
          </w:rPr>
          <w:tab/>
        </w:r>
        <w:r>
          <w:rPr>
            <w:noProof/>
            <w:webHidden/>
          </w:rPr>
          <w:fldChar w:fldCharType="begin"/>
        </w:r>
        <w:r>
          <w:rPr>
            <w:noProof/>
            <w:webHidden/>
          </w:rPr>
          <w:instrText xml:space="preserve"> PAGEREF _Toc391034582 \h </w:instrText>
        </w:r>
        <w:r>
          <w:rPr>
            <w:noProof/>
            <w:webHidden/>
          </w:rPr>
        </w:r>
        <w:r>
          <w:rPr>
            <w:noProof/>
            <w:webHidden/>
          </w:rPr>
          <w:fldChar w:fldCharType="separate"/>
        </w:r>
        <w:r w:rsidR="003843F3">
          <w:rPr>
            <w:noProof/>
            <w:webHidden/>
          </w:rPr>
          <w:t>128</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83" w:history="1">
        <w:r w:rsidRPr="008014E5">
          <w:rPr>
            <w:rStyle w:val="Hypertextovodkaz"/>
          </w:rPr>
          <w:t>Tab. 7</w:t>
        </w:r>
        <w:r w:rsidRPr="008014E5">
          <w:rPr>
            <w:rStyle w:val="Hypertextovodkaz"/>
          </w:rPr>
          <w:noBreakHyphen/>
          <w:t>3: Investiční náklady varianty Maximální v tis. Kč, CÚ 2013</w:t>
        </w:r>
        <w:r>
          <w:rPr>
            <w:noProof/>
            <w:webHidden/>
          </w:rPr>
          <w:tab/>
        </w:r>
        <w:r>
          <w:rPr>
            <w:noProof/>
            <w:webHidden/>
          </w:rPr>
          <w:fldChar w:fldCharType="begin"/>
        </w:r>
        <w:r>
          <w:rPr>
            <w:noProof/>
            <w:webHidden/>
          </w:rPr>
          <w:instrText xml:space="preserve"> PAGEREF _Toc391034583 \h </w:instrText>
        </w:r>
        <w:r>
          <w:rPr>
            <w:noProof/>
            <w:webHidden/>
          </w:rPr>
        </w:r>
        <w:r>
          <w:rPr>
            <w:noProof/>
            <w:webHidden/>
          </w:rPr>
          <w:fldChar w:fldCharType="separate"/>
        </w:r>
        <w:r w:rsidR="003843F3">
          <w:rPr>
            <w:noProof/>
            <w:webHidden/>
          </w:rPr>
          <w:t>129</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84" w:history="1">
        <w:r w:rsidRPr="008014E5">
          <w:rPr>
            <w:rStyle w:val="Hypertextovodkaz"/>
          </w:rPr>
          <w:t>Tab. 7</w:t>
        </w:r>
        <w:r w:rsidRPr="008014E5">
          <w:rPr>
            <w:rStyle w:val="Hypertextovodkaz"/>
          </w:rPr>
          <w:noBreakHyphen/>
          <w:t>4: Investiční náklady jednotlivých variant dle profesí v tis. Kč, CÚ 2013</w:t>
        </w:r>
        <w:r>
          <w:rPr>
            <w:noProof/>
            <w:webHidden/>
          </w:rPr>
          <w:tab/>
        </w:r>
        <w:r>
          <w:rPr>
            <w:noProof/>
            <w:webHidden/>
          </w:rPr>
          <w:fldChar w:fldCharType="begin"/>
        </w:r>
        <w:r>
          <w:rPr>
            <w:noProof/>
            <w:webHidden/>
          </w:rPr>
          <w:instrText xml:space="preserve"> PAGEREF _Toc391034584 \h </w:instrText>
        </w:r>
        <w:r>
          <w:rPr>
            <w:noProof/>
            <w:webHidden/>
          </w:rPr>
        </w:r>
        <w:r>
          <w:rPr>
            <w:noProof/>
            <w:webHidden/>
          </w:rPr>
          <w:fldChar w:fldCharType="separate"/>
        </w:r>
        <w:r w:rsidR="003843F3">
          <w:rPr>
            <w:noProof/>
            <w:webHidden/>
          </w:rPr>
          <w:t>129</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85" w:history="1">
        <w:r w:rsidRPr="008014E5">
          <w:rPr>
            <w:rStyle w:val="Hypertextovodkaz"/>
          </w:rPr>
          <w:t>Tab. 7</w:t>
        </w:r>
        <w:r w:rsidRPr="008014E5">
          <w:rPr>
            <w:rStyle w:val="Hypertextovodkaz"/>
          </w:rPr>
          <w:noBreakHyphen/>
          <w:t>5: Náklady na řízení dopravy v tis. Kč (CÚ 2013)</w:t>
        </w:r>
        <w:r>
          <w:rPr>
            <w:noProof/>
            <w:webHidden/>
          </w:rPr>
          <w:tab/>
        </w:r>
        <w:r>
          <w:rPr>
            <w:noProof/>
            <w:webHidden/>
          </w:rPr>
          <w:fldChar w:fldCharType="begin"/>
        </w:r>
        <w:r>
          <w:rPr>
            <w:noProof/>
            <w:webHidden/>
          </w:rPr>
          <w:instrText xml:space="preserve"> PAGEREF _Toc391034585 \h </w:instrText>
        </w:r>
        <w:r>
          <w:rPr>
            <w:noProof/>
            <w:webHidden/>
          </w:rPr>
        </w:r>
        <w:r>
          <w:rPr>
            <w:noProof/>
            <w:webHidden/>
          </w:rPr>
          <w:fldChar w:fldCharType="separate"/>
        </w:r>
        <w:r w:rsidR="003843F3">
          <w:rPr>
            <w:noProof/>
            <w:webHidden/>
          </w:rPr>
          <w:t>132</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86" w:history="1">
        <w:r w:rsidRPr="008014E5">
          <w:rPr>
            <w:rStyle w:val="Hypertextovodkaz"/>
          </w:rPr>
          <w:t>Tab. 7</w:t>
        </w:r>
        <w:r w:rsidRPr="008014E5">
          <w:rPr>
            <w:rStyle w:val="Hypertextovodkaz"/>
          </w:rPr>
          <w:noBreakHyphen/>
          <w:t>6: Náklady na údržbu a opravy infrastrukruty v tis. Kč (CÚ 2013)</w:t>
        </w:r>
        <w:r>
          <w:rPr>
            <w:noProof/>
            <w:webHidden/>
          </w:rPr>
          <w:tab/>
        </w:r>
        <w:r>
          <w:rPr>
            <w:noProof/>
            <w:webHidden/>
          </w:rPr>
          <w:fldChar w:fldCharType="begin"/>
        </w:r>
        <w:r>
          <w:rPr>
            <w:noProof/>
            <w:webHidden/>
          </w:rPr>
          <w:instrText xml:space="preserve"> PAGEREF _Toc391034586 \h </w:instrText>
        </w:r>
        <w:r>
          <w:rPr>
            <w:noProof/>
            <w:webHidden/>
          </w:rPr>
        </w:r>
        <w:r>
          <w:rPr>
            <w:noProof/>
            <w:webHidden/>
          </w:rPr>
          <w:fldChar w:fldCharType="separate"/>
        </w:r>
        <w:r w:rsidR="003843F3">
          <w:rPr>
            <w:noProof/>
            <w:webHidden/>
          </w:rPr>
          <w:t>134</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87" w:history="1">
        <w:r w:rsidRPr="008014E5">
          <w:rPr>
            <w:rStyle w:val="Hypertextovodkaz"/>
          </w:rPr>
          <w:t>Tab. 7</w:t>
        </w:r>
        <w:r w:rsidRPr="008014E5">
          <w:rPr>
            <w:rStyle w:val="Hypertextovodkaz"/>
          </w:rPr>
          <w:noBreakHyphen/>
          <w:t>7: Příjmy z poplatku za použití DC a prodeje kapacity, v tis. Kč (CÚ 2013)</w:t>
        </w:r>
        <w:r>
          <w:rPr>
            <w:noProof/>
            <w:webHidden/>
          </w:rPr>
          <w:tab/>
        </w:r>
        <w:r>
          <w:rPr>
            <w:noProof/>
            <w:webHidden/>
          </w:rPr>
          <w:fldChar w:fldCharType="begin"/>
        </w:r>
        <w:r>
          <w:rPr>
            <w:noProof/>
            <w:webHidden/>
          </w:rPr>
          <w:instrText xml:space="preserve"> PAGEREF _Toc391034587 \h </w:instrText>
        </w:r>
        <w:r>
          <w:rPr>
            <w:noProof/>
            <w:webHidden/>
          </w:rPr>
        </w:r>
        <w:r>
          <w:rPr>
            <w:noProof/>
            <w:webHidden/>
          </w:rPr>
          <w:fldChar w:fldCharType="separate"/>
        </w:r>
        <w:r w:rsidR="003843F3">
          <w:rPr>
            <w:noProof/>
            <w:webHidden/>
          </w:rPr>
          <w:t>135</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88" w:history="1">
        <w:r w:rsidRPr="008014E5">
          <w:rPr>
            <w:rStyle w:val="Hypertextovodkaz"/>
          </w:rPr>
          <w:t>Tab. 7</w:t>
        </w:r>
        <w:r w:rsidRPr="008014E5">
          <w:rPr>
            <w:rStyle w:val="Hypertextovodkaz"/>
          </w:rPr>
          <w:noBreakHyphen/>
          <w:t>8: Dodatečné příjmy, v tis. Kč (CÚ 2013)</w:t>
        </w:r>
        <w:r>
          <w:rPr>
            <w:noProof/>
            <w:webHidden/>
          </w:rPr>
          <w:tab/>
        </w:r>
        <w:r>
          <w:rPr>
            <w:noProof/>
            <w:webHidden/>
          </w:rPr>
          <w:fldChar w:fldCharType="begin"/>
        </w:r>
        <w:r>
          <w:rPr>
            <w:noProof/>
            <w:webHidden/>
          </w:rPr>
          <w:instrText xml:space="preserve"> PAGEREF _Toc391034588 \h </w:instrText>
        </w:r>
        <w:r>
          <w:rPr>
            <w:noProof/>
            <w:webHidden/>
          </w:rPr>
        </w:r>
        <w:r>
          <w:rPr>
            <w:noProof/>
            <w:webHidden/>
          </w:rPr>
          <w:fldChar w:fldCharType="separate"/>
        </w:r>
        <w:r w:rsidR="003843F3">
          <w:rPr>
            <w:noProof/>
            <w:webHidden/>
          </w:rPr>
          <w:t>135</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89" w:history="1">
        <w:r w:rsidRPr="008014E5">
          <w:rPr>
            <w:rStyle w:val="Hypertextovodkaz"/>
          </w:rPr>
          <w:t>Tab. 7</w:t>
        </w:r>
        <w:r w:rsidRPr="008014E5">
          <w:rPr>
            <w:rStyle w:val="Hypertextovodkaz"/>
          </w:rPr>
          <w:noBreakHyphen/>
          <w:t>9: Přehled výsledků finanční analýzy</w:t>
        </w:r>
        <w:r>
          <w:rPr>
            <w:noProof/>
            <w:webHidden/>
          </w:rPr>
          <w:tab/>
        </w:r>
        <w:r>
          <w:rPr>
            <w:noProof/>
            <w:webHidden/>
          </w:rPr>
          <w:fldChar w:fldCharType="begin"/>
        </w:r>
        <w:r>
          <w:rPr>
            <w:noProof/>
            <w:webHidden/>
          </w:rPr>
          <w:instrText xml:space="preserve"> PAGEREF _Toc391034589 \h </w:instrText>
        </w:r>
        <w:r>
          <w:rPr>
            <w:noProof/>
            <w:webHidden/>
          </w:rPr>
        </w:r>
        <w:r>
          <w:rPr>
            <w:noProof/>
            <w:webHidden/>
          </w:rPr>
          <w:fldChar w:fldCharType="separate"/>
        </w:r>
        <w:r w:rsidR="003843F3">
          <w:rPr>
            <w:noProof/>
            <w:webHidden/>
          </w:rPr>
          <w:t>135</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90" w:history="1">
        <w:r w:rsidRPr="008014E5">
          <w:rPr>
            <w:rStyle w:val="Hypertextovodkaz"/>
          </w:rPr>
          <w:t>Tab. 7</w:t>
        </w:r>
        <w:r w:rsidRPr="008014E5">
          <w:rPr>
            <w:rStyle w:val="Hypertextovodkaz"/>
          </w:rPr>
          <w:noBreakHyphen/>
          <w:t>10: Finanční analýza varianta Minimální v tis. Kč (CÚ 2013)</w:t>
        </w:r>
        <w:r>
          <w:rPr>
            <w:noProof/>
            <w:webHidden/>
          </w:rPr>
          <w:tab/>
        </w:r>
        <w:r>
          <w:rPr>
            <w:noProof/>
            <w:webHidden/>
          </w:rPr>
          <w:fldChar w:fldCharType="begin"/>
        </w:r>
        <w:r>
          <w:rPr>
            <w:noProof/>
            <w:webHidden/>
          </w:rPr>
          <w:instrText xml:space="preserve"> PAGEREF _Toc391034590 \h </w:instrText>
        </w:r>
        <w:r>
          <w:rPr>
            <w:noProof/>
            <w:webHidden/>
          </w:rPr>
        </w:r>
        <w:r>
          <w:rPr>
            <w:noProof/>
            <w:webHidden/>
          </w:rPr>
          <w:fldChar w:fldCharType="separate"/>
        </w:r>
        <w:r w:rsidR="003843F3">
          <w:rPr>
            <w:noProof/>
            <w:webHidden/>
          </w:rPr>
          <w:t>136</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91" w:history="1">
        <w:r w:rsidRPr="008014E5">
          <w:rPr>
            <w:rStyle w:val="Hypertextovodkaz"/>
          </w:rPr>
          <w:t>Tab. 7</w:t>
        </w:r>
        <w:r w:rsidRPr="008014E5">
          <w:rPr>
            <w:rStyle w:val="Hypertextovodkaz"/>
          </w:rPr>
          <w:noBreakHyphen/>
          <w:t>11: Finanční analýza varianta Etapa v tis. Kč (CÚ 2013)</w:t>
        </w:r>
        <w:r>
          <w:rPr>
            <w:noProof/>
            <w:webHidden/>
          </w:rPr>
          <w:tab/>
        </w:r>
        <w:r>
          <w:rPr>
            <w:noProof/>
            <w:webHidden/>
          </w:rPr>
          <w:fldChar w:fldCharType="begin"/>
        </w:r>
        <w:r>
          <w:rPr>
            <w:noProof/>
            <w:webHidden/>
          </w:rPr>
          <w:instrText xml:space="preserve"> PAGEREF _Toc391034591 \h </w:instrText>
        </w:r>
        <w:r>
          <w:rPr>
            <w:noProof/>
            <w:webHidden/>
          </w:rPr>
        </w:r>
        <w:r>
          <w:rPr>
            <w:noProof/>
            <w:webHidden/>
          </w:rPr>
          <w:fldChar w:fldCharType="separate"/>
        </w:r>
        <w:r w:rsidR="003843F3">
          <w:rPr>
            <w:noProof/>
            <w:webHidden/>
          </w:rPr>
          <w:t>137</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92" w:history="1">
        <w:r w:rsidRPr="008014E5">
          <w:rPr>
            <w:rStyle w:val="Hypertextovodkaz"/>
          </w:rPr>
          <w:t>Tab. 7</w:t>
        </w:r>
        <w:r w:rsidRPr="008014E5">
          <w:rPr>
            <w:rStyle w:val="Hypertextovodkaz"/>
          </w:rPr>
          <w:noBreakHyphen/>
          <w:t>12: Finanční analýza varianta Maximální v tis. Kč (CÚ 2013)</w:t>
        </w:r>
        <w:r>
          <w:rPr>
            <w:noProof/>
            <w:webHidden/>
          </w:rPr>
          <w:tab/>
        </w:r>
        <w:r>
          <w:rPr>
            <w:noProof/>
            <w:webHidden/>
          </w:rPr>
          <w:fldChar w:fldCharType="begin"/>
        </w:r>
        <w:r>
          <w:rPr>
            <w:noProof/>
            <w:webHidden/>
          </w:rPr>
          <w:instrText xml:space="preserve"> PAGEREF _Toc391034592 \h </w:instrText>
        </w:r>
        <w:r>
          <w:rPr>
            <w:noProof/>
            <w:webHidden/>
          </w:rPr>
        </w:r>
        <w:r>
          <w:rPr>
            <w:noProof/>
            <w:webHidden/>
          </w:rPr>
          <w:fldChar w:fldCharType="separate"/>
        </w:r>
        <w:r w:rsidR="003843F3">
          <w:rPr>
            <w:noProof/>
            <w:webHidden/>
          </w:rPr>
          <w:t>138</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93" w:history="1">
        <w:r w:rsidRPr="008014E5">
          <w:rPr>
            <w:rStyle w:val="Hypertextovodkaz"/>
          </w:rPr>
          <w:t>Tab. 7</w:t>
        </w:r>
        <w:r w:rsidRPr="008014E5">
          <w:rPr>
            <w:rStyle w:val="Hypertextovodkaz"/>
          </w:rPr>
          <w:noBreakHyphen/>
          <w:t>13: Náklady na provoz vlaků, v tis. Kč (CÚ 2013)</w:t>
        </w:r>
        <w:r>
          <w:rPr>
            <w:noProof/>
            <w:webHidden/>
          </w:rPr>
          <w:tab/>
        </w:r>
        <w:r>
          <w:rPr>
            <w:noProof/>
            <w:webHidden/>
          </w:rPr>
          <w:fldChar w:fldCharType="begin"/>
        </w:r>
        <w:r>
          <w:rPr>
            <w:noProof/>
            <w:webHidden/>
          </w:rPr>
          <w:instrText xml:space="preserve"> PAGEREF _Toc391034593 \h </w:instrText>
        </w:r>
        <w:r>
          <w:rPr>
            <w:noProof/>
            <w:webHidden/>
          </w:rPr>
        </w:r>
        <w:r>
          <w:rPr>
            <w:noProof/>
            <w:webHidden/>
          </w:rPr>
          <w:fldChar w:fldCharType="separate"/>
        </w:r>
        <w:r w:rsidR="003843F3">
          <w:rPr>
            <w:noProof/>
            <w:webHidden/>
          </w:rPr>
          <w:t>141</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94" w:history="1">
        <w:r w:rsidRPr="008014E5">
          <w:rPr>
            <w:rStyle w:val="Hypertextovodkaz"/>
          </w:rPr>
          <w:t>Tab. 7</w:t>
        </w:r>
        <w:r w:rsidRPr="008014E5">
          <w:rPr>
            <w:rStyle w:val="Hypertextovodkaz"/>
          </w:rPr>
          <w:noBreakHyphen/>
          <w:t>14: Měrné náklady silniční dopravy (CÚ 2013)</w:t>
        </w:r>
        <w:r>
          <w:rPr>
            <w:noProof/>
            <w:webHidden/>
          </w:rPr>
          <w:tab/>
        </w:r>
        <w:r>
          <w:rPr>
            <w:noProof/>
            <w:webHidden/>
          </w:rPr>
          <w:fldChar w:fldCharType="begin"/>
        </w:r>
        <w:r>
          <w:rPr>
            <w:noProof/>
            <w:webHidden/>
          </w:rPr>
          <w:instrText xml:space="preserve"> PAGEREF _Toc391034594 \h </w:instrText>
        </w:r>
        <w:r>
          <w:rPr>
            <w:noProof/>
            <w:webHidden/>
          </w:rPr>
        </w:r>
        <w:r>
          <w:rPr>
            <w:noProof/>
            <w:webHidden/>
          </w:rPr>
          <w:fldChar w:fldCharType="separate"/>
        </w:r>
        <w:r w:rsidR="003843F3">
          <w:rPr>
            <w:noProof/>
            <w:webHidden/>
          </w:rPr>
          <w:t>141</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95" w:history="1">
        <w:r w:rsidRPr="008014E5">
          <w:rPr>
            <w:rStyle w:val="Hypertextovodkaz"/>
          </w:rPr>
          <w:t>Tab. 7</w:t>
        </w:r>
        <w:r w:rsidRPr="008014E5">
          <w:rPr>
            <w:rStyle w:val="Hypertextovodkaz"/>
          </w:rPr>
          <w:noBreakHyphen/>
          <w:t>15: Úspory nákladů silniční dopravy, v tis. Kč (CÚ 2013)</w:t>
        </w:r>
        <w:r>
          <w:rPr>
            <w:noProof/>
            <w:webHidden/>
          </w:rPr>
          <w:tab/>
        </w:r>
        <w:r>
          <w:rPr>
            <w:noProof/>
            <w:webHidden/>
          </w:rPr>
          <w:fldChar w:fldCharType="begin"/>
        </w:r>
        <w:r>
          <w:rPr>
            <w:noProof/>
            <w:webHidden/>
          </w:rPr>
          <w:instrText xml:space="preserve"> PAGEREF _Toc391034595 \h </w:instrText>
        </w:r>
        <w:r>
          <w:rPr>
            <w:noProof/>
            <w:webHidden/>
          </w:rPr>
        </w:r>
        <w:r>
          <w:rPr>
            <w:noProof/>
            <w:webHidden/>
          </w:rPr>
          <w:fldChar w:fldCharType="separate"/>
        </w:r>
        <w:r w:rsidR="003843F3">
          <w:rPr>
            <w:noProof/>
            <w:webHidden/>
          </w:rPr>
          <w:t>142</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96" w:history="1">
        <w:r w:rsidRPr="008014E5">
          <w:rPr>
            <w:rStyle w:val="Hypertextovodkaz"/>
          </w:rPr>
          <w:t>Tab. 7</w:t>
        </w:r>
        <w:r w:rsidRPr="008014E5">
          <w:rPr>
            <w:rStyle w:val="Hypertextovodkaz"/>
          </w:rPr>
          <w:noBreakHyphen/>
          <w:t>16: Měrný náklad pro ohodnocení času (CÚ 2002)</w:t>
        </w:r>
        <w:r>
          <w:rPr>
            <w:noProof/>
            <w:webHidden/>
          </w:rPr>
          <w:tab/>
        </w:r>
        <w:r>
          <w:rPr>
            <w:noProof/>
            <w:webHidden/>
          </w:rPr>
          <w:fldChar w:fldCharType="begin"/>
        </w:r>
        <w:r>
          <w:rPr>
            <w:noProof/>
            <w:webHidden/>
          </w:rPr>
          <w:instrText xml:space="preserve"> PAGEREF _Toc391034596 \h </w:instrText>
        </w:r>
        <w:r>
          <w:rPr>
            <w:noProof/>
            <w:webHidden/>
          </w:rPr>
        </w:r>
        <w:r>
          <w:rPr>
            <w:noProof/>
            <w:webHidden/>
          </w:rPr>
          <w:fldChar w:fldCharType="separate"/>
        </w:r>
        <w:r w:rsidR="003843F3">
          <w:rPr>
            <w:noProof/>
            <w:webHidden/>
          </w:rPr>
          <w:t>143</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97" w:history="1">
        <w:r w:rsidRPr="008014E5">
          <w:rPr>
            <w:rStyle w:val="Hypertextovodkaz"/>
          </w:rPr>
          <w:t>Tab. 7</w:t>
        </w:r>
        <w:r w:rsidRPr="008014E5">
          <w:rPr>
            <w:rStyle w:val="Hypertextovodkaz"/>
          </w:rPr>
          <w:noBreakHyphen/>
          <w:t>17: Přínosy z úspory času v tis. Kč (CÚ 2013)</w:t>
        </w:r>
        <w:r>
          <w:rPr>
            <w:noProof/>
            <w:webHidden/>
          </w:rPr>
          <w:tab/>
        </w:r>
        <w:r>
          <w:rPr>
            <w:noProof/>
            <w:webHidden/>
          </w:rPr>
          <w:fldChar w:fldCharType="begin"/>
        </w:r>
        <w:r>
          <w:rPr>
            <w:noProof/>
            <w:webHidden/>
          </w:rPr>
          <w:instrText xml:space="preserve"> PAGEREF _Toc391034597 \h </w:instrText>
        </w:r>
        <w:r>
          <w:rPr>
            <w:noProof/>
            <w:webHidden/>
          </w:rPr>
        </w:r>
        <w:r>
          <w:rPr>
            <w:noProof/>
            <w:webHidden/>
          </w:rPr>
          <w:fldChar w:fldCharType="separate"/>
        </w:r>
        <w:r w:rsidR="003843F3">
          <w:rPr>
            <w:noProof/>
            <w:webHidden/>
          </w:rPr>
          <w:t>144</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98" w:history="1">
        <w:r w:rsidRPr="008014E5">
          <w:rPr>
            <w:rStyle w:val="Hypertextovodkaz"/>
          </w:rPr>
          <w:t>Tab. 7</w:t>
        </w:r>
        <w:r w:rsidRPr="008014E5">
          <w:rPr>
            <w:rStyle w:val="Hypertextovodkaz"/>
          </w:rPr>
          <w:noBreakHyphen/>
          <w:t>18: Odhad průměrných vnějších nákladů na dopravu, CÚ 2004</w:t>
        </w:r>
        <w:r>
          <w:rPr>
            <w:noProof/>
            <w:webHidden/>
          </w:rPr>
          <w:tab/>
        </w:r>
        <w:r>
          <w:rPr>
            <w:noProof/>
            <w:webHidden/>
          </w:rPr>
          <w:fldChar w:fldCharType="begin"/>
        </w:r>
        <w:r>
          <w:rPr>
            <w:noProof/>
            <w:webHidden/>
          </w:rPr>
          <w:instrText xml:space="preserve"> PAGEREF _Toc391034598 \h </w:instrText>
        </w:r>
        <w:r>
          <w:rPr>
            <w:noProof/>
            <w:webHidden/>
          </w:rPr>
        </w:r>
        <w:r>
          <w:rPr>
            <w:noProof/>
            <w:webHidden/>
          </w:rPr>
          <w:fldChar w:fldCharType="separate"/>
        </w:r>
        <w:r w:rsidR="003843F3">
          <w:rPr>
            <w:noProof/>
            <w:webHidden/>
          </w:rPr>
          <w:t>145</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599" w:history="1">
        <w:r w:rsidRPr="008014E5">
          <w:rPr>
            <w:rStyle w:val="Hypertextovodkaz"/>
          </w:rPr>
          <w:t>Tab. 7</w:t>
        </w:r>
        <w:r w:rsidRPr="008014E5">
          <w:rPr>
            <w:rStyle w:val="Hypertextovodkaz"/>
          </w:rPr>
          <w:noBreakHyphen/>
          <w:t>19: Úspora vnějších nákladů v tis. Kč (CÚ 2013)</w:t>
        </w:r>
        <w:r>
          <w:rPr>
            <w:noProof/>
            <w:webHidden/>
          </w:rPr>
          <w:tab/>
        </w:r>
        <w:r>
          <w:rPr>
            <w:noProof/>
            <w:webHidden/>
          </w:rPr>
          <w:fldChar w:fldCharType="begin"/>
        </w:r>
        <w:r>
          <w:rPr>
            <w:noProof/>
            <w:webHidden/>
          </w:rPr>
          <w:instrText xml:space="preserve"> PAGEREF _Toc391034599 \h </w:instrText>
        </w:r>
        <w:r>
          <w:rPr>
            <w:noProof/>
            <w:webHidden/>
          </w:rPr>
        </w:r>
        <w:r>
          <w:rPr>
            <w:noProof/>
            <w:webHidden/>
          </w:rPr>
          <w:fldChar w:fldCharType="separate"/>
        </w:r>
        <w:r w:rsidR="003843F3">
          <w:rPr>
            <w:noProof/>
            <w:webHidden/>
          </w:rPr>
          <w:t>146</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600" w:history="1">
        <w:r w:rsidRPr="008014E5">
          <w:rPr>
            <w:rStyle w:val="Hypertextovodkaz"/>
          </w:rPr>
          <w:t>Tab. 7</w:t>
        </w:r>
        <w:r w:rsidRPr="008014E5">
          <w:rPr>
            <w:rStyle w:val="Hypertextovodkaz"/>
          </w:rPr>
          <w:noBreakHyphen/>
          <w:t>20: Přehled výsledků ekonomické analýzy</w:t>
        </w:r>
        <w:r>
          <w:rPr>
            <w:noProof/>
            <w:webHidden/>
          </w:rPr>
          <w:tab/>
        </w:r>
        <w:r>
          <w:rPr>
            <w:noProof/>
            <w:webHidden/>
          </w:rPr>
          <w:fldChar w:fldCharType="begin"/>
        </w:r>
        <w:r>
          <w:rPr>
            <w:noProof/>
            <w:webHidden/>
          </w:rPr>
          <w:instrText xml:space="preserve"> PAGEREF _Toc391034600 \h </w:instrText>
        </w:r>
        <w:r>
          <w:rPr>
            <w:noProof/>
            <w:webHidden/>
          </w:rPr>
        </w:r>
        <w:r>
          <w:rPr>
            <w:noProof/>
            <w:webHidden/>
          </w:rPr>
          <w:fldChar w:fldCharType="separate"/>
        </w:r>
        <w:r w:rsidR="003843F3">
          <w:rPr>
            <w:noProof/>
            <w:webHidden/>
          </w:rPr>
          <w:t>148</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601" w:history="1">
        <w:r w:rsidRPr="008014E5">
          <w:rPr>
            <w:rStyle w:val="Hypertextovodkaz"/>
          </w:rPr>
          <w:t>Tab. 7</w:t>
        </w:r>
        <w:r w:rsidRPr="008014E5">
          <w:rPr>
            <w:rStyle w:val="Hypertextovodkaz"/>
          </w:rPr>
          <w:noBreakHyphen/>
          <w:t>21: Ekonomická analýza varianta Minimální v tis. Kč (CÚ 2013)</w:t>
        </w:r>
        <w:r>
          <w:rPr>
            <w:noProof/>
            <w:webHidden/>
          </w:rPr>
          <w:tab/>
        </w:r>
        <w:r>
          <w:rPr>
            <w:noProof/>
            <w:webHidden/>
          </w:rPr>
          <w:fldChar w:fldCharType="begin"/>
        </w:r>
        <w:r>
          <w:rPr>
            <w:noProof/>
            <w:webHidden/>
          </w:rPr>
          <w:instrText xml:space="preserve"> PAGEREF _Toc391034601 \h </w:instrText>
        </w:r>
        <w:r>
          <w:rPr>
            <w:noProof/>
            <w:webHidden/>
          </w:rPr>
        </w:r>
        <w:r>
          <w:rPr>
            <w:noProof/>
            <w:webHidden/>
          </w:rPr>
          <w:fldChar w:fldCharType="separate"/>
        </w:r>
        <w:r w:rsidR="003843F3">
          <w:rPr>
            <w:noProof/>
            <w:webHidden/>
          </w:rPr>
          <w:t>149</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602" w:history="1">
        <w:r w:rsidRPr="008014E5">
          <w:rPr>
            <w:rStyle w:val="Hypertextovodkaz"/>
          </w:rPr>
          <w:t>Tab. 7</w:t>
        </w:r>
        <w:r w:rsidRPr="008014E5">
          <w:rPr>
            <w:rStyle w:val="Hypertextovodkaz"/>
          </w:rPr>
          <w:noBreakHyphen/>
          <w:t>22: Ekonomická analýza Etapa v tis. Kč (CÚ 2013)</w:t>
        </w:r>
        <w:r>
          <w:rPr>
            <w:noProof/>
            <w:webHidden/>
          </w:rPr>
          <w:tab/>
        </w:r>
        <w:r>
          <w:rPr>
            <w:noProof/>
            <w:webHidden/>
          </w:rPr>
          <w:fldChar w:fldCharType="begin"/>
        </w:r>
        <w:r>
          <w:rPr>
            <w:noProof/>
            <w:webHidden/>
          </w:rPr>
          <w:instrText xml:space="preserve"> PAGEREF _Toc391034602 \h </w:instrText>
        </w:r>
        <w:r>
          <w:rPr>
            <w:noProof/>
            <w:webHidden/>
          </w:rPr>
        </w:r>
        <w:r>
          <w:rPr>
            <w:noProof/>
            <w:webHidden/>
          </w:rPr>
          <w:fldChar w:fldCharType="separate"/>
        </w:r>
        <w:r w:rsidR="003843F3">
          <w:rPr>
            <w:noProof/>
            <w:webHidden/>
          </w:rPr>
          <w:t>150</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603" w:history="1">
        <w:r w:rsidRPr="008014E5">
          <w:rPr>
            <w:rStyle w:val="Hypertextovodkaz"/>
          </w:rPr>
          <w:t>Tab. 7</w:t>
        </w:r>
        <w:r w:rsidRPr="008014E5">
          <w:rPr>
            <w:rStyle w:val="Hypertextovodkaz"/>
          </w:rPr>
          <w:noBreakHyphen/>
          <w:t>23: Ekonomická analýza varianta Maximální v tis. Kč (CÚ 2013)</w:t>
        </w:r>
        <w:r>
          <w:rPr>
            <w:noProof/>
            <w:webHidden/>
          </w:rPr>
          <w:tab/>
        </w:r>
        <w:r>
          <w:rPr>
            <w:noProof/>
            <w:webHidden/>
          </w:rPr>
          <w:fldChar w:fldCharType="begin"/>
        </w:r>
        <w:r>
          <w:rPr>
            <w:noProof/>
            <w:webHidden/>
          </w:rPr>
          <w:instrText xml:space="preserve"> PAGEREF _Toc391034603 \h </w:instrText>
        </w:r>
        <w:r>
          <w:rPr>
            <w:noProof/>
            <w:webHidden/>
          </w:rPr>
        </w:r>
        <w:r>
          <w:rPr>
            <w:noProof/>
            <w:webHidden/>
          </w:rPr>
          <w:fldChar w:fldCharType="separate"/>
        </w:r>
        <w:r w:rsidR="003843F3">
          <w:rPr>
            <w:noProof/>
            <w:webHidden/>
          </w:rPr>
          <w:t>151</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604" w:history="1">
        <w:r w:rsidRPr="008014E5">
          <w:rPr>
            <w:rStyle w:val="Hypertextovodkaz"/>
          </w:rPr>
          <w:t>Tab. 7</w:t>
        </w:r>
        <w:r w:rsidRPr="008014E5">
          <w:rPr>
            <w:rStyle w:val="Hypertextovodkaz"/>
          </w:rPr>
          <w:noBreakHyphen/>
          <w:t>24: Elasticita proměnných - finanční a ekonomická analýza</w:t>
        </w:r>
        <w:r>
          <w:rPr>
            <w:noProof/>
            <w:webHidden/>
          </w:rPr>
          <w:tab/>
        </w:r>
        <w:r>
          <w:rPr>
            <w:noProof/>
            <w:webHidden/>
          </w:rPr>
          <w:fldChar w:fldCharType="begin"/>
        </w:r>
        <w:r>
          <w:rPr>
            <w:noProof/>
            <w:webHidden/>
          </w:rPr>
          <w:instrText xml:space="preserve"> PAGEREF _Toc391034604 \h </w:instrText>
        </w:r>
        <w:r>
          <w:rPr>
            <w:noProof/>
            <w:webHidden/>
          </w:rPr>
        </w:r>
        <w:r>
          <w:rPr>
            <w:noProof/>
            <w:webHidden/>
          </w:rPr>
          <w:fldChar w:fldCharType="separate"/>
        </w:r>
        <w:r w:rsidR="003843F3">
          <w:rPr>
            <w:noProof/>
            <w:webHidden/>
          </w:rPr>
          <w:t>152</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605" w:history="1">
        <w:r w:rsidRPr="008014E5">
          <w:rPr>
            <w:rStyle w:val="Hypertextovodkaz"/>
          </w:rPr>
          <w:t>Tab. 7</w:t>
        </w:r>
        <w:r w:rsidRPr="008014E5">
          <w:rPr>
            <w:rStyle w:val="Hypertextovodkaz"/>
          </w:rPr>
          <w:noBreakHyphen/>
          <w:t>25: Citlivostní analýza pro FRR a ERR</w:t>
        </w:r>
        <w:r>
          <w:rPr>
            <w:noProof/>
            <w:webHidden/>
          </w:rPr>
          <w:tab/>
        </w:r>
        <w:r>
          <w:rPr>
            <w:noProof/>
            <w:webHidden/>
          </w:rPr>
          <w:fldChar w:fldCharType="begin"/>
        </w:r>
        <w:r>
          <w:rPr>
            <w:noProof/>
            <w:webHidden/>
          </w:rPr>
          <w:instrText xml:space="preserve"> PAGEREF _Toc391034605 \h </w:instrText>
        </w:r>
        <w:r>
          <w:rPr>
            <w:noProof/>
            <w:webHidden/>
          </w:rPr>
        </w:r>
        <w:r>
          <w:rPr>
            <w:noProof/>
            <w:webHidden/>
          </w:rPr>
          <w:fldChar w:fldCharType="separate"/>
        </w:r>
        <w:r w:rsidR="003843F3">
          <w:rPr>
            <w:noProof/>
            <w:webHidden/>
          </w:rPr>
          <w:t>153</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606" w:history="1">
        <w:r w:rsidRPr="008014E5">
          <w:rPr>
            <w:rStyle w:val="Hypertextovodkaz"/>
          </w:rPr>
          <w:t>Tab. 7</w:t>
        </w:r>
        <w:r w:rsidRPr="008014E5">
          <w:rPr>
            <w:rStyle w:val="Hypertextovodkaz"/>
          </w:rPr>
          <w:noBreakHyphen/>
          <w:t>26: Přepínací hodnota kritických proměnných (ekonomická analýza)</w:t>
        </w:r>
        <w:r>
          <w:rPr>
            <w:noProof/>
            <w:webHidden/>
          </w:rPr>
          <w:tab/>
        </w:r>
        <w:r>
          <w:rPr>
            <w:noProof/>
            <w:webHidden/>
          </w:rPr>
          <w:fldChar w:fldCharType="begin"/>
        </w:r>
        <w:r>
          <w:rPr>
            <w:noProof/>
            <w:webHidden/>
          </w:rPr>
          <w:instrText xml:space="preserve"> PAGEREF _Toc391034606 \h </w:instrText>
        </w:r>
        <w:r>
          <w:rPr>
            <w:noProof/>
            <w:webHidden/>
          </w:rPr>
        </w:r>
        <w:r>
          <w:rPr>
            <w:noProof/>
            <w:webHidden/>
          </w:rPr>
          <w:fldChar w:fldCharType="separate"/>
        </w:r>
        <w:r w:rsidR="003843F3">
          <w:rPr>
            <w:noProof/>
            <w:webHidden/>
          </w:rPr>
          <w:t>155</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607" w:history="1">
        <w:r w:rsidRPr="008014E5">
          <w:rPr>
            <w:rStyle w:val="Hypertextovodkaz"/>
          </w:rPr>
          <w:t>Tab. 7</w:t>
        </w:r>
        <w:r w:rsidRPr="008014E5">
          <w:rPr>
            <w:rStyle w:val="Hypertextovodkaz"/>
          </w:rPr>
          <w:noBreakHyphen/>
          <w:t>27: Přehled výsledků</w:t>
        </w:r>
        <w:r>
          <w:rPr>
            <w:noProof/>
            <w:webHidden/>
          </w:rPr>
          <w:tab/>
        </w:r>
        <w:r>
          <w:rPr>
            <w:noProof/>
            <w:webHidden/>
          </w:rPr>
          <w:fldChar w:fldCharType="begin"/>
        </w:r>
        <w:r>
          <w:rPr>
            <w:noProof/>
            <w:webHidden/>
          </w:rPr>
          <w:instrText xml:space="preserve"> PAGEREF _Toc391034607 \h </w:instrText>
        </w:r>
        <w:r>
          <w:rPr>
            <w:noProof/>
            <w:webHidden/>
          </w:rPr>
        </w:r>
        <w:r>
          <w:rPr>
            <w:noProof/>
            <w:webHidden/>
          </w:rPr>
          <w:fldChar w:fldCharType="separate"/>
        </w:r>
        <w:r w:rsidR="003843F3">
          <w:rPr>
            <w:noProof/>
            <w:webHidden/>
          </w:rPr>
          <w:t>156</w:t>
        </w:r>
        <w:r>
          <w:rPr>
            <w:noProof/>
            <w:webHidden/>
          </w:rPr>
          <w:fldChar w:fldCharType="end"/>
        </w:r>
      </w:hyperlink>
    </w:p>
    <w:p w:rsidR="000E79AE"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1034608" w:history="1">
        <w:r w:rsidRPr="008014E5">
          <w:rPr>
            <w:rStyle w:val="Hypertextovodkaz"/>
          </w:rPr>
          <w:t>Tab. 8</w:t>
        </w:r>
        <w:r w:rsidRPr="008014E5">
          <w:rPr>
            <w:rStyle w:val="Hypertextovodkaz"/>
          </w:rPr>
          <w:noBreakHyphen/>
          <w:t>1: Srovnání přínosů jednotlivých variant</w:t>
        </w:r>
        <w:r>
          <w:rPr>
            <w:noProof/>
            <w:webHidden/>
          </w:rPr>
          <w:tab/>
        </w:r>
        <w:r>
          <w:rPr>
            <w:noProof/>
            <w:webHidden/>
          </w:rPr>
          <w:fldChar w:fldCharType="begin"/>
        </w:r>
        <w:r>
          <w:rPr>
            <w:noProof/>
            <w:webHidden/>
          </w:rPr>
          <w:instrText xml:space="preserve"> PAGEREF _Toc391034608 \h </w:instrText>
        </w:r>
        <w:r>
          <w:rPr>
            <w:noProof/>
            <w:webHidden/>
          </w:rPr>
        </w:r>
        <w:r>
          <w:rPr>
            <w:noProof/>
            <w:webHidden/>
          </w:rPr>
          <w:fldChar w:fldCharType="separate"/>
        </w:r>
        <w:r w:rsidR="003843F3">
          <w:rPr>
            <w:noProof/>
            <w:webHidden/>
          </w:rPr>
          <w:t>159</w:t>
        </w:r>
        <w:r>
          <w:rPr>
            <w:noProof/>
            <w:webHidden/>
          </w:rPr>
          <w:fldChar w:fldCharType="end"/>
        </w:r>
      </w:hyperlink>
    </w:p>
    <w:p w:rsidR="00225B27" w:rsidRPr="000E79AE" w:rsidRDefault="000E79AE" w:rsidP="000E79AE">
      <w:r>
        <w:fldChar w:fldCharType="end"/>
      </w:r>
    </w:p>
    <w:p w:rsidR="00225B27" w:rsidRPr="009C3A91" w:rsidRDefault="00225B27">
      <w:pPr>
        <w:rPr>
          <w:b/>
          <w:bCs/>
          <w:sz w:val="32"/>
          <w:lang w:val="pl-PL"/>
        </w:rPr>
      </w:pPr>
      <w:r w:rsidRPr="009C3A91">
        <w:rPr>
          <w:lang w:val="pl-PL"/>
        </w:rPr>
        <w:br w:type="page"/>
      </w:r>
      <w:r w:rsidRPr="009C3A91">
        <w:rPr>
          <w:b/>
          <w:bCs/>
          <w:sz w:val="32"/>
          <w:lang w:val="pl-PL"/>
        </w:rPr>
        <w:lastRenderedPageBreak/>
        <w:t>SEZNAM OBRÁZKŮ</w:t>
      </w:r>
    </w:p>
    <w:p w:rsidR="00CF2E45" w:rsidRDefault="00AC5CDF">
      <w:pPr>
        <w:pStyle w:val="Seznamobrzk"/>
        <w:tabs>
          <w:tab w:val="right" w:leader="dot" w:pos="9343"/>
        </w:tabs>
        <w:rPr>
          <w:rFonts w:asciiTheme="minorHAnsi" w:eastAsiaTheme="minorEastAsia" w:hAnsiTheme="minorHAnsi" w:cstheme="minorBidi"/>
          <w:noProof/>
          <w:sz w:val="22"/>
          <w:szCs w:val="22"/>
          <w:lang w:eastAsia="cs-CZ"/>
        </w:rPr>
      </w:pPr>
      <w:r w:rsidRPr="008A4204">
        <w:fldChar w:fldCharType="begin"/>
      </w:r>
      <w:r w:rsidR="00225B27" w:rsidRPr="008A4204">
        <w:instrText xml:space="preserve"> TOC \h \z \c "Obr." </w:instrText>
      </w:r>
      <w:r w:rsidRPr="008A4204">
        <w:fldChar w:fldCharType="separate"/>
      </w:r>
      <w:hyperlink w:anchor="_Toc390958805" w:history="1">
        <w:r w:rsidR="00CF2E45" w:rsidRPr="006C6410">
          <w:rPr>
            <w:rStyle w:val="Hypertextovodkaz"/>
          </w:rPr>
          <w:t>Obr. 1</w:t>
        </w:r>
        <w:r w:rsidR="00CF2E45" w:rsidRPr="006C6410">
          <w:rPr>
            <w:rStyle w:val="Hypertextovodkaz"/>
          </w:rPr>
          <w:noBreakHyphen/>
          <w:t>1: Možné řešení přednádražního prostoru - vizualizace</w:t>
        </w:r>
        <w:r w:rsidR="00CF2E45">
          <w:rPr>
            <w:noProof/>
            <w:webHidden/>
          </w:rPr>
          <w:tab/>
        </w:r>
        <w:r w:rsidR="00CF2E45">
          <w:rPr>
            <w:noProof/>
            <w:webHidden/>
          </w:rPr>
          <w:fldChar w:fldCharType="begin"/>
        </w:r>
        <w:r w:rsidR="00CF2E45">
          <w:rPr>
            <w:noProof/>
            <w:webHidden/>
          </w:rPr>
          <w:instrText xml:space="preserve"> PAGEREF _Toc390958805 \h </w:instrText>
        </w:r>
        <w:r w:rsidR="00CF2E45">
          <w:rPr>
            <w:noProof/>
            <w:webHidden/>
          </w:rPr>
        </w:r>
        <w:r w:rsidR="00CF2E45">
          <w:rPr>
            <w:noProof/>
            <w:webHidden/>
          </w:rPr>
          <w:fldChar w:fldCharType="separate"/>
        </w:r>
        <w:r w:rsidR="003843F3">
          <w:rPr>
            <w:noProof/>
            <w:webHidden/>
          </w:rPr>
          <w:t>18</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06" w:history="1">
        <w:r w:rsidR="00CF2E45" w:rsidRPr="006C6410">
          <w:rPr>
            <w:rStyle w:val="Hypertextovodkaz"/>
          </w:rPr>
          <w:t>Obr. 2</w:t>
        </w:r>
        <w:r w:rsidR="00CF2E45" w:rsidRPr="006C6410">
          <w:rPr>
            <w:rStyle w:val="Hypertextovodkaz"/>
          </w:rPr>
          <w:noBreakHyphen/>
          <w:t>1: Přepravní výkony na relaci H. Králové – Pardubice (os.km/rok)</w:t>
        </w:r>
        <w:r w:rsidR="00CF2E45">
          <w:rPr>
            <w:noProof/>
            <w:webHidden/>
          </w:rPr>
          <w:tab/>
        </w:r>
        <w:r w:rsidR="00CF2E45">
          <w:rPr>
            <w:noProof/>
            <w:webHidden/>
          </w:rPr>
          <w:fldChar w:fldCharType="begin"/>
        </w:r>
        <w:r w:rsidR="00CF2E45">
          <w:rPr>
            <w:noProof/>
            <w:webHidden/>
          </w:rPr>
          <w:instrText xml:space="preserve"> PAGEREF _Toc390958806 \h </w:instrText>
        </w:r>
        <w:r w:rsidR="00CF2E45">
          <w:rPr>
            <w:noProof/>
            <w:webHidden/>
          </w:rPr>
        </w:r>
        <w:r w:rsidR="00CF2E45">
          <w:rPr>
            <w:noProof/>
            <w:webHidden/>
          </w:rPr>
          <w:fldChar w:fldCharType="separate"/>
        </w:r>
        <w:r w:rsidR="003843F3">
          <w:rPr>
            <w:noProof/>
            <w:webHidden/>
          </w:rPr>
          <w:t>23</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07" w:history="1">
        <w:r w:rsidR="00CF2E45" w:rsidRPr="006C6410">
          <w:rPr>
            <w:rStyle w:val="Hypertextovodkaz"/>
          </w:rPr>
          <w:t>Obr. 3</w:t>
        </w:r>
        <w:r w:rsidR="00CF2E45" w:rsidRPr="006C6410">
          <w:rPr>
            <w:rStyle w:val="Hypertextovodkaz"/>
          </w:rPr>
          <w:noBreakHyphen/>
          <w:t>1: Přehledná situace úseku Pardubice hl. n. – Hradec Králové hl. n.</w:t>
        </w:r>
        <w:r w:rsidR="00CF2E45">
          <w:rPr>
            <w:noProof/>
            <w:webHidden/>
          </w:rPr>
          <w:tab/>
        </w:r>
        <w:r w:rsidR="00CF2E45">
          <w:rPr>
            <w:noProof/>
            <w:webHidden/>
          </w:rPr>
          <w:fldChar w:fldCharType="begin"/>
        </w:r>
        <w:r w:rsidR="00CF2E45">
          <w:rPr>
            <w:noProof/>
            <w:webHidden/>
          </w:rPr>
          <w:instrText xml:space="preserve"> PAGEREF _Toc390958807 \h </w:instrText>
        </w:r>
        <w:r w:rsidR="00CF2E45">
          <w:rPr>
            <w:noProof/>
            <w:webHidden/>
          </w:rPr>
        </w:r>
        <w:r w:rsidR="00CF2E45">
          <w:rPr>
            <w:noProof/>
            <w:webHidden/>
          </w:rPr>
          <w:fldChar w:fldCharType="separate"/>
        </w:r>
        <w:r w:rsidR="003843F3">
          <w:rPr>
            <w:noProof/>
            <w:webHidden/>
          </w:rPr>
          <w:t>26</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08" w:history="1">
        <w:r w:rsidR="00CF2E45" w:rsidRPr="006C6410">
          <w:rPr>
            <w:rStyle w:val="Hypertextovodkaz"/>
          </w:rPr>
          <w:t>Obr. 3</w:t>
        </w:r>
        <w:r w:rsidR="00CF2E45" w:rsidRPr="006C6410">
          <w:rPr>
            <w:rStyle w:val="Hypertextovodkaz"/>
          </w:rPr>
          <w:noBreakHyphen/>
          <w:t>2: Schéma úseku Pardubice hl. n. – Pardubice-Rosice nad Labem (var. BP)</w:t>
        </w:r>
        <w:r w:rsidR="00CF2E45">
          <w:rPr>
            <w:noProof/>
            <w:webHidden/>
          </w:rPr>
          <w:tab/>
        </w:r>
        <w:r w:rsidR="00CF2E45">
          <w:rPr>
            <w:noProof/>
            <w:webHidden/>
          </w:rPr>
          <w:fldChar w:fldCharType="begin"/>
        </w:r>
        <w:r w:rsidR="00CF2E45">
          <w:rPr>
            <w:noProof/>
            <w:webHidden/>
          </w:rPr>
          <w:instrText xml:space="preserve"> PAGEREF _Toc390958808 \h </w:instrText>
        </w:r>
        <w:r w:rsidR="00CF2E45">
          <w:rPr>
            <w:noProof/>
            <w:webHidden/>
          </w:rPr>
        </w:r>
        <w:r w:rsidR="00CF2E45">
          <w:rPr>
            <w:noProof/>
            <w:webHidden/>
          </w:rPr>
          <w:fldChar w:fldCharType="separate"/>
        </w:r>
        <w:r w:rsidR="003843F3">
          <w:rPr>
            <w:noProof/>
            <w:webHidden/>
          </w:rPr>
          <w:t>34</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09" w:history="1">
        <w:r w:rsidR="00CF2E45" w:rsidRPr="006C6410">
          <w:rPr>
            <w:rStyle w:val="Hypertextovodkaz"/>
          </w:rPr>
          <w:t>Obr. 3</w:t>
        </w:r>
        <w:r w:rsidR="00CF2E45" w:rsidRPr="006C6410">
          <w:rPr>
            <w:rStyle w:val="Hypertextovodkaz"/>
          </w:rPr>
          <w:noBreakHyphen/>
          <w:t>3: Schéma žst. Stéblová (var. BP)</w:t>
        </w:r>
        <w:r w:rsidR="00CF2E45">
          <w:rPr>
            <w:noProof/>
            <w:webHidden/>
          </w:rPr>
          <w:tab/>
        </w:r>
        <w:r w:rsidR="00CF2E45">
          <w:rPr>
            <w:noProof/>
            <w:webHidden/>
          </w:rPr>
          <w:fldChar w:fldCharType="begin"/>
        </w:r>
        <w:r w:rsidR="00CF2E45">
          <w:rPr>
            <w:noProof/>
            <w:webHidden/>
          </w:rPr>
          <w:instrText xml:space="preserve"> PAGEREF _Toc390958809 \h </w:instrText>
        </w:r>
        <w:r w:rsidR="00CF2E45">
          <w:rPr>
            <w:noProof/>
            <w:webHidden/>
          </w:rPr>
        </w:r>
        <w:r w:rsidR="00CF2E45">
          <w:rPr>
            <w:noProof/>
            <w:webHidden/>
          </w:rPr>
          <w:fldChar w:fldCharType="separate"/>
        </w:r>
        <w:r w:rsidR="003843F3">
          <w:rPr>
            <w:noProof/>
            <w:webHidden/>
          </w:rPr>
          <w:t>34</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10" w:history="1">
        <w:r w:rsidR="00CF2E45" w:rsidRPr="006C6410">
          <w:rPr>
            <w:rStyle w:val="Hypertextovodkaz"/>
          </w:rPr>
          <w:t>Obr. 3</w:t>
        </w:r>
        <w:r w:rsidR="00CF2E45" w:rsidRPr="006C6410">
          <w:rPr>
            <w:rStyle w:val="Hypertextovodkaz"/>
          </w:rPr>
          <w:noBreakHyphen/>
          <w:t>4: Schéma žst. Opatovice nad Labem (var. BP)</w:t>
        </w:r>
        <w:r w:rsidR="00CF2E45">
          <w:rPr>
            <w:noProof/>
            <w:webHidden/>
          </w:rPr>
          <w:tab/>
        </w:r>
        <w:r w:rsidR="00CF2E45">
          <w:rPr>
            <w:noProof/>
            <w:webHidden/>
          </w:rPr>
          <w:fldChar w:fldCharType="begin"/>
        </w:r>
        <w:r w:rsidR="00CF2E45">
          <w:rPr>
            <w:noProof/>
            <w:webHidden/>
          </w:rPr>
          <w:instrText xml:space="preserve"> PAGEREF _Toc390958810 \h </w:instrText>
        </w:r>
        <w:r w:rsidR="00CF2E45">
          <w:rPr>
            <w:noProof/>
            <w:webHidden/>
          </w:rPr>
        </w:r>
        <w:r w:rsidR="00CF2E45">
          <w:rPr>
            <w:noProof/>
            <w:webHidden/>
          </w:rPr>
          <w:fldChar w:fldCharType="separate"/>
        </w:r>
        <w:r w:rsidR="003843F3">
          <w:rPr>
            <w:noProof/>
            <w:webHidden/>
          </w:rPr>
          <w:t>35</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11" w:history="1">
        <w:r w:rsidR="00CF2E45" w:rsidRPr="006C6410">
          <w:rPr>
            <w:rStyle w:val="Hypertextovodkaz"/>
          </w:rPr>
          <w:t>Obr. 3</w:t>
        </w:r>
        <w:r w:rsidR="00CF2E45" w:rsidRPr="006C6410">
          <w:rPr>
            <w:rStyle w:val="Hypertextovodkaz"/>
          </w:rPr>
          <w:noBreakHyphen/>
          <w:t>5: Schéma žst. Hradec Králové (var. BP)</w:t>
        </w:r>
        <w:r w:rsidR="00CF2E45">
          <w:rPr>
            <w:noProof/>
            <w:webHidden/>
          </w:rPr>
          <w:tab/>
        </w:r>
        <w:r w:rsidR="00CF2E45">
          <w:rPr>
            <w:noProof/>
            <w:webHidden/>
          </w:rPr>
          <w:fldChar w:fldCharType="begin"/>
        </w:r>
        <w:r w:rsidR="00CF2E45">
          <w:rPr>
            <w:noProof/>
            <w:webHidden/>
          </w:rPr>
          <w:instrText xml:space="preserve"> PAGEREF _Toc390958811 \h </w:instrText>
        </w:r>
        <w:r w:rsidR="00CF2E45">
          <w:rPr>
            <w:noProof/>
            <w:webHidden/>
          </w:rPr>
        </w:r>
        <w:r w:rsidR="00CF2E45">
          <w:rPr>
            <w:noProof/>
            <w:webHidden/>
          </w:rPr>
          <w:fldChar w:fldCharType="separate"/>
        </w:r>
        <w:r w:rsidR="003843F3">
          <w:rPr>
            <w:noProof/>
            <w:webHidden/>
          </w:rPr>
          <w:t>35</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12" w:history="1">
        <w:r w:rsidR="00CF2E45" w:rsidRPr="006C6410">
          <w:rPr>
            <w:rStyle w:val="Hypertextovodkaz"/>
          </w:rPr>
          <w:t>Obr. 3</w:t>
        </w:r>
        <w:r w:rsidR="00CF2E45" w:rsidRPr="006C6410">
          <w:rPr>
            <w:rStyle w:val="Hypertextovodkaz"/>
          </w:rPr>
          <w:noBreakHyphen/>
          <w:t>6: Schéma úseku Pardubice hl. n. – Pardubice-Rosice nad Labem (var. MIN)</w:t>
        </w:r>
        <w:r w:rsidR="00CF2E45">
          <w:rPr>
            <w:noProof/>
            <w:webHidden/>
          </w:rPr>
          <w:tab/>
        </w:r>
        <w:r w:rsidR="00CF2E45">
          <w:rPr>
            <w:noProof/>
            <w:webHidden/>
          </w:rPr>
          <w:fldChar w:fldCharType="begin"/>
        </w:r>
        <w:r w:rsidR="00CF2E45">
          <w:rPr>
            <w:noProof/>
            <w:webHidden/>
          </w:rPr>
          <w:instrText xml:space="preserve"> PAGEREF _Toc390958812 \h </w:instrText>
        </w:r>
        <w:r w:rsidR="00CF2E45">
          <w:rPr>
            <w:noProof/>
            <w:webHidden/>
          </w:rPr>
        </w:r>
        <w:r w:rsidR="00CF2E45">
          <w:rPr>
            <w:noProof/>
            <w:webHidden/>
          </w:rPr>
          <w:fldChar w:fldCharType="separate"/>
        </w:r>
        <w:r w:rsidR="003843F3">
          <w:rPr>
            <w:noProof/>
            <w:webHidden/>
          </w:rPr>
          <w:t>42</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13" w:history="1">
        <w:r w:rsidR="00CF2E45" w:rsidRPr="006C6410">
          <w:rPr>
            <w:rStyle w:val="Hypertextovodkaz"/>
          </w:rPr>
          <w:t>Obr. 3</w:t>
        </w:r>
        <w:r w:rsidR="00CF2E45" w:rsidRPr="006C6410">
          <w:rPr>
            <w:rStyle w:val="Hypertextovodkaz"/>
          </w:rPr>
          <w:noBreakHyphen/>
          <w:t>7: Schéma žst. Stéblová (var. MIN)</w:t>
        </w:r>
        <w:r w:rsidR="00CF2E45">
          <w:rPr>
            <w:noProof/>
            <w:webHidden/>
          </w:rPr>
          <w:tab/>
        </w:r>
        <w:r w:rsidR="00CF2E45">
          <w:rPr>
            <w:noProof/>
            <w:webHidden/>
          </w:rPr>
          <w:fldChar w:fldCharType="begin"/>
        </w:r>
        <w:r w:rsidR="00CF2E45">
          <w:rPr>
            <w:noProof/>
            <w:webHidden/>
          </w:rPr>
          <w:instrText xml:space="preserve"> PAGEREF _Toc390958813 \h </w:instrText>
        </w:r>
        <w:r w:rsidR="00CF2E45">
          <w:rPr>
            <w:noProof/>
            <w:webHidden/>
          </w:rPr>
        </w:r>
        <w:r w:rsidR="00CF2E45">
          <w:rPr>
            <w:noProof/>
            <w:webHidden/>
          </w:rPr>
          <w:fldChar w:fldCharType="separate"/>
        </w:r>
        <w:r w:rsidR="003843F3">
          <w:rPr>
            <w:noProof/>
            <w:webHidden/>
          </w:rPr>
          <w:t>44</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14" w:history="1">
        <w:r w:rsidR="00CF2E45" w:rsidRPr="006C6410">
          <w:rPr>
            <w:rStyle w:val="Hypertextovodkaz"/>
          </w:rPr>
          <w:t>Obr. 3</w:t>
        </w:r>
        <w:r w:rsidR="00CF2E45" w:rsidRPr="006C6410">
          <w:rPr>
            <w:rStyle w:val="Hypertextovodkaz"/>
          </w:rPr>
          <w:noBreakHyphen/>
          <w:t>8: Schéma žst. Opatovice nad Labem (var. MIN)</w:t>
        </w:r>
        <w:r w:rsidR="00CF2E45">
          <w:rPr>
            <w:noProof/>
            <w:webHidden/>
          </w:rPr>
          <w:tab/>
        </w:r>
        <w:r w:rsidR="00CF2E45">
          <w:rPr>
            <w:noProof/>
            <w:webHidden/>
          </w:rPr>
          <w:fldChar w:fldCharType="begin"/>
        </w:r>
        <w:r w:rsidR="00CF2E45">
          <w:rPr>
            <w:noProof/>
            <w:webHidden/>
          </w:rPr>
          <w:instrText xml:space="preserve"> PAGEREF _Toc390958814 \h </w:instrText>
        </w:r>
        <w:r w:rsidR="00CF2E45">
          <w:rPr>
            <w:noProof/>
            <w:webHidden/>
          </w:rPr>
        </w:r>
        <w:r w:rsidR="00CF2E45">
          <w:rPr>
            <w:noProof/>
            <w:webHidden/>
          </w:rPr>
          <w:fldChar w:fldCharType="separate"/>
        </w:r>
        <w:r w:rsidR="003843F3">
          <w:rPr>
            <w:noProof/>
            <w:webHidden/>
          </w:rPr>
          <w:t>44</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15" w:history="1">
        <w:r w:rsidR="00CF2E45" w:rsidRPr="006C6410">
          <w:rPr>
            <w:rStyle w:val="Hypertextovodkaz"/>
          </w:rPr>
          <w:t>Obr. 3</w:t>
        </w:r>
        <w:r w:rsidR="00CF2E45" w:rsidRPr="006C6410">
          <w:rPr>
            <w:rStyle w:val="Hypertextovodkaz"/>
          </w:rPr>
          <w:noBreakHyphen/>
          <w:t>9: Schéma žst. Hradec Králové (var. MIN)</w:t>
        </w:r>
        <w:r w:rsidR="00CF2E45">
          <w:rPr>
            <w:noProof/>
            <w:webHidden/>
          </w:rPr>
          <w:tab/>
        </w:r>
        <w:r w:rsidR="00CF2E45">
          <w:rPr>
            <w:noProof/>
            <w:webHidden/>
          </w:rPr>
          <w:fldChar w:fldCharType="begin"/>
        </w:r>
        <w:r w:rsidR="00CF2E45">
          <w:rPr>
            <w:noProof/>
            <w:webHidden/>
          </w:rPr>
          <w:instrText xml:space="preserve"> PAGEREF _Toc390958815 \h </w:instrText>
        </w:r>
        <w:r w:rsidR="00CF2E45">
          <w:rPr>
            <w:noProof/>
            <w:webHidden/>
          </w:rPr>
        </w:r>
        <w:r w:rsidR="00CF2E45">
          <w:rPr>
            <w:noProof/>
            <w:webHidden/>
          </w:rPr>
          <w:fldChar w:fldCharType="separate"/>
        </w:r>
        <w:r w:rsidR="003843F3">
          <w:rPr>
            <w:noProof/>
            <w:webHidden/>
          </w:rPr>
          <w:t>45</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16" w:history="1">
        <w:r w:rsidR="00CF2E45" w:rsidRPr="006C6410">
          <w:rPr>
            <w:rStyle w:val="Hypertextovodkaz"/>
          </w:rPr>
          <w:t>Obr. 3</w:t>
        </w:r>
        <w:r w:rsidR="00CF2E45" w:rsidRPr="006C6410">
          <w:rPr>
            <w:rStyle w:val="Hypertextovodkaz"/>
          </w:rPr>
          <w:noBreakHyphen/>
          <w:t>10: Schéma úseku Pardubice hl. n. – Pardubice-Rosice nad Labem (Etapa)</w:t>
        </w:r>
        <w:r w:rsidR="00CF2E45">
          <w:rPr>
            <w:noProof/>
            <w:webHidden/>
          </w:rPr>
          <w:tab/>
        </w:r>
        <w:r w:rsidR="00CF2E45">
          <w:rPr>
            <w:noProof/>
            <w:webHidden/>
          </w:rPr>
          <w:fldChar w:fldCharType="begin"/>
        </w:r>
        <w:r w:rsidR="00CF2E45">
          <w:rPr>
            <w:noProof/>
            <w:webHidden/>
          </w:rPr>
          <w:instrText xml:space="preserve"> PAGEREF _Toc390958816 \h </w:instrText>
        </w:r>
        <w:r w:rsidR="00CF2E45">
          <w:rPr>
            <w:noProof/>
            <w:webHidden/>
          </w:rPr>
        </w:r>
        <w:r w:rsidR="00CF2E45">
          <w:rPr>
            <w:noProof/>
            <w:webHidden/>
          </w:rPr>
          <w:fldChar w:fldCharType="separate"/>
        </w:r>
        <w:r w:rsidR="003843F3">
          <w:rPr>
            <w:noProof/>
            <w:webHidden/>
          </w:rPr>
          <w:t>48</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17" w:history="1">
        <w:r w:rsidR="00CF2E45" w:rsidRPr="006C6410">
          <w:rPr>
            <w:rStyle w:val="Hypertextovodkaz"/>
          </w:rPr>
          <w:t>Obr. 3</w:t>
        </w:r>
        <w:r w:rsidR="00CF2E45" w:rsidRPr="006C6410">
          <w:rPr>
            <w:rStyle w:val="Hypertextovodkaz"/>
          </w:rPr>
          <w:noBreakHyphen/>
          <w:t>11: Schéma žst. Stéblová (Etapa)</w:t>
        </w:r>
        <w:r w:rsidR="00CF2E45">
          <w:rPr>
            <w:noProof/>
            <w:webHidden/>
          </w:rPr>
          <w:tab/>
        </w:r>
        <w:r w:rsidR="00CF2E45">
          <w:rPr>
            <w:noProof/>
            <w:webHidden/>
          </w:rPr>
          <w:fldChar w:fldCharType="begin"/>
        </w:r>
        <w:r w:rsidR="00CF2E45">
          <w:rPr>
            <w:noProof/>
            <w:webHidden/>
          </w:rPr>
          <w:instrText xml:space="preserve"> PAGEREF _Toc390958817 \h </w:instrText>
        </w:r>
        <w:r w:rsidR="00CF2E45">
          <w:rPr>
            <w:noProof/>
            <w:webHidden/>
          </w:rPr>
        </w:r>
        <w:r w:rsidR="00CF2E45">
          <w:rPr>
            <w:noProof/>
            <w:webHidden/>
          </w:rPr>
          <w:fldChar w:fldCharType="separate"/>
        </w:r>
        <w:r w:rsidR="003843F3">
          <w:rPr>
            <w:noProof/>
            <w:webHidden/>
          </w:rPr>
          <w:t>49</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18" w:history="1">
        <w:r w:rsidR="00CF2E45" w:rsidRPr="006C6410">
          <w:rPr>
            <w:rStyle w:val="Hypertextovodkaz"/>
          </w:rPr>
          <w:t>Obr. 3</w:t>
        </w:r>
        <w:r w:rsidR="00CF2E45" w:rsidRPr="006C6410">
          <w:rPr>
            <w:rStyle w:val="Hypertextovodkaz"/>
          </w:rPr>
          <w:noBreakHyphen/>
          <w:t>12: Schéma žst. Opatovice nad Labem (Etapa)</w:t>
        </w:r>
        <w:r w:rsidR="00CF2E45">
          <w:rPr>
            <w:noProof/>
            <w:webHidden/>
          </w:rPr>
          <w:tab/>
        </w:r>
        <w:r w:rsidR="00CF2E45">
          <w:rPr>
            <w:noProof/>
            <w:webHidden/>
          </w:rPr>
          <w:fldChar w:fldCharType="begin"/>
        </w:r>
        <w:r w:rsidR="00CF2E45">
          <w:rPr>
            <w:noProof/>
            <w:webHidden/>
          </w:rPr>
          <w:instrText xml:space="preserve"> PAGEREF _Toc390958818 \h </w:instrText>
        </w:r>
        <w:r w:rsidR="00CF2E45">
          <w:rPr>
            <w:noProof/>
            <w:webHidden/>
          </w:rPr>
        </w:r>
        <w:r w:rsidR="00CF2E45">
          <w:rPr>
            <w:noProof/>
            <w:webHidden/>
          </w:rPr>
          <w:fldChar w:fldCharType="separate"/>
        </w:r>
        <w:r w:rsidR="003843F3">
          <w:rPr>
            <w:noProof/>
            <w:webHidden/>
          </w:rPr>
          <w:t>50</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19" w:history="1">
        <w:r w:rsidR="00CF2E45" w:rsidRPr="006C6410">
          <w:rPr>
            <w:rStyle w:val="Hypertextovodkaz"/>
          </w:rPr>
          <w:t>Obr. 3</w:t>
        </w:r>
        <w:r w:rsidR="00CF2E45" w:rsidRPr="006C6410">
          <w:rPr>
            <w:rStyle w:val="Hypertextovodkaz"/>
          </w:rPr>
          <w:noBreakHyphen/>
          <w:t>13: Schéma žst. Hradec Králové (Etapa)</w:t>
        </w:r>
        <w:r w:rsidR="00CF2E45">
          <w:rPr>
            <w:noProof/>
            <w:webHidden/>
          </w:rPr>
          <w:tab/>
        </w:r>
        <w:r w:rsidR="00CF2E45">
          <w:rPr>
            <w:noProof/>
            <w:webHidden/>
          </w:rPr>
          <w:fldChar w:fldCharType="begin"/>
        </w:r>
        <w:r w:rsidR="00CF2E45">
          <w:rPr>
            <w:noProof/>
            <w:webHidden/>
          </w:rPr>
          <w:instrText xml:space="preserve"> PAGEREF _Toc390958819 \h </w:instrText>
        </w:r>
        <w:r w:rsidR="00CF2E45">
          <w:rPr>
            <w:noProof/>
            <w:webHidden/>
          </w:rPr>
        </w:r>
        <w:r w:rsidR="00CF2E45">
          <w:rPr>
            <w:noProof/>
            <w:webHidden/>
          </w:rPr>
          <w:fldChar w:fldCharType="separate"/>
        </w:r>
        <w:r w:rsidR="003843F3">
          <w:rPr>
            <w:noProof/>
            <w:webHidden/>
          </w:rPr>
          <w:t>51</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20" w:history="1">
        <w:r w:rsidR="00CF2E45" w:rsidRPr="006C6410">
          <w:rPr>
            <w:rStyle w:val="Hypertextovodkaz"/>
          </w:rPr>
          <w:t>Obr. 3</w:t>
        </w:r>
        <w:r w:rsidR="00CF2E45" w:rsidRPr="006C6410">
          <w:rPr>
            <w:rStyle w:val="Hypertextovodkaz"/>
          </w:rPr>
          <w:noBreakHyphen/>
          <w:t>14: Schéma úseku Pardubice hl. n. – Pardubice-Rosice nad Labem (var. MAX)</w:t>
        </w:r>
        <w:r w:rsidR="00CF2E45">
          <w:rPr>
            <w:noProof/>
            <w:webHidden/>
          </w:rPr>
          <w:tab/>
        </w:r>
        <w:r w:rsidR="00CF2E45">
          <w:rPr>
            <w:noProof/>
            <w:webHidden/>
          </w:rPr>
          <w:fldChar w:fldCharType="begin"/>
        </w:r>
        <w:r w:rsidR="00CF2E45">
          <w:rPr>
            <w:noProof/>
            <w:webHidden/>
          </w:rPr>
          <w:instrText xml:space="preserve"> PAGEREF _Toc390958820 \h </w:instrText>
        </w:r>
        <w:r w:rsidR="00CF2E45">
          <w:rPr>
            <w:noProof/>
            <w:webHidden/>
          </w:rPr>
        </w:r>
        <w:r w:rsidR="00CF2E45">
          <w:rPr>
            <w:noProof/>
            <w:webHidden/>
          </w:rPr>
          <w:fldChar w:fldCharType="separate"/>
        </w:r>
        <w:r w:rsidR="003843F3">
          <w:rPr>
            <w:noProof/>
            <w:webHidden/>
          </w:rPr>
          <w:t>53</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21" w:history="1">
        <w:r w:rsidR="00CF2E45" w:rsidRPr="006C6410">
          <w:rPr>
            <w:rStyle w:val="Hypertextovodkaz"/>
          </w:rPr>
          <w:t>Obr. 3</w:t>
        </w:r>
        <w:r w:rsidR="00CF2E45" w:rsidRPr="006C6410">
          <w:rPr>
            <w:rStyle w:val="Hypertextovodkaz"/>
          </w:rPr>
          <w:noBreakHyphen/>
          <w:t>15: Schéma žst. Stéblová (var. MAX)</w:t>
        </w:r>
        <w:r w:rsidR="00CF2E45">
          <w:rPr>
            <w:noProof/>
            <w:webHidden/>
          </w:rPr>
          <w:tab/>
        </w:r>
        <w:r w:rsidR="00CF2E45">
          <w:rPr>
            <w:noProof/>
            <w:webHidden/>
          </w:rPr>
          <w:fldChar w:fldCharType="begin"/>
        </w:r>
        <w:r w:rsidR="00CF2E45">
          <w:rPr>
            <w:noProof/>
            <w:webHidden/>
          </w:rPr>
          <w:instrText xml:space="preserve"> PAGEREF _Toc390958821 \h </w:instrText>
        </w:r>
        <w:r w:rsidR="00CF2E45">
          <w:rPr>
            <w:noProof/>
            <w:webHidden/>
          </w:rPr>
        </w:r>
        <w:r w:rsidR="00CF2E45">
          <w:rPr>
            <w:noProof/>
            <w:webHidden/>
          </w:rPr>
          <w:fldChar w:fldCharType="separate"/>
        </w:r>
        <w:r w:rsidR="003843F3">
          <w:rPr>
            <w:noProof/>
            <w:webHidden/>
          </w:rPr>
          <w:t>54</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22" w:history="1">
        <w:r w:rsidR="00CF2E45" w:rsidRPr="006C6410">
          <w:rPr>
            <w:rStyle w:val="Hypertextovodkaz"/>
          </w:rPr>
          <w:t>Obr. 3</w:t>
        </w:r>
        <w:r w:rsidR="00CF2E45" w:rsidRPr="006C6410">
          <w:rPr>
            <w:rStyle w:val="Hypertextovodkaz"/>
          </w:rPr>
          <w:noBreakHyphen/>
          <w:t>16: Schéma žst. Opatovice nad Labem (var. MAX)</w:t>
        </w:r>
        <w:r w:rsidR="00CF2E45">
          <w:rPr>
            <w:noProof/>
            <w:webHidden/>
          </w:rPr>
          <w:tab/>
        </w:r>
        <w:r w:rsidR="00CF2E45">
          <w:rPr>
            <w:noProof/>
            <w:webHidden/>
          </w:rPr>
          <w:fldChar w:fldCharType="begin"/>
        </w:r>
        <w:r w:rsidR="00CF2E45">
          <w:rPr>
            <w:noProof/>
            <w:webHidden/>
          </w:rPr>
          <w:instrText xml:space="preserve"> PAGEREF _Toc390958822 \h </w:instrText>
        </w:r>
        <w:r w:rsidR="00CF2E45">
          <w:rPr>
            <w:noProof/>
            <w:webHidden/>
          </w:rPr>
        </w:r>
        <w:r w:rsidR="00CF2E45">
          <w:rPr>
            <w:noProof/>
            <w:webHidden/>
          </w:rPr>
          <w:fldChar w:fldCharType="separate"/>
        </w:r>
        <w:r w:rsidR="003843F3">
          <w:rPr>
            <w:noProof/>
            <w:webHidden/>
          </w:rPr>
          <w:t>55</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23" w:history="1">
        <w:r w:rsidR="00CF2E45" w:rsidRPr="006C6410">
          <w:rPr>
            <w:rStyle w:val="Hypertextovodkaz"/>
          </w:rPr>
          <w:t>Obr. 3</w:t>
        </w:r>
        <w:r w:rsidR="00CF2E45" w:rsidRPr="006C6410">
          <w:rPr>
            <w:rStyle w:val="Hypertextovodkaz"/>
          </w:rPr>
          <w:noBreakHyphen/>
          <w:t>17: Schéma žst. Hradec Králové (var. MAX)</w:t>
        </w:r>
        <w:r w:rsidR="00CF2E45">
          <w:rPr>
            <w:noProof/>
            <w:webHidden/>
          </w:rPr>
          <w:tab/>
        </w:r>
        <w:r w:rsidR="00CF2E45">
          <w:rPr>
            <w:noProof/>
            <w:webHidden/>
          </w:rPr>
          <w:fldChar w:fldCharType="begin"/>
        </w:r>
        <w:r w:rsidR="00CF2E45">
          <w:rPr>
            <w:noProof/>
            <w:webHidden/>
          </w:rPr>
          <w:instrText xml:space="preserve"> PAGEREF _Toc390958823 \h </w:instrText>
        </w:r>
        <w:r w:rsidR="00CF2E45">
          <w:rPr>
            <w:noProof/>
            <w:webHidden/>
          </w:rPr>
        </w:r>
        <w:r w:rsidR="00CF2E45">
          <w:rPr>
            <w:noProof/>
            <w:webHidden/>
          </w:rPr>
          <w:fldChar w:fldCharType="separate"/>
        </w:r>
        <w:r w:rsidR="003843F3">
          <w:rPr>
            <w:noProof/>
            <w:webHidden/>
          </w:rPr>
          <w:t>57</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24" w:history="1">
        <w:r w:rsidR="00CF2E45" w:rsidRPr="006C6410">
          <w:rPr>
            <w:rStyle w:val="Hypertextovodkaz"/>
          </w:rPr>
          <w:t>Obr. 4</w:t>
        </w:r>
        <w:r w:rsidR="00CF2E45" w:rsidRPr="006C6410">
          <w:rPr>
            <w:rStyle w:val="Hypertextovodkaz"/>
          </w:rPr>
          <w:noBreakHyphen/>
          <w:t>1: Modelový grafikon pro Etapu</w:t>
        </w:r>
        <w:r w:rsidR="00CF2E45">
          <w:rPr>
            <w:noProof/>
            <w:webHidden/>
          </w:rPr>
          <w:tab/>
        </w:r>
        <w:r w:rsidR="00CF2E45">
          <w:rPr>
            <w:noProof/>
            <w:webHidden/>
          </w:rPr>
          <w:fldChar w:fldCharType="begin"/>
        </w:r>
        <w:r w:rsidR="00CF2E45">
          <w:rPr>
            <w:noProof/>
            <w:webHidden/>
          </w:rPr>
          <w:instrText xml:space="preserve"> PAGEREF _Toc390958824 \h </w:instrText>
        </w:r>
        <w:r w:rsidR="00CF2E45">
          <w:rPr>
            <w:noProof/>
            <w:webHidden/>
          </w:rPr>
        </w:r>
        <w:r w:rsidR="00CF2E45">
          <w:rPr>
            <w:noProof/>
            <w:webHidden/>
          </w:rPr>
          <w:fldChar w:fldCharType="separate"/>
        </w:r>
        <w:r w:rsidR="003843F3">
          <w:rPr>
            <w:noProof/>
            <w:webHidden/>
          </w:rPr>
          <w:t>78</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25" w:history="1">
        <w:r w:rsidR="00CF2E45" w:rsidRPr="006C6410">
          <w:rPr>
            <w:rStyle w:val="Hypertextovodkaz"/>
          </w:rPr>
          <w:t>Obr. 4</w:t>
        </w:r>
        <w:r w:rsidR="00CF2E45" w:rsidRPr="006C6410">
          <w:rPr>
            <w:rStyle w:val="Hypertextovodkaz"/>
          </w:rPr>
          <w:noBreakHyphen/>
          <w:t>2: Modelový grafikon pro Etapu – současné polohy R a Sp + 60 min takt Os</w:t>
        </w:r>
        <w:r w:rsidR="00CF2E45">
          <w:rPr>
            <w:noProof/>
            <w:webHidden/>
          </w:rPr>
          <w:tab/>
        </w:r>
        <w:r w:rsidR="00CF2E45">
          <w:rPr>
            <w:noProof/>
            <w:webHidden/>
          </w:rPr>
          <w:fldChar w:fldCharType="begin"/>
        </w:r>
        <w:r w:rsidR="00CF2E45">
          <w:rPr>
            <w:noProof/>
            <w:webHidden/>
          </w:rPr>
          <w:instrText xml:space="preserve"> PAGEREF _Toc390958825 \h </w:instrText>
        </w:r>
        <w:r w:rsidR="00CF2E45">
          <w:rPr>
            <w:noProof/>
            <w:webHidden/>
          </w:rPr>
        </w:r>
        <w:r w:rsidR="00CF2E45">
          <w:rPr>
            <w:noProof/>
            <w:webHidden/>
          </w:rPr>
          <w:fldChar w:fldCharType="separate"/>
        </w:r>
        <w:r w:rsidR="003843F3">
          <w:rPr>
            <w:noProof/>
            <w:webHidden/>
          </w:rPr>
          <w:t>78</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26" w:history="1">
        <w:r w:rsidR="00CF2E45" w:rsidRPr="006C6410">
          <w:rPr>
            <w:rStyle w:val="Hypertextovodkaz"/>
          </w:rPr>
          <w:t>Obr. 4</w:t>
        </w:r>
        <w:r w:rsidR="00CF2E45" w:rsidRPr="006C6410">
          <w:rPr>
            <w:rStyle w:val="Hypertextovodkaz"/>
          </w:rPr>
          <w:noBreakHyphen/>
          <w:t>3: Modelový grafikon pro Etapu – současné polohy R a Sp + 3 páry Os/120 min</w:t>
        </w:r>
        <w:r w:rsidR="00CF2E45">
          <w:rPr>
            <w:noProof/>
            <w:webHidden/>
          </w:rPr>
          <w:tab/>
        </w:r>
        <w:r w:rsidR="00CF2E45">
          <w:rPr>
            <w:noProof/>
            <w:webHidden/>
          </w:rPr>
          <w:fldChar w:fldCharType="begin"/>
        </w:r>
        <w:r w:rsidR="00CF2E45">
          <w:rPr>
            <w:noProof/>
            <w:webHidden/>
          </w:rPr>
          <w:instrText xml:space="preserve"> PAGEREF _Toc390958826 \h </w:instrText>
        </w:r>
        <w:r w:rsidR="00CF2E45">
          <w:rPr>
            <w:noProof/>
            <w:webHidden/>
          </w:rPr>
        </w:r>
        <w:r w:rsidR="00CF2E45">
          <w:rPr>
            <w:noProof/>
            <w:webHidden/>
          </w:rPr>
          <w:fldChar w:fldCharType="separate"/>
        </w:r>
        <w:r w:rsidR="003843F3">
          <w:rPr>
            <w:noProof/>
            <w:webHidden/>
          </w:rPr>
          <w:t>79</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27" w:history="1">
        <w:r w:rsidR="00CF2E45" w:rsidRPr="006C6410">
          <w:rPr>
            <w:rStyle w:val="Hypertextovodkaz"/>
          </w:rPr>
          <w:t>Obr. 5</w:t>
        </w:r>
        <w:r w:rsidR="00CF2E45" w:rsidRPr="006C6410">
          <w:rPr>
            <w:rStyle w:val="Hypertextovodkaz"/>
          </w:rPr>
          <w:noBreakHyphen/>
          <w:t>1: Dopravní síť ve sledované oblasti</w:t>
        </w:r>
        <w:r w:rsidR="00CF2E45">
          <w:rPr>
            <w:noProof/>
            <w:webHidden/>
          </w:rPr>
          <w:tab/>
        </w:r>
        <w:r w:rsidR="00CF2E45">
          <w:rPr>
            <w:noProof/>
            <w:webHidden/>
          </w:rPr>
          <w:fldChar w:fldCharType="begin"/>
        </w:r>
        <w:r w:rsidR="00CF2E45">
          <w:rPr>
            <w:noProof/>
            <w:webHidden/>
          </w:rPr>
          <w:instrText xml:space="preserve"> PAGEREF _Toc390958827 \h </w:instrText>
        </w:r>
        <w:r w:rsidR="00CF2E45">
          <w:rPr>
            <w:noProof/>
            <w:webHidden/>
          </w:rPr>
        </w:r>
        <w:r w:rsidR="00CF2E45">
          <w:rPr>
            <w:noProof/>
            <w:webHidden/>
          </w:rPr>
          <w:fldChar w:fldCharType="separate"/>
        </w:r>
        <w:r w:rsidR="003843F3">
          <w:rPr>
            <w:noProof/>
            <w:webHidden/>
          </w:rPr>
          <w:t>89</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28" w:history="1">
        <w:r w:rsidR="00CF2E45" w:rsidRPr="006C6410">
          <w:rPr>
            <w:rStyle w:val="Hypertextovodkaz"/>
          </w:rPr>
          <w:t>Obr. 5</w:t>
        </w:r>
        <w:r w:rsidR="00CF2E45" w:rsidRPr="006C6410">
          <w:rPr>
            <w:rStyle w:val="Hypertextovodkaz"/>
          </w:rPr>
          <w:noBreakHyphen/>
          <w:t>2: Zásadní stavby silniční sítě dle přípravy ŘSD, stav k roku 2013</w:t>
        </w:r>
        <w:r w:rsidR="00CF2E45">
          <w:rPr>
            <w:noProof/>
            <w:webHidden/>
          </w:rPr>
          <w:tab/>
        </w:r>
        <w:r w:rsidR="00CF2E45">
          <w:rPr>
            <w:noProof/>
            <w:webHidden/>
          </w:rPr>
          <w:fldChar w:fldCharType="begin"/>
        </w:r>
        <w:r w:rsidR="00CF2E45">
          <w:rPr>
            <w:noProof/>
            <w:webHidden/>
          </w:rPr>
          <w:instrText xml:space="preserve"> PAGEREF _Toc390958828 \h </w:instrText>
        </w:r>
        <w:r w:rsidR="00CF2E45">
          <w:rPr>
            <w:noProof/>
            <w:webHidden/>
          </w:rPr>
        </w:r>
        <w:r w:rsidR="00CF2E45">
          <w:rPr>
            <w:noProof/>
            <w:webHidden/>
          </w:rPr>
          <w:fldChar w:fldCharType="separate"/>
        </w:r>
        <w:r w:rsidR="003843F3">
          <w:rPr>
            <w:noProof/>
            <w:webHidden/>
          </w:rPr>
          <w:t>90</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29" w:history="1">
        <w:r w:rsidR="00CF2E45" w:rsidRPr="006C6410">
          <w:rPr>
            <w:rStyle w:val="Hypertextovodkaz"/>
          </w:rPr>
          <w:t>Obr. 5</w:t>
        </w:r>
        <w:r w:rsidR="00CF2E45" w:rsidRPr="006C6410">
          <w:rPr>
            <w:rStyle w:val="Hypertextovodkaz"/>
          </w:rPr>
          <w:noBreakHyphen/>
          <w:t>3: Schéma železniční sítě ve sledované oblasti</w:t>
        </w:r>
        <w:r w:rsidR="00CF2E45">
          <w:rPr>
            <w:noProof/>
            <w:webHidden/>
          </w:rPr>
          <w:tab/>
        </w:r>
        <w:r w:rsidR="00CF2E45">
          <w:rPr>
            <w:noProof/>
            <w:webHidden/>
          </w:rPr>
          <w:fldChar w:fldCharType="begin"/>
        </w:r>
        <w:r w:rsidR="00CF2E45">
          <w:rPr>
            <w:noProof/>
            <w:webHidden/>
          </w:rPr>
          <w:instrText xml:space="preserve"> PAGEREF _Toc390958829 \h </w:instrText>
        </w:r>
        <w:r w:rsidR="00CF2E45">
          <w:rPr>
            <w:noProof/>
            <w:webHidden/>
          </w:rPr>
        </w:r>
        <w:r w:rsidR="00CF2E45">
          <w:rPr>
            <w:noProof/>
            <w:webHidden/>
          </w:rPr>
          <w:fldChar w:fldCharType="separate"/>
        </w:r>
        <w:r w:rsidR="003843F3">
          <w:rPr>
            <w:noProof/>
            <w:webHidden/>
          </w:rPr>
          <w:t>91</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30" w:history="1">
        <w:r w:rsidR="00CF2E45" w:rsidRPr="006C6410">
          <w:rPr>
            <w:rStyle w:val="Hypertextovodkaz"/>
          </w:rPr>
          <w:t>Obr. 5</w:t>
        </w:r>
        <w:r w:rsidR="00CF2E45" w:rsidRPr="006C6410">
          <w:rPr>
            <w:rStyle w:val="Hypertextovodkaz"/>
          </w:rPr>
          <w:noBreakHyphen/>
          <w:t>4: Schéma linkového vedení MHD v Pardubicích</w:t>
        </w:r>
        <w:r w:rsidR="00CF2E45">
          <w:rPr>
            <w:noProof/>
            <w:webHidden/>
          </w:rPr>
          <w:tab/>
        </w:r>
        <w:r w:rsidR="00CF2E45">
          <w:rPr>
            <w:noProof/>
            <w:webHidden/>
          </w:rPr>
          <w:fldChar w:fldCharType="begin"/>
        </w:r>
        <w:r w:rsidR="00CF2E45">
          <w:rPr>
            <w:noProof/>
            <w:webHidden/>
          </w:rPr>
          <w:instrText xml:space="preserve"> PAGEREF _Toc390958830 \h </w:instrText>
        </w:r>
        <w:r w:rsidR="00CF2E45">
          <w:rPr>
            <w:noProof/>
            <w:webHidden/>
          </w:rPr>
        </w:r>
        <w:r w:rsidR="00CF2E45">
          <w:rPr>
            <w:noProof/>
            <w:webHidden/>
          </w:rPr>
          <w:fldChar w:fldCharType="separate"/>
        </w:r>
        <w:r w:rsidR="003843F3">
          <w:rPr>
            <w:noProof/>
            <w:webHidden/>
          </w:rPr>
          <w:t>92</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31" w:history="1">
        <w:r w:rsidR="00CF2E45" w:rsidRPr="006C6410">
          <w:rPr>
            <w:rStyle w:val="Hypertextovodkaz"/>
          </w:rPr>
          <w:t>Obr. 5</w:t>
        </w:r>
        <w:r w:rsidR="00CF2E45" w:rsidRPr="006C6410">
          <w:rPr>
            <w:rStyle w:val="Hypertextovodkaz"/>
          </w:rPr>
          <w:noBreakHyphen/>
          <w:t>5: Schéma linkového vedení MHD v Hradci Králové</w:t>
        </w:r>
        <w:r w:rsidR="00CF2E45">
          <w:rPr>
            <w:noProof/>
            <w:webHidden/>
          </w:rPr>
          <w:tab/>
        </w:r>
        <w:r w:rsidR="00CF2E45">
          <w:rPr>
            <w:noProof/>
            <w:webHidden/>
          </w:rPr>
          <w:fldChar w:fldCharType="begin"/>
        </w:r>
        <w:r w:rsidR="00CF2E45">
          <w:rPr>
            <w:noProof/>
            <w:webHidden/>
          </w:rPr>
          <w:instrText xml:space="preserve"> PAGEREF _Toc390958831 \h </w:instrText>
        </w:r>
        <w:r w:rsidR="00CF2E45">
          <w:rPr>
            <w:noProof/>
            <w:webHidden/>
          </w:rPr>
        </w:r>
        <w:r w:rsidR="00CF2E45">
          <w:rPr>
            <w:noProof/>
            <w:webHidden/>
          </w:rPr>
          <w:fldChar w:fldCharType="separate"/>
        </w:r>
        <w:r w:rsidR="003843F3">
          <w:rPr>
            <w:noProof/>
            <w:webHidden/>
          </w:rPr>
          <w:t>93</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32" w:history="1">
        <w:r w:rsidR="00CF2E45" w:rsidRPr="006C6410">
          <w:rPr>
            <w:rStyle w:val="Hypertextovodkaz"/>
          </w:rPr>
          <w:t>Obr. 5</w:t>
        </w:r>
        <w:r w:rsidR="00CF2E45" w:rsidRPr="006C6410">
          <w:rPr>
            <w:rStyle w:val="Hypertextovodkaz"/>
          </w:rPr>
          <w:noBreakHyphen/>
          <w:t>6: Terminál hromadné dopravy v Hradci Králové</w:t>
        </w:r>
        <w:r w:rsidR="00CF2E45">
          <w:rPr>
            <w:noProof/>
            <w:webHidden/>
          </w:rPr>
          <w:tab/>
        </w:r>
        <w:r w:rsidR="00CF2E45">
          <w:rPr>
            <w:noProof/>
            <w:webHidden/>
          </w:rPr>
          <w:fldChar w:fldCharType="begin"/>
        </w:r>
        <w:r w:rsidR="00CF2E45">
          <w:rPr>
            <w:noProof/>
            <w:webHidden/>
          </w:rPr>
          <w:instrText xml:space="preserve"> PAGEREF _Toc390958832 \h </w:instrText>
        </w:r>
        <w:r w:rsidR="00CF2E45">
          <w:rPr>
            <w:noProof/>
            <w:webHidden/>
          </w:rPr>
        </w:r>
        <w:r w:rsidR="00CF2E45">
          <w:rPr>
            <w:noProof/>
            <w:webHidden/>
          </w:rPr>
          <w:fldChar w:fldCharType="separate"/>
        </w:r>
        <w:r w:rsidR="003843F3">
          <w:rPr>
            <w:noProof/>
            <w:webHidden/>
          </w:rPr>
          <w:t>94</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33" w:history="1">
        <w:r w:rsidR="00CF2E45" w:rsidRPr="006C6410">
          <w:rPr>
            <w:rStyle w:val="Hypertextovodkaz"/>
          </w:rPr>
          <w:t>Obr. 5</w:t>
        </w:r>
        <w:r w:rsidR="00CF2E45" w:rsidRPr="006C6410">
          <w:rPr>
            <w:rStyle w:val="Hypertextovodkaz"/>
          </w:rPr>
          <w:noBreakHyphen/>
          <w:t>7: Mapa tarifních zón IREDO pro cesty z Pardubic</w:t>
        </w:r>
        <w:r w:rsidR="00CF2E45">
          <w:rPr>
            <w:noProof/>
            <w:webHidden/>
          </w:rPr>
          <w:tab/>
        </w:r>
        <w:r w:rsidR="00CF2E45">
          <w:rPr>
            <w:noProof/>
            <w:webHidden/>
          </w:rPr>
          <w:fldChar w:fldCharType="begin"/>
        </w:r>
        <w:r w:rsidR="00CF2E45">
          <w:rPr>
            <w:noProof/>
            <w:webHidden/>
          </w:rPr>
          <w:instrText xml:space="preserve"> PAGEREF _Toc390958833 \h </w:instrText>
        </w:r>
        <w:r w:rsidR="00CF2E45">
          <w:rPr>
            <w:noProof/>
            <w:webHidden/>
          </w:rPr>
        </w:r>
        <w:r w:rsidR="00CF2E45">
          <w:rPr>
            <w:noProof/>
            <w:webHidden/>
          </w:rPr>
          <w:fldChar w:fldCharType="separate"/>
        </w:r>
        <w:r w:rsidR="003843F3">
          <w:rPr>
            <w:noProof/>
            <w:webHidden/>
          </w:rPr>
          <w:t>95</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34" w:history="1">
        <w:r w:rsidR="00CF2E45" w:rsidRPr="006C6410">
          <w:rPr>
            <w:rStyle w:val="Hypertextovodkaz"/>
          </w:rPr>
          <w:t>Obr. 5</w:t>
        </w:r>
        <w:r w:rsidR="00CF2E45" w:rsidRPr="006C6410">
          <w:rPr>
            <w:rStyle w:val="Hypertextovodkaz"/>
          </w:rPr>
          <w:noBreakHyphen/>
          <w:t>8: Počty obyvatel v sídlech sledované oblasti</w:t>
        </w:r>
        <w:r w:rsidR="00CF2E45">
          <w:rPr>
            <w:noProof/>
            <w:webHidden/>
          </w:rPr>
          <w:tab/>
        </w:r>
        <w:r w:rsidR="00CF2E45">
          <w:rPr>
            <w:noProof/>
            <w:webHidden/>
          </w:rPr>
          <w:fldChar w:fldCharType="begin"/>
        </w:r>
        <w:r w:rsidR="00CF2E45">
          <w:rPr>
            <w:noProof/>
            <w:webHidden/>
          </w:rPr>
          <w:instrText xml:space="preserve"> PAGEREF _Toc390958834 \h </w:instrText>
        </w:r>
        <w:r w:rsidR="00CF2E45">
          <w:rPr>
            <w:noProof/>
            <w:webHidden/>
          </w:rPr>
        </w:r>
        <w:r w:rsidR="00CF2E45">
          <w:rPr>
            <w:noProof/>
            <w:webHidden/>
          </w:rPr>
          <w:fldChar w:fldCharType="separate"/>
        </w:r>
        <w:r w:rsidR="003843F3">
          <w:rPr>
            <w:noProof/>
            <w:webHidden/>
          </w:rPr>
          <w:t>97</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35" w:history="1">
        <w:r w:rsidR="00CF2E45" w:rsidRPr="006C6410">
          <w:rPr>
            <w:rStyle w:val="Hypertextovodkaz"/>
          </w:rPr>
          <w:t>Obr. 5</w:t>
        </w:r>
        <w:r w:rsidR="00CF2E45" w:rsidRPr="006C6410">
          <w:rPr>
            <w:rStyle w:val="Hypertextovodkaz"/>
          </w:rPr>
          <w:noBreakHyphen/>
          <w:t>9: Suburbanizace - změny počtu obyvatel v sídlech mezi roky 1991 a 2008</w:t>
        </w:r>
        <w:r w:rsidR="00CF2E45">
          <w:rPr>
            <w:noProof/>
            <w:webHidden/>
          </w:rPr>
          <w:tab/>
        </w:r>
        <w:r w:rsidR="00CF2E45">
          <w:rPr>
            <w:noProof/>
            <w:webHidden/>
          </w:rPr>
          <w:fldChar w:fldCharType="begin"/>
        </w:r>
        <w:r w:rsidR="00CF2E45">
          <w:rPr>
            <w:noProof/>
            <w:webHidden/>
          </w:rPr>
          <w:instrText xml:space="preserve"> PAGEREF _Toc390958835 \h </w:instrText>
        </w:r>
        <w:r w:rsidR="00CF2E45">
          <w:rPr>
            <w:noProof/>
            <w:webHidden/>
          </w:rPr>
        </w:r>
        <w:r w:rsidR="00CF2E45">
          <w:rPr>
            <w:noProof/>
            <w:webHidden/>
          </w:rPr>
          <w:fldChar w:fldCharType="separate"/>
        </w:r>
        <w:r w:rsidR="003843F3">
          <w:rPr>
            <w:noProof/>
            <w:webHidden/>
          </w:rPr>
          <w:t>98</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36" w:history="1">
        <w:r w:rsidR="00CF2E45" w:rsidRPr="006C6410">
          <w:rPr>
            <w:rStyle w:val="Hypertextovodkaz"/>
          </w:rPr>
          <w:t>Obr. 5</w:t>
        </w:r>
        <w:r w:rsidR="00CF2E45" w:rsidRPr="006C6410">
          <w:rPr>
            <w:rStyle w:val="Hypertextovodkaz"/>
          </w:rPr>
          <w:noBreakHyphen/>
          <w:t>10: Vývoj počtu obyvatel v okresech dle ČSÚ</w:t>
        </w:r>
        <w:r w:rsidR="00CF2E45">
          <w:rPr>
            <w:noProof/>
            <w:webHidden/>
          </w:rPr>
          <w:tab/>
        </w:r>
        <w:r w:rsidR="00CF2E45">
          <w:rPr>
            <w:noProof/>
            <w:webHidden/>
          </w:rPr>
          <w:fldChar w:fldCharType="begin"/>
        </w:r>
        <w:r w:rsidR="00CF2E45">
          <w:rPr>
            <w:noProof/>
            <w:webHidden/>
          </w:rPr>
          <w:instrText xml:space="preserve"> PAGEREF _Toc390958836 \h </w:instrText>
        </w:r>
        <w:r w:rsidR="00CF2E45">
          <w:rPr>
            <w:noProof/>
            <w:webHidden/>
          </w:rPr>
        </w:r>
        <w:r w:rsidR="00CF2E45">
          <w:rPr>
            <w:noProof/>
            <w:webHidden/>
          </w:rPr>
          <w:fldChar w:fldCharType="separate"/>
        </w:r>
        <w:r w:rsidR="003843F3">
          <w:rPr>
            <w:noProof/>
            <w:webHidden/>
          </w:rPr>
          <w:t>99</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37" w:history="1">
        <w:r w:rsidR="00CF2E45" w:rsidRPr="006C6410">
          <w:rPr>
            <w:rStyle w:val="Hypertextovodkaz"/>
          </w:rPr>
          <w:t>Obr. 5</w:t>
        </w:r>
        <w:r w:rsidR="00CF2E45" w:rsidRPr="006C6410">
          <w:rPr>
            <w:rStyle w:val="Hypertextovodkaz"/>
          </w:rPr>
          <w:noBreakHyphen/>
          <w:t>11: Blokové schéma dopravního modelu</w:t>
        </w:r>
        <w:r w:rsidR="00CF2E45">
          <w:rPr>
            <w:noProof/>
            <w:webHidden/>
          </w:rPr>
          <w:tab/>
        </w:r>
        <w:r w:rsidR="00CF2E45">
          <w:rPr>
            <w:noProof/>
            <w:webHidden/>
          </w:rPr>
          <w:fldChar w:fldCharType="begin"/>
        </w:r>
        <w:r w:rsidR="00CF2E45">
          <w:rPr>
            <w:noProof/>
            <w:webHidden/>
          </w:rPr>
          <w:instrText xml:space="preserve"> PAGEREF _Toc390958837 \h </w:instrText>
        </w:r>
        <w:r w:rsidR="00CF2E45">
          <w:rPr>
            <w:noProof/>
            <w:webHidden/>
          </w:rPr>
        </w:r>
        <w:r w:rsidR="00CF2E45">
          <w:rPr>
            <w:noProof/>
            <w:webHidden/>
          </w:rPr>
          <w:fldChar w:fldCharType="separate"/>
        </w:r>
        <w:r w:rsidR="003843F3">
          <w:rPr>
            <w:noProof/>
            <w:webHidden/>
          </w:rPr>
          <w:t>100</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38" w:history="1">
        <w:r w:rsidR="00CF2E45" w:rsidRPr="006C6410">
          <w:rPr>
            <w:rStyle w:val="Hypertextovodkaz"/>
          </w:rPr>
          <w:t>Obr. 5</w:t>
        </w:r>
        <w:r w:rsidR="00CF2E45" w:rsidRPr="006C6410">
          <w:rPr>
            <w:rStyle w:val="Hypertextovodkaz"/>
          </w:rPr>
          <w:noBreakHyphen/>
          <w:t>12: Denní počty cestujících za železnici (rok 2008)</w:t>
        </w:r>
        <w:r w:rsidR="00CF2E45">
          <w:rPr>
            <w:noProof/>
            <w:webHidden/>
          </w:rPr>
          <w:tab/>
        </w:r>
        <w:r w:rsidR="00CF2E45">
          <w:rPr>
            <w:noProof/>
            <w:webHidden/>
          </w:rPr>
          <w:fldChar w:fldCharType="begin"/>
        </w:r>
        <w:r w:rsidR="00CF2E45">
          <w:rPr>
            <w:noProof/>
            <w:webHidden/>
          </w:rPr>
          <w:instrText xml:space="preserve"> PAGEREF _Toc390958838 \h </w:instrText>
        </w:r>
        <w:r w:rsidR="00CF2E45">
          <w:rPr>
            <w:noProof/>
            <w:webHidden/>
          </w:rPr>
        </w:r>
        <w:r w:rsidR="00CF2E45">
          <w:rPr>
            <w:noProof/>
            <w:webHidden/>
          </w:rPr>
          <w:fldChar w:fldCharType="separate"/>
        </w:r>
        <w:r w:rsidR="003843F3">
          <w:rPr>
            <w:noProof/>
            <w:webHidden/>
          </w:rPr>
          <w:t>101</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39" w:history="1">
        <w:r w:rsidR="00CF2E45" w:rsidRPr="006C6410">
          <w:rPr>
            <w:rStyle w:val="Hypertextovodkaz"/>
          </w:rPr>
          <w:t>Obr. 5</w:t>
        </w:r>
        <w:r w:rsidR="00CF2E45" w:rsidRPr="006C6410">
          <w:rPr>
            <w:rStyle w:val="Hypertextovodkaz"/>
          </w:rPr>
          <w:noBreakHyphen/>
          <w:t>13: Obraty v jednotlivých stanicích a zastávkách</w:t>
        </w:r>
        <w:r w:rsidR="00CF2E45">
          <w:rPr>
            <w:noProof/>
            <w:webHidden/>
          </w:rPr>
          <w:tab/>
        </w:r>
        <w:r w:rsidR="00CF2E45">
          <w:rPr>
            <w:noProof/>
            <w:webHidden/>
          </w:rPr>
          <w:fldChar w:fldCharType="begin"/>
        </w:r>
        <w:r w:rsidR="00CF2E45">
          <w:rPr>
            <w:noProof/>
            <w:webHidden/>
          </w:rPr>
          <w:instrText xml:space="preserve"> PAGEREF _Toc390958839 \h </w:instrText>
        </w:r>
        <w:r w:rsidR="00CF2E45">
          <w:rPr>
            <w:noProof/>
            <w:webHidden/>
          </w:rPr>
        </w:r>
        <w:r w:rsidR="00CF2E45">
          <w:rPr>
            <w:noProof/>
            <w:webHidden/>
          </w:rPr>
          <w:fldChar w:fldCharType="separate"/>
        </w:r>
        <w:r w:rsidR="003843F3">
          <w:rPr>
            <w:noProof/>
            <w:webHidden/>
          </w:rPr>
          <w:t>102</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40" w:history="1">
        <w:r w:rsidR="00CF2E45" w:rsidRPr="006C6410">
          <w:rPr>
            <w:rStyle w:val="Hypertextovodkaz"/>
          </w:rPr>
          <w:t>Obr. 5</w:t>
        </w:r>
        <w:r w:rsidR="00CF2E45" w:rsidRPr="006C6410">
          <w:rPr>
            <w:rStyle w:val="Hypertextovodkaz"/>
          </w:rPr>
          <w:noBreakHyphen/>
          <w:t>14: Sčítání ŘSD 2010 na silnici I/37 a II/324</w:t>
        </w:r>
        <w:r w:rsidR="00CF2E45">
          <w:rPr>
            <w:noProof/>
            <w:webHidden/>
          </w:rPr>
          <w:tab/>
        </w:r>
        <w:r w:rsidR="00CF2E45">
          <w:rPr>
            <w:noProof/>
            <w:webHidden/>
          </w:rPr>
          <w:fldChar w:fldCharType="begin"/>
        </w:r>
        <w:r w:rsidR="00CF2E45">
          <w:rPr>
            <w:noProof/>
            <w:webHidden/>
          </w:rPr>
          <w:instrText xml:space="preserve"> PAGEREF _Toc390958840 \h </w:instrText>
        </w:r>
        <w:r w:rsidR="00CF2E45">
          <w:rPr>
            <w:noProof/>
            <w:webHidden/>
          </w:rPr>
        </w:r>
        <w:r w:rsidR="00CF2E45">
          <w:rPr>
            <w:noProof/>
            <w:webHidden/>
          </w:rPr>
          <w:fldChar w:fldCharType="separate"/>
        </w:r>
        <w:r w:rsidR="003843F3">
          <w:rPr>
            <w:noProof/>
            <w:webHidden/>
          </w:rPr>
          <w:t>103</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41" w:history="1">
        <w:r w:rsidR="00CF2E45" w:rsidRPr="006C6410">
          <w:rPr>
            <w:rStyle w:val="Hypertextovodkaz"/>
          </w:rPr>
          <w:t>Obr. 5</w:t>
        </w:r>
        <w:r w:rsidR="00CF2E45" w:rsidRPr="006C6410">
          <w:rPr>
            <w:rStyle w:val="Hypertextovodkaz"/>
          </w:rPr>
          <w:noBreakHyphen/>
          <w:t>15: Počty cestujících v silniční dopravě</w:t>
        </w:r>
        <w:r w:rsidR="00CF2E45">
          <w:rPr>
            <w:noProof/>
            <w:webHidden/>
          </w:rPr>
          <w:tab/>
        </w:r>
        <w:r w:rsidR="00CF2E45">
          <w:rPr>
            <w:noProof/>
            <w:webHidden/>
          </w:rPr>
          <w:fldChar w:fldCharType="begin"/>
        </w:r>
        <w:r w:rsidR="00CF2E45">
          <w:rPr>
            <w:noProof/>
            <w:webHidden/>
          </w:rPr>
          <w:instrText xml:space="preserve"> PAGEREF _Toc390958841 \h </w:instrText>
        </w:r>
        <w:r w:rsidR="00CF2E45">
          <w:rPr>
            <w:noProof/>
            <w:webHidden/>
          </w:rPr>
        </w:r>
        <w:r w:rsidR="00CF2E45">
          <w:rPr>
            <w:noProof/>
            <w:webHidden/>
          </w:rPr>
          <w:fldChar w:fldCharType="separate"/>
        </w:r>
        <w:r w:rsidR="003843F3">
          <w:rPr>
            <w:noProof/>
            <w:webHidden/>
          </w:rPr>
          <w:t>103</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42" w:history="1">
        <w:r w:rsidR="00CF2E45" w:rsidRPr="006C6410">
          <w:rPr>
            <w:rStyle w:val="Hypertextovodkaz"/>
          </w:rPr>
          <w:t>Obr. 5</w:t>
        </w:r>
        <w:r w:rsidR="00CF2E45" w:rsidRPr="006C6410">
          <w:rPr>
            <w:rStyle w:val="Hypertextovodkaz"/>
          </w:rPr>
          <w:noBreakHyphen/>
          <w:t>16: Autobusové linky mezi Hradcem Králové a Pardubicemi</w:t>
        </w:r>
        <w:r w:rsidR="00CF2E45">
          <w:rPr>
            <w:noProof/>
            <w:webHidden/>
          </w:rPr>
          <w:tab/>
        </w:r>
        <w:r w:rsidR="00CF2E45">
          <w:rPr>
            <w:noProof/>
            <w:webHidden/>
          </w:rPr>
          <w:fldChar w:fldCharType="begin"/>
        </w:r>
        <w:r w:rsidR="00CF2E45">
          <w:rPr>
            <w:noProof/>
            <w:webHidden/>
          </w:rPr>
          <w:instrText xml:space="preserve"> PAGEREF _Toc390958842 \h </w:instrText>
        </w:r>
        <w:r w:rsidR="00CF2E45">
          <w:rPr>
            <w:noProof/>
            <w:webHidden/>
          </w:rPr>
        </w:r>
        <w:r w:rsidR="00CF2E45">
          <w:rPr>
            <w:noProof/>
            <w:webHidden/>
          </w:rPr>
          <w:fldChar w:fldCharType="separate"/>
        </w:r>
        <w:r w:rsidR="003843F3">
          <w:rPr>
            <w:noProof/>
            <w:webHidden/>
          </w:rPr>
          <w:t>104</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43" w:history="1">
        <w:r w:rsidR="00CF2E45" w:rsidRPr="006C6410">
          <w:rPr>
            <w:rStyle w:val="Hypertextovodkaz"/>
          </w:rPr>
          <w:t>Obr. 5</w:t>
        </w:r>
        <w:r w:rsidR="00CF2E45" w:rsidRPr="006C6410">
          <w:rPr>
            <w:rStyle w:val="Hypertextovodkaz"/>
          </w:rPr>
          <w:noBreakHyphen/>
          <w:t>17: Počty párů spojů na jednotlivých trasách autobusových linek mezi Pardubicemi a HK v jednotlivých hodinách pracovního dne</w:t>
        </w:r>
        <w:r w:rsidR="00CF2E45">
          <w:rPr>
            <w:noProof/>
            <w:webHidden/>
          </w:rPr>
          <w:tab/>
        </w:r>
        <w:r w:rsidR="00CF2E45">
          <w:rPr>
            <w:noProof/>
            <w:webHidden/>
          </w:rPr>
          <w:fldChar w:fldCharType="begin"/>
        </w:r>
        <w:r w:rsidR="00CF2E45">
          <w:rPr>
            <w:noProof/>
            <w:webHidden/>
          </w:rPr>
          <w:instrText xml:space="preserve"> PAGEREF _Toc390958843 \h </w:instrText>
        </w:r>
        <w:r w:rsidR="00CF2E45">
          <w:rPr>
            <w:noProof/>
            <w:webHidden/>
          </w:rPr>
        </w:r>
        <w:r w:rsidR="00CF2E45">
          <w:rPr>
            <w:noProof/>
            <w:webHidden/>
          </w:rPr>
          <w:fldChar w:fldCharType="separate"/>
        </w:r>
        <w:r w:rsidR="003843F3">
          <w:rPr>
            <w:noProof/>
            <w:webHidden/>
          </w:rPr>
          <w:t>105</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44" w:history="1">
        <w:r w:rsidR="00CF2E45" w:rsidRPr="006C6410">
          <w:rPr>
            <w:rStyle w:val="Hypertextovodkaz"/>
          </w:rPr>
          <w:t>Obr. 5</w:t>
        </w:r>
        <w:r w:rsidR="00CF2E45" w:rsidRPr="006C6410">
          <w:rPr>
            <w:rStyle w:val="Hypertextovodkaz"/>
          </w:rPr>
          <w:noBreakHyphen/>
          <w:t>18: Přibližné počty cestujících na autobusových linkách mezi Pardubicemi a HK v jednotlivých hodinách pracovního dne</w:t>
        </w:r>
        <w:r w:rsidR="00CF2E45">
          <w:rPr>
            <w:noProof/>
            <w:webHidden/>
          </w:rPr>
          <w:tab/>
        </w:r>
        <w:r w:rsidR="00CF2E45">
          <w:rPr>
            <w:noProof/>
            <w:webHidden/>
          </w:rPr>
          <w:fldChar w:fldCharType="begin"/>
        </w:r>
        <w:r w:rsidR="00CF2E45">
          <w:rPr>
            <w:noProof/>
            <w:webHidden/>
          </w:rPr>
          <w:instrText xml:space="preserve"> PAGEREF _Toc390958844 \h </w:instrText>
        </w:r>
        <w:r w:rsidR="00CF2E45">
          <w:rPr>
            <w:noProof/>
            <w:webHidden/>
          </w:rPr>
        </w:r>
        <w:r w:rsidR="00CF2E45">
          <w:rPr>
            <w:noProof/>
            <w:webHidden/>
          </w:rPr>
          <w:fldChar w:fldCharType="separate"/>
        </w:r>
        <w:r w:rsidR="003843F3">
          <w:rPr>
            <w:noProof/>
            <w:webHidden/>
          </w:rPr>
          <w:t>106</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45" w:history="1">
        <w:r w:rsidR="00CF2E45" w:rsidRPr="006C6410">
          <w:rPr>
            <w:rStyle w:val="Hypertextovodkaz"/>
          </w:rPr>
          <w:t>Obr. 5</w:t>
        </w:r>
        <w:r w:rsidR="00CF2E45" w:rsidRPr="006C6410">
          <w:rPr>
            <w:rStyle w:val="Hypertextovodkaz"/>
          </w:rPr>
          <w:noBreakHyphen/>
          <w:t>19: Zátěžový kartogram – var. Bez projektu a Minimální (cestujících/den)</w:t>
        </w:r>
        <w:r w:rsidR="00CF2E45">
          <w:rPr>
            <w:noProof/>
            <w:webHidden/>
          </w:rPr>
          <w:tab/>
        </w:r>
        <w:r w:rsidR="00CF2E45">
          <w:rPr>
            <w:noProof/>
            <w:webHidden/>
          </w:rPr>
          <w:fldChar w:fldCharType="begin"/>
        </w:r>
        <w:r w:rsidR="00CF2E45">
          <w:rPr>
            <w:noProof/>
            <w:webHidden/>
          </w:rPr>
          <w:instrText xml:space="preserve"> PAGEREF _Toc390958845 \h </w:instrText>
        </w:r>
        <w:r w:rsidR="00CF2E45">
          <w:rPr>
            <w:noProof/>
            <w:webHidden/>
          </w:rPr>
        </w:r>
        <w:r w:rsidR="00CF2E45">
          <w:rPr>
            <w:noProof/>
            <w:webHidden/>
          </w:rPr>
          <w:fldChar w:fldCharType="separate"/>
        </w:r>
        <w:r w:rsidR="003843F3">
          <w:rPr>
            <w:noProof/>
            <w:webHidden/>
          </w:rPr>
          <w:t>107</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46" w:history="1">
        <w:r w:rsidR="00CF2E45" w:rsidRPr="006C6410">
          <w:rPr>
            <w:rStyle w:val="Hypertextovodkaz"/>
          </w:rPr>
          <w:t>Obr. 5</w:t>
        </w:r>
        <w:r w:rsidR="00CF2E45" w:rsidRPr="006C6410">
          <w:rPr>
            <w:rStyle w:val="Hypertextovodkaz"/>
          </w:rPr>
          <w:noBreakHyphen/>
          <w:t>20: Zátěžový kartogram – Etapa (cestujících/den)</w:t>
        </w:r>
        <w:r w:rsidR="00CF2E45">
          <w:rPr>
            <w:noProof/>
            <w:webHidden/>
          </w:rPr>
          <w:tab/>
        </w:r>
        <w:r w:rsidR="00CF2E45">
          <w:rPr>
            <w:noProof/>
            <w:webHidden/>
          </w:rPr>
          <w:fldChar w:fldCharType="begin"/>
        </w:r>
        <w:r w:rsidR="00CF2E45">
          <w:rPr>
            <w:noProof/>
            <w:webHidden/>
          </w:rPr>
          <w:instrText xml:space="preserve"> PAGEREF _Toc390958846 \h </w:instrText>
        </w:r>
        <w:r w:rsidR="00CF2E45">
          <w:rPr>
            <w:noProof/>
            <w:webHidden/>
          </w:rPr>
        </w:r>
        <w:r w:rsidR="00CF2E45">
          <w:rPr>
            <w:noProof/>
            <w:webHidden/>
          </w:rPr>
          <w:fldChar w:fldCharType="separate"/>
        </w:r>
        <w:r w:rsidR="003843F3">
          <w:rPr>
            <w:noProof/>
            <w:webHidden/>
          </w:rPr>
          <w:t>108</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47" w:history="1">
        <w:r w:rsidR="00CF2E45" w:rsidRPr="006C6410">
          <w:rPr>
            <w:rStyle w:val="Hypertextovodkaz"/>
          </w:rPr>
          <w:t>Obr. 5</w:t>
        </w:r>
        <w:r w:rsidR="00CF2E45" w:rsidRPr="006C6410">
          <w:rPr>
            <w:rStyle w:val="Hypertextovodkaz"/>
          </w:rPr>
          <w:noBreakHyphen/>
          <w:t>21: Zátěžový kartogram – var. Maximální (cestujících/den)</w:t>
        </w:r>
        <w:r w:rsidR="00CF2E45">
          <w:rPr>
            <w:noProof/>
            <w:webHidden/>
          </w:rPr>
          <w:tab/>
        </w:r>
        <w:r w:rsidR="00CF2E45">
          <w:rPr>
            <w:noProof/>
            <w:webHidden/>
          </w:rPr>
          <w:fldChar w:fldCharType="begin"/>
        </w:r>
        <w:r w:rsidR="00CF2E45">
          <w:rPr>
            <w:noProof/>
            <w:webHidden/>
          </w:rPr>
          <w:instrText xml:space="preserve"> PAGEREF _Toc390958847 \h </w:instrText>
        </w:r>
        <w:r w:rsidR="00CF2E45">
          <w:rPr>
            <w:noProof/>
            <w:webHidden/>
          </w:rPr>
        </w:r>
        <w:r w:rsidR="00CF2E45">
          <w:rPr>
            <w:noProof/>
            <w:webHidden/>
          </w:rPr>
          <w:fldChar w:fldCharType="separate"/>
        </w:r>
        <w:r w:rsidR="003843F3">
          <w:rPr>
            <w:noProof/>
            <w:webHidden/>
          </w:rPr>
          <w:t>108</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48" w:history="1">
        <w:r w:rsidR="00CF2E45" w:rsidRPr="006C6410">
          <w:rPr>
            <w:rStyle w:val="Hypertextovodkaz"/>
          </w:rPr>
          <w:t>Obr. 5</w:t>
        </w:r>
        <w:r w:rsidR="00CF2E45" w:rsidRPr="006C6410">
          <w:rPr>
            <w:rStyle w:val="Hypertextovodkaz"/>
          </w:rPr>
          <w:noBreakHyphen/>
          <w:t>22: Průběh poptávky během pracovního dne (% celodenního přepravního proudu/h)</w:t>
        </w:r>
        <w:r w:rsidR="00CF2E45">
          <w:rPr>
            <w:noProof/>
            <w:webHidden/>
          </w:rPr>
          <w:tab/>
        </w:r>
        <w:r w:rsidR="00CF2E45">
          <w:rPr>
            <w:noProof/>
            <w:webHidden/>
          </w:rPr>
          <w:fldChar w:fldCharType="begin"/>
        </w:r>
        <w:r w:rsidR="00CF2E45">
          <w:rPr>
            <w:noProof/>
            <w:webHidden/>
          </w:rPr>
          <w:instrText xml:space="preserve"> PAGEREF _Toc390958848 \h </w:instrText>
        </w:r>
        <w:r w:rsidR="00CF2E45">
          <w:rPr>
            <w:noProof/>
            <w:webHidden/>
          </w:rPr>
        </w:r>
        <w:r w:rsidR="00CF2E45">
          <w:rPr>
            <w:noProof/>
            <w:webHidden/>
          </w:rPr>
          <w:fldChar w:fldCharType="separate"/>
        </w:r>
        <w:r w:rsidR="003843F3">
          <w:rPr>
            <w:noProof/>
            <w:webHidden/>
          </w:rPr>
          <w:t>109</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49" w:history="1">
        <w:r w:rsidR="00CF2E45" w:rsidRPr="006C6410">
          <w:rPr>
            <w:rStyle w:val="Hypertextovodkaz"/>
          </w:rPr>
          <w:t>Obr. 5</w:t>
        </w:r>
        <w:r w:rsidR="00CF2E45" w:rsidRPr="006C6410">
          <w:rPr>
            <w:rStyle w:val="Hypertextovodkaz"/>
          </w:rPr>
          <w:noBreakHyphen/>
          <w:t>23: Průběh poptávky během pracovního dne, rok 2025 (cestujících/h)</w:t>
        </w:r>
        <w:r w:rsidR="00CF2E45">
          <w:rPr>
            <w:noProof/>
            <w:webHidden/>
          </w:rPr>
          <w:tab/>
        </w:r>
        <w:r w:rsidR="00CF2E45">
          <w:rPr>
            <w:noProof/>
            <w:webHidden/>
          </w:rPr>
          <w:fldChar w:fldCharType="begin"/>
        </w:r>
        <w:r w:rsidR="00CF2E45">
          <w:rPr>
            <w:noProof/>
            <w:webHidden/>
          </w:rPr>
          <w:instrText xml:space="preserve"> PAGEREF _Toc390958849 \h </w:instrText>
        </w:r>
        <w:r w:rsidR="00CF2E45">
          <w:rPr>
            <w:noProof/>
            <w:webHidden/>
          </w:rPr>
        </w:r>
        <w:r w:rsidR="00CF2E45">
          <w:rPr>
            <w:noProof/>
            <w:webHidden/>
          </w:rPr>
          <w:fldChar w:fldCharType="separate"/>
        </w:r>
        <w:r w:rsidR="003843F3">
          <w:rPr>
            <w:noProof/>
            <w:webHidden/>
          </w:rPr>
          <w:t>109</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50" w:history="1">
        <w:r w:rsidR="00CF2E45" w:rsidRPr="006C6410">
          <w:rPr>
            <w:rStyle w:val="Hypertextovodkaz"/>
          </w:rPr>
          <w:t>Obr. 5</w:t>
        </w:r>
        <w:r w:rsidR="00CF2E45" w:rsidRPr="006C6410">
          <w:rPr>
            <w:rStyle w:val="Hypertextovodkaz"/>
          </w:rPr>
          <w:noBreakHyphen/>
          <w:t>24: Přepravní výkony na relaci H. Králové – Pardubice (os.km/rok)</w:t>
        </w:r>
        <w:r w:rsidR="00CF2E45">
          <w:rPr>
            <w:noProof/>
            <w:webHidden/>
          </w:rPr>
          <w:tab/>
        </w:r>
        <w:r w:rsidR="00CF2E45">
          <w:rPr>
            <w:noProof/>
            <w:webHidden/>
          </w:rPr>
          <w:fldChar w:fldCharType="begin"/>
        </w:r>
        <w:r w:rsidR="00CF2E45">
          <w:rPr>
            <w:noProof/>
            <w:webHidden/>
          </w:rPr>
          <w:instrText xml:space="preserve"> PAGEREF _Toc390958850 \h </w:instrText>
        </w:r>
        <w:r w:rsidR="00CF2E45">
          <w:rPr>
            <w:noProof/>
            <w:webHidden/>
          </w:rPr>
        </w:r>
        <w:r w:rsidR="00CF2E45">
          <w:rPr>
            <w:noProof/>
            <w:webHidden/>
          </w:rPr>
          <w:fldChar w:fldCharType="separate"/>
        </w:r>
        <w:r w:rsidR="003843F3">
          <w:rPr>
            <w:noProof/>
            <w:webHidden/>
          </w:rPr>
          <w:t>110</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51" w:history="1">
        <w:r w:rsidR="00CF2E45" w:rsidRPr="006C6410">
          <w:rPr>
            <w:rStyle w:val="Hypertextovodkaz"/>
          </w:rPr>
          <w:t>Obr. 5</w:t>
        </w:r>
        <w:r w:rsidR="00CF2E45" w:rsidRPr="006C6410">
          <w:rPr>
            <w:rStyle w:val="Hypertextovodkaz"/>
          </w:rPr>
          <w:noBreakHyphen/>
          <w:t>25: Přepravní výkony na relaci Pardubice – Chrudim (os.km/rok)</w:t>
        </w:r>
        <w:r w:rsidR="00CF2E45">
          <w:rPr>
            <w:noProof/>
            <w:webHidden/>
          </w:rPr>
          <w:tab/>
        </w:r>
        <w:r w:rsidR="00CF2E45">
          <w:rPr>
            <w:noProof/>
            <w:webHidden/>
          </w:rPr>
          <w:fldChar w:fldCharType="begin"/>
        </w:r>
        <w:r w:rsidR="00CF2E45">
          <w:rPr>
            <w:noProof/>
            <w:webHidden/>
          </w:rPr>
          <w:instrText xml:space="preserve"> PAGEREF _Toc390958851 \h </w:instrText>
        </w:r>
        <w:r w:rsidR="00CF2E45">
          <w:rPr>
            <w:noProof/>
            <w:webHidden/>
          </w:rPr>
        </w:r>
        <w:r w:rsidR="00CF2E45">
          <w:rPr>
            <w:noProof/>
            <w:webHidden/>
          </w:rPr>
          <w:fldChar w:fldCharType="separate"/>
        </w:r>
        <w:r w:rsidR="003843F3">
          <w:rPr>
            <w:noProof/>
            <w:webHidden/>
          </w:rPr>
          <w:t>111</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52" w:history="1">
        <w:r w:rsidR="00CF2E45" w:rsidRPr="006C6410">
          <w:rPr>
            <w:rStyle w:val="Hypertextovodkaz"/>
          </w:rPr>
          <w:t>Obr. 5</w:t>
        </w:r>
        <w:r w:rsidR="00CF2E45" w:rsidRPr="006C6410">
          <w:rPr>
            <w:rStyle w:val="Hypertextovodkaz"/>
          </w:rPr>
          <w:noBreakHyphen/>
          <w:t>26: Počty cestujících v jednotlivých dopravních módech na relaci H.K. - Pardubice</w:t>
        </w:r>
        <w:r w:rsidR="00CF2E45">
          <w:rPr>
            <w:noProof/>
            <w:webHidden/>
          </w:rPr>
          <w:tab/>
        </w:r>
        <w:r w:rsidR="00CF2E45">
          <w:rPr>
            <w:noProof/>
            <w:webHidden/>
          </w:rPr>
          <w:fldChar w:fldCharType="begin"/>
        </w:r>
        <w:r w:rsidR="00CF2E45">
          <w:rPr>
            <w:noProof/>
            <w:webHidden/>
          </w:rPr>
          <w:instrText xml:space="preserve"> PAGEREF _Toc390958852 \h </w:instrText>
        </w:r>
        <w:r w:rsidR="00CF2E45">
          <w:rPr>
            <w:noProof/>
            <w:webHidden/>
          </w:rPr>
        </w:r>
        <w:r w:rsidR="00CF2E45">
          <w:rPr>
            <w:noProof/>
            <w:webHidden/>
          </w:rPr>
          <w:fldChar w:fldCharType="separate"/>
        </w:r>
        <w:r w:rsidR="003843F3">
          <w:rPr>
            <w:noProof/>
            <w:webHidden/>
          </w:rPr>
          <w:t>112</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53" w:history="1">
        <w:r w:rsidR="00CF2E45" w:rsidRPr="006C6410">
          <w:rPr>
            <w:rStyle w:val="Hypertextovodkaz"/>
          </w:rPr>
          <w:t>Obr. 5</w:t>
        </w:r>
        <w:r w:rsidR="00CF2E45" w:rsidRPr="006C6410">
          <w:rPr>
            <w:rStyle w:val="Hypertextovodkaz"/>
          </w:rPr>
          <w:noBreakHyphen/>
          <w:t>27: Modal-split na relaci Hradec Králové - Pardubice</w:t>
        </w:r>
        <w:r w:rsidR="00CF2E45">
          <w:rPr>
            <w:noProof/>
            <w:webHidden/>
          </w:rPr>
          <w:tab/>
        </w:r>
        <w:r w:rsidR="00CF2E45">
          <w:rPr>
            <w:noProof/>
            <w:webHidden/>
          </w:rPr>
          <w:fldChar w:fldCharType="begin"/>
        </w:r>
        <w:r w:rsidR="00CF2E45">
          <w:rPr>
            <w:noProof/>
            <w:webHidden/>
          </w:rPr>
          <w:instrText xml:space="preserve"> PAGEREF _Toc390958853 \h </w:instrText>
        </w:r>
        <w:r w:rsidR="00CF2E45">
          <w:rPr>
            <w:noProof/>
            <w:webHidden/>
          </w:rPr>
        </w:r>
        <w:r w:rsidR="00CF2E45">
          <w:rPr>
            <w:noProof/>
            <w:webHidden/>
          </w:rPr>
          <w:fldChar w:fldCharType="separate"/>
        </w:r>
        <w:r w:rsidR="003843F3">
          <w:rPr>
            <w:noProof/>
            <w:webHidden/>
          </w:rPr>
          <w:t>113</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54" w:history="1">
        <w:r w:rsidR="00CF2E45" w:rsidRPr="006C6410">
          <w:rPr>
            <w:rStyle w:val="Hypertextovodkaz"/>
          </w:rPr>
          <w:t>Obr. 5</w:t>
        </w:r>
        <w:r w:rsidR="00CF2E45" w:rsidRPr="006C6410">
          <w:rPr>
            <w:rStyle w:val="Hypertextovodkaz"/>
          </w:rPr>
          <w:noBreakHyphen/>
          <w:t>28: Přepravní výkony na relaci H. Králové – Pardubice (čisté tuno.km/rok)</w:t>
        </w:r>
        <w:r w:rsidR="00CF2E45">
          <w:rPr>
            <w:noProof/>
            <w:webHidden/>
          </w:rPr>
          <w:tab/>
        </w:r>
        <w:r w:rsidR="00CF2E45">
          <w:rPr>
            <w:noProof/>
            <w:webHidden/>
          </w:rPr>
          <w:fldChar w:fldCharType="begin"/>
        </w:r>
        <w:r w:rsidR="00CF2E45">
          <w:rPr>
            <w:noProof/>
            <w:webHidden/>
          </w:rPr>
          <w:instrText xml:space="preserve"> PAGEREF _Toc390958854 \h </w:instrText>
        </w:r>
        <w:r w:rsidR="00CF2E45">
          <w:rPr>
            <w:noProof/>
            <w:webHidden/>
          </w:rPr>
        </w:r>
        <w:r w:rsidR="00CF2E45">
          <w:rPr>
            <w:noProof/>
            <w:webHidden/>
          </w:rPr>
          <w:fldChar w:fldCharType="separate"/>
        </w:r>
        <w:r w:rsidR="003843F3">
          <w:rPr>
            <w:noProof/>
            <w:webHidden/>
          </w:rPr>
          <w:t>117</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55" w:history="1">
        <w:r w:rsidR="00CF2E45" w:rsidRPr="006C6410">
          <w:rPr>
            <w:rStyle w:val="Hypertextovodkaz"/>
          </w:rPr>
          <w:t>Obr. 6</w:t>
        </w:r>
        <w:r w:rsidR="00CF2E45" w:rsidRPr="006C6410">
          <w:rPr>
            <w:rStyle w:val="Hypertextovodkaz"/>
          </w:rPr>
          <w:noBreakHyphen/>
          <w:t>1: Dnešní stav lokality u EVL U Pohránovského rybníka (vpravo od tratě)</w:t>
        </w:r>
        <w:r w:rsidR="00CF2E45">
          <w:rPr>
            <w:noProof/>
            <w:webHidden/>
          </w:rPr>
          <w:tab/>
        </w:r>
        <w:r w:rsidR="00CF2E45">
          <w:rPr>
            <w:noProof/>
            <w:webHidden/>
          </w:rPr>
          <w:fldChar w:fldCharType="begin"/>
        </w:r>
        <w:r w:rsidR="00CF2E45">
          <w:rPr>
            <w:noProof/>
            <w:webHidden/>
          </w:rPr>
          <w:instrText xml:space="preserve"> PAGEREF _Toc390958855 \h </w:instrText>
        </w:r>
        <w:r w:rsidR="00CF2E45">
          <w:rPr>
            <w:noProof/>
            <w:webHidden/>
          </w:rPr>
        </w:r>
        <w:r w:rsidR="00CF2E45">
          <w:rPr>
            <w:noProof/>
            <w:webHidden/>
          </w:rPr>
          <w:fldChar w:fldCharType="separate"/>
        </w:r>
        <w:r w:rsidR="003843F3">
          <w:rPr>
            <w:noProof/>
            <w:webHidden/>
          </w:rPr>
          <w:t>120</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56" w:history="1">
        <w:r w:rsidR="00CF2E45" w:rsidRPr="006C6410">
          <w:rPr>
            <w:rStyle w:val="Hypertextovodkaz"/>
          </w:rPr>
          <w:t>Obr. 6</w:t>
        </w:r>
        <w:r w:rsidR="00CF2E45" w:rsidRPr="006C6410">
          <w:rPr>
            <w:rStyle w:val="Hypertextovodkaz"/>
          </w:rPr>
          <w:noBreakHyphen/>
          <w:t>2: Zákres ochranných pásem I. a II. stupně jímacího území Hrobice – Čeperka včetně umístění jednotlivých vodních zdrojů</w:t>
        </w:r>
        <w:r w:rsidR="00CF2E45">
          <w:rPr>
            <w:noProof/>
            <w:webHidden/>
          </w:rPr>
          <w:tab/>
        </w:r>
        <w:r w:rsidR="00CF2E45">
          <w:rPr>
            <w:noProof/>
            <w:webHidden/>
          </w:rPr>
          <w:fldChar w:fldCharType="begin"/>
        </w:r>
        <w:r w:rsidR="00CF2E45">
          <w:rPr>
            <w:noProof/>
            <w:webHidden/>
          </w:rPr>
          <w:instrText xml:space="preserve"> PAGEREF _Toc390958856 \h </w:instrText>
        </w:r>
        <w:r w:rsidR="00CF2E45">
          <w:rPr>
            <w:noProof/>
            <w:webHidden/>
          </w:rPr>
        </w:r>
        <w:r w:rsidR="00CF2E45">
          <w:rPr>
            <w:noProof/>
            <w:webHidden/>
          </w:rPr>
          <w:fldChar w:fldCharType="separate"/>
        </w:r>
        <w:r w:rsidR="003843F3">
          <w:rPr>
            <w:noProof/>
            <w:webHidden/>
          </w:rPr>
          <w:t>124</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57" w:history="1">
        <w:r w:rsidR="00CF2E45" w:rsidRPr="006C6410">
          <w:rPr>
            <w:rStyle w:val="Hypertextovodkaz"/>
          </w:rPr>
          <w:t>Obr. 7</w:t>
        </w:r>
        <w:r w:rsidR="00CF2E45" w:rsidRPr="006C6410">
          <w:rPr>
            <w:rStyle w:val="Hypertextovodkaz"/>
          </w:rPr>
          <w:noBreakHyphen/>
          <w:t>1: Grafy závislosti ERR na změnách kritických proměnných</w:t>
        </w:r>
        <w:r w:rsidR="00CF2E45">
          <w:rPr>
            <w:noProof/>
            <w:webHidden/>
          </w:rPr>
          <w:tab/>
        </w:r>
        <w:r w:rsidR="00CF2E45">
          <w:rPr>
            <w:noProof/>
            <w:webHidden/>
          </w:rPr>
          <w:fldChar w:fldCharType="begin"/>
        </w:r>
        <w:r w:rsidR="00CF2E45">
          <w:rPr>
            <w:noProof/>
            <w:webHidden/>
          </w:rPr>
          <w:instrText xml:space="preserve"> PAGEREF _Toc390958857 \h </w:instrText>
        </w:r>
        <w:r w:rsidR="00CF2E45">
          <w:rPr>
            <w:noProof/>
            <w:webHidden/>
          </w:rPr>
        </w:r>
        <w:r w:rsidR="00CF2E45">
          <w:rPr>
            <w:noProof/>
            <w:webHidden/>
          </w:rPr>
          <w:fldChar w:fldCharType="separate"/>
        </w:r>
        <w:r w:rsidR="003843F3">
          <w:rPr>
            <w:noProof/>
            <w:webHidden/>
          </w:rPr>
          <w:t>154</w:t>
        </w:r>
        <w:r w:rsidR="00CF2E45">
          <w:rPr>
            <w:noProof/>
            <w:webHidden/>
          </w:rPr>
          <w:fldChar w:fldCharType="end"/>
        </w:r>
      </w:hyperlink>
    </w:p>
    <w:p w:rsidR="00CF2E45" w:rsidRDefault="000E79AE">
      <w:pPr>
        <w:pStyle w:val="Seznamobrzk"/>
        <w:tabs>
          <w:tab w:val="right" w:leader="dot" w:pos="9343"/>
        </w:tabs>
        <w:rPr>
          <w:rFonts w:asciiTheme="minorHAnsi" w:eastAsiaTheme="minorEastAsia" w:hAnsiTheme="minorHAnsi" w:cstheme="minorBidi"/>
          <w:noProof/>
          <w:sz w:val="22"/>
          <w:szCs w:val="22"/>
          <w:lang w:eastAsia="cs-CZ"/>
        </w:rPr>
      </w:pPr>
      <w:hyperlink w:anchor="_Toc390958858" w:history="1">
        <w:r w:rsidR="00CF2E45" w:rsidRPr="006C6410">
          <w:rPr>
            <w:rStyle w:val="Hypertextovodkaz"/>
          </w:rPr>
          <w:t>Obr. 8</w:t>
        </w:r>
        <w:r w:rsidR="00CF2E45" w:rsidRPr="006C6410">
          <w:rPr>
            <w:rStyle w:val="Hypertextovodkaz"/>
          </w:rPr>
          <w:noBreakHyphen/>
          <w:t>1: Srovnání variant pomocí grafu</w:t>
        </w:r>
        <w:r w:rsidR="00CF2E45">
          <w:rPr>
            <w:noProof/>
            <w:webHidden/>
          </w:rPr>
          <w:tab/>
        </w:r>
        <w:r w:rsidR="00CF2E45">
          <w:rPr>
            <w:noProof/>
            <w:webHidden/>
          </w:rPr>
          <w:fldChar w:fldCharType="begin"/>
        </w:r>
        <w:r w:rsidR="00CF2E45">
          <w:rPr>
            <w:noProof/>
            <w:webHidden/>
          </w:rPr>
          <w:instrText xml:space="preserve"> PAGEREF _Toc390958858 \h </w:instrText>
        </w:r>
        <w:r w:rsidR="00CF2E45">
          <w:rPr>
            <w:noProof/>
            <w:webHidden/>
          </w:rPr>
        </w:r>
        <w:r w:rsidR="00CF2E45">
          <w:rPr>
            <w:noProof/>
            <w:webHidden/>
          </w:rPr>
          <w:fldChar w:fldCharType="separate"/>
        </w:r>
        <w:r w:rsidR="003843F3">
          <w:rPr>
            <w:noProof/>
            <w:webHidden/>
          </w:rPr>
          <w:t>160</w:t>
        </w:r>
        <w:r w:rsidR="00CF2E45">
          <w:rPr>
            <w:noProof/>
            <w:webHidden/>
          </w:rPr>
          <w:fldChar w:fldCharType="end"/>
        </w:r>
      </w:hyperlink>
    </w:p>
    <w:p w:rsidR="00E46435" w:rsidRDefault="00AC5CDF" w:rsidP="00960A95">
      <w:pPr>
        <w:pStyle w:val="Zhlav"/>
        <w:tabs>
          <w:tab w:val="clear" w:pos="4536"/>
          <w:tab w:val="clear" w:pos="9072"/>
        </w:tabs>
        <w:spacing w:before="80" w:after="80" w:line="240" w:lineRule="auto"/>
      </w:pPr>
      <w:r w:rsidRPr="008A4204">
        <w:fldChar w:fldCharType="end"/>
      </w:r>
    </w:p>
    <w:p w:rsidR="00E46435" w:rsidRDefault="00E46435" w:rsidP="00017651">
      <w:pPr>
        <w:pStyle w:val="Zhlav"/>
        <w:tabs>
          <w:tab w:val="clear" w:pos="4536"/>
          <w:tab w:val="clear" w:pos="9072"/>
        </w:tabs>
      </w:pPr>
      <w:r>
        <w:br w:type="page"/>
      </w:r>
    </w:p>
    <w:p w:rsidR="00225B27" w:rsidRDefault="00225B27" w:rsidP="00017651">
      <w:pPr>
        <w:pStyle w:val="Zhlav"/>
        <w:tabs>
          <w:tab w:val="clear" w:pos="4536"/>
          <w:tab w:val="clear" w:pos="9072"/>
        </w:tabs>
        <w:rPr>
          <w:b/>
          <w:bCs/>
          <w:sz w:val="32"/>
        </w:rPr>
      </w:pPr>
      <w:r>
        <w:rPr>
          <w:b/>
          <w:bCs/>
          <w:sz w:val="32"/>
        </w:rPr>
        <w:lastRenderedPageBreak/>
        <w:t>SEZNAM ZKRATEK</w:t>
      </w:r>
    </w:p>
    <w:p w:rsidR="00E65CA9" w:rsidRDefault="00E65CA9" w:rsidP="00E65CA9">
      <w:r>
        <w:t xml:space="preserve">CBA </w:t>
      </w:r>
      <w:r>
        <w:tab/>
        <w:t>Cost Benefit Analysis – analýza nákladů a přínosů</w:t>
      </w:r>
    </w:p>
    <w:p w:rsidR="00D61130" w:rsidRDefault="00D61130" w:rsidP="00E65CA9">
      <w:pPr>
        <w:sectPr w:rsidR="00D61130" w:rsidSect="00BD70C0">
          <w:footerReference w:type="default" r:id="rId12"/>
          <w:footnotePr>
            <w:pos w:val="beneathText"/>
          </w:footnotePr>
          <w:pgSz w:w="11905" w:h="16837" w:code="9"/>
          <w:pgMar w:top="1134" w:right="1134" w:bottom="1134" w:left="1418" w:header="709" w:footer="96" w:gutter="0"/>
          <w:pgNumType w:start="1" w:chapStyle="1"/>
          <w:cols w:space="708"/>
          <w:docGrid w:linePitch="360"/>
        </w:sectPr>
      </w:pPr>
      <w:r>
        <w:t>CIN</w:t>
      </w:r>
      <w:r>
        <w:tab/>
        <w:t>celkové investiční náklady</w:t>
      </w:r>
    </w:p>
    <w:p w:rsidR="00E65CA9" w:rsidRDefault="00E65CA9" w:rsidP="00E65CA9">
      <w:r>
        <w:lastRenderedPageBreak/>
        <w:t>CÚ</w:t>
      </w:r>
      <w:r>
        <w:tab/>
        <w:t>cenová úroveň</w:t>
      </w:r>
    </w:p>
    <w:p w:rsidR="00E65CA9" w:rsidRDefault="00E65CA9" w:rsidP="00E65CA9">
      <w:r>
        <w:t>ČSÚ</w:t>
      </w:r>
      <w:r>
        <w:tab/>
        <w:t>Český statistický úřad</w:t>
      </w:r>
    </w:p>
    <w:p w:rsidR="00E65CA9" w:rsidRDefault="00E65CA9" w:rsidP="00E65CA9">
      <w:r>
        <w:t>čtkm</w:t>
      </w:r>
      <w:r>
        <w:tab/>
        <w:t>čistý tunokilometr</w:t>
      </w:r>
    </w:p>
    <w:p w:rsidR="00E65CA9" w:rsidRDefault="00E65CA9" w:rsidP="00E65CA9">
      <w:r>
        <w:t>ENPV</w:t>
      </w:r>
      <w:r>
        <w:tab/>
        <w:t xml:space="preserve">ekonomická čistá současná hodnota </w:t>
      </w:r>
    </w:p>
    <w:p w:rsidR="00E65CA9" w:rsidRDefault="00E65CA9" w:rsidP="00E65CA9">
      <w:r>
        <w:t>EOP</w:t>
      </w:r>
      <w:r>
        <w:tab/>
        <w:t>Elektrárn</w:t>
      </w:r>
      <w:r w:rsidR="00C35B82">
        <w:t>y</w:t>
      </w:r>
      <w:r>
        <w:t xml:space="preserve"> Opatovice</w:t>
      </w:r>
    </w:p>
    <w:p w:rsidR="00E65CA9" w:rsidRDefault="00E65CA9" w:rsidP="00E65CA9">
      <w:r>
        <w:t>ERR</w:t>
      </w:r>
      <w:r>
        <w:tab/>
        <w:t>ekonomické vnitřní výnosové procento</w:t>
      </w:r>
    </w:p>
    <w:p w:rsidR="00E65CA9" w:rsidRDefault="00E65CA9" w:rsidP="00E65CA9">
      <w:r>
        <w:t>FNPV</w:t>
      </w:r>
      <w:r>
        <w:tab/>
        <w:t>finanční čistá současná hodnota</w:t>
      </w:r>
    </w:p>
    <w:p w:rsidR="00E65CA9" w:rsidRDefault="00E65CA9" w:rsidP="00E65CA9">
      <w:r>
        <w:t>FRR</w:t>
      </w:r>
      <w:r>
        <w:tab/>
        <w:t>finanční vnitřní výnosové procento</w:t>
      </w:r>
    </w:p>
    <w:p w:rsidR="00E65CA9" w:rsidRDefault="00E65CA9" w:rsidP="00E65CA9">
      <w:r>
        <w:t>GPK</w:t>
      </w:r>
      <w:r>
        <w:tab/>
        <w:t>geometrická poloha koleje</w:t>
      </w:r>
    </w:p>
    <w:p w:rsidR="00E65CA9" w:rsidRDefault="00E65CA9" w:rsidP="00E65CA9">
      <w:r>
        <w:t>GVD</w:t>
      </w:r>
      <w:r>
        <w:tab/>
        <w:t>grafikon vlakové dopravy</w:t>
      </w:r>
    </w:p>
    <w:p w:rsidR="00C34F09" w:rsidRDefault="00C34F09" w:rsidP="00E65CA9">
      <w:r>
        <w:t>IN</w:t>
      </w:r>
      <w:r>
        <w:tab/>
        <w:t>investiční náklady</w:t>
      </w:r>
    </w:p>
    <w:p w:rsidR="00E65CA9" w:rsidRDefault="00E65CA9" w:rsidP="00E65CA9">
      <w:r>
        <w:t>MD</w:t>
      </w:r>
      <w:r w:rsidR="00C35B82">
        <w:t xml:space="preserve"> ČR</w:t>
      </w:r>
      <w:r>
        <w:tab/>
        <w:t>Ministerstvo dopravy</w:t>
      </w:r>
      <w:r w:rsidR="00C35B82">
        <w:t xml:space="preserve"> České republiky</w:t>
      </w:r>
    </w:p>
    <w:p w:rsidR="00E65CA9" w:rsidRDefault="00E65CA9" w:rsidP="00E65CA9">
      <w:r>
        <w:t>oskm</w:t>
      </w:r>
      <w:r>
        <w:tab/>
        <w:t>osobokilometr</w:t>
      </w:r>
    </w:p>
    <w:p w:rsidR="00665108" w:rsidRDefault="00665108" w:rsidP="00E65CA9">
      <w:r>
        <w:t>PZM</w:t>
      </w:r>
      <w:r>
        <w:tab/>
        <w:t>přejezdové zabezpečení mechanické</w:t>
      </w:r>
    </w:p>
    <w:p w:rsidR="00665108" w:rsidRDefault="00665108" w:rsidP="00E65CA9">
      <w:r>
        <w:t>PZS</w:t>
      </w:r>
      <w:r>
        <w:tab/>
        <w:t>přejezdové zabezpečení světelné</w:t>
      </w:r>
    </w:p>
    <w:p w:rsidR="001B5D92" w:rsidRDefault="001B5D92" w:rsidP="00E65CA9">
      <w:r>
        <w:t>PZZ</w:t>
      </w:r>
      <w:r>
        <w:tab/>
        <w:t>přejezdové zabezpečovací zařízení</w:t>
      </w:r>
    </w:p>
    <w:p w:rsidR="00D941E9" w:rsidRDefault="00D941E9" w:rsidP="00E65CA9">
      <w:r>
        <w:t>RZZ</w:t>
      </w:r>
      <w:r>
        <w:tab/>
        <w:t>reléové zabezpečovací zařízení (druh SZZ)</w:t>
      </w:r>
    </w:p>
    <w:p w:rsidR="00E65CA9" w:rsidRDefault="00E65CA9" w:rsidP="00E65CA9">
      <w:r>
        <w:t>SLDB</w:t>
      </w:r>
      <w:r>
        <w:tab/>
        <w:t>Sčítání lidí, domů a bytů</w:t>
      </w:r>
    </w:p>
    <w:p w:rsidR="00E65CA9" w:rsidRDefault="00E65CA9" w:rsidP="00E65CA9">
      <w:r>
        <w:t>SZZ</w:t>
      </w:r>
      <w:r>
        <w:tab/>
        <w:t>staniční zabezpečovací zařízení</w:t>
      </w:r>
    </w:p>
    <w:p w:rsidR="00E65CA9" w:rsidRDefault="00E65CA9" w:rsidP="00E65CA9">
      <w:r>
        <w:t xml:space="preserve">SŽDC </w:t>
      </w:r>
      <w:r>
        <w:tab/>
        <w:t>Správa železniční dopravní cesty</w:t>
      </w:r>
    </w:p>
    <w:p w:rsidR="00D75137" w:rsidRDefault="00D75137" w:rsidP="00E65CA9">
      <w:r>
        <w:t>TK</w:t>
      </w:r>
      <w:r>
        <w:tab/>
        <w:t>temeno kolejnice</w:t>
      </w:r>
    </w:p>
    <w:p w:rsidR="00E65CA9" w:rsidRDefault="00E65CA9" w:rsidP="00E65CA9">
      <w:r>
        <w:t>tkm</w:t>
      </w:r>
      <w:r>
        <w:tab/>
        <w:t>tunokilometr</w:t>
      </w:r>
    </w:p>
    <w:p w:rsidR="00D92957" w:rsidRDefault="00D92957" w:rsidP="00E65CA9">
      <w:r>
        <w:t>TSI</w:t>
      </w:r>
      <w:r>
        <w:tab/>
        <w:t>technické specifikace interoperability</w:t>
      </w:r>
    </w:p>
    <w:p w:rsidR="00E65CA9" w:rsidRDefault="00E65CA9" w:rsidP="00E65CA9">
      <w:r>
        <w:t>TZZ</w:t>
      </w:r>
      <w:r>
        <w:tab/>
        <w:t>traťové zabezpečovací zařízení</w:t>
      </w:r>
    </w:p>
    <w:p w:rsidR="00E65CA9" w:rsidRDefault="00E65CA9" w:rsidP="00E65CA9">
      <w:r>
        <w:t>ÚTS</w:t>
      </w:r>
      <w:r>
        <w:tab/>
        <w:t>územně technická studie</w:t>
      </w:r>
    </w:p>
    <w:p w:rsidR="00E65CA9" w:rsidRDefault="00E65CA9" w:rsidP="00E65CA9">
      <w:r>
        <w:t>vlkm</w:t>
      </w:r>
      <w:r>
        <w:tab/>
        <w:t>vlakový kilometr</w:t>
      </w:r>
    </w:p>
    <w:p w:rsidR="00327368" w:rsidRDefault="00327368" w:rsidP="00E65CA9">
      <w:r>
        <w:t>Etapa</w:t>
      </w:r>
      <w:r>
        <w:tab/>
        <w:t>Etapa varianty maximální</w:t>
      </w:r>
    </w:p>
    <w:p w:rsidR="00225B27" w:rsidRDefault="00225B27" w:rsidP="00E46435">
      <w:pPr>
        <w:pStyle w:val="Nadpis1"/>
        <w:ind w:hanging="716"/>
      </w:pPr>
      <w:bookmarkStart w:id="0" w:name="_Toc390958677"/>
      <w:r>
        <w:lastRenderedPageBreak/>
        <w:t>Úvod</w:t>
      </w:r>
      <w:bookmarkEnd w:id="0"/>
    </w:p>
    <w:p w:rsidR="003A4ED1" w:rsidRPr="00FD63AB" w:rsidRDefault="003A4ED1" w:rsidP="003A4ED1">
      <w:pPr>
        <w:pStyle w:val="Nadpis2"/>
        <w:keepLines/>
        <w:tabs>
          <w:tab w:val="clear" w:pos="576"/>
          <w:tab w:val="clear" w:pos="902"/>
        </w:tabs>
        <w:suppressAutoHyphens w:val="0"/>
        <w:spacing w:before="200" w:after="0" w:line="276" w:lineRule="auto"/>
      </w:pPr>
      <w:bookmarkStart w:id="1" w:name="_Toc390958678"/>
      <w:r w:rsidRPr="00FD63AB">
        <w:t>Základní údaje, zadání</w:t>
      </w:r>
      <w:bookmarkEnd w:id="1"/>
    </w:p>
    <w:p w:rsidR="003A4ED1" w:rsidRPr="00FD63AB" w:rsidRDefault="003A4ED1" w:rsidP="003A4ED1">
      <w:pPr>
        <w:tabs>
          <w:tab w:val="left" w:pos="3119"/>
        </w:tabs>
        <w:spacing w:before="60" w:after="60" w:line="240" w:lineRule="auto"/>
        <w:rPr>
          <w:rFonts w:cs="Tahoma"/>
          <w:szCs w:val="20"/>
        </w:rPr>
      </w:pPr>
      <w:r w:rsidRPr="00FD63AB">
        <w:rPr>
          <w:rFonts w:cs="Tahoma"/>
          <w:szCs w:val="20"/>
          <w:u w:val="single"/>
        </w:rPr>
        <w:t>Název projektu</w:t>
      </w:r>
      <w:r w:rsidRPr="00FD63AB">
        <w:rPr>
          <w:rFonts w:cs="Tahoma"/>
          <w:szCs w:val="20"/>
        </w:rPr>
        <w:t xml:space="preserve">: </w:t>
      </w:r>
      <w:r w:rsidRPr="00FD63AB">
        <w:rPr>
          <w:rFonts w:cs="Tahoma"/>
          <w:szCs w:val="20"/>
        </w:rPr>
        <w:tab/>
        <w:t xml:space="preserve">Modernizace trati Hradec Králové – Pardubice – Chrudim, </w:t>
      </w:r>
    </w:p>
    <w:p w:rsidR="003A4ED1" w:rsidRPr="00FD63AB" w:rsidRDefault="003A4ED1" w:rsidP="0090117B">
      <w:pPr>
        <w:tabs>
          <w:tab w:val="left" w:pos="3119"/>
        </w:tabs>
        <w:spacing w:before="60" w:after="60" w:line="240" w:lineRule="auto"/>
        <w:ind w:left="3119" w:hanging="3119"/>
        <w:rPr>
          <w:rFonts w:cs="Tahoma"/>
          <w:szCs w:val="20"/>
        </w:rPr>
      </w:pPr>
      <w:r w:rsidRPr="00FD63AB">
        <w:rPr>
          <w:rFonts w:cs="Tahoma"/>
          <w:szCs w:val="20"/>
        </w:rPr>
        <w:tab/>
      </w:r>
      <w:r w:rsidR="000D52AE">
        <w:rPr>
          <w:rFonts w:cs="Tahoma"/>
          <w:szCs w:val="20"/>
        </w:rPr>
        <w:t>Aktualizace s</w:t>
      </w:r>
      <w:r w:rsidRPr="00FD63AB">
        <w:rPr>
          <w:rFonts w:cs="Tahoma"/>
          <w:szCs w:val="20"/>
        </w:rPr>
        <w:t>tudie proveditelnosti Hradec Králové – Pardubice</w:t>
      </w:r>
      <w:r w:rsidR="0090117B">
        <w:rPr>
          <w:rFonts w:cs="Tahoma"/>
          <w:szCs w:val="20"/>
        </w:rPr>
        <w:t xml:space="preserve"> </w:t>
      </w:r>
      <w:r w:rsidR="00EC146E">
        <w:rPr>
          <w:rFonts w:cs="Tahoma"/>
          <w:szCs w:val="20"/>
        </w:rPr>
        <w:t>04</w:t>
      </w:r>
      <w:r w:rsidR="0090117B">
        <w:rPr>
          <w:rFonts w:cs="Tahoma"/>
          <w:szCs w:val="20"/>
        </w:rPr>
        <w:t>/</w:t>
      </w:r>
      <w:r w:rsidR="00EC146E">
        <w:rPr>
          <w:rFonts w:cs="Tahoma"/>
          <w:szCs w:val="20"/>
        </w:rPr>
        <w:t>2014</w:t>
      </w:r>
    </w:p>
    <w:p w:rsidR="003A4ED1" w:rsidRPr="00FD63AB" w:rsidRDefault="003A4ED1" w:rsidP="003A4ED1">
      <w:pPr>
        <w:tabs>
          <w:tab w:val="left" w:pos="3119"/>
        </w:tabs>
        <w:spacing w:before="60" w:after="60" w:line="240" w:lineRule="auto"/>
        <w:rPr>
          <w:rFonts w:cs="Tahoma"/>
          <w:szCs w:val="20"/>
        </w:rPr>
      </w:pPr>
    </w:p>
    <w:p w:rsidR="003A4ED1" w:rsidRPr="00FD63AB" w:rsidRDefault="003A4ED1" w:rsidP="003A4ED1">
      <w:pPr>
        <w:tabs>
          <w:tab w:val="left" w:pos="3119"/>
        </w:tabs>
        <w:spacing w:before="60" w:after="60" w:line="240" w:lineRule="auto"/>
        <w:rPr>
          <w:rFonts w:cs="Tahoma"/>
          <w:szCs w:val="20"/>
        </w:rPr>
      </w:pPr>
      <w:r w:rsidRPr="00FD63AB">
        <w:rPr>
          <w:rFonts w:cs="Tahoma"/>
          <w:szCs w:val="20"/>
          <w:u w:val="single"/>
        </w:rPr>
        <w:t>Druh dokumentace</w:t>
      </w:r>
      <w:r w:rsidRPr="00FD63AB">
        <w:rPr>
          <w:rFonts w:cs="Tahoma"/>
          <w:szCs w:val="20"/>
        </w:rPr>
        <w:t>:</w:t>
      </w:r>
      <w:r w:rsidRPr="00FD63AB">
        <w:rPr>
          <w:rFonts w:cs="Tahoma"/>
          <w:szCs w:val="20"/>
        </w:rPr>
        <w:tab/>
        <w:t>studie proveditelnosti</w:t>
      </w:r>
    </w:p>
    <w:p w:rsidR="003A4ED1" w:rsidRPr="00FD63AB" w:rsidRDefault="003A4ED1" w:rsidP="003A4ED1">
      <w:pPr>
        <w:tabs>
          <w:tab w:val="left" w:pos="3119"/>
        </w:tabs>
        <w:spacing w:before="60" w:after="60" w:line="240" w:lineRule="auto"/>
        <w:rPr>
          <w:rFonts w:cs="Tahoma"/>
          <w:szCs w:val="20"/>
          <w:u w:val="single"/>
        </w:rPr>
      </w:pPr>
    </w:p>
    <w:p w:rsidR="003A4ED1" w:rsidRPr="00FD63AB" w:rsidRDefault="003A4ED1" w:rsidP="003A4ED1">
      <w:pPr>
        <w:tabs>
          <w:tab w:val="left" w:pos="3119"/>
        </w:tabs>
        <w:spacing w:before="60" w:after="60" w:line="240" w:lineRule="auto"/>
        <w:rPr>
          <w:rFonts w:cs="Tahoma"/>
          <w:szCs w:val="20"/>
        </w:rPr>
      </w:pPr>
      <w:r w:rsidRPr="00FD63AB">
        <w:rPr>
          <w:rFonts w:cs="Tahoma"/>
          <w:szCs w:val="20"/>
          <w:u w:val="single"/>
        </w:rPr>
        <w:t>Rozsah řešení</w:t>
      </w:r>
      <w:r w:rsidRPr="00FD63AB">
        <w:rPr>
          <w:rFonts w:cs="Tahoma"/>
          <w:szCs w:val="20"/>
        </w:rPr>
        <w:t>:</w:t>
      </w:r>
      <w:r w:rsidRPr="00FD63AB">
        <w:rPr>
          <w:rFonts w:cs="Tahoma"/>
          <w:szCs w:val="20"/>
        </w:rPr>
        <w:tab/>
        <w:t xml:space="preserve">železniční trať </w:t>
      </w:r>
    </w:p>
    <w:p w:rsidR="003A4ED1" w:rsidRPr="00FD63AB" w:rsidRDefault="003A4ED1" w:rsidP="003A4ED1">
      <w:pPr>
        <w:tabs>
          <w:tab w:val="left" w:pos="3119"/>
        </w:tabs>
        <w:spacing w:before="60" w:after="60" w:line="240" w:lineRule="auto"/>
        <w:rPr>
          <w:rFonts w:cs="Tahoma"/>
          <w:szCs w:val="20"/>
        </w:rPr>
      </w:pPr>
      <w:r w:rsidRPr="00FD63AB">
        <w:rPr>
          <w:rFonts w:cs="Tahoma"/>
          <w:szCs w:val="20"/>
        </w:rPr>
        <w:tab/>
        <w:t>Hradec Králové hlavní nádraží – Pardubice hlavní nádraží</w:t>
      </w:r>
    </w:p>
    <w:p w:rsidR="003A4ED1" w:rsidRPr="00FD63AB" w:rsidRDefault="003A4ED1" w:rsidP="003A4ED1">
      <w:pPr>
        <w:tabs>
          <w:tab w:val="left" w:pos="3119"/>
        </w:tabs>
        <w:spacing w:before="60" w:after="60" w:line="240" w:lineRule="auto"/>
        <w:rPr>
          <w:rFonts w:cs="Tahoma"/>
          <w:szCs w:val="20"/>
        </w:rPr>
      </w:pPr>
    </w:p>
    <w:p w:rsidR="003A4ED1" w:rsidRPr="00FD63AB" w:rsidRDefault="003A4ED1" w:rsidP="003A4ED1">
      <w:pPr>
        <w:tabs>
          <w:tab w:val="left" w:pos="3119"/>
        </w:tabs>
        <w:spacing w:before="60" w:after="60" w:line="240" w:lineRule="auto"/>
        <w:rPr>
          <w:rFonts w:cs="Tahoma"/>
          <w:szCs w:val="20"/>
        </w:rPr>
      </w:pPr>
      <w:r w:rsidRPr="00FD63AB">
        <w:rPr>
          <w:rFonts w:cs="Tahoma"/>
          <w:szCs w:val="20"/>
          <w:u w:val="single"/>
        </w:rPr>
        <w:t>Investor</w:t>
      </w:r>
      <w:r w:rsidRPr="00FD63AB">
        <w:rPr>
          <w:rFonts w:cs="Tahoma"/>
          <w:szCs w:val="20"/>
        </w:rPr>
        <w:t>:</w:t>
      </w:r>
      <w:r w:rsidRPr="00FD63AB">
        <w:rPr>
          <w:rFonts w:cs="Tahoma"/>
          <w:szCs w:val="20"/>
        </w:rPr>
        <w:tab/>
        <w:t>Správa železniční dopravní cesty s. o., Stavební správa východ</w:t>
      </w:r>
    </w:p>
    <w:p w:rsidR="003A4ED1" w:rsidRPr="00FD63AB" w:rsidRDefault="003A4ED1" w:rsidP="003A4ED1">
      <w:pPr>
        <w:tabs>
          <w:tab w:val="left" w:pos="3119"/>
        </w:tabs>
        <w:spacing w:before="60" w:after="60" w:line="240" w:lineRule="auto"/>
        <w:rPr>
          <w:rFonts w:cs="Tahoma"/>
          <w:szCs w:val="20"/>
        </w:rPr>
      </w:pPr>
    </w:p>
    <w:p w:rsidR="003A4ED1" w:rsidRPr="00FD63AB" w:rsidRDefault="003A4ED1" w:rsidP="003A4ED1">
      <w:pPr>
        <w:tabs>
          <w:tab w:val="left" w:pos="3119"/>
        </w:tabs>
        <w:spacing w:before="60" w:after="60" w:line="240" w:lineRule="auto"/>
        <w:rPr>
          <w:rFonts w:cs="Tahoma"/>
          <w:szCs w:val="20"/>
        </w:rPr>
      </w:pPr>
      <w:r w:rsidRPr="00FD63AB">
        <w:rPr>
          <w:rFonts w:cs="Tahoma"/>
          <w:szCs w:val="20"/>
          <w:u w:val="single"/>
        </w:rPr>
        <w:t>Důvody pro vypracování studie</w:t>
      </w:r>
      <w:r w:rsidRPr="00FD63AB">
        <w:rPr>
          <w:rFonts w:cs="Tahoma"/>
          <w:szCs w:val="20"/>
        </w:rPr>
        <w:t>:</w:t>
      </w:r>
      <w:r w:rsidRPr="00FD63AB">
        <w:rPr>
          <w:rFonts w:cs="Tahoma"/>
          <w:szCs w:val="20"/>
        </w:rPr>
        <w:tab/>
        <w:t>trať nevyhovuje očekávanému rozsahu dopravy</w:t>
      </w:r>
    </w:p>
    <w:p w:rsidR="003A4ED1" w:rsidRPr="00FD63AB" w:rsidRDefault="003A4ED1" w:rsidP="003A4ED1">
      <w:pPr>
        <w:tabs>
          <w:tab w:val="left" w:pos="3119"/>
        </w:tabs>
        <w:spacing w:before="60" w:after="60" w:line="240" w:lineRule="auto"/>
        <w:rPr>
          <w:rFonts w:cs="Tahoma"/>
          <w:szCs w:val="20"/>
        </w:rPr>
      </w:pPr>
    </w:p>
    <w:p w:rsidR="006B1C53" w:rsidRDefault="003A4ED1" w:rsidP="003A4ED1">
      <w:pPr>
        <w:tabs>
          <w:tab w:val="left" w:pos="3119"/>
        </w:tabs>
        <w:rPr>
          <w:rFonts w:cs="Tahoma"/>
          <w:szCs w:val="20"/>
        </w:rPr>
      </w:pPr>
      <w:r w:rsidRPr="00FD63AB">
        <w:rPr>
          <w:rFonts w:cs="Tahoma"/>
          <w:szCs w:val="20"/>
          <w:u w:val="single"/>
        </w:rPr>
        <w:t>Cíle, kterých má být dosaženo</w:t>
      </w:r>
      <w:r w:rsidRPr="00FD63AB">
        <w:rPr>
          <w:rFonts w:cs="Tahoma"/>
          <w:szCs w:val="20"/>
        </w:rPr>
        <w:t>:</w:t>
      </w:r>
      <w:r w:rsidRPr="00FD63AB">
        <w:rPr>
          <w:rFonts w:cs="Tahoma"/>
          <w:szCs w:val="20"/>
        </w:rPr>
        <w:tab/>
      </w:r>
      <w:r w:rsidR="006B1C53">
        <w:rPr>
          <w:rFonts w:cs="Tahoma"/>
          <w:szCs w:val="20"/>
        </w:rPr>
        <w:t>Účelem této aktualizace studie proveditelnosti je</w:t>
      </w:r>
      <w:r w:rsidR="006B1C53" w:rsidRPr="00FD63AB">
        <w:rPr>
          <w:rFonts w:cs="Tahoma"/>
          <w:szCs w:val="20"/>
        </w:rPr>
        <w:t xml:space="preserve"> poskytnutí relevantního podkladu k posouzení vhodné investiční varianty a zhodnocení efektivnosti využití potenciálně vložených investičních prostředků.</w:t>
      </w:r>
    </w:p>
    <w:p w:rsidR="003A4ED1" w:rsidRPr="00063161" w:rsidRDefault="00E15631" w:rsidP="003A4ED1">
      <w:pPr>
        <w:tabs>
          <w:tab w:val="left" w:pos="3119"/>
        </w:tabs>
        <w:rPr>
          <w:b/>
        </w:rPr>
      </w:pPr>
      <w:r>
        <w:t xml:space="preserve">K zadání studie proveditelnosti Hradec Králové – Pardubice bylo v roce 2011 </w:t>
      </w:r>
      <w:r w:rsidR="00EC146E" w:rsidRPr="00063161">
        <w:t xml:space="preserve">přistoupeno </w:t>
      </w:r>
      <w:r w:rsidR="00AB41BD">
        <w:t>s ohledem na fakt</w:t>
      </w:r>
      <w:r w:rsidR="00EC146E" w:rsidRPr="00063161">
        <w:t>, že</w:t>
      </w:r>
      <w:r w:rsidR="003A4ED1" w:rsidRPr="00063161">
        <w:t xml:space="preserve"> </w:t>
      </w:r>
      <w:r w:rsidR="00EC146E" w:rsidRPr="00063161">
        <w:t>p</w:t>
      </w:r>
      <w:r w:rsidR="003A4ED1" w:rsidRPr="00063161">
        <w:t xml:space="preserve">ředchozí studie „Modernizace trati Hradec králové – Pardubice – Chrudim, Medlešická spojka, CBA Hradec Králové – Pardubice – Chrudim“ (SUDOP </w:t>
      </w:r>
      <w:r w:rsidR="00EC146E" w:rsidRPr="00063161">
        <w:t xml:space="preserve">PRAHA </w:t>
      </w:r>
      <w:r w:rsidR="003A4ED1" w:rsidRPr="00063161">
        <w:t>březen 2011) neprokázala ekonomickou efektivnost investic vložených do úseku Pardub</w:t>
      </w:r>
      <w:r>
        <w:t>i</w:t>
      </w:r>
      <w:r w:rsidR="003A4ED1" w:rsidRPr="00063161">
        <w:t>ce – Chrudim</w:t>
      </w:r>
      <w:r w:rsidR="00EC146E" w:rsidRPr="00063161">
        <w:t>.</w:t>
      </w:r>
      <w:r w:rsidR="003A4ED1" w:rsidRPr="00063161">
        <w:t xml:space="preserve"> </w:t>
      </w:r>
      <w:r w:rsidR="00EC146E" w:rsidRPr="00063161">
        <w:t>P</w:t>
      </w:r>
      <w:r w:rsidR="003A4ED1" w:rsidRPr="00063161">
        <w:t xml:space="preserve">roto se studie proveditelnosti </w:t>
      </w:r>
      <w:r>
        <w:t>ve finální verzi 09/2012</w:t>
      </w:r>
      <w:r w:rsidR="00EC146E" w:rsidRPr="00063161">
        <w:t xml:space="preserve"> zaměřila </w:t>
      </w:r>
      <w:r w:rsidR="003A4ED1" w:rsidRPr="00063161">
        <w:t xml:space="preserve">pouze na </w:t>
      </w:r>
      <w:r>
        <w:t xml:space="preserve">frekvenčně významnější </w:t>
      </w:r>
      <w:r w:rsidR="003A4ED1" w:rsidRPr="00063161">
        <w:t>úsek Hradec Králové – Pardubice.</w:t>
      </w:r>
      <w:r>
        <w:t xml:space="preserve"> Tato studie byla dokončena po zapracování připomínek verzí z 08/2013, poté následovalo zadání aktualizace studie „10/2013“.</w:t>
      </w:r>
      <w:r w:rsidR="000D52AE" w:rsidRPr="00063161">
        <w:t xml:space="preserve"> Důvodem pro aktualizaci studie</w:t>
      </w:r>
      <w:r>
        <w:t xml:space="preserve"> 10/2013</w:t>
      </w:r>
      <w:r w:rsidR="000D52AE" w:rsidRPr="00063161">
        <w:t xml:space="preserve"> </w:t>
      </w:r>
      <w:r w:rsidR="006B1C53" w:rsidRPr="00063161">
        <w:t xml:space="preserve">byla rovněž </w:t>
      </w:r>
      <w:r w:rsidR="000D52AE" w:rsidRPr="00063161">
        <w:t xml:space="preserve">skutečnost, že nastal nesoulad </w:t>
      </w:r>
      <w:r>
        <w:t xml:space="preserve">technického řešení studie proveditelnosti </w:t>
      </w:r>
      <w:r w:rsidR="000D52AE" w:rsidRPr="00063161">
        <w:t>s projektovou přípravou</w:t>
      </w:r>
      <w:r>
        <w:t xml:space="preserve"> dílčí stavby Stéblové – Opatovice, ve které bylo redukováno řešení žst. Opatovice n.L. Původní SP 08/2013 i aktualizace SP 10/2013 obsahovaly</w:t>
      </w:r>
      <w:r w:rsidR="008761E1" w:rsidRPr="00063161">
        <w:t xml:space="preserve"> čtyři projektové varianty modernizace železničního spojení Hradec Králové – Pardubice (Minimální, Střed 1, Střed 2 a Maximální).</w:t>
      </w:r>
      <w:r w:rsidR="008761E1">
        <w:rPr>
          <w:rFonts w:cs="Tahoma"/>
          <w:szCs w:val="20"/>
        </w:rPr>
        <w:t xml:space="preserve"> </w:t>
      </w:r>
      <w:r w:rsidR="008761E1" w:rsidRPr="00063161">
        <w:rPr>
          <w:b/>
        </w:rPr>
        <w:t xml:space="preserve">Na základě </w:t>
      </w:r>
      <w:r>
        <w:rPr>
          <w:b/>
        </w:rPr>
        <w:t>jednání Centrální komise MD</w:t>
      </w:r>
      <w:r w:rsidR="008761E1" w:rsidRPr="00063161">
        <w:rPr>
          <w:b/>
        </w:rPr>
        <w:t xml:space="preserve"> k této aktualizaci studie byly </w:t>
      </w:r>
      <w:r w:rsidR="00134082" w:rsidRPr="00063161">
        <w:rPr>
          <w:b/>
        </w:rPr>
        <w:t>v novém</w:t>
      </w:r>
      <w:r w:rsidR="00AB41BD">
        <w:rPr>
          <w:b/>
        </w:rPr>
        <w:t xml:space="preserve"> zadání definovány pro </w:t>
      </w:r>
      <w:r w:rsidR="008761E1" w:rsidRPr="00063161">
        <w:rPr>
          <w:b/>
        </w:rPr>
        <w:t xml:space="preserve">sledování v předmětné aktualizaci (04/2014) pouze dvě </w:t>
      </w:r>
      <w:r w:rsidR="0000420E" w:rsidRPr="00063161">
        <w:rPr>
          <w:b/>
        </w:rPr>
        <w:t xml:space="preserve">projektové </w:t>
      </w:r>
      <w:r w:rsidR="00AB41BD">
        <w:rPr>
          <w:b/>
        </w:rPr>
        <w:t>varianty. Jedná se o </w:t>
      </w:r>
      <w:r w:rsidR="008761E1" w:rsidRPr="00063161">
        <w:rPr>
          <w:b/>
        </w:rPr>
        <w:t>variantu Minimální</w:t>
      </w:r>
      <w:r w:rsidR="00AB41BD">
        <w:rPr>
          <w:b/>
        </w:rPr>
        <w:t xml:space="preserve"> a variatu</w:t>
      </w:r>
      <w:r w:rsidR="008761E1" w:rsidRPr="00063161">
        <w:rPr>
          <w:b/>
        </w:rPr>
        <w:t xml:space="preserve"> Maximální</w:t>
      </w:r>
      <w:r w:rsidR="00AB41BD">
        <w:rPr>
          <w:b/>
        </w:rPr>
        <w:t>.</w:t>
      </w:r>
      <w:r w:rsidR="008761E1" w:rsidRPr="00063161">
        <w:rPr>
          <w:b/>
        </w:rPr>
        <w:t xml:space="preserve"> </w:t>
      </w:r>
      <w:r w:rsidR="00AB41BD">
        <w:rPr>
          <w:b/>
        </w:rPr>
        <w:t>Z</w:t>
      </w:r>
      <w:r w:rsidR="008761E1" w:rsidRPr="00063161">
        <w:rPr>
          <w:b/>
        </w:rPr>
        <w:t xml:space="preserve"> varianty Střed 1 se stala </w:t>
      </w:r>
      <w:r w:rsidR="00CD7C8D" w:rsidRPr="00063161">
        <w:rPr>
          <w:b/>
        </w:rPr>
        <w:t>E</w:t>
      </w:r>
      <w:r w:rsidR="008761E1" w:rsidRPr="00063161">
        <w:rPr>
          <w:b/>
        </w:rPr>
        <w:t>tapa varianty Maximální. Varianta Střed 2 byla z dalšího sledování vypuštěna.</w:t>
      </w:r>
    </w:p>
    <w:p w:rsidR="003A4ED1" w:rsidRPr="00FD63AB" w:rsidRDefault="003A4ED1" w:rsidP="003A4ED1">
      <w:pPr>
        <w:tabs>
          <w:tab w:val="left" w:pos="3119"/>
        </w:tabs>
        <w:rPr>
          <w:rFonts w:cs="Tahoma"/>
          <w:szCs w:val="20"/>
        </w:rPr>
      </w:pPr>
      <w:r w:rsidRPr="00FD63AB">
        <w:rPr>
          <w:rFonts w:cs="Tahoma"/>
          <w:szCs w:val="20"/>
          <w:u w:val="single"/>
        </w:rPr>
        <w:t>Podklady stanovené zadavatelem</w:t>
      </w:r>
      <w:r w:rsidRPr="00FD63AB">
        <w:rPr>
          <w:rFonts w:cs="Tahoma"/>
          <w:szCs w:val="20"/>
        </w:rPr>
        <w:t>:</w:t>
      </w:r>
    </w:p>
    <w:p w:rsidR="00631EAB" w:rsidRDefault="000D52AE" w:rsidP="00D20948">
      <w:pPr>
        <w:pStyle w:val="Odstavecseseznamem"/>
        <w:numPr>
          <w:ilvl w:val="0"/>
          <w:numId w:val="38"/>
        </w:numPr>
        <w:suppressAutoHyphens w:val="0"/>
        <w:spacing w:before="0" w:after="200" w:line="276" w:lineRule="auto"/>
        <w:contextualSpacing/>
        <w:jc w:val="left"/>
        <w:rPr>
          <w:rFonts w:cs="Tahoma"/>
          <w:szCs w:val="20"/>
        </w:rPr>
      </w:pPr>
      <w:r>
        <w:rPr>
          <w:rFonts w:ascii="Arial" w:hAnsi="Arial" w:cs="Arial"/>
          <w:szCs w:val="20"/>
        </w:rPr>
        <w:t>Studie proveditelnosti Hradec Králové – Pardubice, finální verze 9/201</w:t>
      </w:r>
      <w:r w:rsidR="0090117B">
        <w:rPr>
          <w:rFonts w:ascii="Arial" w:hAnsi="Arial" w:cs="Arial"/>
          <w:szCs w:val="20"/>
        </w:rPr>
        <w:t>2</w:t>
      </w:r>
      <w:r>
        <w:rPr>
          <w:rFonts w:ascii="Arial" w:hAnsi="Arial" w:cs="Arial"/>
          <w:szCs w:val="20"/>
        </w:rPr>
        <w:t xml:space="preserve"> (verze 8/2013), zpracoval SUDOP PRAHA a. s.</w:t>
      </w:r>
      <w:r w:rsidR="003A4ED1" w:rsidRPr="00FD63AB">
        <w:rPr>
          <w:rFonts w:cs="Tahoma"/>
          <w:szCs w:val="20"/>
        </w:rPr>
        <w:t>;</w:t>
      </w:r>
    </w:p>
    <w:p w:rsidR="00631EAB" w:rsidRPr="00F5279A" w:rsidRDefault="000D52AE" w:rsidP="00D20948">
      <w:pPr>
        <w:pStyle w:val="Odstavecseseznamem"/>
        <w:numPr>
          <w:ilvl w:val="0"/>
          <w:numId w:val="38"/>
        </w:numPr>
        <w:spacing w:after="120"/>
        <w:rPr>
          <w:rFonts w:ascii="Arial" w:hAnsi="Arial" w:cs="Arial"/>
          <w:szCs w:val="20"/>
        </w:rPr>
      </w:pPr>
      <w:r w:rsidRPr="000D52AE">
        <w:rPr>
          <w:rFonts w:ascii="Arial" w:hAnsi="Arial" w:cs="Arial"/>
          <w:szCs w:val="20"/>
        </w:rPr>
        <w:t>projekt a záměr projektu Modernizace trati Hradec Králové – Pardubice – Chrudim, 1. stavba, zdvoukolejnění úseku Stéblová – Opatovice nad Labem, zpracoval SUDOP PRAHA a. s. 2013</w:t>
      </w:r>
      <w:r w:rsidR="003A4ED1" w:rsidRPr="003D4517">
        <w:rPr>
          <w:rFonts w:cs="Tahoma"/>
          <w:szCs w:val="20"/>
        </w:rPr>
        <w:t>;</w:t>
      </w:r>
    </w:p>
    <w:p w:rsidR="00EC146E" w:rsidRPr="00EC146E" w:rsidRDefault="00EC146E" w:rsidP="00EC146E">
      <w:pPr>
        <w:pStyle w:val="Odstavecseseznamem"/>
        <w:numPr>
          <w:ilvl w:val="0"/>
          <w:numId w:val="38"/>
        </w:numPr>
        <w:tabs>
          <w:tab w:val="left" w:pos="3119"/>
        </w:tabs>
        <w:spacing w:before="60" w:after="60" w:line="240" w:lineRule="auto"/>
        <w:rPr>
          <w:rFonts w:cs="Tahoma"/>
          <w:szCs w:val="20"/>
        </w:rPr>
      </w:pPr>
      <w:r w:rsidRPr="00EC146E">
        <w:rPr>
          <w:rFonts w:cs="Tahoma"/>
          <w:szCs w:val="20"/>
        </w:rPr>
        <w:t xml:space="preserve">Modernizace trati Hradec Králové – Pardubice – Chrudim, Aktualizace studie proveditelnosti Hradec Králové – Pardubice </w:t>
      </w:r>
      <w:r>
        <w:rPr>
          <w:rFonts w:cs="Tahoma"/>
          <w:szCs w:val="20"/>
        </w:rPr>
        <w:t>10</w:t>
      </w:r>
      <w:r w:rsidRPr="00EC146E">
        <w:rPr>
          <w:rFonts w:cs="Tahoma"/>
          <w:szCs w:val="20"/>
        </w:rPr>
        <w:t>/201</w:t>
      </w:r>
      <w:r>
        <w:rPr>
          <w:rFonts w:cs="Tahoma"/>
          <w:szCs w:val="20"/>
        </w:rPr>
        <w:t xml:space="preserve">3, </w:t>
      </w:r>
      <w:r>
        <w:rPr>
          <w:rFonts w:ascii="Arial" w:hAnsi="Arial" w:cs="Arial"/>
          <w:szCs w:val="20"/>
        </w:rPr>
        <w:t>zpracoval SUDOP PRAHA a. s.</w:t>
      </w:r>
    </w:p>
    <w:p w:rsidR="00944AF2" w:rsidRDefault="00944AF2">
      <w:pPr>
        <w:suppressAutoHyphens w:val="0"/>
        <w:spacing w:before="0" w:after="0" w:line="240" w:lineRule="auto"/>
        <w:jc w:val="left"/>
        <w:rPr>
          <w:rFonts w:cs="Arial"/>
          <w:b/>
          <w:bCs/>
          <w:iCs/>
          <w:sz w:val="28"/>
          <w:szCs w:val="28"/>
        </w:rPr>
      </w:pPr>
      <w:r>
        <w:br w:type="page"/>
      </w:r>
    </w:p>
    <w:p w:rsidR="003A4ED1" w:rsidRPr="00FD63AB" w:rsidRDefault="003A4ED1" w:rsidP="003A4ED1">
      <w:pPr>
        <w:pStyle w:val="Nadpis2"/>
        <w:keepLines/>
        <w:tabs>
          <w:tab w:val="clear" w:pos="576"/>
          <w:tab w:val="clear" w:pos="902"/>
        </w:tabs>
        <w:suppressAutoHyphens w:val="0"/>
        <w:spacing w:before="200" w:after="0" w:line="276" w:lineRule="auto"/>
        <w:rPr>
          <w:rFonts w:cs="Tahoma"/>
          <w:szCs w:val="20"/>
        </w:rPr>
      </w:pPr>
      <w:bookmarkStart w:id="2" w:name="_Toc390958679"/>
      <w:r w:rsidRPr="00FD63AB">
        <w:lastRenderedPageBreak/>
        <w:t>Úkoly stavby a její cíle</w:t>
      </w:r>
      <w:bookmarkEnd w:id="2"/>
    </w:p>
    <w:p w:rsidR="003A4ED1" w:rsidRPr="00FD63AB" w:rsidRDefault="003A4ED1" w:rsidP="003A4ED1">
      <w:pPr>
        <w:rPr>
          <w:rFonts w:cs="Tahoma"/>
          <w:szCs w:val="20"/>
        </w:rPr>
      </w:pPr>
      <w:r w:rsidRPr="00FD63AB">
        <w:rPr>
          <w:rFonts w:cs="Tahoma"/>
          <w:szCs w:val="20"/>
        </w:rPr>
        <w:t>Hlavními úkoly modernizace tratě Pardubice hlavní nádraží – Hradec Králové hlavní nádraží jsou:</w:t>
      </w:r>
    </w:p>
    <w:p w:rsidR="00631EAB" w:rsidRDefault="003A4ED1" w:rsidP="00F5279A">
      <w:pPr>
        <w:pStyle w:val="Odstavecseseznamem"/>
        <w:numPr>
          <w:ilvl w:val="0"/>
          <w:numId w:val="36"/>
        </w:numPr>
        <w:suppressAutoHyphens w:val="0"/>
        <w:spacing w:before="0" w:after="200" w:line="276" w:lineRule="auto"/>
        <w:contextualSpacing/>
        <w:rPr>
          <w:rFonts w:cs="Tahoma"/>
          <w:szCs w:val="20"/>
        </w:rPr>
      </w:pPr>
      <w:r w:rsidRPr="00FD63AB">
        <w:rPr>
          <w:rFonts w:cs="Tahoma"/>
          <w:szCs w:val="20"/>
        </w:rPr>
        <w:t xml:space="preserve">zvýšení traťové rychlosti ze současného maxima </w:t>
      </w:r>
      <w:smartTag w:uri="urn:schemas-microsoft-com:office:smarttags" w:element="metricconverter">
        <w:smartTagPr>
          <w:attr w:name="ProductID" w:val="100ﾠkm/hod"/>
        </w:smartTagPr>
        <w:r w:rsidRPr="00FD63AB">
          <w:rPr>
            <w:rFonts w:cs="Tahoma"/>
            <w:szCs w:val="20"/>
          </w:rPr>
          <w:t>100 km/hod</w:t>
        </w:r>
      </w:smartTag>
      <w:r w:rsidRPr="00FD63AB">
        <w:rPr>
          <w:rFonts w:cs="Tahoma"/>
          <w:szCs w:val="20"/>
        </w:rPr>
        <w:t xml:space="preserve"> na </w:t>
      </w:r>
      <w:smartTag w:uri="urn:schemas-microsoft-com:office:smarttags" w:element="metricconverter">
        <w:smartTagPr>
          <w:attr w:name="ProductID" w:val="160ﾠkm/hod"/>
        </w:smartTagPr>
        <w:r w:rsidRPr="00FD63AB">
          <w:rPr>
            <w:rFonts w:cs="Tahoma"/>
            <w:szCs w:val="20"/>
          </w:rPr>
          <w:t>160 km/hod</w:t>
        </w:r>
      </w:smartTag>
      <w:r w:rsidRPr="00FD63AB">
        <w:rPr>
          <w:rFonts w:cs="Tahoma"/>
          <w:szCs w:val="20"/>
        </w:rPr>
        <w:t>, což je rychlost dosažitelná na většině délky celé tratě;</w:t>
      </w:r>
    </w:p>
    <w:p w:rsidR="00631EAB" w:rsidRDefault="003A4ED1" w:rsidP="00F5279A">
      <w:pPr>
        <w:pStyle w:val="Odstavecseseznamem"/>
        <w:numPr>
          <w:ilvl w:val="0"/>
          <w:numId w:val="36"/>
        </w:numPr>
        <w:suppressAutoHyphens w:val="0"/>
        <w:spacing w:before="0" w:after="200" w:line="276" w:lineRule="auto"/>
        <w:contextualSpacing/>
        <w:rPr>
          <w:rFonts w:cs="Tahoma"/>
          <w:szCs w:val="20"/>
        </w:rPr>
      </w:pPr>
      <w:r w:rsidRPr="00FD63AB">
        <w:rPr>
          <w:rFonts w:cs="Tahoma"/>
          <w:szCs w:val="20"/>
        </w:rPr>
        <w:t xml:space="preserve">vybavení tratě moderními technologiemi, především novým staničním a traťovým zabezpečovacím zařízením, které bude dálkově ovládáno z dispečerského pracoviště, dále se </w:t>
      </w:r>
      <w:r w:rsidR="000918FC" w:rsidRPr="00FD63AB">
        <w:rPr>
          <w:rFonts w:cs="Tahoma"/>
          <w:szCs w:val="20"/>
        </w:rPr>
        <w:t>o</w:t>
      </w:r>
      <w:r w:rsidR="000918FC">
        <w:rPr>
          <w:rFonts w:cs="Tahoma"/>
          <w:szCs w:val="20"/>
        </w:rPr>
        <w:t> </w:t>
      </w:r>
      <w:r w:rsidRPr="00FD63AB">
        <w:rPr>
          <w:rFonts w:cs="Tahoma"/>
          <w:szCs w:val="20"/>
        </w:rPr>
        <w:t xml:space="preserve">náhradu starých typů přejezdových zabezpečovacích zařízení za nové, o zajištění přenosu dat, </w:t>
      </w:r>
      <w:r w:rsidR="000918FC" w:rsidRPr="00FD63AB">
        <w:rPr>
          <w:rFonts w:cs="Tahoma"/>
          <w:szCs w:val="20"/>
        </w:rPr>
        <w:t>o</w:t>
      </w:r>
      <w:r w:rsidR="000918FC">
        <w:rPr>
          <w:rFonts w:cs="Tahoma"/>
          <w:szCs w:val="20"/>
        </w:rPr>
        <w:t> </w:t>
      </w:r>
      <w:r w:rsidRPr="00FD63AB">
        <w:rPr>
          <w:rFonts w:cs="Tahoma"/>
          <w:szCs w:val="20"/>
        </w:rPr>
        <w:t>zařízení pro informaci cestujících a monitorovací prvky (kamery, požární signalizace</w:t>
      </w:r>
      <w:r w:rsidR="000918FC" w:rsidRPr="00FD63AB">
        <w:rPr>
          <w:rFonts w:cs="Tahoma"/>
          <w:szCs w:val="20"/>
        </w:rPr>
        <w:t>)</w:t>
      </w:r>
      <w:r w:rsidR="000918FC">
        <w:rPr>
          <w:rFonts w:cs="Tahoma"/>
          <w:szCs w:val="20"/>
        </w:rPr>
        <w:t>;</w:t>
      </w:r>
      <w:r w:rsidR="000918FC" w:rsidRPr="00FD63AB">
        <w:rPr>
          <w:rFonts w:cs="Tahoma"/>
          <w:szCs w:val="20"/>
        </w:rPr>
        <w:t xml:space="preserve"> </w:t>
      </w:r>
    </w:p>
    <w:p w:rsidR="00631EAB" w:rsidRDefault="003A4ED1" w:rsidP="00F5279A">
      <w:pPr>
        <w:pStyle w:val="Odstavecseseznamem"/>
        <w:numPr>
          <w:ilvl w:val="0"/>
          <w:numId w:val="36"/>
        </w:numPr>
        <w:suppressAutoHyphens w:val="0"/>
        <w:spacing w:before="0" w:after="200" w:line="276" w:lineRule="auto"/>
        <w:contextualSpacing/>
        <w:rPr>
          <w:rFonts w:cs="Tahoma"/>
          <w:szCs w:val="20"/>
        </w:rPr>
      </w:pPr>
      <w:r w:rsidRPr="00FD63AB">
        <w:rPr>
          <w:rFonts w:cs="Tahoma"/>
          <w:szCs w:val="20"/>
        </w:rPr>
        <w:t xml:space="preserve">úpravy uspořádání železničních stanic, které umožní bezpečný přístup cestujících k vlakům </w:t>
      </w:r>
      <w:r w:rsidR="000918FC" w:rsidRPr="00FD63AB">
        <w:rPr>
          <w:rFonts w:cs="Tahoma"/>
          <w:szCs w:val="20"/>
        </w:rPr>
        <w:t>a</w:t>
      </w:r>
      <w:r w:rsidR="000918FC">
        <w:rPr>
          <w:rFonts w:cs="Tahoma"/>
          <w:szCs w:val="20"/>
        </w:rPr>
        <w:t> </w:t>
      </w:r>
      <w:r w:rsidRPr="00FD63AB">
        <w:rPr>
          <w:rFonts w:cs="Tahoma"/>
          <w:szCs w:val="20"/>
        </w:rPr>
        <w:t>případně zvýšení rychlosti na staničních zhlavích.</w:t>
      </w:r>
    </w:p>
    <w:p w:rsidR="003A4ED1" w:rsidRPr="00FD63AB" w:rsidRDefault="003A4ED1" w:rsidP="003A4ED1">
      <w:pPr>
        <w:rPr>
          <w:rFonts w:cs="Tahoma"/>
          <w:szCs w:val="20"/>
        </w:rPr>
      </w:pPr>
      <w:r w:rsidRPr="00FD63AB">
        <w:rPr>
          <w:rFonts w:cs="Tahoma"/>
          <w:szCs w:val="20"/>
        </w:rPr>
        <w:t>Cílem těchto úprav je:</w:t>
      </w:r>
    </w:p>
    <w:p w:rsidR="00631EAB" w:rsidRDefault="003A4ED1" w:rsidP="00F5279A">
      <w:pPr>
        <w:pStyle w:val="Odstavecseseznamem"/>
        <w:numPr>
          <w:ilvl w:val="0"/>
          <w:numId w:val="37"/>
        </w:numPr>
        <w:suppressAutoHyphens w:val="0"/>
        <w:spacing w:before="0" w:after="200" w:line="276" w:lineRule="auto"/>
        <w:ind w:left="709"/>
        <w:contextualSpacing/>
        <w:rPr>
          <w:rFonts w:cs="Tahoma"/>
          <w:szCs w:val="20"/>
        </w:rPr>
      </w:pPr>
      <w:r w:rsidRPr="00FD63AB">
        <w:rPr>
          <w:rFonts w:cs="Tahoma"/>
          <w:szCs w:val="20"/>
        </w:rPr>
        <w:t>zajištění dostatečné kapacity pro průvoz všech osobních vlaků podle požadavků jejich objednatelů, kterými jsou u dálkových vlaků Ministerstvo dopravy ČR a společnost OREDO pro regionální dopravy v krajích Královéhradeckém a Pardubickém – a to nejenom z pohledu kvantitativního (v každé hodině dopravní špičky budou vedeny 2 páry rychlíků a 2 páry osobních vlaků), ale i kvalitativního – to znamená, že vlaky mohou plynule jet bez zbytečných prostojů způsobených křižováním s protijedoucími vlaky a v takových časových polohách, které jsou z hlediska návaznosti na přípojné vlaky v Pardubicích hlavním nádr. a Hradci Králové hlavním nádr. optimální;</w:t>
      </w:r>
    </w:p>
    <w:p w:rsidR="00631EAB" w:rsidRDefault="003A4ED1" w:rsidP="00F5279A">
      <w:pPr>
        <w:pStyle w:val="Odstavecseseznamem"/>
        <w:numPr>
          <w:ilvl w:val="0"/>
          <w:numId w:val="37"/>
        </w:numPr>
        <w:suppressAutoHyphens w:val="0"/>
        <w:spacing w:before="0" w:after="200" w:line="276" w:lineRule="auto"/>
        <w:ind w:left="709"/>
        <w:contextualSpacing/>
        <w:rPr>
          <w:rFonts w:cs="Tahoma"/>
          <w:szCs w:val="20"/>
        </w:rPr>
      </w:pPr>
      <w:r w:rsidRPr="00FD63AB">
        <w:rPr>
          <w:rFonts w:cs="Tahoma"/>
          <w:szCs w:val="20"/>
        </w:rPr>
        <w:t>nediskriminace nákladní dopravy – to znamená, že i v dobách špičky osobní dopravy by měl zbýt alespoň minimální prostor pro průvoz nákladních vlaků – ten lze konkretizovat na požadavek průvozu 1 páru nákladních vlaků za hodinu;</w:t>
      </w:r>
    </w:p>
    <w:p w:rsidR="00631EAB" w:rsidRDefault="003A4ED1" w:rsidP="00F5279A">
      <w:pPr>
        <w:pStyle w:val="Odstavecseseznamem"/>
        <w:numPr>
          <w:ilvl w:val="0"/>
          <w:numId w:val="37"/>
        </w:numPr>
        <w:suppressAutoHyphens w:val="0"/>
        <w:spacing w:before="0" w:after="200" w:line="276" w:lineRule="auto"/>
        <w:ind w:left="709"/>
        <w:contextualSpacing/>
        <w:rPr>
          <w:rFonts w:cs="Tahoma"/>
          <w:szCs w:val="20"/>
        </w:rPr>
      </w:pPr>
      <w:r w:rsidRPr="00FD63AB">
        <w:rPr>
          <w:rFonts w:cs="Tahoma"/>
          <w:szCs w:val="20"/>
        </w:rPr>
        <w:t>zvýšit bezpečnost železničního provozu;</w:t>
      </w:r>
    </w:p>
    <w:p w:rsidR="00631EAB" w:rsidRDefault="003A4ED1" w:rsidP="00F5279A">
      <w:pPr>
        <w:pStyle w:val="Odstavecseseznamem"/>
        <w:numPr>
          <w:ilvl w:val="0"/>
          <w:numId w:val="37"/>
        </w:numPr>
        <w:suppressAutoHyphens w:val="0"/>
        <w:spacing w:before="0" w:after="200" w:line="276" w:lineRule="auto"/>
        <w:ind w:left="709"/>
        <w:contextualSpacing/>
        <w:rPr>
          <w:rFonts w:cs="Tahoma"/>
          <w:szCs w:val="20"/>
        </w:rPr>
      </w:pPr>
      <w:r w:rsidRPr="00FD63AB">
        <w:rPr>
          <w:rFonts w:cs="Tahoma"/>
          <w:szCs w:val="20"/>
        </w:rPr>
        <w:t xml:space="preserve">ve vztahu k cestujícím zvýšit přitažlivost železniční dopravy – toho je zajištěno několika způsoby: zvýšení traťové rychlosti umožní zkrácení cestovních dob, další zkrácení může být vyvoláno odstraněním časových ztrát vznikajících při křižování protijedoucích vlaků, podmínkou je samozřejmě úplné nebo částečné zdvoukolejnění. Dalším prvkem je zlepšení přístupu do vlaků výstavbou nástupišť o výšce </w:t>
      </w:r>
      <w:smartTag w:uri="urn:schemas-microsoft-com:office:smarttags" w:element="metricconverter">
        <w:smartTagPr>
          <w:attr w:name="ProductID" w:val="550ﾠmm"/>
        </w:smartTagPr>
        <w:r w:rsidRPr="00FD63AB">
          <w:rPr>
            <w:rFonts w:cs="Tahoma"/>
            <w:szCs w:val="20"/>
          </w:rPr>
          <w:t>550 mm</w:t>
        </w:r>
      </w:smartTag>
      <w:r w:rsidRPr="00FD63AB">
        <w:rPr>
          <w:rFonts w:cs="Tahoma"/>
          <w:szCs w:val="20"/>
        </w:rPr>
        <w:t xml:space="preserve"> a zvýšení bezpečnosti při nástupu do vlaků tím, že je odstraněno přecházení kolejí.</w:t>
      </w:r>
    </w:p>
    <w:p w:rsidR="003A4ED1" w:rsidRPr="00FD63AB" w:rsidRDefault="003A4ED1" w:rsidP="003A4ED1">
      <w:pPr>
        <w:rPr>
          <w:rFonts w:cs="Tahoma"/>
          <w:szCs w:val="20"/>
        </w:rPr>
      </w:pPr>
      <w:r w:rsidRPr="00FD63AB">
        <w:rPr>
          <w:rFonts w:cs="Tahoma"/>
          <w:szCs w:val="20"/>
        </w:rPr>
        <w:t xml:space="preserve">Některé z výše uvedených cílů cestující ocení pouze při nasazení odpovídajících vozidel. Zde je potřeba uvést, že provozovatel regionální dopravy České dráhy zde nasadil moderní elektrické jednotky RegioPanter, které jsou samozřejmě samy o sobě atraktivní, ale mají i konstrukční rychlost </w:t>
      </w:r>
      <w:smartTag w:uri="urn:schemas-microsoft-com:office:smarttags" w:element="metricconverter">
        <w:smartTagPr>
          <w:attr w:name="ProductID" w:val="160ﾠkm/hod"/>
        </w:smartTagPr>
        <w:r w:rsidRPr="00FD63AB">
          <w:rPr>
            <w:rFonts w:cs="Tahoma"/>
            <w:szCs w:val="20"/>
          </w:rPr>
          <w:t>160 km/hod</w:t>
        </w:r>
      </w:smartTag>
      <w:r w:rsidRPr="00FD63AB">
        <w:rPr>
          <w:rFonts w:cs="Tahoma"/>
          <w:szCs w:val="20"/>
        </w:rPr>
        <w:t xml:space="preserve">, takže využijí rychlost plánovanou po modernizaci. Jsou i nízkopodlažní, takže po vybudování nástupišť o výšce </w:t>
      </w:r>
      <w:smartTag w:uri="urn:schemas-microsoft-com:office:smarttags" w:element="metricconverter">
        <w:smartTagPr>
          <w:attr w:name="ProductID" w:val="550ﾠmm"/>
        </w:smartTagPr>
        <w:r w:rsidRPr="00FD63AB">
          <w:rPr>
            <w:rFonts w:cs="Tahoma"/>
            <w:szCs w:val="20"/>
          </w:rPr>
          <w:t>550 mm</w:t>
        </w:r>
      </w:smartTag>
      <w:r w:rsidRPr="00FD63AB">
        <w:rPr>
          <w:rFonts w:cs="Tahoma"/>
          <w:szCs w:val="20"/>
        </w:rPr>
        <w:t xml:space="preserve"> budou mít cestující do vlaku přístup v jedné úrovni, což ocení zejména osoby se sníženou pohyblivostí a osoby s dětskými kočárky, případně jízdními koly.</w:t>
      </w:r>
      <w:r w:rsidR="007E4870" w:rsidRPr="00FD63AB">
        <w:rPr>
          <w:rFonts w:cs="Tahoma"/>
          <w:szCs w:val="20"/>
        </w:rPr>
        <w:t xml:space="preserve"> Tyto elektrické třívozové jednotky řady 640+642+641 </w:t>
      </w:r>
      <w:r w:rsidR="00151888" w:rsidRPr="00FD63AB">
        <w:rPr>
          <w:rFonts w:cs="Tahoma"/>
          <w:szCs w:val="20"/>
        </w:rPr>
        <w:t>jsou</w:t>
      </w:r>
      <w:r w:rsidR="007E4870" w:rsidRPr="00FD63AB">
        <w:rPr>
          <w:rFonts w:cs="Tahoma"/>
          <w:szCs w:val="20"/>
        </w:rPr>
        <w:t xml:space="preserve"> pro trať Pardubice – Hradec Králové – Jaroměř poř</w:t>
      </w:r>
      <w:r w:rsidR="00151888" w:rsidRPr="00FD63AB">
        <w:rPr>
          <w:rFonts w:cs="Tahoma"/>
          <w:szCs w:val="20"/>
        </w:rPr>
        <w:t>izovány</w:t>
      </w:r>
      <w:r w:rsidR="007E4870" w:rsidRPr="00FD63AB">
        <w:rPr>
          <w:rFonts w:cs="Tahoma"/>
          <w:szCs w:val="20"/>
        </w:rPr>
        <w:t xml:space="preserve"> s využitím prostředků Regionálního operačního programu v počtu pěti souprav.</w:t>
      </w:r>
    </w:p>
    <w:p w:rsidR="00944AF2" w:rsidRDefault="00944AF2">
      <w:pPr>
        <w:suppressAutoHyphens w:val="0"/>
        <w:spacing w:before="0" w:after="0" w:line="240" w:lineRule="auto"/>
        <w:jc w:val="left"/>
        <w:rPr>
          <w:rFonts w:cs="Arial"/>
          <w:b/>
          <w:bCs/>
          <w:iCs/>
          <w:sz w:val="28"/>
          <w:szCs w:val="28"/>
        </w:rPr>
      </w:pPr>
      <w:r>
        <w:br w:type="page"/>
      </w:r>
    </w:p>
    <w:p w:rsidR="003A4ED1" w:rsidRPr="00FD63AB" w:rsidRDefault="003A4ED1" w:rsidP="003A4ED1">
      <w:pPr>
        <w:pStyle w:val="Nadpis2"/>
        <w:keepLines/>
        <w:tabs>
          <w:tab w:val="clear" w:pos="576"/>
          <w:tab w:val="clear" w:pos="902"/>
        </w:tabs>
        <w:suppressAutoHyphens w:val="0"/>
        <w:spacing w:before="200" w:after="0" w:line="276" w:lineRule="auto"/>
      </w:pPr>
      <w:bookmarkStart w:id="3" w:name="_Toc390958680"/>
      <w:r w:rsidRPr="00FD63AB">
        <w:lastRenderedPageBreak/>
        <w:t>České železnice a jejich postavení v Evropě, minulost a budoucnost</w:t>
      </w:r>
      <w:bookmarkEnd w:id="3"/>
    </w:p>
    <w:p w:rsidR="003A4ED1" w:rsidRPr="00FD63AB" w:rsidRDefault="003A4ED1" w:rsidP="003A4ED1">
      <w:pPr>
        <w:rPr>
          <w:rFonts w:cs="Tahoma"/>
          <w:szCs w:val="20"/>
        </w:rPr>
      </w:pPr>
      <w:r w:rsidRPr="00FD63AB">
        <w:rPr>
          <w:rFonts w:cs="Tahoma"/>
          <w:szCs w:val="20"/>
        </w:rPr>
        <w:t xml:space="preserve">Základní uspořádání železniční sítě na území Českého království (tehdy jako součást Rakouska-Uherska) se utvářelo v druhé polovině 19. století a k začátku první světové války se železniční síť již příliš nelišila od současného stavu. Železnice byly budovány jako státní, které jsou i dnes mimo jiné základem sítě mezinárodních koridorů a dalších hlavních tratí, anebo jako soukromé, které zčásti také měly charakter a parametry hlavních tratí, v mnoha případech ale sloužily lokálním podnikatelským aktivitám, které již dávno zanikly. Z pohledu mezinárodních vazeb bylo uspořádání drah poplatné době vzniku a tehdejším politicko-hospodářským poměrům. Tyto aspekty se ale časem měnily, některá přeshraniční spojení ztratila význam a byla přerušena. Některá z nich se nyní, po dlouhých desetiletích, opět obnovují, i když motivem jsou často regionální iniciativy a turistický ruch. Hospodářské a politické vazby Československa na Sovětský Svaz se v druhé polovině 20. století projevily posílením železničních kapacit ve směru východ – západ. V nových poměrech se po roce 1990 ocitá i železnice. Výrazný pokles nákladní přepravy sice znamenal nižší nároky na kapacitu tratí, ale výrazně se zvýšily, zejména v posledních letech, nároky osobní dopravy a propustnost je na exponovaných úsecích využita na 100%. S tím souvisí i vstup nových dopravců na železniční síť. V osobní dopravě má Česká republika přímá vlaková spojení se všemi sousedními státy, tj. Slovenskem, Polskem, Německem a Rakouskem. Mezinárodní nákladní doprava je velmi důležitá. Podle úřední statistiky činí podíl přepravených tun v mezinárodní dopravě zhruba 53% z celku. V mezinárodní přepravě silně převažuje dovoz a vývoz. Tranzitní přepravy představují jen malou část, převažuje tranzit Polsko - Rakousko. Hlavním hospodářským partnerem je Německo, se kterým ale Českou republiku spojuje pouze jeden kapacitní železniční přechod – Děčín/Bad Schandau. </w:t>
      </w:r>
    </w:p>
    <w:p w:rsidR="003A4ED1" w:rsidRPr="00FD63AB" w:rsidRDefault="003A4ED1" w:rsidP="003A4ED1">
      <w:pPr>
        <w:pStyle w:val="Nadpis2"/>
        <w:keepLines/>
        <w:tabs>
          <w:tab w:val="clear" w:pos="576"/>
          <w:tab w:val="clear" w:pos="902"/>
        </w:tabs>
        <w:suppressAutoHyphens w:val="0"/>
        <w:spacing w:before="200" w:after="0" w:line="276" w:lineRule="auto"/>
      </w:pPr>
      <w:bookmarkStart w:id="4" w:name="_Toc390958681"/>
      <w:r w:rsidRPr="00FD63AB">
        <w:t>Program obnovy železniční sítě ve správě SŽDC</w:t>
      </w:r>
      <w:bookmarkEnd w:id="4"/>
    </w:p>
    <w:p w:rsidR="003A4ED1" w:rsidRPr="00FD63AB" w:rsidRDefault="003A4ED1" w:rsidP="003A4ED1">
      <w:pPr>
        <w:rPr>
          <w:rFonts w:cs="Tahoma"/>
          <w:szCs w:val="20"/>
        </w:rPr>
      </w:pPr>
      <w:r w:rsidRPr="00FD63AB">
        <w:rPr>
          <w:rFonts w:cs="Tahoma"/>
          <w:szCs w:val="20"/>
        </w:rPr>
        <w:t>Správa železniční dopravní cesty převzala rokem 2003 povinnost údržby a modernizace železnic v majetku České republiky. Pro stanovení investičních priorit jsou podstatné jak závazky vyplývající z mezinárodních dohod, tak i aktuální tuzemské potřeby. SŽDC definuje priority v oblasti modernizace dráhy takto:</w:t>
      </w:r>
    </w:p>
    <w:p w:rsidR="00631EAB" w:rsidRDefault="003A4ED1" w:rsidP="00D20948">
      <w:pPr>
        <w:pStyle w:val="Odstavecseseznamem"/>
        <w:numPr>
          <w:ilvl w:val="0"/>
          <w:numId w:val="34"/>
        </w:numPr>
        <w:suppressAutoHyphens w:val="0"/>
        <w:spacing w:before="0" w:after="200" w:line="276" w:lineRule="auto"/>
        <w:contextualSpacing/>
        <w:jc w:val="left"/>
        <w:rPr>
          <w:rFonts w:cs="Tahoma"/>
          <w:szCs w:val="20"/>
        </w:rPr>
      </w:pPr>
      <w:r w:rsidRPr="00FD63AB">
        <w:rPr>
          <w:rFonts w:cs="Tahoma"/>
          <w:szCs w:val="20"/>
        </w:rPr>
        <w:t>modernizace čtyř mezinárodních železničních koridorů;</w:t>
      </w:r>
    </w:p>
    <w:p w:rsidR="00631EAB" w:rsidRDefault="003A4ED1" w:rsidP="00D20948">
      <w:pPr>
        <w:pStyle w:val="Odstavecseseznamem"/>
        <w:numPr>
          <w:ilvl w:val="0"/>
          <w:numId w:val="34"/>
        </w:numPr>
        <w:suppressAutoHyphens w:val="0"/>
        <w:spacing w:before="0" w:after="200" w:line="276" w:lineRule="auto"/>
        <w:contextualSpacing/>
        <w:jc w:val="left"/>
        <w:rPr>
          <w:rFonts w:cs="Tahoma"/>
          <w:szCs w:val="20"/>
        </w:rPr>
      </w:pPr>
      <w:r w:rsidRPr="00FD63AB">
        <w:rPr>
          <w:rFonts w:cs="Tahoma"/>
          <w:szCs w:val="20"/>
        </w:rPr>
        <w:t>modernizace vybraných železničních uzlů;</w:t>
      </w:r>
    </w:p>
    <w:p w:rsidR="00631EAB" w:rsidRDefault="003A4ED1" w:rsidP="00D20948">
      <w:pPr>
        <w:pStyle w:val="Odstavecseseznamem"/>
        <w:numPr>
          <w:ilvl w:val="0"/>
          <w:numId w:val="34"/>
        </w:numPr>
        <w:suppressAutoHyphens w:val="0"/>
        <w:spacing w:before="0" w:after="200" w:line="276" w:lineRule="auto"/>
        <w:contextualSpacing/>
        <w:jc w:val="left"/>
        <w:rPr>
          <w:rFonts w:cs="Tahoma"/>
          <w:szCs w:val="20"/>
        </w:rPr>
      </w:pPr>
      <w:r w:rsidRPr="00FD63AB">
        <w:rPr>
          <w:rFonts w:cs="Tahoma"/>
          <w:szCs w:val="20"/>
        </w:rPr>
        <w:t>interoperabilita vybrané železniční sítě;</w:t>
      </w:r>
    </w:p>
    <w:p w:rsidR="00631EAB" w:rsidRDefault="003A4ED1" w:rsidP="00D20948">
      <w:pPr>
        <w:pStyle w:val="Odstavecseseznamem"/>
        <w:numPr>
          <w:ilvl w:val="0"/>
          <w:numId w:val="34"/>
        </w:numPr>
        <w:suppressAutoHyphens w:val="0"/>
        <w:spacing w:before="0" w:after="200" w:line="276" w:lineRule="auto"/>
        <w:contextualSpacing/>
        <w:jc w:val="left"/>
        <w:rPr>
          <w:rFonts w:cs="Tahoma"/>
          <w:szCs w:val="20"/>
        </w:rPr>
      </w:pPr>
      <w:r w:rsidRPr="00FD63AB">
        <w:rPr>
          <w:rFonts w:cs="Tahoma"/>
          <w:szCs w:val="20"/>
        </w:rPr>
        <w:t xml:space="preserve">pokračování elektrizace vybraných železničních tratí; </w:t>
      </w:r>
    </w:p>
    <w:p w:rsidR="00631EAB" w:rsidRDefault="003A4ED1" w:rsidP="00D20948">
      <w:pPr>
        <w:pStyle w:val="Odstavecseseznamem"/>
        <w:numPr>
          <w:ilvl w:val="0"/>
          <w:numId w:val="34"/>
        </w:numPr>
        <w:suppressAutoHyphens w:val="0"/>
        <w:spacing w:before="0" w:after="200" w:line="276" w:lineRule="auto"/>
        <w:contextualSpacing/>
        <w:jc w:val="left"/>
        <w:rPr>
          <w:rFonts w:cs="Tahoma"/>
          <w:szCs w:val="20"/>
        </w:rPr>
      </w:pPr>
      <w:r w:rsidRPr="00FD63AB">
        <w:rPr>
          <w:rFonts w:cs="Tahoma"/>
          <w:szCs w:val="20"/>
        </w:rPr>
        <w:t>regionální projekty;</w:t>
      </w:r>
    </w:p>
    <w:p w:rsidR="00631EAB" w:rsidRDefault="003A4ED1" w:rsidP="00D20948">
      <w:pPr>
        <w:pStyle w:val="Odstavecseseznamem"/>
        <w:numPr>
          <w:ilvl w:val="0"/>
          <w:numId w:val="34"/>
        </w:numPr>
        <w:suppressAutoHyphens w:val="0"/>
        <w:spacing w:before="0" w:after="200" w:line="276" w:lineRule="auto"/>
        <w:contextualSpacing/>
        <w:jc w:val="left"/>
        <w:rPr>
          <w:rFonts w:cs="Tahoma"/>
          <w:szCs w:val="20"/>
        </w:rPr>
      </w:pPr>
      <w:r w:rsidRPr="00FD63AB">
        <w:rPr>
          <w:rFonts w:cs="Tahoma"/>
          <w:szCs w:val="20"/>
        </w:rPr>
        <w:t>racionalizace vybraných železničních tratí a železničních stanic;</w:t>
      </w:r>
    </w:p>
    <w:p w:rsidR="00631EAB" w:rsidRDefault="003A4ED1" w:rsidP="00D20948">
      <w:pPr>
        <w:pStyle w:val="Odstavecseseznamem"/>
        <w:numPr>
          <w:ilvl w:val="0"/>
          <w:numId w:val="34"/>
        </w:numPr>
        <w:suppressAutoHyphens w:val="0"/>
        <w:spacing w:before="0" w:after="200" w:line="276" w:lineRule="auto"/>
        <w:contextualSpacing/>
        <w:jc w:val="left"/>
        <w:rPr>
          <w:rFonts w:cs="Tahoma"/>
          <w:szCs w:val="20"/>
        </w:rPr>
      </w:pPr>
      <w:r w:rsidRPr="00FD63AB">
        <w:rPr>
          <w:rFonts w:cs="Tahoma"/>
          <w:szCs w:val="20"/>
        </w:rPr>
        <w:t>investice do majetku železnic s cílem udržení její provozuschopnosti;</w:t>
      </w:r>
    </w:p>
    <w:p w:rsidR="00631EAB" w:rsidRDefault="003A4ED1" w:rsidP="00D20948">
      <w:pPr>
        <w:pStyle w:val="Odstavecseseznamem"/>
        <w:numPr>
          <w:ilvl w:val="0"/>
          <w:numId w:val="34"/>
        </w:numPr>
        <w:suppressAutoHyphens w:val="0"/>
        <w:spacing w:before="0" w:after="200" w:line="276" w:lineRule="auto"/>
        <w:contextualSpacing/>
        <w:jc w:val="left"/>
        <w:rPr>
          <w:rFonts w:cs="Tahoma"/>
          <w:szCs w:val="20"/>
        </w:rPr>
      </w:pPr>
      <w:r w:rsidRPr="00FD63AB">
        <w:rPr>
          <w:rFonts w:cs="Tahoma"/>
          <w:szCs w:val="20"/>
        </w:rPr>
        <w:t>zvýšení bezpečnosti na železničních přejezdech;</w:t>
      </w:r>
    </w:p>
    <w:p w:rsidR="00631EAB" w:rsidRDefault="003A4ED1" w:rsidP="00D20948">
      <w:pPr>
        <w:pStyle w:val="Odstavecseseznamem"/>
        <w:numPr>
          <w:ilvl w:val="0"/>
          <w:numId w:val="34"/>
        </w:numPr>
        <w:suppressAutoHyphens w:val="0"/>
        <w:spacing w:before="0" w:after="200" w:line="276" w:lineRule="auto"/>
        <w:contextualSpacing/>
        <w:jc w:val="left"/>
        <w:rPr>
          <w:rFonts w:cs="Tahoma"/>
          <w:szCs w:val="20"/>
        </w:rPr>
      </w:pPr>
      <w:r w:rsidRPr="00FD63AB">
        <w:rPr>
          <w:rFonts w:cs="Tahoma"/>
          <w:szCs w:val="20"/>
        </w:rPr>
        <w:t>výhledová příprava realizace vysokorychlostních tratí na území ČR s cílem napojení nejdůležitějších evropských aglomerací do evropského systému vysokorychlostních tratí.</w:t>
      </w:r>
    </w:p>
    <w:p w:rsidR="003A4ED1" w:rsidRPr="00FD63AB" w:rsidRDefault="003A4ED1" w:rsidP="003A4ED1">
      <w:pPr>
        <w:rPr>
          <w:rFonts w:cs="Tahoma"/>
          <w:szCs w:val="20"/>
        </w:rPr>
      </w:pPr>
      <w:r w:rsidRPr="00FD63AB">
        <w:rPr>
          <w:rFonts w:cs="Tahoma"/>
          <w:szCs w:val="20"/>
        </w:rPr>
        <w:t>Nejedná se o pořadí důležitosti, realizace vyjmenovaných priorit probíhá současně. Pro financování jednotlivých projektů slouží Operační program doprava (končí rokem 2015), Program TEN-T a vlastní zdroje.</w:t>
      </w:r>
    </w:p>
    <w:p w:rsidR="003A4ED1" w:rsidRPr="00FD63AB" w:rsidRDefault="003A4ED1" w:rsidP="003A4ED1">
      <w:pPr>
        <w:rPr>
          <w:rFonts w:cs="Tahoma"/>
          <w:bCs/>
          <w:szCs w:val="20"/>
        </w:rPr>
      </w:pPr>
      <w:r w:rsidRPr="00FD63AB">
        <w:rPr>
          <w:rFonts w:cs="Tahoma"/>
          <w:szCs w:val="20"/>
        </w:rPr>
        <w:t xml:space="preserve">Konsorcium firem SUDOP </w:t>
      </w:r>
      <w:r w:rsidR="000918FC">
        <w:rPr>
          <w:rFonts w:cs="Tahoma"/>
          <w:szCs w:val="20"/>
        </w:rPr>
        <w:t>PRAHA</w:t>
      </w:r>
      <w:r w:rsidRPr="00FD63AB">
        <w:rPr>
          <w:rFonts w:cs="Tahoma"/>
          <w:szCs w:val="20"/>
        </w:rPr>
        <w:t xml:space="preserve">, </w:t>
      </w:r>
      <w:r w:rsidR="008C619F">
        <w:rPr>
          <w:rFonts w:cs="Tahoma"/>
          <w:szCs w:val="20"/>
        </w:rPr>
        <w:t>NDCon, Pricewaterhouse Coopers Česká Republika, Vodní cesty</w:t>
      </w:r>
      <w:r w:rsidRPr="00FD63AB">
        <w:rPr>
          <w:rFonts w:cs="Tahoma"/>
          <w:szCs w:val="20"/>
        </w:rPr>
        <w:t xml:space="preserve"> a Mott Mc Donald</w:t>
      </w:r>
      <w:r w:rsidR="008C619F">
        <w:rPr>
          <w:rFonts w:cs="Tahoma"/>
          <w:szCs w:val="20"/>
        </w:rPr>
        <w:t xml:space="preserve"> CZ</w:t>
      </w:r>
      <w:r w:rsidRPr="00FD63AB">
        <w:rPr>
          <w:rFonts w:cs="Tahoma"/>
          <w:szCs w:val="20"/>
        </w:rPr>
        <w:t xml:space="preserve"> zpracov</w:t>
      </w:r>
      <w:r w:rsidR="008C619F">
        <w:rPr>
          <w:rFonts w:cs="Tahoma"/>
          <w:szCs w:val="20"/>
        </w:rPr>
        <w:t>alo</w:t>
      </w:r>
      <w:r w:rsidRPr="00FD63AB">
        <w:rPr>
          <w:rFonts w:cs="Tahoma"/>
          <w:szCs w:val="20"/>
        </w:rPr>
        <w:t xml:space="preserve"> pro Ministerstvo dopravy České republiky dokument „Dopravní sektorové strategie, 2. fáze“. Jedná se o zásadní dokument, který </w:t>
      </w:r>
      <w:r w:rsidRPr="00FD63AB">
        <w:rPr>
          <w:rFonts w:cs="Tahoma"/>
          <w:bCs/>
          <w:szCs w:val="20"/>
        </w:rPr>
        <w:t>předurč</w:t>
      </w:r>
      <w:r w:rsidR="008C619F">
        <w:rPr>
          <w:rFonts w:cs="Tahoma"/>
          <w:bCs/>
          <w:szCs w:val="20"/>
        </w:rPr>
        <w:t>uje</w:t>
      </w:r>
      <w:r w:rsidRPr="00FD63AB">
        <w:rPr>
          <w:rFonts w:cs="Tahoma"/>
          <w:bCs/>
          <w:szCs w:val="20"/>
        </w:rPr>
        <w:t xml:space="preserve"> priority výstavby dopravní infrastruktury na další programovací období EU pro roky 2014 – </w:t>
      </w:r>
      <w:smartTag w:uri="urn:schemas-microsoft-com:office:smarttags" w:element="metricconverter">
        <w:smartTagPr>
          <w:attr w:name="ProductID" w:val="2020 a"/>
        </w:smartTagPr>
        <w:r w:rsidRPr="00FD63AB">
          <w:rPr>
            <w:rFonts w:cs="Tahoma"/>
            <w:bCs/>
            <w:szCs w:val="20"/>
          </w:rPr>
          <w:t>2020 a</w:t>
        </w:r>
      </w:smartTag>
      <w:r w:rsidRPr="00FD63AB">
        <w:rPr>
          <w:rFonts w:cs="Tahoma"/>
          <w:bCs/>
          <w:szCs w:val="20"/>
        </w:rPr>
        <w:t xml:space="preserve"> rámcově s výhledem až do doku </w:t>
      </w:r>
      <w:r w:rsidRPr="00FD63AB">
        <w:rPr>
          <w:rFonts w:cs="Tahoma"/>
          <w:bCs/>
          <w:szCs w:val="20"/>
        </w:rPr>
        <w:lastRenderedPageBreak/>
        <w:t>2050. Po projednání a konzultacích se všemi zainteresovanými subjekty by</w:t>
      </w:r>
      <w:r w:rsidR="008C619F">
        <w:rPr>
          <w:rFonts w:cs="Tahoma"/>
          <w:bCs/>
          <w:szCs w:val="20"/>
        </w:rPr>
        <w:t>l</w:t>
      </w:r>
      <w:r w:rsidRPr="00FD63AB">
        <w:rPr>
          <w:rFonts w:cs="Tahoma"/>
          <w:bCs/>
          <w:szCs w:val="20"/>
        </w:rPr>
        <w:t xml:space="preserve"> tento dokument</w:t>
      </w:r>
      <w:r w:rsidR="008C619F">
        <w:rPr>
          <w:rFonts w:cs="Tahoma"/>
          <w:bCs/>
          <w:szCs w:val="20"/>
        </w:rPr>
        <w:t xml:space="preserve"> dokončen v srpnu </w:t>
      </w:r>
      <w:r w:rsidRPr="00FD63AB">
        <w:rPr>
          <w:rFonts w:cs="Tahoma"/>
          <w:bCs/>
          <w:szCs w:val="20"/>
        </w:rPr>
        <w:t xml:space="preserve">2013 </w:t>
      </w:r>
      <w:r w:rsidR="008C619F">
        <w:rPr>
          <w:rFonts w:cs="Tahoma"/>
          <w:bCs/>
          <w:szCs w:val="20"/>
        </w:rPr>
        <w:t xml:space="preserve">a </w:t>
      </w:r>
      <w:r w:rsidRPr="00FD63AB">
        <w:rPr>
          <w:rFonts w:cs="Tahoma"/>
          <w:bCs/>
          <w:szCs w:val="20"/>
        </w:rPr>
        <w:t>př</w:t>
      </w:r>
      <w:r w:rsidR="008C619F">
        <w:rPr>
          <w:rFonts w:cs="Tahoma"/>
          <w:bCs/>
          <w:szCs w:val="20"/>
        </w:rPr>
        <w:t>i</w:t>
      </w:r>
      <w:r w:rsidRPr="00FD63AB">
        <w:rPr>
          <w:rFonts w:cs="Tahoma"/>
          <w:bCs/>
          <w:szCs w:val="20"/>
        </w:rPr>
        <w:t>praven pro schválení vládou ČR. Projekt zdvoukolejnění úseku Stéblová – Opatovice nad Labem je jednou z priorit, návazné stavby na trati Pardubice – Hradec Králové jsou též na seznamu</w:t>
      </w:r>
      <w:r w:rsidR="00345FA2">
        <w:rPr>
          <w:rFonts w:cs="Tahoma"/>
          <w:bCs/>
          <w:szCs w:val="20"/>
        </w:rPr>
        <w:t xml:space="preserve"> (Modernizace tratě Hradec Králové – Pardubice, 1. a 2. část)</w:t>
      </w:r>
      <w:r w:rsidRPr="00FD63AB">
        <w:rPr>
          <w:rFonts w:cs="Tahoma"/>
          <w:bCs/>
          <w:szCs w:val="20"/>
        </w:rPr>
        <w:t>.</w:t>
      </w:r>
    </w:p>
    <w:p w:rsidR="003A4ED1" w:rsidRPr="00FD63AB" w:rsidRDefault="003A4ED1" w:rsidP="003A4ED1">
      <w:pPr>
        <w:rPr>
          <w:rFonts w:cs="Tahoma"/>
          <w:bCs/>
          <w:szCs w:val="20"/>
        </w:rPr>
      </w:pPr>
      <w:r w:rsidRPr="00FD63AB">
        <w:rPr>
          <w:rFonts w:cs="Tahoma"/>
          <w:bCs/>
          <w:szCs w:val="20"/>
        </w:rPr>
        <w:t>Postupná realizace projektů však nemusí vždy odrážet míru jejich naléhavosti. Rozhoduje také projektová připravenost, projednání s dotčenými subjekty, vydání územního rozhodnutí a stavebního povolení, zdlouhavé procedura EIA, potíže při výkupu pozemků atd.</w:t>
      </w:r>
    </w:p>
    <w:p w:rsidR="003A4ED1" w:rsidRPr="00FD63AB" w:rsidRDefault="003A4ED1" w:rsidP="00FD63AB">
      <w:pPr>
        <w:pStyle w:val="Nadpis2"/>
        <w:keepLines/>
        <w:tabs>
          <w:tab w:val="clear" w:pos="576"/>
          <w:tab w:val="clear" w:pos="902"/>
        </w:tabs>
        <w:suppressAutoHyphens w:val="0"/>
        <w:spacing w:before="200" w:after="0" w:line="276" w:lineRule="auto"/>
        <w:ind w:left="578" w:hanging="578"/>
      </w:pPr>
      <w:bookmarkStart w:id="5" w:name="_Toc390958682"/>
      <w:r w:rsidRPr="00FD63AB">
        <w:t>Význam a funkce železniční trati Hradec Králové – Pardubice</w:t>
      </w:r>
      <w:bookmarkEnd w:id="5"/>
      <w:r w:rsidRPr="00FD63AB">
        <w:t xml:space="preserve">    </w:t>
      </w:r>
    </w:p>
    <w:p w:rsidR="003A4ED1" w:rsidRPr="00FD63AB" w:rsidRDefault="003A4ED1" w:rsidP="003A4ED1">
      <w:pPr>
        <w:rPr>
          <w:rFonts w:cs="Tahoma"/>
          <w:szCs w:val="20"/>
        </w:rPr>
      </w:pPr>
      <w:r w:rsidRPr="00FD63AB">
        <w:rPr>
          <w:rFonts w:cs="Tahoma"/>
          <w:szCs w:val="20"/>
        </w:rPr>
        <w:t>Trať Pardubice - Hradec Králové byla</w:t>
      </w:r>
      <w:r w:rsidR="00151888" w:rsidRPr="00FD63AB">
        <w:rPr>
          <w:rFonts w:cs="Tahoma"/>
          <w:szCs w:val="20"/>
        </w:rPr>
        <w:t xml:space="preserve"> zprovozněna v roce 1857. V </w:t>
      </w:r>
      <w:r w:rsidRPr="00FD63AB">
        <w:rPr>
          <w:rFonts w:cs="Tahoma"/>
          <w:szCs w:val="20"/>
        </w:rPr>
        <w:t>roce 1871</w:t>
      </w:r>
      <w:r w:rsidR="00151888" w:rsidRPr="00FD63AB">
        <w:rPr>
          <w:rFonts w:cs="Tahoma"/>
          <w:szCs w:val="20"/>
        </w:rPr>
        <w:t xml:space="preserve"> byl v souvislosti se zapojením trati Německý (dnes Havlíčkův) Brod – Rosice nad Labem přeložen úsek</w:t>
      </w:r>
      <w:r w:rsidRPr="00FD63AB">
        <w:rPr>
          <w:rFonts w:cs="Tahoma"/>
          <w:szCs w:val="20"/>
        </w:rPr>
        <w:t xml:space="preserve"> Pardubice – Pardubice-Rosice nad Labem. Vlastníkem byla velká soukromá společnost Jihoseveroněmecká spojovací dráha (SNDVB – Süd-Norddeutsche Verbindungsbahn), ale vžilo se pojmenování Pardubicko-Liberecká dráha. Přes Frýdlant v Čechách trať pokračovala dále do Německa (nyní Polsko). Zestátněna byla v roce 1909. Projektována byla jako hlavní trať a i dnes slouží pro rychlíkovou dopravu Pardubice – Liberec.  </w:t>
      </w:r>
    </w:p>
    <w:p w:rsidR="003A4ED1" w:rsidRPr="00FD63AB" w:rsidRDefault="003A4ED1" w:rsidP="003A4ED1">
      <w:pPr>
        <w:rPr>
          <w:rFonts w:cs="Tahoma"/>
          <w:szCs w:val="20"/>
        </w:rPr>
      </w:pPr>
      <w:r w:rsidRPr="00FD63AB">
        <w:rPr>
          <w:rFonts w:cs="Tahoma"/>
          <w:szCs w:val="20"/>
        </w:rPr>
        <w:t xml:space="preserve">Trať spojuje Hradec Králové a Pardubice, což jsou dvě nejblíže položená krajská města v ČR, každé s přibližně sto tisíci obyvateli. Jejich centra se nacházejí pouhých </w:t>
      </w:r>
      <w:smartTag w:uri="urn:schemas-microsoft-com:office:smarttags" w:element="metricconverter">
        <w:smartTagPr>
          <w:attr w:name="ProductID" w:val="20 km"/>
        </w:smartTagPr>
        <w:r w:rsidRPr="00FD63AB">
          <w:rPr>
            <w:rFonts w:cs="Tahoma"/>
            <w:szCs w:val="20"/>
          </w:rPr>
          <w:t>20 km</w:t>
        </w:r>
      </w:smartTag>
      <w:r w:rsidRPr="00FD63AB">
        <w:rPr>
          <w:rFonts w:cs="Tahoma"/>
          <w:szCs w:val="20"/>
        </w:rPr>
        <w:t xml:space="preserve"> daleko od sebe, do nedaleké třiadvacetitisícové Chrudimi je to z Pardubic dalších </w:t>
      </w:r>
      <w:smartTag w:uri="urn:schemas-microsoft-com:office:smarttags" w:element="metricconverter">
        <w:smartTagPr>
          <w:attr w:name="ProductID" w:val="10 km"/>
        </w:smartTagPr>
        <w:r w:rsidRPr="00FD63AB">
          <w:rPr>
            <w:rFonts w:cs="Tahoma"/>
            <w:szCs w:val="20"/>
          </w:rPr>
          <w:t>10 km</w:t>
        </w:r>
      </w:smartTag>
      <w:r w:rsidRPr="00FD63AB">
        <w:rPr>
          <w:rFonts w:cs="Tahoma"/>
          <w:szCs w:val="20"/>
        </w:rPr>
        <w:t xml:space="preserve">. Všechna tři města dohromady tvoří osu silně urbanizované aglomerace v severojižním směru. Vzhledem k blízkosti těchto měst a jejich velikosti mezi nimi existuje silná přepravní poptávka s výrazným potenciálem dalšího růstu. Pro železnici to znamená velkou příležitost, aby svou kvalitní nabídkou dokázala získat co největší podíl na přepravním trhu. Avšak stávající železniční infrastruktura na této důležité ose vykazuje řadu nedostatků a problémových míst, které neumožňují provozovat železniční dopravu v optimálním režimu. To má negativní vliv na kapacitu tratě, jízdní doby, či dodržování jízdního řádu. Výsledkem je horší konkurenceschopnost železniční dopravy vůči dopravě silniční a postupná ztráta jejího podílu na přepravním trhu. Důvodem tohoto vývoje je kromě technického a morálního zastarávání železnice také překotný rozvoj silniční infrastruktury za posledních 20 let, se kterým železnice nedokázala držet krok. Postupně byla přeložena silnice I/37 (která všechna tři města spojuje) a odvedla tak tranzitní dopravu nejen z centra Pardubic, ale i z řady dalších menších obcí na této urbanizační ose. Navíc v úseku mezi Hradcem Králové a Pardubicemi </w:t>
      </w:r>
      <w:r w:rsidR="00345FA2">
        <w:rPr>
          <w:rFonts w:cs="Tahoma"/>
          <w:szCs w:val="20"/>
        </w:rPr>
        <w:t xml:space="preserve">je již </w:t>
      </w:r>
      <w:r w:rsidRPr="00FD63AB">
        <w:rPr>
          <w:rFonts w:cs="Tahoma"/>
          <w:szCs w:val="20"/>
        </w:rPr>
        <w:t xml:space="preserve">ve čtyřpruhovém uspořádání, což </w:t>
      </w:r>
      <w:r w:rsidR="00345FA2">
        <w:rPr>
          <w:rFonts w:cs="Tahoma"/>
          <w:szCs w:val="20"/>
        </w:rPr>
        <w:t xml:space="preserve">dále </w:t>
      </w:r>
      <w:r w:rsidRPr="00FD63AB">
        <w:rPr>
          <w:rFonts w:cs="Tahoma"/>
          <w:szCs w:val="20"/>
        </w:rPr>
        <w:t>zvýš</w:t>
      </w:r>
      <w:r w:rsidR="00345FA2">
        <w:rPr>
          <w:rFonts w:cs="Tahoma"/>
          <w:szCs w:val="20"/>
        </w:rPr>
        <w:t>ilo</w:t>
      </w:r>
      <w:r w:rsidRPr="00FD63AB">
        <w:rPr>
          <w:rFonts w:cs="Tahoma"/>
          <w:szCs w:val="20"/>
        </w:rPr>
        <w:t xml:space="preserve"> kapacitu, rychlost, a tím pádem i atraktivitu této komunikace.</w:t>
      </w:r>
      <w:r w:rsidR="00345FA2">
        <w:rPr>
          <w:rFonts w:cs="Tahoma"/>
          <w:szCs w:val="20"/>
        </w:rPr>
        <w:t xml:space="preserve"> Nehledě na to, že se vážně umožňuje o zvýšení nejvyšší dovolené rychlosti na tomto úseku z 90 na 110 km/hod. </w:t>
      </w:r>
      <w:r w:rsidRPr="00FD63AB">
        <w:rPr>
          <w:rFonts w:cs="Tahoma"/>
          <w:szCs w:val="20"/>
        </w:rPr>
        <w:t xml:space="preserve"> Pokud si chce železnice alespoň udržet svůj stávající podíl na přepravním trhu, bude muset výrazně zkvalitnit své služby. Cestující vyžadují častější vlakové spoje, kratší jízdní doby a spolehlivost dopravy podle jízdního řádu. A samozřejmě moderní a rychlá železniční vozidla, která takto vylepšených parametrů na straně infrastruktury dokážou náležitě využít, avšak to je již v kompetenci dopravce a objednavatele dopravy. Výše zmíněné požadavky na kvalitu železniční dopravy jsou však za stávajícího stavu infrastruktury téměř nerealizovatelné. Malá kapacita jednokolejných tratí, nevhodné napojení do železničních uzlů, nízké traťové rychlosti, nevhodné polohy zastávek, atd. To jsou příklady faktorů, které zhoršují konkurenceschopnost železnice na přepravním trhu.</w:t>
      </w:r>
    </w:p>
    <w:p w:rsidR="003A4ED1" w:rsidRPr="00FD63AB" w:rsidRDefault="003A4ED1" w:rsidP="003A4ED1">
      <w:pPr>
        <w:rPr>
          <w:rFonts w:cs="Tahoma"/>
          <w:szCs w:val="20"/>
        </w:rPr>
      </w:pPr>
      <w:r w:rsidRPr="00FD63AB">
        <w:rPr>
          <w:rFonts w:cs="Tahoma"/>
          <w:szCs w:val="20"/>
        </w:rPr>
        <w:t xml:space="preserve">Z hlediska nákladní dopravy je trať méně významná, i když je třeba říci, že v denní době a zejména ve špičkách je kapacita tratě zcela vyčerpána osobní dopravou. Důležitá je přeprava uhlí do elektrárny Opatovice nad Labem (3 soupravy denně), v Pardubicích-Rosicích nad Labem a Opatovicích nad Labem jsou další pravidelní přepravci. V případu mimořádné situace na trati Praha – Choceň však tato trať může být využita pro jízdu vlaků po objízdné trase, samozřejmě s ohledem na pravidelnou osobní dopravu. Hovoříme-li o nákladní dopravě, tak existují dva výhledové záměry, které je potřeba zmínit. Jednak je to </w:t>
      </w:r>
      <w:r w:rsidRPr="00FD63AB">
        <w:rPr>
          <w:rFonts w:cs="Tahoma"/>
          <w:szCs w:val="20"/>
        </w:rPr>
        <w:lastRenderedPageBreak/>
        <w:t xml:space="preserve">řadu let připravovaný projekt multimodálního logistického centra (silnice – železnice – voda), které by bylo napojeno vlečkou do železniční stanice Pardubice-Rosice nad Labem. Zpočátku má denní obrat činit několik vagónů, po zhruba 5 letech provozu se předpokládá nárůst na 10-15 vozů denně. Druhým záměrem je výstavba logistického areálu ThyssenKrupp Ferrosta v lokalitě Hradec Králové – Březhrad, který by byl napojen vlečkou do železniční stanice Opatovice nad Lab. Předpokládaný denní obrat je podle dokumentace EIA 10 vagónů. </w:t>
      </w:r>
    </w:p>
    <w:p w:rsidR="003A4ED1" w:rsidRPr="00FD63AB" w:rsidRDefault="003A4ED1" w:rsidP="003A4ED1">
      <w:pPr>
        <w:rPr>
          <w:rFonts w:cs="Tahoma"/>
          <w:szCs w:val="20"/>
        </w:rPr>
      </w:pPr>
      <w:r w:rsidRPr="00FD63AB">
        <w:rPr>
          <w:rFonts w:cs="Tahoma"/>
          <w:szCs w:val="20"/>
        </w:rPr>
        <w:t xml:space="preserve"> </w:t>
      </w:r>
    </w:p>
    <w:p w:rsidR="003A4ED1" w:rsidRPr="00FD63AB" w:rsidRDefault="003A4ED1" w:rsidP="003A4ED1">
      <w:pPr>
        <w:pStyle w:val="Nadpis2"/>
        <w:keepLines/>
        <w:tabs>
          <w:tab w:val="clear" w:pos="576"/>
          <w:tab w:val="clear" w:pos="902"/>
        </w:tabs>
        <w:suppressAutoHyphens w:val="0"/>
        <w:spacing w:before="200" w:after="0" w:line="276" w:lineRule="auto"/>
      </w:pPr>
      <w:bookmarkStart w:id="6" w:name="_Toc390958683"/>
      <w:r w:rsidRPr="00FD63AB">
        <w:t>Vazba na mezinárodní i národní dopravní koridory, jiné podmiňující stavby</w:t>
      </w:r>
      <w:bookmarkEnd w:id="6"/>
    </w:p>
    <w:p w:rsidR="003A4ED1" w:rsidRPr="00FD63AB" w:rsidRDefault="003A4ED1" w:rsidP="003A4ED1">
      <w:pPr>
        <w:rPr>
          <w:rFonts w:cs="Tahoma"/>
          <w:szCs w:val="20"/>
        </w:rPr>
      </w:pPr>
      <w:r w:rsidRPr="00FD63AB">
        <w:rPr>
          <w:rFonts w:cs="Tahoma"/>
          <w:szCs w:val="20"/>
        </w:rPr>
        <w:t xml:space="preserve">Železniční stanice Pardubice leží na </w:t>
      </w:r>
      <w:smartTag w:uri="urn:schemas-microsoft-com:office:smarttags" w:element="metricconverter">
        <w:smartTagPr>
          <w:attr w:name="ProductID" w:val="1. a"/>
        </w:smartTagPr>
        <w:r w:rsidRPr="00FD63AB">
          <w:rPr>
            <w:rFonts w:cs="Tahoma"/>
            <w:szCs w:val="20"/>
          </w:rPr>
          <w:t>1. a</w:t>
        </w:r>
      </w:smartTag>
      <w:r w:rsidRPr="00FD63AB">
        <w:rPr>
          <w:rFonts w:cs="Tahoma"/>
          <w:szCs w:val="20"/>
        </w:rPr>
        <w:t xml:space="preserve"> 3. tranzitním železničním koridoru, které mají společný úsek Praha – Česká Třebová a zároveň se jedná o trať TEN-T – „core network“ jak pro osobní, tak pro nákladní dopravu. Současně je tato trať také zařazena do sítě tratí podle dohod AGC a AGTC s označením C-E-</w:t>
      </w:r>
      <w:smartTag w:uri="urn:schemas-microsoft-com:office:smarttags" w:element="metricconverter">
        <w:smartTagPr>
          <w:attr w:name="ProductID" w:val="40 a"/>
        </w:smartTagPr>
        <w:r w:rsidRPr="00FD63AB">
          <w:rPr>
            <w:rFonts w:cs="Tahoma"/>
            <w:szCs w:val="20"/>
          </w:rPr>
          <w:t>40 a</w:t>
        </w:r>
      </w:smartTag>
      <w:r w:rsidRPr="00FD63AB">
        <w:rPr>
          <w:rFonts w:cs="Tahoma"/>
          <w:szCs w:val="20"/>
        </w:rPr>
        <w:t xml:space="preserve"> C-E-61. </w:t>
      </w:r>
    </w:p>
    <w:p w:rsidR="003A4ED1" w:rsidRPr="00FD63AB" w:rsidRDefault="003A4ED1" w:rsidP="003A4ED1">
      <w:pPr>
        <w:rPr>
          <w:rFonts w:cs="Tahoma"/>
          <w:szCs w:val="20"/>
        </w:rPr>
      </w:pPr>
      <w:r w:rsidRPr="00FD63AB">
        <w:rPr>
          <w:rFonts w:cs="Tahoma"/>
          <w:szCs w:val="20"/>
        </w:rPr>
        <w:t>Posuzovaná trať Pardubice – Hradec Králové není součástí žádného mezinárodního koridoru a rovněž tak žádná z tratí, které jsou zapojeny do železničního uzlu Hradec Králové. Nicméně je významnou součástí národní sítě spojující krajská města Liberec, Hradec Králové, Pardubice, Jihlava i další města České republiky okresního významu, např. Jičín, Trutnov, Turnov a Chrudim. Trať Hradec Králové – Pardubice navazuje i na výše zmíněný koridor Pardubice – Česká Třebová a tím umožňuje i spojení krajského města Hradce Králové s ostatními kraji východní části republiky.</w:t>
      </w:r>
    </w:p>
    <w:p w:rsidR="003A4ED1" w:rsidRPr="00FD63AB" w:rsidRDefault="003A4ED1" w:rsidP="003A4ED1">
      <w:pPr>
        <w:rPr>
          <w:rFonts w:cs="Tahoma"/>
          <w:szCs w:val="20"/>
        </w:rPr>
      </w:pPr>
      <w:r w:rsidRPr="00FD63AB">
        <w:rPr>
          <w:rFonts w:cs="Tahoma"/>
          <w:szCs w:val="20"/>
        </w:rPr>
        <w:t>Modernizace úseku Pardubice – Hradec Králové je spojena s dalšími stavbami, které nejsou přímo podmiňující, ale úzce souvisí. Jsou to:</w:t>
      </w:r>
    </w:p>
    <w:p w:rsidR="00631EAB" w:rsidRDefault="003A4ED1" w:rsidP="00F5279A">
      <w:pPr>
        <w:pStyle w:val="Odstavecseseznamem"/>
        <w:numPr>
          <w:ilvl w:val="0"/>
          <w:numId w:val="35"/>
        </w:numPr>
        <w:suppressAutoHyphens w:val="0"/>
        <w:spacing w:before="0" w:after="200" w:line="276" w:lineRule="auto"/>
        <w:contextualSpacing/>
        <w:rPr>
          <w:rFonts w:cs="Tahoma"/>
          <w:szCs w:val="20"/>
        </w:rPr>
      </w:pPr>
      <w:r w:rsidRPr="00FD63AB">
        <w:rPr>
          <w:rFonts w:cs="Tahoma"/>
          <w:szCs w:val="20"/>
        </w:rPr>
        <w:t>rekonstrukce železniční stanice Pardubice hlavní nádraží: tato stanice dosud nebyla modernizována a je vybavena starším reléovým zabezpečovacím zařízením</w:t>
      </w:r>
      <w:r w:rsidR="00FC1552">
        <w:rPr>
          <w:rFonts w:cs="Tahoma"/>
          <w:szCs w:val="20"/>
        </w:rPr>
        <w:t>. P</w:t>
      </w:r>
      <w:r w:rsidRPr="00FD63AB">
        <w:rPr>
          <w:rFonts w:cs="Tahoma"/>
          <w:szCs w:val="20"/>
        </w:rPr>
        <w:t xml:space="preserve">řípadné zdvoukolejnění úseku Pardubice hlavní nádr. – Pardubice-Rosice nad Labem vyvolá přestavbu zabezpečovacího zařízení v celé stanici anebo naopak, </w:t>
      </w:r>
      <w:r w:rsidR="00FC1552">
        <w:rPr>
          <w:rFonts w:cs="Tahoma"/>
          <w:szCs w:val="20"/>
        </w:rPr>
        <w:t xml:space="preserve">nastane-li dříve </w:t>
      </w:r>
      <w:r w:rsidRPr="00FD63AB">
        <w:rPr>
          <w:rFonts w:cs="Tahoma"/>
          <w:szCs w:val="20"/>
        </w:rPr>
        <w:t>rekonstrukc</w:t>
      </w:r>
      <w:r w:rsidR="00FC1552">
        <w:rPr>
          <w:rFonts w:cs="Tahoma"/>
          <w:szCs w:val="20"/>
        </w:rPr>
        <w:t>e</w:t>
      </w:r>
      <w:r w:rsidRPr="00FD63AB">
        <w:rPr>
          <w:rFonts w:cs="Tahoma"/>
          <w:szCs w:val="20"/>
        </w:rPr>
        <w:t xml:space="preserve"> stanice</w:t>
      </w:r>
      <w:r w:rsidR="00FC1552">
        <w:rPr>
          <w:rFonts w:cs="Tahoma"/>
          <w:szCs w:val="20"/>
        </w:rPr>
        <w:t xml:space="preserve"> Pardubice hlavní nádr.</w:t>
      </w:r>
      <w:r w:rsidRPr="00FD63AB">
        <w:rPr>
          <w:rFonts w:cs="Tahoma"/>
          <w:szCs w:val="20"/>
        </w:rPr>
        <w:t>, musí</w:t>
      </w:r>
      <w:r w:rsidR="00FC1552">
        <w:rPr>
          <w:rFonts w:cs="Tahoma"/>
          <w:szCs w:val="20"/>
        </w:rPr>
        <w:t xml:space="preserve"> se již</w:t>
      </w:r>
      <w:r w:rsidRPr="00FD63AB">
        <w:rPr>
          <w:rFonts w:cs="Tahoma"/>
          <w:szCs w:val="20"/>
        </w:rPr>
        <w:t xml:space="preserve"> zabezpečovací zařízení připravit na očekávané zdvoukolejnění do Pardubic-Rosic nad Lab.;</w:t>
      </w:r>
    </w:p>
    <w:p w:rsidR="00631EAB" w:rsidRDefault="003A4ED1" w:rsidP="00F5279A">
      <w:pPr>
        <w:pStyle w:val="Odstavecseseznamem"/>
        <w:numPr>
          <w:ilvl w:val="0"/>
          <w:numId w:val="35"/>
        </w:numPr>
        <w:suppressAutoHyphens w:val="0"/>
        <w:spacing w:before="0" w:after="200" w:line="276" w:lineRule="auto"/>
        <w:contextualSpacing/>
        <w:rPr>
          <w:rFonts w:cs="Tahoma"/>
          <w:szCs w:val="20"/>
        </w:rPr>
      </w:pPr>
      <w:r w:rsidRPr="00FD63AB">
        <w:rPr>
          <w:rFonts w:cs="Tahoma"/>
          <w:szCs w:val="20"/>
        </w:rPr>
        <w:t>nová traťová spojka (tzv. „Medlešická</w:t>
      </w:r>
      <w:r w:rsidR="00A90989" w:rsidRPr="00FD63AB">
        <w:rPr>
          <w:rFonts w:cs="Tahoma"/>
          <w:szCs w:val="20"/>
        </w:rPr>
        <w:t xml:space="preserve"> nebo Ostřešanská</w:t>
      </w:r>
      <w:r w:rsidRPr="00FD63AB">
        <w:rPr>
          <w:rFonts w:cs="Tahoma"/>
          <w:szCs w:val="20"/>
        </w:rPr>
        <w:t xml:space="preserve"> spojka“), která umožní přímou jízdu vlaků mezi Pardubicemi hlavním nádraží a Chrudimí: její realizace by odstranila úvrať v železniční stanici Pardubice-Rosice nad Labem a měla by vliv na uspořádání kolejiště této stanice (např. menší počet nástupišt) a případně i na zdvoukolejnění úseku Pardubice hlavní nádraží – Pardubice</w:t>
      </w:r>
      <w:r w:rsidR="000918FC">
        <w:rPr>
          <w:rFonts w:cs="Tahoma"/>
          <w:szCs w:val="20"/>
        </w:rPr>
        <w:t>-</w:t>
      </w:r>
      <w:r w:rsidRPr="00FD63AB">
        <w:rPr>
          <w:rFonts w:cs="Tahoma"/>
          <w:szCs w:val="20"/>
        </w:rPr>
        <w:t>Rosice nad Labem;</w:t>
      </w:r>
    </w:p>
    <w:p w:rsidR="00631EAB" w:rsidRDefault="003A4ED1" w:rsidP="00F5279A">
      <w:pPr>
        <w:pStyle w:val="Odstavecseseznamem"/>
        <w:numPr>
          <w:ilvl w:val="0"/>
          <w:numId w:val="35"/>
        </w:numPr>
        <w:suppressAutoHyphens w:val="0"/>
        <w:spacing w:before="0" w:after="200" w:line="276" w:lineRule="auto"/>
        <w:contextualSpacing/>
        <w:rPr>
          <w:rFonts w:cs="Tahoma"/>
          <w:szCs w:val="20"/>
        </w:rPr>
      </w:pPr>
      <w:r w:rsidRPr="00FD63AB">
        <w:rPr>
          <w:rFonts w:cs="Tahoma"/>
          <w:szCs w:val="20"/>
        </w:rPr>
        <w:t>rekonstrukce jižního zhlaví železniční stanice Hradec Králové hlavní nádraží: je sice zahrnuta i v této studii proveditelnosti, ale je zamýšlena a připravována jako samostatná stavba, která zlepší možnosti nejenom posuzované tratě, ale i tratě Velký Osek – Hradec Králové hlavní nádraží;</w:t>
      </w:r>
    </w:p>
    <w:p w:rsidR="00631EAB" w:rsidRDefault="003A4ED1" w:rsidP="00F5279A">
      <w:pPr>
        <w:pStyle w:val="Odstavecseseznamem"/>
        <w:numPr>
          <w:ilvl w:val="0"/>
          <w:numId w:val="35"/>
        </w:numPr>
        <w:suppressAutoHyphens w:val="0"/>
        <w:spacing w:before="0" w:after="200" w:line="276" w:lineRule="auto"/>
        <w:contextualSpacing/>
        <w:rPr>
          <w:rFonts w:cs="Tahoma"/>
          <w:szCs w:val="20"/>
        </w:rPr>
      </w:pPr>
      <w:r w:rsidRPr="00FD63AB">
        <w:rPr>
          <w:rFonts w:cs="Tahoma"/>
          <w:szCs w:val="20"/>
        </w:rPr>
        <w:t>zvýšení propustnosti v úseku Hradec Králové hlavní nádr. – Týniště nad Orlicí: v tomto případě je souvislost poněkud volnější. Jedná se o to, že cílové zdvoukolejnění tratě Pardubice hlavní nádr. – Hradec Králové hlavní nádr. sice přinese dostatek kapacity pro uspokojení všech potřeb osobní i nákladní dopravy, ale pokud by bylo potřeba odklonit nákladní vlaky z koridorové tratě v úseku Pardubice – Choceň přes Hradec Králové a Týniště nad Orlicí, pak v denní době je propustnost tohoto úseku vyčerpána osobní dopravou.</w:t>
      </w:r>
      <w:r w:rsidR="00A90989" w:rsidRPr="00FD63AB">
        <w:rPr>
          <w:rFonts w:cs="Tahoma"/>
          <w:szCs w:val="20"/>
        </w:rPr>
        <w:t xml:space="preserve"> Hlavním smyslem částečného zdvoukolejnění tohoto úseku je optimalizace poloh vlaků osobní přepravy v obou krajních stanicích v taktovém jízdním řádu.</w:t>
      </w:r>
      <w:r w:rsidRPr="00FD63AB">
        <w:rPr>
          <w:rFonts w:cs="Tahoma"/>
          <w:szCs w:val="20"/>
        </w:rPr>
        <w:t xml:space="preserve">  </w:t>
      </w:r>
    </w:p>
    <w:p w:rsidR="003A4ED1" w:rsidRPr="00FD63AB" w:rsidRDefault="003A4ED1" w:rsidP="003A4ED1">
      <w:pPr>
        <w:pStyle w:val="Nadpis2"/>
        <w:keepLines/>
        <w:tabs>
          <w:tab w:val="clear" w:pos="576"/>
          <w:tab w:val="clear" w:pos="902"/>
        </w:tabs>
        <w:suppressAutoHyphens w:val="0"/>
        <w:spacing w:before="200" w:after="0" w:line="276" w:lineRule="auto"/>
      </w:pPr>
      <w:bookmarkStart w:id="7" w:name="_Ref346635058"/>
      <w:bookmarkStart w:id="8" w:name="_Toc390958684"/>
      <w:r w:rsidRPr="00FD63AB">
        <w:lastRenderedPageBreak/>
        <w:t>Hlavní nedostatky současného stavu</w:t>
      </w:r>
      <w:bookmarkEnd w:id="7"/>
      <w:bookmarkEnd w:id="8"/>
    </w:p>
    <w:p w:rsidR="003A4ED1" w:rsidRPr="00FD63AB" w:rsidRDefault="003A4ED1" w:rsidP="003A4ED1">
      <w:pPr>
        <w:rPr>
          <w:rFonts w:cs="Tahoma"/>
          <w:szCs w:val="20"/>
        </w:rPr>
      </w:pPr>
      <w:r w:rsidRPr="00FD63AB">
        <w:rPr>
          <w:rFonts w:cs="Tahoma"/>
          <w:szCs w:val="20"/>
        </w:rPr>
        <w:t>Za hlavní nedostatky současného stavu lze považovat:</w:t>
      </w:r>
    </w:p>
    <w:p w:rsidR="00631EAB" w:rsidRDefault="003A4ED1" w:rsidP="00D20948">
      <w:pPr>
        <w:pStyle w:val="Odstavecseseznamem"/>
        <w:numPr>
          <w:ilvl w:val="0"/>
          <w:numId w:val="35"/>
        </w:numPr>
        <w:suppressAutoHyphens w:val="0"/>
        <w:spacing w:before="0" w:after="200" w:line="276" w:lineRule="auto"/>
        <w:contextualSpacing/>
        <w:jc w:val="left"/>
        <w:rPr>
          <w:rFonts w:cs="Tahoma"/>
          <w:szCs w:val="20"/>
        </w:rPr>
      </w:pPr>
      <w:r w:rsidRPr="00FD63AB">
        <w:rPr>
          <w:rFonts w:cs="Tahoma"/>
          <w:szCs w:val="20"/>
        </w:rPr>
        <w:t>jednokolejný traťový úsek mezi železničními stanicemi Pardubice hlavní nádr. a Pardubice-Rosice nad Labem, kde se provozuje veškerá doprava mezi Pardubicemi a Hradcem Králové, a zároveň mezi Pardubicemi a Chrudimí (- Havlíčkovým Brodem);</w:t>
      </w:r>
    </w:p>
    <w:p w:rsidR="00631EAB" w:rsidRDefault="003A4ED1" w:rsidP="00D20948">
      <w:pPr>
        <w:pStyle w:val="Odstavecseseznamem"/>
        <w:numPr>
          <w:ilvl w:val="0"/>
          <w:numId w:val="35"/>
        </w:numPr>
        <w:suppressAutoHyphens w:val="0"/>
        <w:spacing w:before="0" w:after="200" w:line="276" w:lineRule="auto"/>
        <w:contextualSpacing/>
        <w:jc w:val="left"/>
        <w:rPr>
          <w:rFonts w:cs="Tahoma"/>
          <w:szCs w:val="20"/>
        </w:rPr>
      </w:pPr>
      <w:r w:rsidRPr="00FD63AB">
        <w:rPr>
          <w:rFonts w:cs="Tahoma"/>
          <w:szCs w:val="20"/>
        </w:rPr>
        <w:t xml:space="preserve">úvraťové zapojení tratě č. 238 (Havl. Brod – Pardubice) do žst. Pardubice hl.n. navíc vedené přibližně </w:t>
      </w:r>
      <w:smartTag w:uri="urn:schemas-microsoft-com:office:smarttags" w:element="metricconverter">
        <w:smartTagPr>
          <w:attr w:name="ProductID" w:val="3 km"/>
        </w:smartTagPr>
        <w:r w:rsidRPr="00FD63AB">
          <w:rPr>
            <w:rFonts w:cs="Tahoma"/>
            <w:szCs w:val="20"/>
          </w:rPr>
          <w:t>3 km</w:t>
        </w:r>
      </w:smartTag>
      <w:r w:rsidRPr="00FD63AB">
        <w:rPr>
          <w:rFonts w:cs="Tahoma"/>
          <w:szCs w:val="20"/>
        </w:rPr>
        <w:t xml:space="preserve"> dlouhým závlekem přes žst. Pardubice-Rosice n. L.</w:t>
      </w:r>
    </w:p>
    <w:p w:rsidR="00631EAB" w:rsidRDefault="003A4ED1" w:rsidP="00D20948">
      <w:pPr>
        <w:pStyle w:val="Odstavecseseznamem"/>
        <w:numPr>
          <w:ilvl w:val="0"/>
          <w:numId w:val="35"/>
        </w:numPr>
        <w:suppressAutoHyphens w:val="0"/>
        <w:spacing w:before="0" w:after="200" w:line="276" w:lineRule="auto"/>
        <w:contextualSpacing/>
        <w:jc w:val="left"/>
        <w:rPr>
          <w:rFonts w:cs="Tahoma"/>
          <w:szCs w:val="20"/>
        </w:rPr>
      </w:pPr>
      <w:r w:rsidRPr="00FD63AB">
        <w:rPr>
          <w:rFonts w:cs="Tahoma"/>
          <w:szCs w:val="20"/>
        </w:rPr>
        <w:t>nedostatečná kapacita úseku Pardubice-Rosice n. L. – Hradec Králové hlavní nádr. pro zavedení osobní dopravy v rozsahu, který předpokládají její objednavatelé, s nutností častého křižování na jednokolejné trati, většinou ve Stéblové, vložené vlaky ve špičce i v Opatovicích nad Labem a k tomu křižování s vlaky chrudimského směru v Pardubicích-Rosicích nad Labem.</w:t>
      </w:r>
    </w:p>
    <w:p w:rsidR="00631EAB" w:rsidRDefault="003A4ED1" w:rsidP="00D20948">
      <w:pPr>
        <w:pStyle w:val="Odstavecseseznamem"/>
        <w:numPr>
          <w:ilvl w:val="0"/>
          <w:numId w:val="35"/>
        </w:numPr>
        <w:suppressAutoHyphens w:val="0"/>
        <w:spacing w:before="0" w:after="200" w:line="276" w:lineRule="auto"/>
        <w:contextualSpacing/>
        <w:jc w:val="left"/>
        <w:rPr>
          <w:rFonts w:cs="Tahoma"/>
          <w:szCs w:val="20"/>
        </w:rPr>
      </w:pPr>
      <w:r w:rsidRPr="00FD63AB">
        <w:rPr>
          <w:rFonts w:cs="Tahoma"/>
          <w:szCs w:val="20"/>
        </w:rPr>
        <w:t>nevyhovující stav žst. Hradec Králové – malá rychlost na jižním zhlaví, nedostatečná kapacita nástupišť, špatný stav technologických zařízení (zabezpečovací zařízení);</w:t>
      </w:r>
    </w:p>
    <w:p w:rsidR="00631EAB" w:rsidRDefault="003A4ED1" w:rsidP="00D20948">
      <w:pPr>
        <w:pStyle w:val="Odstavecseseznamem"/>
        <w:numPr>
          <w:ilvl w:val="0"/>
          <w:numId w:val="35"/>
        </w:numPr>
        <w:suppressAutoHyphens w:val="0"/>
        <w:spacing w:before="0" w:after="200" w:line="276" w:lineRule="auto"/>
        <w:contextualSpacing/>
        <w:jc w:val="left"/>
        <w:rPr>
          <w:rFonts w:cs="Tahoma"/>
          <w:szCs w:val="20"/>
        </w:rPr>
      </w:pPr>
      <w:r w:rsidRPr="00FD63AB">
        <w:rPr>
          <w:rFonts w:cs="Tahoma"/>
          <w:szCs w:val="20"/>
        </w:rPr>
        <w:t>absence traťového zabezpečovacího zařízení v úseku Pardubice-Rosice nad Lab. – Opatovice nad Labem (jízda vlaků je zabezpečena pouze telefonickou domluvou výpravčích);</w:t>
      </w:r>
    </w:p>
    <w:p w:rsidR="00631EAB" w:rsidRDefault="003A4ED1" w:rsidP="00D20948">
      <w:pPr>
        <w:pStyle w:val="Odstavecseseznamem"/>
        <w:numPr>
          <w:ilvl w:val="0"/>
          <w:numId w:val="35"/>
        </w:numPr>
        <w:suppressAutoHyphens w:val="0"/>
        <w:spacing w:before="0" w:after="200" w:line="276" w:lineRule="auto"/>
        <w:contextualSpacing/>
        <w:jc w:val="left"/>
        <w:rPr>
          <w:rFonts w:cs="Tahoma"/>
          <w:szCs w:val="20"/>
        </w:rPr>
      </w:pPr>
      <w:r w:rsidRPr="00FD63AB">
        <w:rPr>
          <w:rFonts w:cs="Tahoma"/>
          <w:szCs w:val="20"/>
        </w:rPr>
        <w:t xml:space="preserve">úrovňový přístup k vlakům v železničních stanicích Pardubice-Rosice nad Labem a Opatovice nad Labem omezuje propustnost a určitě není vhodný z pohledu bezpečnosti cestujících. </w:t>
      </w:r>
      <w:r w:rsidR="00AC645B">
        <w:rPr>
          <w:rFonts w:cs="Tahoma"/>
          <w:szCs w:val="20"/>
        </w:rPr>
        <w:t>Úsekem se zabývá souběžně zpracovávaná SP Velký Osek – Hradec Králové – Choceň, která mj. též řeší severní zhlaví žst. Hradec Králové hl. n.;</w:t>
      </w:r>
    </w:p>
    <w:p w:rsidR="003A4ED1" w:rsidRPr="00FD63AB" w:rsidRDefault="003A4ED1" w:rsidP="003A4ED1">
      <w:pPr>
        <w:rPr>
          <w:rFonts w:cs="Tahoma"/>
          <w:szCs w:val="20"/>
        </w:rPr>
      </w:pPr>
      <w:r w:rsidRPr="00FD63AB">
        <w:rPr>
          <w:rFonts w:cs="Tahoma"/>
          <w:szCs w:val="20"/>
        </w:rPr>
        <w:t>Za účelem odstranění těchto problémových míst byla zpracována řada studií, které v různých stupních projektové dokumentace nabídly několik variantních řešení. Většinou se však jednalo o studie řešící jen jeden dílčí problém, byť v patřičném kontextu navazujících staveb. Hodnocení navrženého řešení pak proběhlo jen z pohledu technicko-technologického, tedy bez řádného ekonomického posouzení. Některé stavby (např. Medlešická</w:t>
      </w:r>
      <w:r w:rsidR="00A90989" w:rsidRPr="00FD63AB">
        <w:rPr>
          <w:rFonts w:cs="Tahoma"/>
          <w:szCs w:val="20"/>
        </w:rPr>
        <w:t>/Ostřešanská</w:t>
      </w:r>
      <w:r w:rsidRPr="00FD63AB">
        <w:rPr>
          <w:rFonts w:cs="Tahoma"/>
          <w:szCs w:val="20"/>
        </w:rPr>
        <w:t xml:space="preserve"> spojka) byly již v rámci těchto studií ekonomicky hodnoceny, avšak s výsledkem nedostatečné ekonomické efektivity. Z tohoto důvodu byla v roce 2011 provedena CBA analýza všech variant modernizace celého úseku Hradec Králové – Pardubice – Chrudim, neboť z důvodu provázanosti všech dílčích projektů je takové posouzení vhodné. Tato analýza </w:t>
      </w:r>
      <w:r w:rsidRPr="00FD63AB">
        <w:rPr>
          <w:rFonts w:cs="Tahoma"/>
          <w:szCs w:val="20"/>
          <w:u w:val="single"/>
        </w:rPr>
        <w:t>neprokázala ekonomickou efektivitu</w:t>
      </w:r>
      <w:r w:rsidRPr="00FD63AB">
        <w:rPr>
          <w:rFonts w:cs="Tahoma"/>
          <w:szCs w:val="20"/>
        </w:rPr>
        <w:t xml:space="preserve"> realizace investičního počinu v nové stopě na úseku Pardubice – Chrudim. Účelem této studie proveditelnosti je na tuto analýzu navázat s tím, že z variant pro ekonomické hodnocení bude úsek Pardubice – Chrudim vynechán.</w:t>
      </w:r>
    </w:p>
    <w:p w:rsidR="003A4ED1" w:rsidRPr="00FD63AB" w:rsidRDefault="003A4ED1" w:rsidP="003A4ED1">
      <w:pPr>
        <w:pStyle w:val="Nadpis2"/>
        <w:keepLines/>
        <w:tabs>
          <w:tab w:val="clear" w:pos="576"/>
          <w:tab w:val="clear" w:pos="902"/>
        </w:tabs>
        <w:suppressAutoHyphens w:val="0"/>
        <w:spacing w:before="200" w:after="0" w:line="276" w:lineRule="auto"/>
      </w:pPr>
      <w:bookmarkStart w:id="9" w:name="_Toc390958685"/>
      <w:r w:rsidRPr="00FD63AB">
        <w:t>Metodologie studie</w:t>
      </w:r>
      <w:bookmarkEnd w:id="9"/>
    </w:p>
    <w:p w:rsidR="003A4ED1" w:rsidRPr="00FD63AB" w:rsidRDefault="003A4ED1" w:rsidP="003A4ED1">
      <w:pPr>
        <w:rPr>
          <w:rFonts w:cs="Tahoma"/>
          <w:szCs w:val="20"/>
        </w:rPr>
      </w:pPr>
      <w:r w:rsidRPr="00FD63AB">
        <w:rPr>
          <w:rFonts w:cs="Tahoma"/>
          <w:szCs w:val="20"/>
        </w:rPr>
        <w:t>Pro úspěšné zpracování studie je nezbytná trvalá součinnost všech zúčastněných zpracovatelů, postup prací je charakterizován následujícím schématem:</w:t>
      </w:r>
    </w:p>
    <w:p w:rsidR="003A4ED1" w:rsidRPr="00FD63AB" w:rsidRDefault="004E4D1F" w:rsidP="003A4ED1">
      <w:pPr>
        <w:rPr>
          <w:rFonts w:cs="Tahoma"/>
          <w:szCs w:val="20"/>
        </w:rPr>
      </w:pPr>
      <w:r>
        <w:rPr>
          <w:noProof/>
          <w:lang w:eastAsia="cs-CZ"/>
        </w:rPr>
        <w:lastRenderedPageBreak/>
        <w:drawing>
          <wp:inline distT="0" distB="0" distL="0" distR="0" wp14:anchorId="3135AE83" wp14:editId="737496E7">
            <wp:extent cx="5193030" cy="3855720"/>
            <wp:effectExtent l="0" t="0" r="0" b="0"/>
            <wp:docPr id="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3" cstate="print">
                      <a:extLst>
                        <a:ext uri="{28A0092B-C50C-407E-A947-70E740481C1C}">
                          <a14:useLocalDpi xmlns:a14="http://schemas.microsoft.com/office/drawing/2010/main" val="0"/>
                        </a:ext>
                      </a:extLst>
                    </a:blip>
                    <a:srcRect l="29527" t="17265" r="23108" b="26859"/>
                    <a:stretch>
                      <a:fillRect/>
                    </a:stretch>
                  </pic:blipFill>
                  <pic:spPr bwMode="auto">
                    <a:xfrm>
                      <a:off x="0" y="0"/>
                      <a:ext cx="5193030" cy="3855720"/>
                    </a:xfrm>
                    <a:prstGeom prst="rect">
                      <a:avLst/>
                    </a:prstGeom>
                    <a:noFill/>
                    <a:ln>
                      <a:noFill/>
                    </a:ln>
                  </pic:spPr>
                </pic:pic>
              </a:graphicData>
            </a:graphic>
          </wp:inline>
        </w:drawing>
      </w:r>
    </w:p>
    <w:p w:rsidR="003A4ED1" w:rsidRPr="00FD63AB" w:rsidRDefault="003A4ED1" w:rsidP="003A4ED1">
      <w:pPr>
        <w:rPr>
          <w:rFonts w:cs="Tahoma"/>
          <w:szCs w:val="20"/>
        </w:rPr>
      </w:pPr>
      <w:r w:rsidRPr="00FD63AB">
        <w:rPr>
          <w:rFonts w:cs="Tahoma"/>
          <w:szCs w:val="20"/>
        </w:rPr>
        <w:t>Zpracovatel vychází ze zadání studie a při zpracování se řídí relevantními předpisy, normami, směrnicemi, technickými specifikacemi pro interoperabilitu atd., v případě ekonomického hodnocení, které má u studií proveditelnosti zásadní význam, se řídí těmito dokumenty:</w:t>
      </w:r>
    </w:p>
    <w:p w:rsidR="00631EAB" w:rsidRDefault="003A4ED1" w:rsidP="00F5279A">
      <w:pPr>
        <w:pStyle w:val="Odstavecseseznamem"/>
        <w:numPr>
          <w:ilvl w:val="0"/>
          <w:numId w:val="37"/>
        </w:numPr>
        <w:suppressAutoHyphens w:val="0"/>
        <w:spacing w:before="0" w:after="200" w:line="276" w:lineRule="auto"/>
        <w:ind w:left="709"/>
        <w:contextualSpacing/>
        <w:rPr>
          <w:rFonts w:cs="Tahoma"/>
          <w:szCs w:val="20"/>
        </w:rPr>
      </w:pPr>
      <w:r w:rsidRPr="00FD63AB">
        <w:rPr>
          <w:rFonts w:cs="Tahoma"/>
          <w:szCs w:val="20"/>
        </w:rPr>
        <w:t xml:space="preserve">Aktualizace metodiky pro výpočet efektivnosti investic na SŽDC, s.o.; 2009 </w:t>
      </w:r>
      <w:r w:rsidRPr="00FD63AB">
        <w:rPr>
          <w:rFonts w:cs="Tahoma"/>
          <w:szCs w:val="20"/>
        </w:rPr>
        <w:br/>
        <w:t>- česká metodika ekonomického hodnocení</w:t>
      </w:r>
      <w:r w:rsidR="000918FC">
        <w:rPr>
          <w:rFonts w:cs="Tahoma"/>
          <w:szCs w:val="20"/>
        </w:rPr>
        <w:t>;</w:t>
      </w:r>
      <w:r w:rsidRPr="00FD63AB">
        <w:rPr>
          <w:rFonts w:cs="Tahoma"/>
          <w:szCs w:val="20"/>
        </w:rPr>
        <w:t xml:space="preserve"> </w:t>
      </w:r>
    </w:p>
    <w:p w:rsidR="00631EAB" w:rsidRDefault="003A4ED1" w:rsidP="00F5279A">
      <w:pPr>
        <w:pStyle w:val="Odstavecseseznamem"/>
        <w:numPr>
          <w:ilvl w:val="0"/>
          <w:numId w:val="37"/>
        </w:numPr>
        <w:suppressAutoHyphens w:val="0"/>
        <w:spacing w:before="0" w:after="200" w:line="276" w:lineRule="auto"/>
        <w:ind w:left="709"/>
        <w:contextualSpacing/>
        <w:rPr>
          <w:rFonts w:cs="Tahoma"/>
          <w:szCs w:val="20"/>
        </w:rPr>
      </w:pPr>
      <w:r w:rsidRPr="00FD63AB">
        <w:rPr>
          <w:rFonts w:cs="Tahoma"/>
          <w:szCs w:val="20"/>
        </w:rPr>
        <w:t xml:space="preserve">Guide to Cost-Benefit Analysis of Investment Projects (Structural Funds, Cohesion Fund and Instrument for Pre-Accession); 2008 </w:t>
      </w:r>
      <w:r w:rsidRPr="00FD63AB">
        <w:rPr>
          <w:rFonts w:cs="Tahoma"/>
          <w:szCs w:val="20"/>
        </w:rPr>
        <w:br/>
        <w:t xml:space="preserve">- evropská metodika ekonomického hodnocení </w:t>
      </w:r>
    </w:p>
    <w:p w:rsidR="00631EAB" w:rsidRDefault="003A4ED1" w:rsidP="00F5279A">
      <w:pPr>
        <w:pStyle w:val="Odstavecseseznamem"/>
        <w:numPr>
          <w:ilvl w:val="0"/>
          <w:numId w:val="37"/>
        </w:numPr>
        <w:suppressAutoHyphens w:val="0"/>
        <w:spacing w:before="0" w:after="200" w:line="276" w:lineRule="auto"/>
        <w:ind w:left="709"/>
        <w:contextualSpacing/>
        <w:rPr>
          <w:rFonts w:cs="Tahoma"/>
          <w:szCs w:val="20"/>
        </w:rPr>
      </w:pPr>
      <w:r w:rsidRPr="00FD63AB">
        <w:rPr>
          <w:rFonts w:cs="Tahoma"/>
          <w:szCs w:val="20"/>
        </w:rPr>
        <w:t xml:space="preserve">HEATCO - Developing Harmonized European Approaches for Transport Costing and Project Assessment; 2004 - 2006 </w:t>
      </w:r>
      <w:r w:rsidRPr="00FD63AB">
        <w:rPr>
          <w:rFonts w:cs="Tahoma"/>
          <w:szCs w:val="20"/>
        </w:rPr>
        <w:br/>
        <w:t>- způsob finančního vyjádření jednotlivých vstupů do ekonomického hodnocení.</w:t>
      </w:r>
    </w:p>
    <w:p w:rsidR="003A4ED1" w:rsidRPr="00FD63AB" w:rsidRDefault="003A4ED1" w:rsidP="003A4ED1">
      <w:pPr>
        <w:rPr>
          <w:rFonts w:cs="Tahoma"/>
          <w:szCs w:val="20"/>
        </w:rPr>
      </w:pPr>
    </w:p>
    <w:p w:rsidR="003A4ED1" w:rsidRPr="00FD63AB" w:rsidRDefault="003A4ED1" w:rsidP="003A4ED1">
      <w:pPr>
        <w:pStyle w:val="Nadpis2"/>
        <w:keepLines/>
        <w:tabs>
          <w:tab w:val="clear" w:pos="576"/>
          <w:tab w:val="clear" w:pos="902"/>
        </w:tabs>
        <w:suppressAutoHyphens w:val="0"/>
        <w:spacing w:before="200" w:after="0" w:line="276" w:lineRule="auto"/>
      </w:pPr>
      <w:bookmarkStart w:id="10" w:name="_Toc390958686"/>
      <w:r w:rsidRPr="00FD63AB">
        <w:t>Napojení na síť městské hromadné dopravy, vliv projektu</w:t>
      </w:r>
      <w:bookmarkEnd w:id="10"/>
      <w:r w:rsidRPr="00FD63AB">
        <w:t xml:space="preserve"> </w:t>
      </w:r>
    </w:p>
    <w:p w:rsidR="003A4ED1" w:rsidRPr="00FD63AB" w:rsidRDefault="003A4ED1" w:rsidP="003A4ED1">
      <w:pPr>
        <w:rPr>
          <w:rFonts w:cs="Tahoma"/>
          <w:szCs w:val="20"/>
        </w:rPr>
      </w:pPr>
      <w:r w:rsidRPr="00FD63AB">
        <w:rPr>
          <w:rFonts w:cs="Tahoma"/>
          <w:szCs w:val="20"/>
        </w:rPr>
        <w:t xml:space="preserve">Podrobný popis současného stavu v oblasti hromadné dopravy osob je uveden v kapitole </w:t>
      </w:r>
      <w:r w:rsidR="00B52A13">
        <w:fldChar w:fldCharType="begin"/>
      </w:r>
      <w:r w:rsidR="00B52A13">
        <w:instrText xml:space="preserve"> REF _Ref346634939 \r \h  \* MERGEFORMAT </w:instrText>
      </w:r>
      <w:r w:rsidR="00B52A13">
        <w:fldChar w:fldCharType="separate"/>
      </w:r>
      <w:r w:rsidR="003843F3" w:rsidRPr="003843F3">
        <w:rPr>
          <w:rFonts w:cs="Tahoma"/>
          <w:szCs w:val="20"/>
        </w:rPr>
        <w:t>5.1.3</w:t>
      </w:r>
      <w:r w:rsidR="00B52A13">
        <w:fldChar w:fldCharType="end"/>
      </w:r>
      <w:r w:rsidRPr="00FD63AB">
        <w:rPr>
          <w:rFonts w:cs="Tahoma"/>
          <w:szCs w:val="20"/>
        </w:rPr>
        <w:t xml:space="preserve">. Jak Pardubice, tak Hradec Králové mají rozsáhlou síť městských autobusových a trolejbusových linek. Městskou dopravu organizují Dopravní podnik města Pardubic a.s. a Dopravní podnik města Hradce Králové a.s. v úzké spolupráci s regionálním koordinátorem veřejné dopravy společností OREDO. </w:t>
      </w:r>
    </w:p>
    <w:p w:rsidR="003A4ED1" w:rsidRPr="00FD63AB" w:rsidRDefault="003A4ED1" w:rsidP="003A4ED1">
      <w:pPr>
        <w:rPr>
          <w:rFonts w:cs="Tahoma"/>
          <w:szCs w:val="20"/>
        </w:rPr>
      </w:pPr>
      <w:r w:rsidRPr="00FD63AB">
        <w:rPr>
          <w:rFonts w:cs="Tahoma"/>
          <w:szCs w:val="20"/>
        </w:rPr>
        <w:t xml:space="preserve">V Hradci Králové je možnost přestupu na městské autobusové a trolejbusové linky rovněž přímo před hlavním vchodem do nádražní haly, celý přednádražní prostor byl navíc před několika lety rekonstruován a působí pěkným dojmem. Vybaven je mimo jiné moderním informačním systémem, který cestujícím dává informace o časech odjezdů jednotlivých linek. Autobusové nádraží je vzdáleno asi </w:t>
      </w:r>
      <w:smartTag w:uri="urn:schemas-microsoft-com:office:smarttags" w:element="metricconverter">
        <w:smartTagPr>
          <w:attr w:name="ProductID" w:val="300 metrů"/>
        </w:smartTagPr>
        <w:r w:rsidRPr="00FD63AB">
          <w:rPr>
            <w:rFonts w:cs="Tahoma"/>
            <w:szCs w:val="20"/>
          </w:rPr>
          <w:t>300 metrů</w:t>
        </w:r>
      </w:smartTag>
      <w:r w:rsidRPr="00FD63AB">
        <w:rPr>
          <w:rFonts w:cs="Tahoma"/>
          <w:szCs w:val="20"/>
        </w:rPr>
        <w:t xml:space="preserve"> od nádražní haly, bylo dáno do provozu v roce </w:t>
      </w:r>
      <w:smartTag w:uri="urn:schemas-microsoft-com:office:smarttags" w:element="metricconverter">
        <w:smartTagPr>
          <w:attr w:name="ProductID" w:val="2008 a"/>
        </w:smartTagPr>
        <w:r w:rsidRPr="00FD63AB">
          <w:rPr>
            <w:rFonts w:cs="Tahoma"/>
            <w:szCs w:val="20"/>
          </w:rPr>
          <w:t>2008 a</w:t>
        </w:r>
      </w:smartTag>
      <w:r w:rsidRPr="00FD63AB">
        <w:rPr>
          <w:rFonts w:cs="Tahoma"/>
          <w:szCs w:val="20"/>
        </w:rPr>
        <w:t xml:space="preserve"> je výrazně architektonicky řešené.</w:t>
      </w:r>
    </w:p>
    <w:p w:rsidR="00B76D28" w:rsidRPr="00B76D28" w:rsidRDefault="003A4ED1" w:rsidP="003A4ED1">
      <w:pPr>
        <w:rPr>
          <w:rFonts w:cs="Tahoma"/>
          <w:szCs w:val="20"/>
        </w:rPr>
      </w:pPr>
      <w:r w:rsidRPr="00FD63AB">
        <w:rPr>
          <w:rFonts w:cs="Tahoma"/>
          <w:szCs w:val="20"/>
        </w:rPr>
        <w:t xml:space="preserve">V Pardubicích jsou zastávky autobusů a trolejbusů přímo před hlavním vchodem do nádražní haly. Autobusové nádraží pro regionální a dálkové linky je vzdáleno asi </w:t>
      </w:r>
      <w:smartTag w:uri="urn:schemas-microsoft-com:office:smarttags" w:element="metricconverter">
        <w:smartTagPr>
          <w:attr w:name="ProductID" w:val="400 metrů"/>
        </w:smartTagPr>
        <w:r w:rsidRPr="00FD63AB">
          <w:rPr>
            <w:rFonts w:cs="Tahoma"/>
            <w:szCs w:val="20"/>
          </w:rPr>
          <w:t>400 metrů</w:t>
        </w:r>
      </w:smartTag>
      <w:r w:rsidRPr="00FD63AB">
        <w:rPr>
          <w:rFonts w:cs="Tahoma"/>
          <w:szCs w:val="20"/>
        </w:rPr>
        <w:t xml:space="preserve">. Skutečností však je, že současný stav, i když vcelku vyhovující, je desítky let starý a magistrát města si je toho vědom. </w:t>
      </w:r>
      <w:r w:rsidR="00264C5C" w:rsidRPr="00B76D28">
        <w:rPr>
          <w:rFonts w:cs="Tahoma"/>
          <w:szCs w:val="20"/>
        </w:rPr>
        <w:t>Byl</w:t>
      </w:r>
      <w:r w:rsidRPr="00B76D28">
        <w:rPr>
          <w:rFonts w:cs="Tahoma"/>
          <w:szCs w:val="20"/>
        </w:rPr>
        <w:t xml:space="preserve"> připravený projekt „Multimodální uzel Pardubice přednádraží“,</w:t>
      </w:r>
      <w:r w:rsidR="00264C5C" w:rsidRPr="00B76D28">
        <w:rPr>
          <w:rFonts w:cs="Tahoma"/>
          <w:szCs w:val="20"/>
        </w:rPr>
        <w:t xml:space="preserve"> </w:t>
      </w:r>
      <w:r w:rsidR="00873466">
        <w:rPr>
          <w:rFonts w:cs="Tahoma"/>
          <w:szCs w:val="20"/>
        </w:rPr>
        <w:t>jeho realizace se v dohledné době prozatím nepředpokládá</w:t>
      </w:r>
      <w:r w:rsidR="00264C5C" w:rsidRPr="00B76D28">
        <w:rPr>
          <w:rFonts w:cs="Tahoma"/>
          <w:szCs w:val="20"/>
        </w:rPr>
        <w:t xml:space="preserve">. </w:t>
      </w:r>
      <w:r w:rsidR="00B76D28" w:rsidRPr="00B76D28">
        <w:rPr>
          <w:rFonts w:cs="Tahoma"/>
          <w:szCs w:val="20"/>
        </w:rPr>
        <w:t>V současné době se vyhodnocují</w:t>
      </w:r>
      <w:r w:rsidR="00264C5C" w:rsidRPr="00B76D28">
        <w:rPr>
          <w:rFonts w:cs="Tahoma"/>
          <w:szCs w:val="20"/>
        </w:rPr>
        <w:t xml:space="preserve"> další architektonické studie</w:t>
      </w:r>
      <w:r w:rsidR="00E01AD3" w:rsidRPr="00B76D28">
        <w:rPr>
          <w:rFonts w:cs="Tahoma"/>
          <w:szCs w:val="20"/>
        </w:rPr>
        <w:t>,</w:t>
      </w:r>
      <w:r w:rsidR="00264C5C" w:rsidRPr="00B76D28">
        <w:rPr>
          <w:rFonts w:cs="Tahoma"/>
          <w:szCs w:val="20"/>
        </w:rPr>
        <w:t xml:space="preserve"> na jejichž základě rozhodne magistrát města o dalším postupu. </w:t>
      </w:r>
    </w:p>
    <w:p w:rsidR="003A4ED1" w:rsidRPr="00FD63AB" w:rsidRDefault="003A4ED1" w:rsidP="003A4ED1">
      <w:pPr>
        <w:rPr>
          <w:rFonts w:cs="Tahoma"/>
          <w:szCs w:val="20"/>
        </w:rPr>
      </w:pPr>
      <w:r w:rsidRPr="00873466">
        <w:rPr>
          <w:rFonts w:cs="Tahoma"/>
          <w:szCs w:val="20"/>
        </w:rPr>
        <w:t>Vizualizace přednádražního prostoru</w:t>
      </w:r>
      <w:r w:rsidR="00264C5C" w:rsidRPr="00873466">
        <w:rPr>
          <w:rFonts w:cs="Tahoma"/>
          <w:szCs w:val="20"/>
        </w:rPr>
        <w:t xml:space="preserve"> z původního projektu</w:t>
      </w:r>
      <w:r w:rsidRPr="00873466">
        <w:rPr>
          <w:rFonts w:cs="Tahoma"/>
          <w:szCs w:val="20"/>
        </w:rPr>
        <w:t xml:space="preserve"> je na přiloženém obrázku.</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873466" w:rsidRPr="00DE106B" w:rsidTr="00873466">
        <w:tc>
          <w:tcPr>
            <w:tcW w:w="9356" w:type="dxa"/>
          </w:tcPr>
          <w:p w:rsidR="00873466" w:rsidRPr="00714409" w:rsidRDefault="00873466" w:rsidP="00873466">
            <w:pPr>
              <w:pStyle w:val="Titulek"/>
            </w:pPr>
            <w:bookmarkStart w:id="11" w:name="_Toc390958805"/>
            <w:r w:rsidRPr="00F14B7A">
              <w:t xml:space="preserve">Obr. </w:t>
            </w:r>
            <w:r w:rsidRPr="00F5279A">
              <w:fldChar w:fldCharType="begin"/>
            </w:r>
            <w:r w:rsidRPr="00F14B7A">
              <w:instrText xml:space="preserve"> STYLEREF 1 \s </w:instrText>
            </w:r>
            <w:r w:rsidRPr="00F5279A">
              <w:fldChar w:fldCharType="separate"/>
            </w:r>
            <w:r w:rsidR="003843F3">
              <w:rPr>
                <w:noProof/>
              </w:rPr>
              <w:t>1</w:t>
            </w:r>
            <w:r w:rsidRPr="00F5279A">
              <w:fldChar w:fldCharType="end"/>
            </w:r>
            <w:r w:rsidRPr="00F14B7A">
              <w:noBreakHyphen/>
            </w:r>
            <w:r w:rsidRPr="00F5279A">
              <w:fldChar w:fldCharType="begin"/>
            </w:r>
            <w:r w:rsidRPr="00F14B7A">
              <w:instrText xml:space="preserve"> SEQ Obr. \* ARABIC \s 1 </w:instrText>
            </w:r>
            <w:r w:rsidRPr="00F5279A">
              <w:fldChar w:fldCharType="separate"/>
            </w:r>
            <w:r w:rsidR="003843F3">
              <w:rPr>
                <w:noProof/>
              </w:rPr>
              <w:t>1</w:t>
            </w:r>
            <w:r w:rsidRPr="00F5279A">
              <w:fldChar w:fldCharType="end"/>
            </w:r>
            <w:r w:rsidRPr="00F14B7A">
              <w:t>:</w:t>
            </w:r>
            <w:r w:rsidRPr="00543934">
              <w:t xml:space="preserve"> </w:t>
            </w:r>
            <w:r>
              <w:t>Možné řešení přednádražního prostoru - vizualizace</w:t>
            </w:r>
            <w:bookmarkEnd w:id="11"/>
          </w:p>
        </w:tc>
      </w:tr>
      <w:tr w:rsidR="00873466" w:rsidTr="00873466">
        <w:tc>
          <w:tcPr>
            <w:tcW w:w="9356" w:type="dxa"/>
          </w:tcPr>
          <w:p w:rsidR="00873466" w:rsidRDefault="00873466" w:rsidP="00873466">
            <w:pPr>
              <w:spacing w:before="120" w:after="100" w:afterAutospacing="1" w:line="240" w:lineRule="auto"/>
              <w:jc w:val="center"/>
              <w:rPr>
                <w:rFonts w:cs="Tahoma"/>
                <w:i/>
                <w:sz w:val="16"/>
                <w:szCs w:val="20"/>
              </w:rPr>
            </w:pPr>
            <w:r>
              <w:rPr>
                <w:noProof/>
                <w:lang w:eastAsia="cs-CZ"/>
              </w:rPr>
              <w:drawing>
                <wp:inline distT="0" distB="0" distL="0" distR="0" wp14:anchorId="5ACE086A" wp14:editId="2D25A4F3">
                  <wp:extent cx="4604400" cy="3258000"/>
                  <wp:effectExtent l="0" t="0" r="0" b="0"/>
                  <wp:docPr id="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04400" cy="3258000"/>
                          </a:xfrm>
                          <a:prstGeom prst="rect">
                            <a:avLst/>
                          </a:prstGeom>
                          <a:noFill/>
                          <a:ln>
                            <a:noFill/>
                          </a:ln>
                        </pic:spPr>
                      </pic:pic>
                    </a:graphicData>
                  </a:graphic>
                </wp:inline>
              </w:drawing>
            </w:r>
          </w:p>
          <w:p w:rsidR="00873466" w:rsidRPr="00873466" w:rsidRDefault="00873466" w:rsidP="00873466">
            <w:pPr>
              <w:spacing w:before="100" w:beforeAutospacing="1" w:after="100" w:afterAutospacing="1"/>
              <w:jc w:val="left"/>
              <w:rPr>
                <w:i/>
              </w:rPr>
            </w:pPr>
            <w:r w:rsidRPr="00873466">
              <w:rPr>
                <w:rFonts w:cs="Tahoma"/>
                <w:i/>
                <w:sz w:val="16"/>
                <w:szCs w:val="20"/>
              </w:rPr>
              <w:t xml:space="preserve">zdroj: </w:t>
            </w:r>
            <w:hyperlink r:id="rId15" w:history="1">
              <w:r w:rsidRPr="00873466">
                <w:rPr>
                  <w:rStyle w:val="Hypertextovodkaz"/>
                  <w:rFonts w:cs="Tahoma"/>
                  <w:i/>
                  <w:color w:val="auto"/>
                  <w:sz w:val="16"/>
                  <w:szCs w:val="20"/>
                </w:rPr>
                <w:t>http://prednadrazi.pardubice.eu/index.html</w:t>
              </w:r>
            </w:hyperlink>
          </w:p>
        </w:tc>
      </w:tr>
    </w:tbl>
    <w:p w:rsidR="003A4ED1" w:rsidRPr="00FD63AB" w:rsidRDefault="003A4ED1" w:rsidP="003A4ED1">
      <w:pPr>
        <w:rPr>
          <w:rFonts w:cs="Tahoma"/>
          <w:szCs w:val="20"/>
        </w:rPr>
      </w:pPr>
      <w:r w:rsidRPr="00FD63AB">
        <w:rPr>
          <w:rFonts w:cs="Tahoma"/>
          <w:szCs w:val="20"/>
        </w:rPr>
        <w:t xml:space="preserve">Po realizaci tohoto záměru budou mít obě krajská města nejenom plně funkční, ale i dostatečně reprezentativní návaznost mezi železniční a městskou dopravou.  </w:t>
      </w:r>
    </w:p>
    <w:p w:rsidR="003A4ED1" w:rsidRPr="00FD63AB" w:rsidRDefault="003A4ED1" w:rsidP="003A4ED1">
      <w:pPr>
        <w:rPr>
          <w:rFonts w:cs="Tahoma"/>
          <w:szCs w:val="20"/>
        </w:rPr>
      </w:pPr>
      <w:r w:rsidRPr="00FD63AB">
        <w:rPr>
          <w:rFonts w:cs="Tahoma"/>
          <w:szCs w:val="20"/>
        </w:rPr>
        <w:t xml:space="preserve">Z mezilehlých železničních stanic stojí za zmínku Pardubice-Rosice nad Labem, zde jsou přestupní možnosti méně uspokojivé, od vlaku k autobusovým zastávkám na ulici Generála Svobody je to cca 0,5 km. Prostorové možnosti jsou zde stísněné (blízkost hlavní silnice I/37), nicméně existuje záměr na zřízení zastávek autobusu přímo u nádraží. </w:t>
      </w:r>
    </w:p>
    <w:p w:rsidR="003A4ED1" w:rsidRPr="00FD63AB" w:rsidRDefault="003A4ED1" w:rsidP="003A4ED1">
      <w:pPr>
        <w:rPr>
          <w:rFonts w:cs="Tahoma"/>
          <w:szCs w:val="20"/>
        </w:rPr>
      </w:pPr>
      <w:r w:rsidRPr="00FD63AB">
        <w:rPr>
          <w:rFonts w:cs="Tahoma"/>
          <w:szCs w:val="20"/>
        </w:rPr>
        <w:t>Realizace samotného projektu však nemá za následek zlepšení přestupních vazeb na ostatní prostředky hromadné dopravy, cíle projekt</w:t>
      </w:r>
      <w:r w:rsidR="00E01AD3">
        <w:rPr>
          <w:rFonts w:cs="Tahoma"/>
          <w:szCs w:val="20"/>
        </w:rPr>
        <w:t>u se ubírají jinými směry.</w:t>
      </w:r>
    </w:p>
    <w:p w:rsidR="003A4ED1" w:rsidRPr="00FD63AB" w:rsidRDefault="003A4ED1" w:rsidP="003A4ED1">
      <w:pPr>
        <w:pStyle w:val="Nadpis2"/>
        <w:keepLines/>
        <w:tabs>
          <w:tab w:val="clear" w:pos="576"/>
          <w:tab w:val="clear" w:pos="902"/>
        </w:tabs>
        <w:suppressAutoHyphens w:val="0"/>
        <w:spacing w:before="200" w:after="0" w:line="276" w:lineRule="auto"/>
        <w:rPr>
          <w:rFonts w:cs="Tahoma"/>
          <w:szCs w:val="20"/>
        </w:rPr>
      </w:pPr>
      <w:bookmarkStart w:id="12" w:name="_Toc390958687"/>
      <w:r w:rsidRPr="00FD63AB">
        <w:t>Hlavní vnější rizika a možné dopady na dosažení cílů stavby</w:t>
      </w:r>
      <w:bookmarkEnd w:id="12"/>
    </w:p>
    <w:p w:rsidR="00FD63AB" w:rsidRPr="00FD63AB" w:rsidRDefault="00FD63AB" w:rsidP="00FD63AB">
      <w:r w:rsidRPr="00FD63AB">
        <w:rPr>
          <w:rFonts w:cs="Tahoma"/>
          <w:szCs w:val="20"/>
        </w:rPr>
        <w:t>Kromě toho, že zdvoukolejnění úseku Pardubice hlavní nádr. – Pardubice-Rosice nad Lab. je podmíněno modernizací vlastní žst Pardubice hlavní nádr., není posuzovaná stavba zásadně vázána na jiné stavby a může dobře fungovat i sama o sobě. To lze považovat za výhodu. Případná rizika pro její realizaci nejsou větší než rizika pro stavby srovnatelného rozsahu.</w:t>
      </w:r>
    </w:p>
    <w:p w:rsidR="00BC78DA" w:rsidRDefault="00BC78DA" w:rsidP="00880451"/>
    <w:p w:rsidR="00880451" w:rsidRDefault="00880451" w:rsidP="00880451">
      <w:pPr>
        <w:sectPr w:rsidR="00880451" w:rsidSect="009C7F1C">
          <w:headerReference w:type="default" r:id="rId16"/>
          <w:footerReference w:type="default" r:id="rId17"/>
          <w:footnotePr>
            <w:pos w:val="beneathText"/>
          </w:footnotePr>
          <w:type w:val="continuous"/>
          <w:pgSz w:w="11905" w:h="16837" w:code="9"/>
          <w:pgMar w:top="1492" w:right="1134" w:bottom="1134" w:left="1418" w:header="709" w:footer="343" w:gutter="0"/>
          <w:cols w:space="708"/>
          <w:docGrid w:linePitch="360"/>
        </w:sectPr>
      </w:pPr>
    </w:p>
    <w:p w:rsidR="00225B27" w:rsidRDefault="00E456AE">
      <w:pPr>
        <w:pStyle w:val="Nadpis1"/>
      </w:pPr>
      <w:bookmarkStart w:id="13" w:name="_Toc390958688"/>
      <w:r>
        <w:t xml:space="preserve">Projednání, </w:t>
      </w:r>
      <w:r w:rsidR="00225B27">
        <w:t>Shrnutí</w:t>
      </w:r>
      <w:bookmarkEnd w:id="13"/>
    </w:p>
    <w:p w:rsidR="00225B27" w:rsidRDefault="00225B27">
      <w:pPr>
        <w:pStyle w:val="Nadpis2"/>
      </w:pPr>
      <w:bookmarkStart w:id="14" w:name="_Toc390958689"/>
      <w:r>
        <w:t>P</w:t>
      </w:r>
      <w:r w:rsidR="00E456AE">
        <w:t xml:space="preserve">rojednání </w:t>
      </w:r>
      <w:r w:rsidR="00E351C8">
        <w:t>studie</w:t>
      </w:r>
      <w:bookmarkEnd w:id="14"/>
    </w:p>
    <w:p w:rsidR="00881B1D" w:rsidRDefault="003E7E86" w:rsidP="00881B1D">
      <w:r>
        <w:t>A</w:t>
      </w:r>
      <w:r w:rsidR="00327368">
        <w:t xml:space="preserve">ktualizace </w:t>
      </w:r>
      <w:r w:rsidR="00E23336">
        <w:t>studie vychází z podrobně projednávané stu</w:t>
      </w:r>
      <w:r w:rsidR="003D4517">
        <w:t>die „Moder</w:t>
      </w:r>
      <w:r w:rsidR="00705371">
        <w:t>n</w:t>
      </w:r>
      <w:r w:rsidR="003D4517">
        <w:t xml:space="preserve">izace trati Hradec Králové – Pardubice – Chrudim, Studie proveditelnosti Hradec Králové – Pardubice“ (verze </w:t>
      </w:r>
      <w:r w:rsidR="00705371">
        <w:t>1</w:t>
      </w:r>
      <w:r w:rsidR="003D4517">
        <w:t>0</w:t>
      </w:r>
      <w:r w:rsidR="00E01AD3">
        <w:t>/</w:t>
      </w:r>
      <w:r w:rsidR="003D4517">
        <w:t xml:space="preserve">2013), upravují se pouze ty části, které jsou ovlivněny </w:t>
      </w:r>
      <w:r>
        <w:t>novým</w:t>
      </w:r>
      <w:r w:rsidR="003D4517">
        <w:t xml:space="preserve"> zadáním.</w:t>
      </w:r>
      <w:r>
        <w:t xml:space="preserve"> Původní studie byla projednána se všemi  relevantními zástupci včetně </w:t>
      </w:r>
      <w:r w:rsidR="007D29CB" w:rsidRPr="003E7E86">
        <w:t>poradenské spole</w:t>
      </w:r>
      <w:r w:rsidR="007D29CB" w:rsidRPr="003E7E86">
        <w:rPr>
          <w:rFonts w:hint="eastAsia"/>
        </w:rPr>
        <w:t>č</w:t>
      </w:r>
      <w:r w:rsidR="007D29CB" w:rsidRPr="003E7E86">
        <w:t>nosti JASPERS</w:t>
      </w:r>
      <w:r>
        <w:t>.</w:t>
      </w:r>
      <w:r w:rsidR="007D29CB">
        <w:t xml:space="preserve"> </w:t>
      </w:r>
      <w:r>
        <w:t xml:space="preserve">Tato aktualizace (resp. její zadání) pak </w:t>
      </w:r>
      <w:r w:rsidRPr="003E7E86">
        <w:t>b</w:t>
      </w:r>
      <w:r w:rsidR="007D29CB" w:rsidRPr="003E7E86">
        <w:t>yla projednána se zástupci zadavatele</w:t>
      </w:r>
      <w:r w:rsidRPr="003E7E86">
        <w:t xml:space="preserve"> a</w:t>
      </w:r>
      <w:r w:rsidR="007D29CB" w:rsidRPr="003E7E86">
        <w:t xml:space="preserve"> p</w:t>
      </w:r>
      <w:r w:rsidR="007D29CB" w:rsidRPr="003E7E86">
        <w:rPr>
          <w:rFonts w:hint="eastAsia"/>
        </w:rPr>
        <w:t>ř</w:t>
      </w:r>
      <w:r w:rsidR="007D29CB" w:rsidRPr="003E7E86">
        <w:t>ipomínky byly zapracovány.</w:t>
      </w:r>
    </w:p>
    <w:p w:rsidR="00225B27" w:rsidRDefault="00225B27">
      <w:pPr>
        <w:pStyle w:val="Nadpis2"/>
      </w:pPr>
      <w:bookmarkStart w:id="15" w:name="_Toc390958690"/>
      <w:r>
        <w:t>Hlavní výsledky studie</w:t>
      </w:r>
      <w:bookmarkEnd w:id="15"/>
    </w:p>
    <w:p w:rsidR="00881B1D" w:rsidRDefault="00225B27" w:rsidP="00D13FB3">
      <w:pPr>
        <w:pStyle w:val="Nadpis3"/>
        <w:ind w:hanging="8234"/>
      </w:pPr>
      <w:r>
        <w:t>Technické řešení</w:t>
      </w:r>
    </w:p>
    <w:p w:rsidR="00F7739F" w:rsidRDefault="00F7739F" w:rsidP="00F7739F">
      <w:r>
        <w:t xml:space="preserve">V rámci této </w:t>
      </w:r>
      <w:r w:rsidR="00420B49">
        <w:t xml:space="preserve">aktualizace </w:t>
      </w:r>
      <w:r>
        <w:t xml:space="preserve">studie byly prostřednictvím zadání </w:t>
      </w:r>
      <w:r w:rsidR="003D4517">
        <w:t>stanoveny</w:t>
      </w:r>
      <w:r>
        <w:t xml:space="preserve"> </w:t>
      </w:r>
      <w:r w:rsidR="00BA21F7">
        <w:t>dvě</w:t>
      </w:r>
      <w:r w:rsidR="00BA21F7" w:rsidRPr="00BA21F7">
        <w:t xml:space="preserve"> </w:t>
      </w:r>
      <w:r w:rsidRPr="00BA21F7">
        <w:t>projektové</w:t>
      </w:r>
      <w:r>
        <w:t xml:space="preserve"> varianty modernizace železničního spojení Hradec Králové – Pardubice</w:t>
      </w:r>
      <w:r w:rsidR="00BA21F7">
        <w:t>, varianty minimální a maximální</w:t>
      </w:r>
      <w:r>
        <w:t>.</w:t>
      </w:r>
      <w:r w:rsidR="001C7D96">
        <w:t xml:space="preserve"> </w:t>
      </w:r>
      <w:r w:rsidR="00BA21F7">
        <w:t>Zároveň je navržena etapa varianty maximální (dále jen „Etapa“). Návrh technického řešení vychází z</w:t>
      </w:r>
      <w:r w:rsidR="007476C8">
        <w:t xml:space="preserve"> již dříve zpracovávaných a projednávaných projektových dokumentací různých stupňů. Níže následuje </w:t>
      </w:r>
      <w:r w:rsidR="00D528CA">
        <w:t xml:space="preserve">popis, </w:t>
      </w:r>
      <w:r w:rsidR="007476C8">
        <w:t xml:space="preserve">celkový </w:t>
      </w:r>
      <w:r w:rsidR="00D528CA">
        <w:t xml:space="preserve">tabulkový </w:t>
      </w:r>
      <w:r w:rsidR="007476C8">
        <w:t>přehled uvažovaných variant</w:t>
      </w:r>
      <w:r w:rsidR="00BA21F7">
        <w:t xml:space="preserve"> a Etapy</w:t>
      </w:r>
      <w:r w:rsidR="007476C8">
        <w:t xml:space="preserve"> </w:t>
      </w:r>
      <w:r w:rsidR="00FD70B4">
        <w:t xml:space="preserve">včetně podrobného tabulkového </w:t>
      </w:r>
      <w:r w:rsidR="007476C8">
        <w:t>přehled</w:t>
      </w:r>
      <w:r w:rsidR="00FD70B4">
        <w:t>u</w:t>
      </w:r>
      <w:r w:rsidR="007476C8">
        <w:t xml:space="preserve"> investičních ná</w:t>
      </w:r>
      <w:r w:rsidR="00C407D3">
        <w:t>kladů (případně nákladů na údržbu a opravy) pro dílčí traťové úseky</w:t>
      </w:r>
      <w:r w:rsidR="007476C8">
        <w:t>.</w:t>
      </w:r>
    </w:p>
    <w:p w:rsidR="00631EAB" w:rsidRDefault="00F7739F" w:rsidP="00D20948">
      <w:pPr>
        <w:numPr>
          <w:ilvl w:val="0"/>
          <w:numId w:val="11"/>
        </w:numPr>
        <w:rPr>
          <w:b/>
        </w:rPr>
      </w:pPr>
      <w:r w:rsidRPr="007A6B88">
        <w:rPr>
          <w:b/>
        </w:rPr>
        <w:t>Varianta bez projektu</w:t>
      </w:r>
    </w:p>
    <w:p w:rsidR="00F7739F" w:rsidRPr="007A6B88" w:rsidRDefault="00F7739F" w:rsidP="00F7739F">
      <w:pPr>
        <w:ind w:left="720"/>
      </w:pPr>
      <w:r>
        <w:t>Tato varianta nepředpo</w:t>
      </w:r>
      <w:r w:rsidR="00C34F09">
        <w:t>kládá žádné investice v režimu IN</w:t>
      </w:r>
      <w:r>
        <w:t xml:space="preserve">, </w:t>
      </w:r>
      <w:r w:rsidR="00C34F09">
        <w:t>naopak předpokládá režim</w:t>
      </w:r>
      <w:r w:rsidR="00724CC8">
        <w:t xml:space="preserve"> vkládání finančních prostředků</w:t>
      </w:r>
      <w:r w:rsidR="00C34F09">
        <w:t xml:space="preserve"> nutných pro zajištění</w:t>
      </w:r>
      <w:r>
        <w:t xml:space="preserve"> provozuschopnosti </w:t>
      </w:r>
      <w:r w:rsidR="00C34F09">
        <w:t xml:space="preserve">(údržba, opravy) </w:t>
      </w:r>
      <w:r>
        <w:t>v rámci infrastruktury, jejíž</w:t>
      </w:r>
      <w:r w:rsidR="00C34F09">
        <w:t xml:space="preserve"> </w:t>
      </w:r>
      <w:r w:rsidR="00724CC8">
        <w:t xml:space="preserve">rozsah a </w:t>
      </w:r>
      <w:r w:rsidR="00C34F09">
        <w:t xml:space="preserve">parametry </w:t>
      </w:r>
      <w:r w:rsidR="00724CC8">
        <w:t>odpovídají</w:t>
      </w:r>
      <w:r>
        <w:t xml:space="preserve"> stávajícímu stavu.</w:t>
      </w:r>
    </w:p>
    <w:p w:rsidR="00631EAB" w:rsidRDefault="00F7739F" w:rsidP="00D20948">
      <w:pPr>
        <w:numPr>
          <w:ilvl w:val="0"/>
          <w:numId w:val="11"/>
        </w:numPr>
        <w:rPr>
          <w:b/>
        </w:rPr>
      </w:pPr>
      <w:bookmarkStart w:id="16" w:name="_Ref386564186"/>
      <w:r>
        <w:rPr>
          <w:b/>
        </w:rPr>
        <w:t xml:space="preserve">Varianta </w:t>
      </w:r>
      <w:r w:rsidR="00724CC8">
        <w:rPr>
          <w:b/>
        </w:rPr>
        <w:t>projektová M</w:t>
      </w:r>
      <w:r>
        <w:rPr>
          <w:b/>
        </w:rPr>
        <w:t>inimální</w:t>
      </w:r>
      <w:bookmarkEnd w:id="16"/>
    </w:p>
    <w:p w:rsidR="00F7739F" w:rsidRPr="00297C00" w:rsidRDefault="00F7739F" w:rsidP="00F7739F">
      <w:pPr>
        <w:ind w:left="720"/>
      </w:pPr>
      <w:r>
        <w:t>Minimální projektová varianta již předpokládá investice do nových částí infrastruktury za účelem alespoň částečného zlepšení stávajícího stavu</w:t>
      </w:r>
      <w:r w:rsidR="007476C8">
        <w:t xml:space="preserve"> (především z hlediska bezpečnosti a komfortu cestujících)</w:t>
      </w:r>
      <w:r w:rsidR="008C77E7">
        <w:t>,</w:t>
      </w:r>
      <w:r>
        <w:t xml:space="preserve"> a</w:t>
      </w:r>
      <w:r w:rsidR="008C77E7">
        <w:t xml:space="preserve"> to</w:t>
      </w:r>
      <w:r>
        <w:t xml:space="preserve"> při minimálních nákladech. </w:t>
      </w:r>
      <w:r w:rsidR="007476C8">
        <w:t>Tato varianta spočívá v uvedení traťových úseků do tzv. normového stavu</w:t>
      </w:r>
      <w:r w:rsidR="00450DD4">
        <w:t xml:space="preserve"> (především z hlediska parametrů nástupišť a přístupů k nim</w:t>
      </w:r>
      <w:r w:rsidR="000770BB">
        <w:t xml:space="preserve">, </w:t>
      </w:r>
      <w:r w:rsidR="00450DD4">
        <w:t>třídy zatížení, prostorové průchodnosti)</w:t>
      </w:r>
      <w:r w:rsidR="004D2EA7">
        <w:t>. V</w:t>
      </w:r>
      <w:r w:rsidR="000770BB">
        <w:t> celém úseku zůstává trať jednokolejná</w:t>
      </w:r>
      <w:r w:rsidR="00450DD4">
        <w:t xml:space="preserve"> (a přirozeně i elektrizovaná 3kV stejnosměrnou napěťovou soustavou), dokompletováno je v celé délce </w:t>
      </w:r>
      <w:r w:rsidR="004D2EA7">
        <w:t xml:space="preserve">traťové </w:t>
      </w:r>
      <w:r w:rsidR="00450DD4">
        <w:t>zabezpečení</w:t>
      </w:r>
      <w:r w:rsidR="004D2EA7">
        <w:t xml:space="preserve"> </w:t>
      </w:r>
      <w:r w:rsidR="00450DD4">
        <w:t>prostřednictvím automatického hradla</w:t>
      </w:r>
      <w:r w:rsidR="008C77E7">
        <w:t>,</w:t>
      </w:r>
      <w:r w:rsidR="00450DD4">
        <w:t xml:space="preserve"> </w:t>
      </w:r>
      <w:r w:rsidR="000770BB">
        <w:t xml:space="preserve">a </w:t>
      </w:r>
      <w:r w:rsidR="00450DD4">
        <w:t>jinak</w:t>
      </w:r>
      <w:r w:rsidR="000770BB">
        <w:t xml:space="preserve"> </w:t>
      </w:r>
      <w:r w:rsidR="00450DD4">
        <w:t xml:space="preserve">trať </w:t>
      </w:r>
      <w:r w:rsidR="000770BB">
        <w:t>odpovídá stávajícím rychlostním a kapacitním parametr</w:t>
      </w:r>
      <w:r w:rsidR="004D2EA7">
        <w:t>ům</w:t>
      </w:r>
      <w:r w:rsidR="007476C8">
        <w:t xml:space="preserve">. </w:t>
      </w:r>
      <w:r>
        <w:t xml:space="preserve">Součástí této varianty </w:t>
      </w:r>
      <w:r w:rsidR="000770BB">
        <w:t>ne</w:t>
      </w:r>
      <w:r>
        <w:t xml:space="preserve">jsou </w:t>
      </w:r>
      <w:r w:rsidR="000770BB">
        <w:t>žádná řešení staveb dle jiných již zpracovaných projektových dokumentací.</w:t>
      </w:r>
    </w:p>
    <w:p w:rsidR="00631EAB" w:rsidRDefault="00967E29" w:rsidP="00D20948">
      <w:pPr>
        <w:numPr>
          <w:ilvl w:val="0"/>
          <w:numId w:val="11"/>
        </w:numPr>
        <w:rPr>
          <w:b/>
        </w:rPr>
      </w:pPr>
      <w:r>
        <w:rPr>
          <w:b/>
        </w:rPr>
        <w:t xml:space="preserve">Varianta </w:t>
      </w:r>
      <w:r w:rsidR="00B353D5">
        <w:rPr>
          <w:b/>
        </w:rPr>
        <w:t>projektová</w:t>
      </w:r>
      <w:r>
        <w:rPr>
          <w:b/>
        </w:rPr>
        <w:t xml:space="preserve"> Maximální</w:t>
      </w:r>
    </w:p>
    <w:p w:rsidR="00F7739F" w:rsidRDefault="00B353D5" w:rsidP="00914769">
      <w:pPr>
        <w:ind w:left="720"/>
      </w:pPr>
      <w:r w:rsidRPr="00256C51">
        <w:t xml:space="preserve">Maximální projektová varianta </w:t>
      </w:r>
      <w:r w:rsidR="000B4236">
        <w:t>p</w:t>
      </w:r>
      <w:r w:rsidRPr="00256C51">
        <w:t>ředstavuje cílový stav železniční infrastruktury ve sledované oblasti</w:t>
      </w:r>
      <w:r w:rsidR="00256C51" w:rsidRPr="00256C51">
        <w:t xml:space="preserve">, čili kompletní zdvoukolejnění úseku Pardubice hl. n. – Hradec Králové hl. n., v celém úseku rychlost </w:t>
      </w:r>
      <w:smartTag w:uri="urn:schemas-microsoft-com:office:smarttags" w:element="metricconverter">
        <w:smartTagPr>
          <w:attr w:name="ProductID" w:val="160 km/h"/>
        </w:smartTagPr>
        <w:r w:rsidR="00256C51" w:rsidRPr="00256C51">
          <w:t>160 km/h</w:t>
        </w:r>
      </w:smartTag>
      <w:r w:rsidR="00256C51" w:rsidRPr="00256C51">
        <w:t xml:space="preserve"> a traťové zabezpečení prostřednictvím automatického bloku</w:t>
      </w:r>
      <w:r w:rsidRPr="00256C51">
        <w:t xml:space="preserve">. </w:t>
      </w:r>
      <w:r w:rsidR="000B4236" w:rsidRPr="00F5279A">
        <w:t>V této variant</w:t>
      </w:r>
      <w:r w:rsidR="000B4236" w:rsidRPr="00F5279A">
        <w:rPr>
          <w:rFonts w:hint="eastAsia"/>
        </w:rPr>
        <w:t>ě</w:t>
      </w:r>
      <w:r w:rsidR="000B4236" w:rsidRPr="00F5279A">
        <w:t xml:space="preserve"> se </w:t>
      </w:r>
      <w:r w:rsidR="00FE46D9" w:rsidRPr="00F5279A">
        <w:t xml:space="preserve">tedy </w:t>
      </w:r>
      <w:r w:rsidR="000B4236" w:rsidRPr="00F5279A">
        <w:t>po</w:t>
      </w:r>
      <w:r w:rsidR="000B4236" w:rsidRPr="00F5279A">
        <w:rPr>
          <w:rFonts w:hint="eastAsia"/>
        </w:rPr>
        <w:t>čí</w:t>
      </w:r>
      <w:r w:rsidR="000B4236" w:rsidRPr="00F5279A">
        <w:t>tá se zdvoukolejn</w:t>
      </w:r>
      <w:r w:rsidR="000B4236" w:rsidRPr="00F5279A">
        <w:rPr>
          <w:rFonts w:hint="eastAsia"/>
        </w:rPr>
        <w:t>ě</w:t>
      </w:r>
      <w:r w:rsidR="000B4236" w:rsidRPr="00F5279A">
        <w:t xml:space="preserve">ním </w:t>
      </w:r>
      <w:r w:rsidR="000B4236" w:rsidRPr="00F5279A">
        <w:rPr>
          <w:rFonts w:hint="eastAsia"/>
        </w:rPr>
        <w:t>ú</w:t>
      </w:r>
      <w:r w:rsidR="000B4236" w:rsidRPr="00F5279A">
        <w:t xml:space="preserve">seku Stéblová </w:t>
      </w:r>
      <w:r w:rsidR="000B4236" w:rsidRPr="00F5279A">
        <w:rPr>
          <w:rFonts w:hint="eastAsia"/>
        </w:rPr>
        <w:t>–</w:t>
      </w:r>
      <w:r w:rsidR="000B4236" w:rsidRPr="00F5279A">
        <w:t xml:space="preserve"> Opatovice nad Lab</w:t>
      </w:r>
      <w:r w:rsidR="00E644D7" w:rsidRPr="00F5279A">
        <w:t>., v</w:t>
      </w:r>
      <w:r w:rsidR="00E644D7" w:rsidRPr="00F5279A">
        <w:rPr>
          <w:rFonts w:hint="eastAsia"/>
        </w:rPr>
        <w:t>č</w:t>
      </w:r>
      <w:r w:rsidR="00E644D7" w:rsidRPr="00F5279A">
        <w:t>etn</w:t>
      </w:r>
      <w:r w:rsidR="00E644D7" w:rsidRPr="00F5279A">
        <w:rPr>
          <w:rFonts w:hint="eastAsia"/>
        </w:rPr>
        <w:t>ě</w:t>
      </w:r>
      <w:r w:rsidR="00E644D7" w:rsidRPr="00F5279A">
        <w:t xml:space="preserve"> stanice</w:t>
      </w:r>
      <w:r w:rsidR="000B4236" w:rsidRPr="00F5279A">
        <w:t xml:space="preserve"> Opatovice nad Labem a s využitím pla</w:t>
      </w:r>
      <w:r w:rsidR="000B4236" w:rsidRPr="00F5279A">
        <w:rPr>
          <w:rFonts w:hint="eastAsia"/>
        </w:rPr>
        <w:t>č</w:t>
      </w:r>
      <w:r w:rsidR="000B4236" w:rsidRPr="00F5279A">
        <w:t>ické koleje pokra</w:t>
      </w:r>
      <w:r w:rsidR="000B4236" w:rsidRPr="00F5279A">
        <w:rPr>
          <w:rFonts w:hint="eastAsia"/>
        </w:rPr>
        <w:t>č</w:t>
      </w:r>
      <w:r w:rsidR="000B4236" w:rsidRPr="00F5279A">
        <w:t>uje dále a zahrnuje i nov</w:t>
      </w:r>
      <w:r w:rsidR="000B4236" w:rsidRPr="00F5279A">
        <w:rPr>
          <w:rFonts w:hint="eastAsia"/>
        </w:rPr>
        <w:t>ě</w:t>
      </w:r>
      <w:r w:rsidR="000B4236" w:rsidRPr="00F5279A">
        <w:t xml:space="preserve"> vzniklou zastávku B</w:t>
      </w:r>
      <w:r w:rsidR="000B4236" w:rsidRPr="00F5279A">
        <w:rPr>
          <w:rFonts w:hint="eastAsia"/>
        </w:rPr>
        <w:t>ř</w:t>
      </w:r>
      <w:r w:rsidR="000B4236" w:rsidRPr="00F5279A">
        <w:t>ezhrad. Ta nahradí místo nástupu a výstupu cestujících v Opatovicích nad Labem. Dále se v této variant</w:t>
      </w:r>
      <w:r w:rsidR="000B4236" w:rsidRPr="00F5279A">
        <w:rPr>
          <w:rFonts w:hint="eastAsia"/>
        </w:rPr>
        <w:t>ě</w:t>
      </w:r>
      <w:r w:rsidR="000B4236" w:rsidRPr="00F5279A">
        <w:t xml:space="preserve"> po</w:t>
      </w:r>
      <w:r w:rsidR="000B4236" w:rsidRPr="00F5279A">
        <w:rPr>
          <w:rFonts w:hint="eastAsia"/>
        </w:rPr>
        <w:t>čí</w:t>
      </w:r>
      <w:r w:rsidR="000B4236" w:rsidRPr="00F5279A">
        <w:t>tá se zdvoukolejn</w:t>
      </w:r>
      <w:r w:rsidR="000B4236" w:rsidRPr="00F5279A">
        <w:rPr>
          <w:rFonts w:hint="eastAsia"/>
        </w:rPr>
        <w:t>ě</w:t>
      </w:r>
      <w:r w:rsidR="000B4236" w:rsidRPr="00F5279A">
        <w:t>ním úseku Pardubice hl. n. – Pardubice-Rosice nad Labem a s rozsáhlejšími úpravami v žst. Hradec Králové hl. n. U t</w:t>
      </w:r>
      <w:r w:rsidR="000B4236" w:rsidRPr="00F5279A">
        <w:rPr>
          <w:rFonts w:hint="eastAsia"/>
        </w:rPr>
        <w:t>ě</w:t>
      </w:r>
      <w:r w:rsidR="000B4236" w:rsidRPr="00F5279A">
        <w:t>chto dvou staveb se využívá již zpracovaných projektových dokumentací, konkrétn</w:t>
      </w:r>
      <w:r w:rsidR="000B4236" w:rsidRPr="00F5279A">
        <w:rPr>
          <w:rFonts w:hint="eastAsia"/>
        </w:rPr>
        <w:t>ě</w:t>
      </w:r>
      <w:r w:rsidR="000B4236" w:rsidRPr="00F5279A">
        <w:t xml:space="preserve"> „Zvýšení kapacity úseku Pardubice hl.n. – Pardubice-Rosice n.L.“ (podle varianty A; technický pr</w:t>
      </w:r>
      <w:r w:rsidR="000B4236" w:rsidRPr="00F5279A">
        <w:rPr>
          <w:rFonts w:hint="eastAsia"/>
        </w:rPr>
        <w:t>ů</w:t>
      </w:r>
      <w:r w:rsidR="000B4236" w:rsidRPr="00F5279A">
        <w:t>kaz z 06/2010) a „Modernizace jižního zhlaví Hradec Králové“ (p</w:t>
      </w:r>
      <w:r w:rsidR="000B4236" w:rsidRPr="00F5279A">
        <w:rPr>
          <w:rFonts w:hint="eastAsia"/>
        </w:rPr>
        <w:t>ří</w:t>
      </w:r>
      <w:r w:rsidR="000B4236" w:rsidRPr="00F5279A">
        <w:t>pravná dokumentace, 03/2009).</w:t>
      </w:r>
      <w:r w:rsidR="00E644D7">
        <w:t xml:space="preserve"> Dále dochází ke zdvoukolejnění </w:t>
      </w:r>
      <w:r w:rsidR="006B08F2">
        <w:t xml:space="preserve">zbývajících </w:t>
      </w:r>
      <w:r w:rsidR="00E644D7" w:rsidRPr="006B08F2">
        <w:t>tra</w:t>
      </w:r>
      <w:r w:rsidR="00E644D7" w:rsidRPr="006B08F2">
        <w:rPr>
          <w:rFonts w:hint="eastAsia"/>
        </w:rPr>
        <w:t>ť</w:t>
      </w:r>
      <w:r w:rsidR="00E644D7" w:rsidRPr="006B08F2">
        <w:t xml:space="preserve">ových </w:t>
      </w:r>
      <w:r w:rsidR="00E644D7" w:rsidRPr="006B08F2">
        <w:rPr>
          <w:rFonts w:hint="eastAsia"/>
        </w:rPr>
        <w:t>ú</w:t>
      </w:r>
      <w:r w:rsidR="00E644D7" w:rsidRPr="006B08F2">
        <w:t>sek</w:t>
      </w:r>
      <w:r w:rsidR="00705371" w:rsidRPr="006B08F2">
        <w:t>ů</w:t>
      </w:r>
      <w:r w:rsidR="00E644D7" w:rsidRPr="006B08F2">
        <w:t xml:space="preserve"> Pardubice-Rosice nad Labem (mimo) </w:t>
      </w:r>
      <w:r w:rsidR="00E644D7" w:rsidRPr="006B08F2">
        <w:rPr>
          <w:rFonts w:hint="eastAsia"/>
        </w:rPr>
        <w:t>–</w:t>
      </w:r>
      <w:r w:rsidR="00E644D7" w:rsidRPr="006B08F2">
        <w:t xml:space="preserve"> Stéblová (mimo) a Opatovice nad Labem, odbo</w:t>
      </w:r>
      <w:r w:rsidR="00E644D7" w:rsidRPr="006B08F2">
        <w:rPr>
          <w:rFonts w:hint="eastAsia"/>
        </w:rPr>
        <w:t>č</w:t>
      </w:r>
      <w:r w:rsidR="00E644D7" w:rsidRPr="006B08F2">
        <w:t>ka B</w:t>
      </w:r>
      <w:r w:rsidR="00E644D7" w:rsidRPr="006B08F2">
        <w:rPr>
          <w:rFonts w:hint="eastAsia"/>
        </w:rPr>
        <w:t>ř</w:t>
      </w:r>
      <w:r w:rsidR="00E644D7" w:rsidRPr="006B08F2">
        <w:t>ezhrad (mimo) – Hradec Králové hl. n.</w:t>
      </w:r>
    </w:p>
    <w:p w:rsidR="00FD70B4" w:rsidRDefault="00FD70B4" w:rsidP="00F5279A">
      <w:pPr>
        <w:numPr>
          <w:ilvl w:val="1"/>
          <w:numId w:val="11"/>
        </w:numPr>
        <w:rPr>
          <w:b/>
        </w:rPr>
      </w:pPr>
      <w:r>
        <w:rPr>
          <w:b/>
        </w:rPr>
        <w:t>Etapa varianty maximální</w:t>
      </w:r>
    </w:p>
    <w:p w:rsidR="00AC645B" w:rsidRDefault="00AC645B" w:rsidP="00FD70B4">
      <w:pPr>
        <w:ind w:left="720"/>
      </w:pPr>
      <w:r>
        <w:t>Varianta maximální sestává z úseků s výrazně rozdílným stupněm přípravy, protože v úseku Stéblová – Opatovice n. L. je již zahájena stavby, naopak pro zbylé úseky není ještě zpracována ani dokumentace pro územní rozhodnutí. Je proto vhodné prověřit, zda je přínosná i časově předstihová realizace samotného úseku Stéblová – Opatovice n. L., jako průkaz efektů a ekonomické efektivity pro případ problémů v přípavě ostatních úseků. Tato etapa ale nemůže být chápána jako cílové řešení, protože nenaplňuje podstatnou část cílů projektu (kapacita, rychlost, bezpečnost cestujícíchc v nerekonstruovaných částech úseku).</w:t>
      </w:r>
    </w:p>
    <w:p w:rsidR="00FD70B4" w:rsidRDefault="00FD70B4" w:rsidP="00FD70B4">
      <w:pPr>
        <w:ind w:left="720"/>
      </w:pPr>
      <w:r>
        <w:t xml:space="preserve">Etapa projektové varianty </w:t>
      </w:r>
      <w:r w:rsidR="00FE46D9">
        <w:t>M</w:t>
      </w:r>
      <w:r>
        <w:t>aximální představuje již vyšší rozsah</w:t>
      </w:r>
      <w:r w:rsidRPr="00C130E4">
        <w:t xml:space="preserve"> investic</w:t>
      </w:r>
      <w:r>
        <w:t xml:space="preserve"> do nových částí infrastruktury než </w:t>
      </w:r>
      <w:r w:rsidR="00FE46D9">
        <w:t xml:space="preserve">ve </w:t>
      </w:r>
      <w:r>
        <w:t>variant</w:t>
      </w:r>
      <w:r w:rsidR="00FE46D9">
        <w:t>ě</w:t>
      </w:r>
      <w:r>
        <w:t xml:space="preserve"> </w:t>
      </w:r>
      <w:r w:rsidR="00FE46D9">
        <w:t>M</w:t>
      </w:r>
      <w:r>
        <w:t xml:space="preserve">inimální. Součástí Etapy je stavba </w:t>
      </w:r>
      <w:r w:rsidRPr="007A6B88">
        <w:t>„Modernizace trati Hradec Králové – Pardubice – Chrudim, 1. stavba, zdvoukolejnění úseku Stéblová – Opatovice nad Labem“</w:t>
      </w:r>
      <w:r>
        <w:t xml:space="preserve">. Projekt stavby byl odevzdán v srpnu 2013. V této stavbě se zvyšuje traťová rychlost na </w:t>
      </w:r>
      <w:smartTag w:uri="urn:schemas-microsoft-com:office:smarttags" w:element="metricconverter">
        <w:smartTagPr>
          <w:attr w:name="ProductID" w:val="160 km/h"/>
        </w:smartTagPr>
        <w:r>
          <w:t>160 km/h</w:t>
        </w:r>
      </w:smartTag>
      <w:r>
        <w:t xml:space="preserve">, přidává se druhá kolej a instaluje se traťové zabezpečení typu autoblok v tomto úseku. Žst Stéblová je v novém stavu vybavena elektronickým stavědlem, provoz v návazném úseku Stéblová – Pardubice-Rosice nad Lab. bude zabezpečen automatickým hradlem. Rovněž úsek Opatovice nad Labem, odbočka Pohřebačka – vlečka Elektrárny Opatovice bude vybaven automatickým hradlem. Vlastní kolejiště žst. Opatovice nad Labem se nemění, v činnosti zůstává stávající reléové zabezpečovací zařízení. Zůstává zde i místo nástupu a výstupu cestujících. Provedou se pouze nezbytné úpravy umožňující součinnost původního a nového zařízení. </w:t>
      </w:r>
      <w:r w:rsidR="00E01AD3" w:rsidRPr="006B08F2">
        <w:t>V </w:t>
      </w:r>
      <w:r w:rsidRPr="006B08F2">
        <w:t xml:space="preserve">navazujícím úseku Hradec Králové – Opatovice nad/Lab. se </w:t>
      </w:r>
      <w:r w:rsidR="000B4236" w:rsidRPr="006B08F2">
        <w:t xml:space="preserve">v rámci Etapy </w:t>
      </w:r>
      <w:r w:rsidRPr="006B08F2">
        <w:t>p</w:t>
      </w:r>
      <w:r w:rsidRPr="006B08F2">
        <w:rPr>
          <w:rFonts w:hint="eastAsia"/>
        </w:rPr>
        <w:t>ř</w:t>
      </w:r>
      <w:r w:rsidRPr="006B08F2">
        <w:t>edpokládá  režim varianty Bez projektu. Úsek Stéblová – Pardubice</w:t>
      </w:r>
      <w:r w:rsidR="00E01AD3" w:rsidRPr="006B08F2">
        <w:t xml:space="preserve"> </w:t>
      </w:r>
      <w:r w:rsidRPr="006B08F2">
        <w:t>-</w:t>
      </w:r>
      <w:r w:rsidR="00E01AD3" w:rsidRPr="006B08F2">
        <w:t xml:space="preserve"> </w:t>
      </w:r>
      <w:r w:rsidRPr="006B08F2">
        <w:t>Rosice nad Lab</w:t>
      </w:r>
      <w:r w:rsidR="00E01AD3" w:rsidRPr="006B08F2">
        <w:t>em</w:t>
      </w:r>
      <w:r w:rsidRPr="006B08F2">
        <w:t xml:space="preserve"> </w:t>
      </w:r>
      <w:r w:rsidR="00E01AD3" w:rsidRPr="006B08F2">
        <w:t>je uvažován</w:t>
      </w:r>
      <w:r w:rsidRPr="006B08F2">
        <w:t xml:space="preserve"> také v režimu varianty Bez projektu s tím, že budou u</w:t>
      </w:r>
      <w:r w:rsidRPr="006B08F2">
        <w:rPr>
          <w:rFonts w:hint="eastAsia"/>
        </w:rPr>
        <w:t>č</w:t>
      </w:r>
      <w:r w:rsidRPr="006B08F2">
        <w:t>in</w:t>
      </w:r>
      <w:r w:rsidRPr="006B08F2">
        <w:rPr>
          <w:rFonts w:hint="eastAsia"/>
        </w:rPr>
        <w:t>ě</w:t>
      </w:r>
      <w:r w:rsidRPr="006B08F2">
        <w:t xml:space="preserve">ny </w:t>
      </w:r>
      <w:r w:rsidRPr="006B08F2">
        <w:rPr>
          <w:rFonts w:hint="eastAsia"/>
        </w:rPr>
        <w:t>ú</w:t>
      </w:r>
      <w:r w:rsidRPr="006B08F2">
        <w:t>pravy související s instalací automatického hradla a zabezpe</w:t>
      </w:r>
      <w:r w:rsidRPr="006B08F2">
        <w:rPr>
          <w:rFonts w:hint="eastAsia"/>
        </w:rPr>
        <w:t>č</w:t>
      </w:r>
      <w:r w:rsidRPr="006B08F2">
        <w:t>ením p</w:t>
      </w:r>
      <w:r w:rsidRPr="006B08F2">
        <w:rPr>
          <w:rFonts w:hint="eastAsia"/>
        </w:rPr>
        <w:t>ř</w:t>
      </w:r>
      <w:r w:rsidRPr="006B08F2">
        <w:t>ejezd</w:t>
      </w:r>
      <w:r w:rsidRPr="006B08F2">
        <w:rPr>
          <w:rFonts w:hint="eastAsia"/>
        </w:rPr>
        <w:t>ů</w:t>
      </w:r>
      <w:r w:rsidRPr="006B08F2">
        <w:t xml:space="preserve"> v km 4,232 a 5,953.</w:t>
      </w:r>
    </w:p>
    <w:p w:rsidR="00CF2E45" w:rsidRDefault="00FD70B4" w:rsidP="00FD70B4">
      <w:pPr>
        <w:ind w:left="720"/>
      </w:pPr>
      <w:r>
        <w:t>Zdvoukolejnění úseku Opatovice nad Labem – Stéblová je bráno jako první krok směřující k cílovému stavu, tj. k postupnému zdvoukolejnění celého úseku Hradec Králové – Pardubice. Zdvoukolejnění tohoto úseku zlepšuje podmínky pro plynulou jízdu vlaků a umožňuje navýšit jejich počet. Kromě toho je tento úsek ze stavebního hlediska nekonfliktní a nevyžaduje přeložky tratě.</w:t>
      </w:r>
    </w:p>
    <w:p w:rsidR="00CF2E45" w:rsidRDefault="00CF2E45">
      <w:pPr>
        <w:suppressAutoHyphens w:val="0"/>
        <w:spacing w:before="0" w:after="0" w:line="240" w:lineRule="auto"/>
        <w:jc w:val="left"/>
      </w:pPr>
      <w:r>
        <w:br w:type="page"/>
      </w:r>
    </w:p>
    <w:p w:rsidR="00FD70B4" w:rsidRDefault="00FD70B4" w:rsidP="00CF2E45"/>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422620" w:rsidRPr="008B2F71" w:rsidTr="00416675">
        <w:tc>
          <w:tcPr>
            <w:tcW w:w="9356" w:type="dxa"/>
            <w:shd w:val="clear" w:color="auto" w:fill="auto"/>
          </w:tcPr>
          <w:p w:rsidR="00422620" w:rsidRPr="008B2F71" w:rsidRDefault="008E146D" w:rsidP="00416675">
            <w:pPr>
              <w:pStyle w:val="Titulek"/>
              <w:rPr>
                <w:rFonts w:ascii="Arial" w:hAnsi="Arial"/>
                <w:b w:val="0"/>
                <w:szCs w:val="18"/>
              </w:rPr>
            </w:pPr>
            <w:bookmarkStart w:id="17" w:name="_Toc390958731"/>
            <w:bookmarkStart w:id="18" w:name="_Toc391034535"/>
            <w:r w:rsidRPr="00416675">
              <w:t>Tab</w:t>
            </w:r>
            <w:r w:rsidR="00422620" w:rsidRPr="00416675">
              <w:t xml:space="preserve">. </w:t>
            </w:r>
            <w:r w:rsidR="000E79AE">
              <w:fldChar w:fldCharType="begin"/>
            </w:r>
            <w:r w:rsidR="000E79AE">
              <w:instrText xml:space="preserve"> STYLEREF 1 \s </w:instrText>
            </w:r>
            <w:r w:rsidR="000E79AE">
              <w:fldChar w:fldCharType="separate"/>
            </w:r>
            <w:r w:rsidR="003843F3">
              <w:rPr>
                <w:noProof/>
              </w:rPr>
              <w:t>2</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w:t>
            </w:r>
            <w:r w:rsidR="000E79AE">
              <w:fldChar w:fldCharType="end"/>
            </w:r>
            <w:r w:rsidR="00422620" w:rsidRPr="00416675">
              <w:t>: Schematický přehled projektových variant</w:t>
            </w:r>
            <w:r w:rsidR="00E644D7" w:rsidRPr="00416675">
              <w:t xml:space="preserve"> a Etapy</w:t>
            </w:r>
            <w:bookmarkEnd w:id="17"/>
            <w:bookmarkEnd w:id="18"/>
          </w:p>
        </w:tc>
      </w:tr>
      <w:tr w:rsidR="00416675" w:rsidRPr="008B2F71" w:rsidTr="00416675">
        <w:tc>
          <w:tcPr>
            <w:tcW w:w="9356" w:type="dxa"/>
            <w:shd w:val="clear" w:color="auto" w:fill="auto"/>
          </w:tcPr>
          <w:p w:rsidR="00416675" w:rsidRPr="002E1C06" w:rsidRDefault="00416675" w:rsidP="00416675">
            <w:pPr>
              <w:spacing w:before="120" w:after="0" w:line="120" w:lineRule="auto"/>
              <w:rPr>
                <w:b/>
                <w:szCs w:val="20"/>
              </w:rPr>
            </w:pPr>
            <w:r>
              <w:object w:dxaOrig="4320" w:dyaOrig="20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5" type="#_x0000_t75" style="width:457.5pt;height:3in" o:ole="">
                  <v:imagedata r:id="rId18" o:title=""/>
                </v:shape>
                <o:OLEObject Type="Embed" ProgID="PBrush" ShapeID="_x0000_i1095" DrawAspect="Content" ObjectID="_1464784063" r:id="rId19"/>
              </w:object>
            </w:r>
          </w:p>
        </w:tc>
      </w:tr>
    </w:tbl>
    <w:p w:rsidR="00422620" w:rsidRDefault="00422620" w:rsidP="00914769">
      <w:pPr>
        <w:ind w:left="720"/>
      </w:pPr>
    </w:p>
    <w:tbl>
      <w:tblPr>
        <w:tblW w:w="9356"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560"/>
        <w:gridCol w:w="1559"/>
        <w:gridCol w:w="1559"/>
        <w:gridCol w:w="1559"/>
        <w:gridCol w:w="1559"/>
        <w:gridCol w:w="1560"/>
      </w:tblGrid>
      <w:tr w:rsidR="005374EB" w:rsidRPr="00372D57" w:rsidTr="00416675">
        <w:tc>
          <w:tcPr>
            <w:tcW w:w="935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5374EB" w:rsidRPr="00422620" w:rsidRDefault="005374EB" w:rsidP="00416675">
            <w:pPr>
              <w:pStyle w:val="Titulek"/>
            </w:pPr>
            <w:bookmarkStart w:id="19" w:name="_Toc390958732"/>
            <w:bookmarkStart w:id="20" w:name="_Toc391034536"/>
            <w:r w:rsidRPr="00416675">
              <w:t xml:space="preserve">Tab. </w:t>
            </w:r>
            <w:r w:rsidR="000E79AE">
              <w:fldChar w:fldCharType="begin"/>
            </w:r>
            <w:r w:rsidR="000E79AE">
              <w:instrText xml:space="preserve"> STYLEREF 1 \s </w:instrText>
            </w:r>
            <w:r w:rsidR="000E79AE">
              <w:fldChar w:fldCharType="separate"/>
            </w:r>
            <w:r w:rsidR="003843F3">
              <w:rPr>
                <w:noProof/>
              </w:rPr>
              <w:t>2</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2</w:t>
            </w:r>
            <w:r w:rsidR="000E79AE">
              <w:fldChar w:fldCharType="end"/>
            </w:r>
            <w:r w:rsidRPr="00416675">
              <w:t>: Charakteristika a rozsah staveb v rámci úseků pro jednotlivé varianty</w:t>
            </w:r>
            <w:r w:rsidR="00327368" w:rsidRPr="00416675">
              <w:t xml:space="preserve"> a Etapu</w:t>
            </w:r>
            <w:bookmarkEnd w:id="19"/>
            <w:bookmarkEnd w:id="20"/>
          </w:p>
        </w:tc>
      </w:tr>
      <w:tr w:rsidR="005374EB" w:rsidRPr="00372D57" w:rsidTr="00416675">
        <w:tc>
          <w:tcPr>
            <w:tcW w:w="1560" w:type="dxa"/>
            <w:tcBorders>
              <w:top w:val="single" w:sz="4" w:space="0" w:color="auto"/>
              <w:left w:val="single" w:sz="4" w:space="0" w:color="auto"/>
              <w:bottom w:val="single" w:sz="12" w:space="0" w:color="000000"/>
              <w:right w:val="single" w:sz="12" w:space="0" w:color="000000"/>
            </w:tcBorders>
            <w:shd w:val="pct10" w:color="auto" w:fill="auto"/>
            <w:vAlign w:val="center"/>
          </w:tcPr>
          <w:p w:rsidR="005374EB" w:rsidRPr="00372D57" w:rsidRDefault="005374EB" w:rsidP="00096442">
            <w:pPr>
              <w:pStyle w:val="Tabulkovtext"/>
              <w:spacing w:before="0" w:after="0"/>
              <w:jc w:val="center"/>
              <w:rPr>
                <w:rFonts w:cs="Tahoma"/>
                <w:b/>
                <w:szCs w:val="18"/>
                <w:lang w:eastAsia="cs-CZ"/>
              </w:rPr>
            </w:pPr>
            <w:r w:rsidRPr="00372D57">
              <w:rPr>
                <w:rFonts w:cs="Tahoma"/>
                <w:b/>
                <w:szCs w:val="18"/>
                <w:lang w:eastAsia="cs-CZ"/>
              </w:rPr>
              <w:t>Varianta/</w:t>
            </w:r>
            <w:r>
              <w:rPr>
                <w:rFonts w:cs="Tahoma"/>
                <w:b/>
                <w:szCs w:val="18"/>
                <w:lang w:eastAsia="cs-CZ"/>
              </w:rPr>
              <w:t>Úsek</w:t>
            </w:r>
          </w:p>
        </w:tc>
        <w:tc>
          <w:tcPr>
            <w:tcW w:w="1559" w:type="dxa"/>
            <w:tcBorders>
              <w:top w:val="single" w:sz="4" w:space="0" w:color="auto"/>
              <w:left w:val="single" w:sz="12" w:space="0" w:color="000000"/>
              <w:bottom w:val="single" w:sz="12" w:space="0" w:color="000000"/>
            </w:tcBorders>
            <w:shd w:val="pct10" w:color="auto" w:fill="auto"/>
            <w:vAlign w:val="center"/>
          </w:tcPr>
          <w:p w:rsidR="005374EB" w:rsidRPr="00096442" w:rsidRDefault="005374EB" w:rsidP="00741FDE">
            <w:pPr>
              <w:spacing w:before="0" w:after="0"/>
              <w:jc w:val="center"/>
              <w:rPr>
                <w:sz w:val="18"/>
                <w:szCs w:val="16"/>
              </w:rPr>
            </w:pPr>
            <w:r w:rsidRPr="00096442">
              <w:rPr>
                <w:sz w:val="18"/>
                <w:szCs w:val="16"/>
              </w:rPr>
              <w:t>Pardubice hl.n. (mimo) - Rosice (vč.)</w:t>
            </w:r>
          </w:p>
        </w:tc>
        <w:tc>
          <w:tcPr>
            <w:tcW w:w="1559" w:type="dxa"/>
            <w:tcBorders>
              <w:top w:val="single" w:sz="4" w:space="0" w:color="auto"/>
              <w:bottom w:val="single" w:sz="12" w:space="0" w:color="000000"/>
            </w:tcBorders>
            <w:shd w:val="pct10" w:color="auto" w:fill="auto"/>
            <w:vAlign w:val="center"/>
          </w:tcPr>
          <w:p w:rsidR="005374EB" w:rsidRPr="00096442" w:rsidRDefault="005374EB" w:rsidP="00741FDE">
            <w:pPr>
              <w:spacing w:before="0" w:after="0"/>
              <w:jc w:val="center"/>
              <w:rPr>
                <w:sz w:val="18"/>
                <w:szCs w:val="16"/>
              </w:rPr>
            </w:pPr>
            <w:r w:rsidRPr="00096442">
              <w:rPr>
                <w:sz w:val="18"/>
                <w:szCs w:val="16"/>
              </w:rPr>
              <w:t>Rosice (mimo) - Stéblová (mimo)</w:t>
            </w:r>
          </w:p>
        </w:tc>
        <w:tc>
          <w:tcPr>
            <w:tcW w:w="1559" w:type="dxa"/>
            <w:tcBorders>
              <w:top w:val="single" w:sz="4" w:space="0" w:color="auto"/>
              <w:bottom w:val="single" w:sz="12" w:space="0" w:color="000000"/>
            </w:tcBorders>
            <w:shd w:val="pct10" w:color="auto" w:fill="auto"/>
            <w:vAlign w:val="center"/>
          </w:tcPr>
          <w:p w:rsidR="005374EB" w:rsidRPr="00096442" w:rsidRDefault="005374EB">
            <w:pPr>
              <w:spacing w:before="0" w:after="0"/>
              <w:jc w:val="center"/>
              <w:rPr>
                <w:sz w:val="18"/>
                <w:szCs w:val="16"/>
              </w:rPr>
            </w:pPr>
            <w:r w:rsidRPr="00096442">
              <w:rPr>
                <w:sz w:val="18"/>
                <w:szCs w:val="16"/>
              </w:rPr>
              <w:t>Stéblová (vč.) - Opatovice (</w:t>
            </w:r>
            <w:r w:rsidR="00EA344F" w:rsidRPr="00096442">
              <w:rPr>
                <w:sz w:val="18"/>
                <w:szCs w:val="16"/>
              </w:rPr>
              <w:t>mimo</w:t>
            </w:r>
            <w:r w:rsidRPr="00096442">
              <w:rPr>
                <w:sz w:val="18"/>
                <w:szCs w:val="16"/>
              </w:rPr>
              <w:t>)</w:t>
            </w:r>
          </w:p>
        </w:tc>
        <w:tc>
          <w:tcPr>
            <w:tcW w:w="1559" w:type="dxa"/>
            <w:tcBorders>
              <w:top w:val="single" w:sz="4" w:space="0" w:color="auto"/>
              <w:bottom w:val="single" w:sz="12" w:space="0" w:color="000000"/>
            </w:tcBorders>
            <w:shd w:val="pct10" w:color="auto" w:fill="auto"/>
            <w:vAlign w:val="center"/>
          </w:tcPr>
          <w:p w:rsidR="005374EB" w:rsidRPr="00096442" w:rsidRDefault="005374EB">
            <w:pPr>
              <w:spacing w:before="0" w:after="0"/>
              <w:jc w:val="center"/>
              <w:rPr>
                <w:sz w:val="18"/>
                <w:szCs w:val="16"/>
              </w:rPr>
            </w:pPr>
            <w:r w:rsidRPr="00096442">
              <w:rPr>
                <w:sz w:val="18"/>
                <w:szCs w:val="16"/>
              </w:rPr>
              <w:t>Opatovice (</w:t>
            </w:r>
            <w:r w:rsidR="00EA344F" w:rsidRPr="00096442">
              <w:rPr>
                <w:sz w:val="18"/>
                <w:szCs w:val="16"/>
              </w:rPr>
              <w:t>vč.</w:t>
            </w:r>
            <w:r w:rsidRPr="00096442">
              <w:rPr>
                <w:sz w:val="18"/>
                <w:szCs w:val="16"/>
              </w:rPr>
              <w:t>) - HK hl.n. (mimo)</w:t>
            </w:r>
          </w:p>
        </w:tc>
        <w:tc>
          <w:tcPr>
            <w:tcW w:w="1560" w:type="dxa"/>
            <w:tcBorders>
              <w:top w:val="single" w:sz="4" w:space="0" w:color="auto"/>
              <w:bottom w:val="single" w:sz="12" w:space="0" w:color="000000"/>
              <w:right w:val="single" w:sz="4" w:space="0" w:color="auto"/>
            </w:tcBorders>
            <w:shd w:val="pct10" w:color="auto" w:fill="auto"/>
            <w:vAlign w:val="center"/>
          </w:tcPr>
          <w:p w:rsidR="005374EB" w:rsidRPr="00096442" w:rsidRDefault="005374EB" w:rsidP="00741FDE">
            <w:pPr>
              <w:spacing w:before="0" w:after="0"/>
              <w:jc w:val="center"/>
              <w:rPr>
                <w:sz w:val="18"/>
                <w:szCs w:val="16"/>
              </w:rPr>
            </w:pPr>
            <w:r w:rsidRPr="00096442">
              <w:rPr>
                <w:sz w:val="18"/>
                <w:szCs w:val="16"/>
              </w:rPr>
              <w:t>HK hl.n. - jižní zhlaví</w:t>
            </w:r>
          </w:p>
        </w:tc>
      </w:tr>
      <w:tr w:rsidR="00F17CE4" w:rsidRPr="00372D57" w:rsidTr="00096442">
        <w:tc>
          <w:tcPr>
            <w:tcW w:w="1560" w:type="dxa"/>
            <w:tcBorders>
              <w:top w:val="single" w:sz="12" w:space="0" w:color="000000"/>
              <w:left w:val="single" w:sz="4" w:space="0" w:color="auto"/>
              <w:right w:val="single" w:sz="12" w:space="0" w:color="000000"/>
            </w:tcBorders>
            <w:shd w:val="clear" w:color="auto" w:fill="auto"/>
            <w:vAlign w:val="center"/>
          </w:tcPr>
          <w:p w:rsidR="00F17CE4" w:rsidRPr="00372D57" w:rsidRDefault="00F17CE4" w:rsidP="00741FDE">
            <w:pPr>
              <w:jc w:val="center"/>
              <w:rPr>
                <w:b/>
                <w:sz w:val="18"/>
                <w:szCs w:val="18"/>
              </w:rPr>
            </w:pPr>
            <w:r w:rsidRPr="00372D57">
              <w:rPr>
                <w:b/>
                <w:sz w:val="18"/>
                <w:szCs w:val="18"/>
              </w:rPr>
              <w:t>Bez projektu</w:t>
            </w:r>
          </w:p>
        </w:tc>
        <w:tc>
          <w:tcPr>
            <w:tcW w:w="1559" w:type="dxa"/>
            <w:tcBorders>
              <w:top w:val="single" w:sz="12" w:space="0" w:color="000000"/>
              <w:left w:val="single" w:sz="12" w:space="0" w:color="000000"/>
              <w:bottom w:val="single" w:sz="4" w:space="0" w:color="000000"/>
            </w:tcBorders>
            <w:shd w:val="clear" w:color="auto" w:fill="FFFFFF" w:themeFill="background1"/>
          </w:tcPr>
          <w:p w:rsidR="00F17CE4" w:rsidRPr="00F17CE4" w:rsidRDefault="00F17CE4" w:rsidP="005C791C">
            <w:pPr>
              <w:spacing w:before="0" w:after="0"/>
              <w:jc w:val="left"/>
              <w:rPr>
                <w:sz w:val="16"/>
                <w:szCs w:val="16"/>
              </w:rPr>
            </w:pPr>
            <w:r w:rsidRPr="00F17CE4">
              <w:rPr>
                <w:sz w:val="16"/>
                <w:szCs w:val="16"/>
              </w:rPr>
              <w:t>údržba, provozuschopnost, ponechá</w:t>
            </w:r>
            <w:r w:rsidR="00275245">
              <w:rPr>
                <w:sz w:val="16"/>
                <w:szCs w:val="16"/>
              </w:rPr>
              <w:t>na V=70-</w:t>
            </w:r>
            <w:smartTag w:uri="urn:schemas-microsoft-com:office:smarttags" w:element="metricconverter">
              <w:smartTagPr>
                <w:attr w:name="ProductID" w:val="80 km/h"/>
              </w:smartTagPr>
              <w:r w:rsidR="00275245">
                <w:rPr>
                  <w:sz w:val="16"/>
                  <w:szCs w:val="16"/>
                </w:rPr>
                <w:t>8</w:t>
              </w:r>
              <w:r w:rsidRPr="00F17CE4">
                <w:rPr>
                  <w:sz w:val="16"/>
                  <w:szCs w:val="16"/>
                </w:rPr>
                <w:t>0 km/h</w:t>
              </w:r>
            </w:smartTag>
            <w:r w:rsidRPr="00F17CE4">
              <w:rPr>
                <w:sz w:val="16"/>
                <w:szCs w:val="16"/>
              </w:rPr>
              <w:t xml:space="preserve">, ponecháno TZZ AH, </w:t>
            </w:r>
            <w:r w:rsidR="005C791C">
              <w:rPr>
                <w:sz w:val="16"/>
                <w:szCs w:val="16"/>
              </w:rPr>
              <w:t>postupná náhrada</w:t>
            </w:r>
            <w:r w:rsidRPr="00F17CE4">
              <w:rPr>
                <w:sz w:val="16"/>
                <w:szCs w:val="16"/>
              </w:rPr>
              <w:t xml:space="preserve"> SZZ</w:t>
            </w:r>
          </w:p>
        </w:tc>
        <w:tc>
          <w:tcPr>
            <w:tcW w:w="1559" w:type="dxa"/>
            <w:tcBorders>
              <w:top w:val="single" w:sz="12" w:space="0" w:color="000000"/>
              <w:bottom w:val="single" w:sz="4" w:space="0" w:color="000000"/>
            </w:tcBorders>
            <w:shd w:val="clear" w:color="auto" w:fill="FFFFFF" w:themeFill="background1"/>
          </w:tcPr>
          <w:p w:rsidR="00F17CE4" w:rsidRPr="00F17CE4" w:rsidRDefault="00F17CE4" w:rsidP="00F17CE4">
            <w:pPr>
              <w:spacing w:before="0" w:after="0"/>
              <w:jc w:val="left"/>
              <w:rPr>
                <w:sz w:val="16"/>
                <w:szCs w:val="16"/>
              </w:rPr>
            </w:pPr>
            <w:r w:rsidRPr="00F17CE4">
              <w:rPr>
                <w:sz w:val="16"/>
                <w:szCs w:val="16"/>
              </w:rPr>
              <w:t>údržba, provozuschopnost, ponechána V=100 km/h, TZZ telefon</w:t>
            </w:r>
          </w:p>
        </w:tc>
        <w:tc>
          <w:tcPr>
            <w:tcW w:w="1559" w:type="dxa"/>
            <w:tcBorders>
              <w:top w:val="single" w:sz="12" w:space="0" w:color="000000"/>
              <w:bottom w:val="single" w:sz="4" w:space="0" w:color="000000"/>
            </w:tcBorders>
            <w:shd w:val="clear" w:color="auto" w:fill="FFFFFF" w:themeFill="background1"/>
          </w:tcPr>
          <w:p w:rsidR="006819BA" w:rsidRDefault="005C791C" w:rsidP="00092F1A">
            <w:pPr>
              <w:spacing w:before="0" w:after="0"/>
              <w:jc w:val="left"/>
              <w:rPr>
                <w:b/>
                <w:bCs/>
                <w:kern w:val="28"/>
                <w:sz w:val="16"/>
                <w:szCs w:val="16"/>
              </w:rPr>
            </w:pPr>
            <w:r w:rsidRPr="005C791C">
              <w:rPr>
                <w:sz w:val="16"/>
                <w:szCs w:val="16"/>
              </w:rPr>
              <w:t>údržba, provozuschopnost, ponechána V=100 km/h, TZZ telefon, postupná náhrada SZZ Stéblová</w:t>
            </w:r>
          </w:p>
        </w:tc>
        <w:tc>
          <w:tcPr>
            <w:tcW w:w="1559" w:type="dxa"/>
            <w:tcBorders>
              <w:top w:val="single" w:sz="12" w:space="0" w:color="000000"/>
              <w:bottom w:val="single" w:sz="4" w:space="0" w:color="000000"/>
            </w:tcBorders>
            <w:shd w:val="clear" w:color="auto" w:fill="FFFFFF" w:themeFill="background1"/>
          </w:tcPr>
          <w:p w:rsidR="00F17CE4" w:rsidRPr="00F17CE4" w:rsidRDefault="00F17CE4" w:rsidP="00F17CE4">
            <w:pPr>
              <w:spacing w:before="0" w:after="0"/>
              <w:jc w:val="left"/>
              <w:rPr>
                <w:sz w:val="16"/>
                <w:szCs w:val="16"/>
              </w:rPr>
            </w:pPr>
            <w:r w:rsidRPr="00F17CE4">
              <w:rPr>
                <w:sz w:val="16"/>
                <w:szCs w:val="16"/>
              </w:rPr>
              <w:t>údržba, provozuschopnost, ponechána V=100 km/h, TZZ AH bez návěstního bodu</w:t>
            </w:r>
            <w:r w:rsidR="00EA344F">
              <w:rPr>
                <w:sz w:val="16"/>
                <w:szCs w:val="16"/>
              </w:rPr>
              <w:t>, postupná náhrada SZZ Opatovice</w:t>
            </w:r>
          </w:p>
        </w:tc>
        <w:tc>
          <w:tcPr>
            <w:tcW w:w="1560" w:type="dxa"/>
            <w:tcBorders>
              <w:top w:val="single" w:sz="12" w:space="0" w:color="000000"/>
              <w:bottom w:val="single" w:sz="4" w:space="0" w:color="000000"/>
              <w:right w:val="single" w:sz="4" w:space="0" w:color="auto"/>
            </w:tcBorders>
            <w:shd w:val="clear" w:color="auto" w:fill="FFFFFF" w:themeFill="background1"/>
          </w:tcPr>
          <w:p w:rsidR="00F17CE4" w:rsidRPr="00F17CE4" w:rsidRDefault="00F17CE4" w:rsidP="005C791C">
            <w:pPr>
              <w:spacing w:before="0" w:after="0"/>
              <w:jc w:val="left"/>
              <w:rPr>
                <w:sz w:val="16"/>
                <w:szCs w:val="16"/>
              </w:rPr>
            </w:pPr>
            <w:r w:rsidRPr="00F17CE4">
              <w:rPr>
                <w:sz w:val="16"/>
                <w:szCs w:val="16"/>
              </w:rPr>
              <w:t>údržba, provozuschopnost, ponechána V=40 km/h, SZZ během hodnotícího období nahrazeno novým</w:t>
            </w:r>
          </w:p>
        </w:tc>
      </w:tr>
      <w:tr w:rsidR="00F17CE4" w:rsidRPr="00372D57" w:rsidTr="00096442">
        <w:tc>
          <w:tcPr>
            <w:tcW w:w="1560" w:type="dxa"/>
            <w:tcBorders>
              <w:left w:val="single" w:sz="4" w:space="0" w:color="auto"/>
              <w:right w:val="single" w:sz="12" w:space="0" w:color="000000"/>
            </w:tcBorders>
            <w:shd w:val="clear" w:color="auto" w:fill="auto"/>
            <w:vAlign w:val="center"/>
          </w:tcPr>
          <w:p w:rsidR="00F17CE4" w:rsidRPr="00372D57" w:rsidRDefault="00F17CE4" w:rsidP="00741FDE">
            <w:pPr>
              <w:jc w:val="center"/>
              <w:rPr>
                <w:b/>
                <w:sz w:val="18"/>
                <w:szCs w:val="18"/>
              </w:rPr>
            </w:pPr>
            <w:r w:rsidRPr="00372D57">
              <w:rPr>
                <w:b/>
                <w:sz w:val="18"/>
                <w:szCs w:val="18"/>
              </w:rPr>
              <w:t>Minimální</w:t>
            </w:r>
          </w:p>
        </w:tc>
        <w:tc>
          <w:tcPr>
            <w:tcW w:w="1559" w:type="dxa"/>
            <w:tcBorders>
              <w:left w:val="single" w:sz="12" w:space="0" w:color="000000"/>
              <w:bottom w:val="single" w:sz="4" w:space="0" w:color="000000"/>
            </w:tcBorders>
            <w:shd w:val="clear" w:color="auto" w:fill="FFFFFF" w:themeFill="background1"/>
          </w:tcPr>
          <w:p w:rsidR="00F17CE4" w:rsidRPr="00F17CE4" w:rsidRDefault="00F17CE4" w:rsidP="00F17CE4">
            <w:pPr>
              <w:spacing w:before="0" w:after="0"/>
              <w:jc w:val="left"/>
              <w:rPr>
                <w:sz w:val="16"/>
                <w:szCs w:val="16"/>
              </w:rPr>
            </w:pPr>
            <w:r w:rsidRPr="00F17CE4">
              <w:rPr>
                <w:sz w:val="16"/>
                <w:szCs w:val="16"/>
              </w:rPr>
              <w:t>rekonstrukce na "normový stav", mimoúrovňov</w:t>
            </w:r>
            <w:r w:rsidR="00275245">
              <w:rPr>
                <w:sz w:val="16"/>
                <w:szCs w:val="16"/>
              </w:rPr>
              <w:t>á nást., ponechána 1 kolej a V=70-</w:t>
            </w:r>
            <w:smartTag w:uri="urn:schemas-microsoft-com:office:smarttags" w:element="metricconverter">
              <w:smartTagPr>
                <w:attr w:name="ProductID" w:val="80 km/h"/>
              </w:smartTagPr>
              <w:r w:rsidR="00275245">
                <w:rPr>
                  <w:sz w:val="16"/>
                  <w:szCs w:val="16"/>
                </w:rPr>
                <w:t>8</w:t>
              </w:r>
              <w:r w:rsidRPr="00F17CE4">
                <w:rPr>
                  <w:sz w:val="16"/>
                  <w:szCs w:val="16"/>
                </w:rPr>
                <w:t>0 km/h</w:t>
              </w:r>
            </w:smartTag>
            <w:r w:rsidRPr="00F17CE4">
              <w:rPr>
                <w:sz w:val="16"/>
                <w:szCs w:val="16"/>
              </w:rPr>
              <w:t>, nové SZZ</w:t>
            </w:r>
          </w:p>
        </w:tc>
        <w:tc>
          <w:tcPr>
            <w:tcW w:w="1559" w:type="dxa"/>
            <w:tcBorders>
              <w:bottom w:val="single" w:sz="4" w:space="0" w:color="000000"/>
            </w:tcBorders>
            <w:shd w:val="clear" w:color="auto" w:fill="FFFFFF" w:themeFill="background1"/>
          </w:tcPr>
          <w:p w:rsidR="00F17CE4" w:rsidRPr="00F17CE4" w:rsidRDefault="00F17CE4" w:rsidP="00F17CE4">
            <w:pPr>
              <w:spacing w:before="0" w:after="0"/>
              <w:jc w:val="left"/>
              <w:rPr>
                <w:sz w:val="16"/>
                <w:szCs w:val="16"/>
              </w:rPr>
            </w:pPr>
            <w:r w:rsidRPr="00F17CE4">
              <w:rPr>
                <w:sz w:val="16"/>
                <w:szCs w:val="16"/>
              </w:rPr>
              <w:t>rekonstrukce na "normový stav", ponechána 1 kolej a V=100 km/h, TZZ AH</w:t>
            </w:r>
          </w:p>
        </w:tc>
        <w:tc>
          <w:tcPr>
            <w:tcW w:w="1559" w:type="dxa"/>
            <w:tcBorders>
              <w:bottom w:val="single" w:sz="4" w:space="0" w:color="000000"/>
            </w:tcBorders>
            <w:shd w:val="clear" w:color="auto" w:fill="FFFFFF" w:themeFill="background1"/>
          </w:tcPr>
          <w:p w:rsidR="00F17CE4" w:rsidRPr="00F17CE4" w:rsidRDefault="00F17CE4" w:rsidP="00F17CE4">
            <w:pPr>
              <w:spacing w:before="0" w:after="0"/>
              <w:jc w:val="left"/>
              <w:rPr>
                <w:sz w:val="16"/>
                <w:szCs w:val="16"/>
              </w:rPr>
            </w:pPr>
            <w:r w:rsidRPr="00F17CE4">
              <w:rPr>
                <w:sz w:val="16"/>
                <w:szCs w:val="16"/>
              </w:rPr>
              <w:t>rekonstrukce na "normový stav", ponechána 1 kolej a V=100 km/h, TZZ AH</w:t>
            </w:r>
          </w:p>
        </w:tc>
        <w:tc>
          <w:tcPr>
            <w:tcW w:w="1559" w:type="dxa"/>
            <w:tcBorders>
              <w:bottom w:val="single" w:sz="4" w:space="0" w:color="000000"/>
            </w:tcBorders>
            <w:shd w:val="clear" w:color="auto" w:fill="FFFFFF" w:themeFill="background1"/>
          </w:tcPr>
          <w:p w:rsidR="00F17CE4" w:rsidRPr="00F17CE4" w:rsidRDefault="00F17CE4" w:rsidP="00F17CE4">
            <w:pPr>
              <w:spacing w:before="0" w:after="0"/>
              <w:jc w:val="left"/>
              <w:rPr>
                <w:sz w:val="16"/>
                <w:szCs w:val="16"/>
              </w:rPr>
            </w:pPr>
            <w:r w:rsidRPr="00F17CE4">
              <w:rPr>
                <w:sz w:val="16"/>
                <w:szCs w:val="16"/>
              </w:rPr>
              <w:t>rekonstrukce na "normový stav", ponechána 1 kolej a V=100 km/h, doplnění návěstního bodu AH</w:t>
            </w:r>
          </w:p>
        </w:tc>
        <w:tc>
          <w:tcPr>
            <w:tcW w:w="1560" w:type="dxa"/>
            <w:tcBorders>
              <w:bottom w:val="single" w:sz="4" w:space="0" w:color="000000"/>
              <w:right w:val="single" w:sz="4" w:space="0" w:color="auto"/>
            </w:tcBorders>
            <w:shd w:val="clear" w:color="auto" w:fill="FFFFFF" w:themeFill="background1"/>
          </w:tcPr>
          <w:p w:rsidR="00F17CE4" w:rsidRPr="00F17CE4" w:rsidRDefault="00F17CE4" w:rsidP="00F17CE4">
            <w:pPr>
              <w:spacing w:before="0" w:after="0"/>
              <w:jc w:val="left"/>
              <w:rPr>
                <w:sz w:val="16"/>
                <w:szCs w:val="16"/>
              </w:rPr>
            </w:pPr>
            <w:r w:rsidRPr="00F17CE4">
              <w:rPr>
                <w:sz w:val="16"/>
                <w:szCs w:val="16"/>
              </w:rPr>
              <w:t>rekonstrukce, výměna ks/ks, ponechána stávající V=40-</w:t>
            </w:r>
            <w:smartTag w:uri="urn:schemas-microsoft-com:office:smarttags" w:element="metricconverter">
              <w:smartTagPr>
                <w:attr w:name="ProductID" w:val="50 km/h"/>
              </w:smartTagPr>
              <w:r w:rsidRPr="00F17CE4">
                <w:rPr>
                  <w:sz w:val="16"/>
                  <w:szCs w:val="16"/>
                </w:rPr>
                <w:t>50 km/h</w:t>
              </w:r>
            </w:smartTag>
            <w:r w:rsidRPr="00F17CE4">
              <w:rPr>
                <w:sz w:val="16"/>
                <w:szCs w:val="16"/>
              </w:rPr>
              <w:t xml:space="preserve"> a počet nástupních hran,</w:t>
            </w:r>
            <w:r w:rsidR="005C791C">
              <w:rPr>
                <w:sz w:val="16"/>
                <w:szCs w:val="16"/>
              </w:rPr>
              <w:t xml:space="preserve"> </w:t>
            </w:r>
            <w:r w:rsidRPr="00F17CE4">
              <w:rPr>
                <w:sz w:val="16"/>
                <w:szCs w:val="16"/>
              </w:rPr>
              <w:t>nové SZZ</w:t>
            </w:r>
          </w:p>
        </w:tc>
      </w:tr>
      <w:tr w:rsidR="00F17CE4" w:rsidRPr="00372D57" w:rsidTr="00096442">
        <w:tc>
          <w:tcPr>
            <w:tcW w:w="1560" w:type="dxa"/>
            <w:tcBorders>
              <w:left w:val="single" w:sz="4" w:space="0" w:color="auto"/>
              <w:right w:val="single" w:sz="12" w:space="0" w:color="000000"/>
            </w:tcBorders>
            <w:shd w:val="clear" w:color="auto" w:fill="auto"/>
            <w:vAlign w:val="center"/>
          </w:tcPr>
          <w:p w:rsidR="006819BA" w:rsidRDefault="00EC670C" w:rsidP="00092F1A">
            <w:pPr>
              <w:jc w:val="center"/>
              <w:rPr>
                <w:b/>
                <w:bCs/>
                <w:kern w:val="28"/>
                <w:sz w:val="18"/>
                <w:szCs w:val="18"/>
              </w:rPr>
            </w:pPr>
            <w:r>
              <w:rPr>
                <w:b/>
                <w:sz w:val="18"/>
                <w:szCs w:val="18"/>
              </w:rPr>
              <w:t>Etapa</w:t>
            </w:r>
          </w:p>
        </w:tc>
        <w:tc>
          <w:tcPr>
            <w:tcW w:w="1559" w:type="dxa"/>
            <w:tcBorders>
              <w:left w:val="single" w:sz="12" w:space="0" w:color="000000"/>
              <w:bottom w:val="single" w:sz="4" w:space="0" w:color="000000"/>
            </w:tcBorders>
            <w:shd w:val="clear" w:color="auto" w:fill="FFFFFF" w:themeFill="background1"/>
          </w:tcPr>
          <w:p w:rsidR="00F17CE4" w:rsidRPr="00F17CE4" w:rsidRDefault="00F17CE4" w:rsidP="005C791C">
            <w:pPr>
              <w:spacing w:before="0" w:after="0"/>
              <w:jc w:val="left"/>
              <w:rPr>
                <w:sz w:val="16"/>
                <w:szCs w:val="16"/>
              </w:rPr>
            </w:pPr>
            <w:r w:rsidRPr="00F17CE4">
              <w:rPr>
                <w:sz w:val="16"/>
                <w:szCs w:val="16"/>
              </w:rPr>
              <w:t>údržba,</w:t>
            </w:r>
            <w:r w:rsidR="00275245">
              <w:rPr>
                <w:sz w:val="16"/>
                <w:szCs w:val="16"/>
              </w:rPr>
              <w:t xml:space="preserve"> provozuschopnost, ponechána V=70-</w:t>
            </w:r>
            <w:smartTag w:uri="urn:schemas-microsoft-com:office:smarttags" w:element="metricconverter">
              <w:smartTagPr>
                <w:attr w:name="ProductID" w:val="80 km/h"/>
              </w:smartTagPr>
              <w:r w:rsidR="00275245">
                <w:rPr>
                  <w:sz w:val="16"/>
                  <w:szCs w:val="16"/>
                </w:rPr>
                <w:t>8</w:t>
              </w:r>
              <w:r w:rsidRPr="00F17CE4">
                <w:rPr>
                  <w:sz w:val="16"/>
                  <w:szCs w:val="16"/>
                </w:rPr>
                <w:t>0 km/h</w:t>
              </w:r>
            </w:smartTag>
            <w:r w:rsidRPr="00F17CE4">
              <w:rPr>
                <w:sz w:val="16"/>
                <w:szCs w:val="16"/>
              </w:rPr>
              <w:t xml:space="preserve">, ponecháno TZZ AH, </w:t>
            </w:r>
            <w:r w:rsidR="005C791C">
              <w:rPr>
                <w:sz w:val="16"/>
                <w:szCs w:val="16"/>
              </w:rPr>
              <w:t>postupná náhrada</w:t>
            </w:r>
            <w:r w:rsidRPr="00F17CE4">
              <w:rPr>
                <w:sz w:val="16"/>
                <w:szCs w:val="16"/>
              </w:rPr>
              <w:t xml:space="preserve"> SZZ</w:t>
            </w:r>
          </w:p>
        </w:tc>
        <w:tc>
          <w:tcPr>
            <w:tcW w:w="1559" w:type="dxa"/>
            <w:tcBorders>
              <w:bottom w:val="single" w:sz="4" w:space="0" w:color="000000"/>
            </w:tcBorders>
            <w:shd w:val="clear" w:color="auto" w:fill="FFFFFF" w:themeFill="background1"/>
          </w:tcPr>
          <w:p w:rsidR="00F17CE4" w:rsidRPr="00F17CE4" w:rsidRDefault="00F17CE4" w:rsidP="00F17CE4">
            <w:pPr>
              <w:spacing w:before="0" w:after="0"/>
              <w:jc w:val="left"/>
              <w:rPr>
                <w:sz w:val="16"/>
                <w:szCs w:val="16"/>
              </w:rPr>
            </w:pPr>
            <w:r w:rsidRPr="00F17CE4">
              <w:rPr>
                <w:sz w:val="16"/>
                <w:szCs w:val="16"/>
              </w:rPr>
              <w:t>údržba, provozuschopnost, ponechána V=100 km/h, TZZ AH</w:t>
            </w:r>
            <w:r w:rsidR="006E61CA">
              <w:rPr>
                <w:sz w:val="16"/>
                <w:szCs w:val="16"/>
              </w:rPr>
              <w:t xml:space="preserve"> s návěstním bodem</w:t>
            </w:r>
          </w:p>
        </w:tc>
        <w:tc>
          <w:tcPr>
            <w:tcW w:w="1559" w:type="dxa"/>
            <w:tcBorders>
              <w:bottom w:val="single" w:sz="4" w:space="0" w:color="000000"/>
            </w:tcBorders>
            <w:shd w:val="clear" w:color="auto" w:fill="FFFFFF" w:themeFill="background1"/>
          </w:tcPr>
          <w:p w:rsidR="006819BA" w:rsidRDefault="00F17CE4" w:rsidP="00092F1A">
            <w:pPr>
              <w:spacing w:before="0" w:after="0"/>
              <w:jc w:val="left"/>
              <w:rPr>
                <w:b/>
                <w:bCs/>
                <w:kern w:val="28"/>
                <w:sz w:val="16"/>
                <w:szCs w:val="16"/>
              </w:rPr>
            </w:pPr>
            <w:r w:rsidRPr="00F17CE4">
              <w:rPr>
                <w:sz w:val="16"/>
                <w:szCs w:val="16"/>
              </w:rPr>
              <w:t xml:space="preserve">modernizace dle </w:t>
            </w:r>
            <w:r w:rsidR="00EA344F">
              <w:rPr>
                <w:sz w:val="16"/>
                <w:szCs w:val="16"/>
              </w:rPr>
              <w:t>projektu</w:t>
            </w:r>
            <w:r w:rsidRPr="00F17CE4">
              <w:rPr>
                <w:sz w:val="16"/>
                <w:szCs w:val="16"/>
              </w:rPr>
              <w:t>, 2 koleje, V=160 km/h, TZZ autoblok</w:t>
            </w:r>
          </w:p>
        </w:tc>
        <w:tc>
          <w:tcPr>
            <w:tcW w:w="1559" w:type="dxa"/>
            <w:tcBorders>
              <w:bottom w:val="single" w:sz="4" w:space="0" w:color="000000"/>
            </w:tcBorders>
            <w:shd w:val="clear" w:color="auto" w:fill="FFFFFF" w:themeFill="background1"/>
          </w:tcPr>
          <w:p w:rsidR="006819BA" w:rsidRDefault="00F17CE4" w:rsidP="002E0ADB">
            <w:pPr>
              <w:spacing w:before="0" w:after="0"/>
              <w:jc w:val="left"/>
              <w:rPr>
                <w:b/>
                <w:bCs/>
                <w:kern w:val="28"/>
                <w:sz w:val="16"/>
                <w:szCs w:val="16"/>
              </w:rPr>
            </w:pPr>
            <w:r w:rsidRPr="00F17CE4">
              <w:rPr>
                <w:sz w:val="16"/>
                <w:szCs w:val="16"/>
              </w:rPr>
              <w:t>údržba, provozuschopnost, ponechána V=100 km/h</w:t>
            </w:r>
            <w:r w:rsidR="00EA344F">
              <w:rPr>
                <w:sz w:val="16"/>
                <w:szCs w:val="16"/>
              </w:rPr>
              <w:t>, postupná náhrada SZZ Opatovice</w:t>
            </w:r>
          </w:p>
        </w:tc>
        <w:tc>
          <w:tcPr>
            <w:tcW w:w="1560" w:type="dxa"/>
            <w:tcBorders>
              <w:bottom w:val="single" w:sz="4" w:space="0" w:color="000000"/>
              <w:right w:val="single" w:sz="4" w:space="0" w:color="auto"/>
            </w:tcBorders>
            <w:shd w:val="clear" w:color="auto" w:fill="FFFFFF" w:themeFill="background1"/>
          </w:tcPr>
          <w:p w:rsidR="00F17CE4" w:rsidRPr="00F17CE4" w:rsidRDefault="00F17CE4" w:rsidP="005C791C">
            <w:pPr>
              <w:spacing w:before="0" w:after="0"/>
              <w:jc w:val="left"/>
              <w:rPr>
                <w:sz w:val="16"/>
                <w:szCs w:val="16"/>
              </w:rPr>
            </w:pPr>
            <w:r w:rsidRPr="00F17CE4">
              <w:rPr>
                <w:sz w:val="16"/>
                <w:szCs w:val="16"/>
              </w:rPr>
              <w:t>údržba, provozuschopnost, ponechán</w:t>
            </w:r>
            <w:r w:rsidR="005C791C">
              <w:rPr>
                <w:sz w:val="16"/>
                <w:szCs w:val="16"/>
              </w:rPr>
              <w:t xml:space="preserve">a V=40 km/h, </w:t>
            </w:r>
            <w:r w:rsidRPr="00F17CE4">
              <w:rPr>
                <w:sz w:val="16"/>
                <w:szCs w:val="16"/>
              </w:rPr>
              <w:t>SZZ během hodnotícího období nahrazeno novým</w:t>
            </w:r>
          </w:p>
        </w:tc>
      </w:tr>
      <w:tr w:rsidR="00F17CE4" w:rsidRPr="00372D57" w:rsidTr="00096442">
        <w:tc>
          <w:tcPr>
            <w:tcW w:w="1560" w:type="dxa"/>
            <w:tcBorders>
              <w:left w:val="single" w:sz="4" w:space="0" w:color="auto"/>
              <w:bottom w:val="single" w:sz="4" w:space="0" w:color="auto"/>
              <w:right w:val="single" w:sz="12" w:space="0" w:color="000000"/>
            </w:tcBorders>
            <w:shd w:val="clear" w:color="auto" w:fill="auto"/>
            <w:vAlign w:val="center"/>
          </w:tcPr>
          <w:p w:rsidR="00F17CE4" w:rsidRPr="00372D57" w:rsidRDefault="00F17CE4" w:rsidP="00741FDE">
            <w:pPr>
              <w:jc w:val="center"/>
              <w:rPr>
                <w:b/>
                <w:sz w:val="18"/>
                <w:szCs w:val="18"/>
              </w:rPr>
            </w:pPr>
            <w:r w:rsidRPr="00372D57">
              <w:rPr>
                <w:b/>
                <w:sz w:val="18"/>
                <w:szCs w:val="18"/>
              </w:rPr>
              <w:t>Maximální</w:t>
            </w:r>
          </w:p>
        </w:tc>
        <w:tc>
          <w:tcPr>
            <w:tcW w:w="1559" w:type="dxa"/>
            <w:tcBorders>
              <w:left w:val="single" w:sz="12" w:space="0" w:color="000000"/>
              <w:bottom w:val="single" w:sz="4" w:space="0" w:color="auto"/>
            </w:tcBorders>
            <w:shd w:val="clear" w:color="auto" w:fill="FFFFFF" w:themeFill="background1"/>
          </w:tcPr>
          <w:p w:rsidR="00F17CE4" w:rsidRPr="00F17CE4" w:rsidRDefault="00F17CE4" w:rsidP="00F17CE4">
            <w:pPr>
              <w:spacing w:before="0" w:after="0"/>
              <w:jc w:val="left"/>
              <w:rPr>
                <w:sz w:val="16"/>
                <w:szCs w:val="16"/>
              </w:rPr>
            </w:pPr>
            <w:r w:rsidRPr="00F17CE4">
              <w:rPr>
                <w:sz w:val="16"/>
                <w:szCs w:val="16"/>
              </w:rPr>
              <w:t>modernizace dle TP, 2 traťové koleje v obou směrech, V=100 km/h, nové SZZ, mimoúrovňová nást., nový most</w:t>
            </w:r>
          </w:p>
        </w:tc>
        <w:tc>
          <w:tcPr>
            <w:tcW w:w="1559" w:type="dxa"/>
            <w:tcBorders>
              <w:bottom w:val="single" w:sz="4" w:space="0" w:color="auto"/>
            </w:tcBorders>
            <w:shd w:val="clear" w:color="auto" w:fill="FFFFFF" w:themeFill="background1"/>
          </w:tcPr>
          <w:p w:rsidR="00F17CE4" w:rsidRPr="00F17CE4" w:rsidRDefault="00F17CE4" w:rsidP="00F17CE4">
            <w:pPr>
              <w:spacing w:before="0" w:after="0"/>
              <w:jc w:val="left"/>
              <w:rPr>
                <w:sz w:val="16"/>
                <w:szCs w:val="16"/>
              </w:rPr>
            </w:pPr>
            <w:r w:rsidRPr="00F17CE4">
              <w:rPr>
                <w:sz w:val="16"/>
                <w:szCs w:val="16"/>
              </w:rPr>
              <w:t>modernizace (přeložení 2 oblouků), zdvoukolejnění, V=160 km/h, TZZ autoblok</w:t>
            </w:r>
          </w:p>
        </w:tc>
        <w:tc>
          <w:tcPr>
            <w:tcW w:w="1559" w:type="dxa"/>
            <w:tcBorders>
              <w:bottom w:val="single" w:sz="4" w:space="0" w:color="auto"/>
            </w:tcBorders>
            <w:shd w:val="clear" w:color="auto" w:fill="FFFFFF" w:themeFill="background1"/>
          </w:tcPr>
          <w:p w:rsidR="00F17CE4" w:rsidRPr="00F17CE4" w:rsidRDefault="00F17CE4" w:rsidP="00F17CE4">
            <w:pPr>
              <w:spacing w:before="0" w:after="0"/>
              <w:jc w:val="left"/>
              <w:rPr>
                <w:sz w:val="16"/>
                <w:szCs w:val="16"/>
              </w:rPr>
            </w:pPr>
            <w:r w:rsidRPr="00F17CE4">
              <w:rPr>
                <w:sz w:val="16"/>
                <w:szCs w:val="16"/>
              </w:rPr>
              <w:t>modernizace dle PD, 2 koleje, V=160 km/h, TZZ autoblok</w:t>
            </w:r>
          </w:p>
        </w:tc>
        <w:tc>
          <w:tcPr>
            <w:tcW w:w="1559" w:type="dxa"/>
            <w:tcBorders>
              <w:bottom w:val="single" w:sz="4" w:space="0" w:color="auto"/>
            </w:tcBorders>
            <w:shd w:val="clear" w:color="auto" w:fill="FFFFFF" w:themeFill="background1"/>
          </w:tcPr>
          <w:p w:rsidR="00F17CE4" w:rsidRPr="00F17CE4" w:rsidRDefault="00F17CE4" w:rsidP="00F17CE4">
            <w:pPr>
              <w:spacing w:before="0" w:after="0"/>
              <w:jc w:val="left"/>
              <w:rPr>
                <w:sz w:val="16"/>
                <w:szCs w:val="16"/>
              </w:rPr>
            </w:pPr>
            <w:r w:rsidRPr="00F17CE4">
              <w:rPr>
                <w:sz w:val="16"/>
                <w:szCs w:val="16"/>
              </w:rPr>
              <w:t>modernizace (rektifikace 1 oblouku), zdvoukolejnění, V=160 km/h, TZZ autoblok</w:t>
            </w:r>
            <w:r w:rsidR="00EA344F">
              <w:rPr>
                <w:sz w:val="16"/>
                <w:szCs w:val="16"/>
              </w:rPr>
              <w:t>, nové SZZ</w:t>
            </w:r>
            <w:r w:rsidR="00391762">
              <w:rPr>
                <w:sz w:val="16"/>
                <w:szCs w:val="16"/>
              </w:rPr>
              <w:t>, zastávku Březhrad</w:t>
            </w:r>
          </w:p>
        </w:tc>
        <w:tc>
          <w:tcPr>
            <w:tcW w:w="1560" w:type="dxa"/>
            <w:tcBorders>
              <w:bottom w:val="single" w:sz="4" w:space="0" w:color="auto"/>
              <w:right w:val="single" w:sz="4" w:space="0" w:color="auto"/>
            </w:tcBorders>
            <w:shd w:val="clear" w:color="auto" w:fill="FFFFFF" w:themeFill="background1"/>
          </w:tcPr>
          <w:p w:rsidR="00F17CE4" w:rsidRPr="00F17CE4" w:rsidRDefault="00F17CE4" w:rsidP="00F17CE4">
            <w:pPr>
              <w:spacing w:before="0" w:after="0"/>
              <w:jc w:val="left"/>
              <w:rPr>
                <w:sz w:val="16"/>
                <w:szCs w:val="16"/>
              </w:rPr>
            </w:pPr>
            <w:r w:rsidRPr="00F17CE4">
              <w:rPr>
                <w:sz w:val="16"/>
                <w:szCs w:val="16"/>
              </w:rPr>
              <w:t>modernizace dle PD, 2 traťové koleje od PU, vjezdová V=100-</w:t>
            </w:r>
            <w:smartTag w:uri="urn:schemas-microsoft-com:office:smarttags" w:element="metricconverter">
              <w:smartTagPr>
                <w:attr w:name="ProductID" w:val="80 km/h"/>
              </w:smartTagPr>
              <w:r w:rsidRPr="00F17CE4">
                <w:rPr>
                  <w:sz w:val="16"/>
                  <w:szCs w:val="16"/>
                </w:rPr>
                <w:t>80 km/h</w:t>
              </w:r>
            </w:smartTag>
            <w:r w:rsidRPr="00F17CE4">
              <w:rPr>
                <w:sz w:val="16"/>
                <w:szCs w:val="16"/>
              </w:rPr>
              <w:t>, nové SZZ, nové strovní nástupiště</w:t>
            </w:r>
          </w:p>
        </w:tc>
      </w:tr>
    </w:tbl>
    <w:p w:rsidR="00B06619" w:rsidRPr="00FD63AB" w:rsidRDefault="009B3372" w:rsidP="00B06619">
      <w:r w:rsidRPr="00FD63AB">
        <w:t>Význam pojmů použitých v tabulce charakteristik úseků v jednotlivých variantách:</w:t>
      </w:r>
    </w:p>
    <w:p w:rsidR="00631EAB" w:rsidRDefault="009B3372" w:rsidP="00D20948">
      <w:pPr>
        <w:numPr>
          <w:ilvl w:val="0"/>
          <w:numId w:val="41"/>
        </w:numPr>
      </w:pPr>
      <w:r w:rsidRPr="00FD63AB">
        <w:t xml:space="preserve">„údržba, provozuschopnost“ – zajištění provozuschopnosti prostřednictvím údržby </w:t>
      </w:r>
      <w:r w:rsidR="00E8710E">
        <w:t>(</w:t>
      </w:r>
      <w:r w:rsidRPr="00FD63AB">
        <w:t>a oprav</w:t>
      </w:r>
      <w:r w:rsidR="00E8710E">
        <w:t>)</w:t>
      </w:r>
      <w:r w:rsidRPr="00FD63AB">
        <w:t xml:space="preserve"> infrastruktury v neinvestičním režimu financování</w:t>
      </w:r>
    </w:p>
    <w:p w:rsidR="00631EAB" w:rsidRDefault="009B3372" w:rsidP="00D20948">
      <w:pPr>
        <w:numPr>
          <w:ilvl w:val="0"/>
          <w:numId w:val="41"/>
        </w:numPr>
      </w:pPr>
      <w:r w:rsidRPr="00FD63AB">
        <w:t>„rekonstrukce na normový stav“ – úsporná forma rekonstrukce spočívající především v úpravách infrastruktury tak, aby došlo k dodržení předepsaných normových parametrů</w:t>
      </w:r>
      <w:r w:rsidR="00243644" w:rsidRPr="00FD63AB">
        <w:t>, financovaná v režimu investice</w:t>
      </w:r>
    </w:p>
    <w:p w:rsidR="00631EAB" w:rsidRDefault="00AE43EF" w:rsidP="00D20948">
      <w:pPr>
        <w:numPr>
          <w:ilvl w:val="0"/>
          <w:numId w:val="41"/>
        </w:numPr>
      </w:pPr>
      <w:r w:rsidRPr="00FD63AB" w:rsidDel="00AE43EF">
        <w:t xml:space="preserve"> </w:t>
      </w:r>
      <w:r w:rsidR="009B3372" w:rsidRPr="00FD63AB">
        <w:t xml:space="preserve">„modernizace“ – forma rekonstrukce ve stávající ose koleje případně i s přeložkami v traťových úsecích na rychlost až do </w:t>
      </w:r>
      <w:smartTag w:uri="urn:schemas-microsoft-com:office:smarttags" w:element="metricconverter">
        <w:smartTagPr>
          <w:attr w:name="ProductID" w:val="160 km/h"/>
        </w:smartTagPr>
        <w:r w:rsidR="009B3372" w:rsidRPr="00FD63AB">
          <w:t>160 km/h</w:t>
        </w:r>
      </w:smartTag>
      <w:r w:rsidR="009B3372" w:rsidRPr="00FD63AB">
        <w:t xml:space="preserve"> včetně</w:t>
      </w:r>
      <w:r w:rsidR="00243644" w:rsidRPr="00FD63AB">
        <w:t>, financovaná v režimu investice</w:t>
      </w:r>
    </w:p>
    <w:tbl>
      <w:tblPr>
        <w:tblW w:w="0" w:type="auto"/>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361"/>
        <w:gridCol w:w="1333"/>
        <w:gridCol w:w="1275"/>
        <w:gridCol w:w="1276"/>
        <w:gridCol w:w="1418"/>
        <w:gridCol w:w="1275"/>
        <w:gridCol w:w="1418"/>
      </w:tblGrid>
      <w:tr w:rsidR="0045441E" w:rsidRPr="00372D57" w:rsidTr="00416675">
        <w:trPr>
          <w:trHeight w:val="423"/>
        </w:trPr>
        <w:tc>
          <w:tcPr>
            <w:tcW w:w="9356"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45441E" w:rsidRPr="007476C8" w:rsidRDefault="0045441E" w:rsidP="00416675">
            <w:pPr>
              <w:pStyle w:val="Titulek"/>
              <w:rPr>
                <w:b w:val="0"/>
                <w:sz w:val="16"/>
                <w:szCs w:val="16"/>
              </w:rPr>
            </w:pPr>
            <w:bookmarkStart w:id="21" w:name="_Toc390958733"/>
            <w:bookmarkStart w:id="22" w:name="_Toc391034537"/>
            <w:r w:rsidRPr="00416675">
              <w:t xml:space="preserve">Tab. </w:t>
            </w:r>
            <w:r w:rsidR="000E79AE">
              <w:fldChar w:fldCharType="begin"/>
            </w:r>
            <w:r w:rsidR="000E79AE">
              <w:instrText xml:space="preserve"> STYLEREF 1 \s </w:instrText>
            </w:r>
            <w:r w:rsidR="000E79AE">
              <w:fldChar w:fldCharType="separate"/>
            </w:r>
            <w:r w:rsidR="003843F3">
              <w:rPr>
                <w:noProof/>
              </w:rPr>
              <w:t>2</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3</w:t>
            </w:r>
            <w:r w:rsidR="000E79AE">
              <w:fldChar w:fldCharType="end"/>
            </w:r>
            <w:r w:rsidRPr="00416675">
              <w:t>: Investiční náklady jednotlivých úseků</w:t>
            </w:r>
            <w:r w:rsidR="0065692C" w:rsidRPr="00416675">
              <w:t>,</w:t>
            </w:r>
            <w:r w:rsidRPr="00416675">
              <w:t xml:space="preserve"> variant </w:t>
            </w:r>
            <w:r w:rsidR="0065692C" w:rsidRPr="00416675">
              <w:t xml:space="preserve">a Etapy </w:t>
            </w:r>
            <w:r w:rsidRPr="00416675">
              <w:t>(v tis. Kč, CÚ 2013)</w:t>
            </w:r>
            <w:bookmarkEnd w:id="21"/>
            <w:bookmarkEnd w:id="22"/>
          </w:p>
        </w:tc>
      </w:tr>
      <w:tr w:rsidR="0045441E" w:rsidRPr="00372D57" w:rsidTr="00416675">
        <w:trPr>
          <w:trHeight w:val="1009"/>
        </w:trPr>
        <w:tc>
          <w:tcPr>
            <w:tcW w:w="1361" w:type="dxa"/>
            <w:tcBorders>
              <w:top w:val="single" w:sz="4" w:space="0" w:color="auto"/>
              <w:left w:val="single" w:sz="4" w:space="0" w:color="auto"/>
              <w:bottom w:val="single" w:sz="12" w:space="0" w:color="000000"/>
              <w:right w:val="single" w:sz="12" w:space="0" w:color="000000"/>
            </w:tcBorders>
            <w:shd w:val="pct10" w:color="auto" w:fill="auto"/>
            <w:vAlign w:val="center"/>
          </w:tcPr>
          <w:p w:rsidR="0045441E" w:rsidRPr="00372D57" w:rsidRDefault="0045441E" w:rsidP="0081323C">
            <w:pPr>
              <w:pStyle w:val="Tabulkovtext"/>
              <w:spacing w:before="0" w:after="0"/>
              <w:jc w:val="center"/>
              <w:rPr>
                <w:rFonts w:cs="Tahoma"/>
                <w:b/>
                <w:szCs w:val="18"/>
                <w:lang w:eastAsia="cs-CZ"/>
              </w:rPr>
            </w:pPr>
            <w:r w:rsidRPr="00372D57">
              <w:rPr>
                <w:rFonts w:cs="Tahoma"/>
                <w:b/>
                <w:szCs w:val="18"/>
                <w:lang w:eastAsia="cs-CZ"/>
              </w:rPr>
              <w:t xml:space="preserve">Varianta / </w:t>
            </w:r>
            <w:r>
              <w:rPr>
                <w:rFonts w:cs="Tahoma"/>
                <w:b/>
                <w:szCs w:val="18"/>
                <w:lang w:eastAsia="cs-CZ"/>
              </w:rPr>
              <w:t>Úsek</w:t>
            </w:r>
          </w:p>
        </w:tc>
        <w:tc>
          <w:tcPr>
            <w:tcW w:w="1333" w:type="dxa"/>
            <w:tcBorders>
              <w:top w:val="single" w:sz="4" w:space="0" w:color="auto"/>
              <w:left w:val="single" w:sz="12" w:space="0" w:color="000000"/>
              <w:bottom w:val="single" w:sz="12" w:space="0" w:color="000000"/>
            </w:tcBorders>
            <w:shd w:val="pct10" w:color="auto" w:fill="auto"/>
            <w:vAlign w:val="center"/>
          </w:tcPr>
          <w:p w:rsidR="0045441E" w:rsidRPr="00F02CAB" w:rsidRDefault="0045441E" w:rsidP="0081323C">
            <w:pPr>
              <w:spacing w:before="0" w:after="0"/>
              <w:jc w:val="center"/>
              <w:rPr>
                <w:sz w:val="16"/>
                <w:szCs w:val="16"/>
              </w:rPr>
            </w:pPr>
            <w:r w:rsidRPr="00F02CAB">
              <w:rPr>
                <w:sz w:val="16"/>
                <w:szCs w:val="16"/>
              </w:rPr>
              <w:t xml:space="preserve">Pardubice hl.n. (mimo) - Rosice </w:t>
            </w:r>
            <w:r>
              <w:rPr>
                <w:sz w:val="16"/>
                <w:szCs w:val="16"/>
              </w:rPr>
              <w:t>(vč.</w:t>
            </w:r>
            <w:r w:rsidRPr="00F02CAB">
              <w:rPr>
                <w:sz w:val="16"/>
                <w:szCs w:val="16"/>
              </w:rPr>
              <w:t>)</w:t>
            </w:r>
          </w:p>
        </w:tc>
        <w:tc>
          <w:tcPr>
            <w:tcW w:w="1275" w:type="dxa"/>
            <w:tcBorders>
              <w:top w:val="single" w:sz="4" w:space="0" w:color="auto"/>
              <w:bottom w:val="single" w:sz="12" w:space="0" w:color="000000"/>
            </w:tcBorders>
            <w:shd w:val="pct10" w:color="auto" w:fill="auto"/>
            <w:vAlign w:val="center"/>
          </w:tcPr>
          <w:p w:rsidR="0045441E" w:rsidRPr="00F02CAB" w:rsidRDefault="0045441E" w:rsidP="0081323C">
            <w:pPr>
              <w:spacing w:before="0" w:after="0"/>
              <w:jc w:val="center"/>
              <w:rPr>
                <w:sz w:val="16"/>
                <w:szCs w:val="16"/>
              </w:rPr>
            </w:pPr>
            <w:r w:rsidRPr="00F02CAB">
              <w:rPr>
                <w:sz w:val="16"/>
                <w:szCs w:val="16"/>
              </w:rPr>
              <w:t>Rosice (mimo) - Stéblová (mimo)</w:t>
            </w:r>
          </w:p>
        </w:tc>
        <w:tc>
          <w:tcPr>
            <w:tcW w:w="1276" w:type="dxa"/>
            <w:tcBorders>
              <w:top w:val="single" w:sz="4" w:space="0" w:color="auto"/>
              <w:bottom w:val="single" w:sz="12" w:space="0" w:color="000000"/>
            </w:tcBorders>
            <w:shd w:val="pct10" w:color="auto" w:fill="auto"/>
            <w:vAlign w:val="center"/>
          </w:tcPr>
          <w:p w:rsidR="0045441E" w:rsidRPr="00F02CAB" w:rsidRDefault="0045441E" w:rsidP="0081323C">
            <w:pPr>
              <w:spacing w:before="0" w:after="0"/>
              <w:jc w:val="center"/>
              <w:rPr>
                <w:sz w:val="16"/>
                <w:szCs w:val="16"/>
              </w:rPr>
            </w:pPr>
            <w:r w:rsidRPr="00F02CAB">
              <w:rPr>
                <w:sz w:val="16"/>
                <w:szCs w:val="16"/>
              </w:rPr>
              <w:t>Stéblová (vč.) - Opatovice (vč.)</w:t>
            </w:r>
          </w:p>
        </w:tc>
        <w:tc>
          <w:tcPr>
            <w:tcW w:w="1418" w:type="dxa"/>
            <w:tcBorders>
              <w:top w:val="single" w:sz="4" w:space="0" w:color="auto"/>
              <w:bottom w:val="single" w:sz="12" w:space="0" w:color="000000"/>
            </w:tcBorders>
            <w:shd w:val="pct10" w:color="auto" w:fill="auto"/>
            <w:vAlign w:val="center"/>
          </w:tcPr>
          <w:p w:rsidR="0045441E" w:rsidRPr="00F02CAB" w:rsidRDefault="0045441E" w:rsidP="0081323C">
            <w:pPr>
              <w:spacing w:before="0" w:after="0"/>
              <w:jc w:val="center"/>
              <w:rPr>
                <w:sz w:val="16"/>
                <w:szCs w:val="16"/>
              </w:rPr>
            </w:pPr>
            <w:r w:rsidRPr="00F02CAB">
              <w:rPr>
                <w:sz w:val="16"/>
                <w:szCs w:val="16"/>
              </w:rPr>
              <w:t>O</w:t>
            </w:r>
            <w:r>
              <w:rPr>
                <w:sz w:val="16"/>
                <w:szCs w:val="16"/>
              </w:rPr>
              <w:t>patovice (mimo) - HK</w:t>
            </w:r>
            <w:r w:rsidRPr="00F02CAB">
              <w:rPr>
                <w:sz w:val="16"/>
                <w:szCs w:val="16"/>
              </w:rPr>
              <w:t xml:space="preserve"> hl.n. (mimo)</w:t>
            </w:r>
          </w:p>
        </w:tc>
        <w:tc>
          <w:tcPr>
            <w:tcW w:w="1275" w:type="dxa"/>
            <w:tcBorders>
              <w:top w:val="single" w:sz="4" w:space="0" w:color="auto"/>
              <w:bottom w:val="single" w:sz="12" w:space="0" w:color="000000"/>
              <w:right w:val="single" w:sz="4" w:space="0" w:color="auto"/>
            </w:tcBorders>
            <w:shd w:val="pct10" w:color="auto" w:fill="auto"/>
            <w:vAlign w:val="center"/>
          </w:tcPr>
          <w:p w:rsidR="0045441E" w:rsidRPr="00F02CAB" w:rsidRDefault="0045441E" w:rsidP="0081323C">
            <w:pPr>
              <w:spacing w:before="0" w:after="0"/>
              <w:jc w:val="center"/>
              <w:rPr>
                <w:sz w:val="16"/>
                <w:szCs w:val="16"/>
              </w:rPr>
            </w:pPr>
            <w:r>
              <w:rPr>
                <w:sz w:val="16"/>
                <w:szCs w:val="16"/>
              </w:rPr>
              <w:t>HK</w:t>
            </w:r>
            <w:r w:rsidRPr="00F02CAB">
              <w:rPr>
                <w:sz w:val="16"/>
                <w:szCs w:val="16"/>
              </w:rPr>
              <w:t xml:space="preserve"> hl.n. - jižní zhlaví</w:t>
            </w:r>
          </w:p>
        </w:tc>
        <w:tc>
          <w:tcPr>
            <w:tcW w:w="1418" w:type="dxa"/>
            <w:tcBorders>
              <w:top w:val="single" w:sz="4" w:space="0" w:color="auto"/>
              <w:left w:val="single" w:sz="4" w:space="0" w:color="auto"/>
              <w:bottom w:val="single" w:sz="12" w:space="0" w:color="000000"/>
              <w:right w:val="single" w:sz="4" w:space="0" w:color="auto"/>
            </w:tcBorders>
            <w:shd w:val="pct10" w:color="auto" w:fill="auto"/>
            <w:vAlign w:val="center"/>
          </w:tcPr>
          <w:p w:rsidR="0045441E" w:rsidRPr="007476C8" w:rsidRDefault="0045441E" w:rsidP="0081323C">
            <w:pPr>
              <w:spacing w:before="0" w:after="0"/>
              <w:jc w:val="center"/>
              <w:rPr>
                <w:b/>
                <w:sz w:val="16"/>
                <w:szCs w:val="16"/>
              </w:rPr>
            </w:pPr>
            <w:r w:rsidRPr="007476C8">
              <w:rPr>
                <w:b/>
                <w:sz w:val="16"/>
                <w:szCs w:val="16"/>
              </w:rPr>
              <w:t>CELKEM IN (tis. Kč)</w:t>
            </w:r>
          </w:p>
        </w:tc>
      </w:tr>
      <w:tr w:rsidR="0045441E" w:rsidRPr="00372D57" w:rsidTr="00416675">
        <w:trPr>
          <w:trHeight w:val="20"/>
        </w:trPr>
        <w:tc>
          <w:tcPr>
            <w:tcW w:w="1361" w:type="dxa"/>
            <w:tcBorders>
              <w:top w:val="single" w:sz="12" w:space="0" w:color="000000"/>
              <w:left w:val="single" w:sz="4" w:space="0" w:color="auto"/>
              <w:right w:val="single" w:sz="12" w:space="0" w:color="000000"/>
            </w:tcBorders>
            <w:shd w:val="clear" w:color="auto" w:fill="auto"/>
            <w:vAlign w:val="center"/>
          </w:tcPr>
          <w:p w:rsidR="0045441E" w:rsidRPr="00372D57" w:rsidRDefault="0045441E" w:rsidP="00096442">
            <w:pPr>
              <w:spacing w:before="40" w:after="40"/>
              <w:jc w:val="center"/>
              <w:rPr>
                <w:b/>
                <w:sz w:val="18"/>
                <w:szCs w:val="18"/>
              </w:rPr>
            </w:pPr>
            <w:r w:rsidRPr="00372D57">
              <w:rPr>
                <w:b/>
                <w:sz w:val="18"/>
                <w:szCs w:val="18"/>
              </w:rPr>
              <w:t>Bez projektu</w:t>
            </w:r>
          </w:p>
        </w:tc>
        <w:tc>
          <w:tcPr>
            <w:tcW w:w="1333" w:type="dxa"/>
            <w:tcBorders>
              <w:top w:val="single" w:sz="12" w:space="0" w:color="000000"/>
              <w:left w:val="single" w:sz="12" w:space="0" w:color="000000"/>
              <w:bottom w:val="single" w:sz="4" w:space="0" w:color="000000"/>
            </w:tcBorders>
            <w:shd w:val="clear" w:color="auto" w:fill="FFFFFF" w:themeFill="background1"/>
            <w:vAlign w:val="center"/>
          </w:tcPr>
          <w:p w:rsidR="0045441E" w:rsidRPr="00AD5137" w:rsidRDefault="0045441E" w:rsidP="00096442">
            <w:pPr>
              <w:spacing w:before="40" w:after="40"/>
              <w:jc w:val="center"/>
              <w:rPr>
                <w:sz w:val="18"/>
                <w:szCs w:val="18"/>
              </w:rPr>
            </w:pPr>
            <w:r>
              <w:rPr>
                <w:sz w:val="18"/>
                <w:szCs w:val="18"/>
              </w:rPr>
              <w:t>0</w:t>
            </w:r>
          </w:p>
        </w:tc>
        <w:tc>
          <w:tcPr>
            <w:tcW w:w="1275" w:type="dxa"/>
            <w:tcBorders>
              <w:top w:val="single" w:sz="12" w:space="0" w:color="000000"/>
              <w:bottom w:val="single" w:sz="4" w:space="0" w:color="000000"/>
            </w:tcBorders>
            <w:shd w:val="clear" w:color="auto" w:fill="FFFFFF" w:themeFill="background1"/>
            <w:vAlign w:val="center"/>
          </w:tcPr>
          <w:p w:rsidR="0045441E" w:rsidRPr="00AD5137" w:rsidRDefault="0045441E" w:rsidP="00096442">
            <w:pPr>
              <w:spacing w:before="40" w:after="40"/>
              <w:jc w:val="center"/>
              <w:rPr>
                <w:sz w:val="18"/>
                <w:szCs w:val="18"/>
              </w:rPr>
            </w:pPr>
            <w:r>
              <w:rPr>
                <w:sz w:val="18"/>
                <w:szCs w:val="18"/>
              </w:rPr>
              <w:t>0</w:t>
            </w:r>
          </w:p>
        </w:tc>
        <w:tc>
          <w:tcPr>
            <w:tcW w:w="1276" w:type="dxa"/>
            <w:tcBorders>
              <w:top w:val="single" w:sz="12" w:space="0" w:color="000000"/>
              <w:bottom w:val="single" w:sz="4" w:space="0" w:color="000000"/>
            </w:tcBorders>
            <w:shd w:val="clear" w:color="auto" w:fill="FFFFFF" w:themeFill="background1"/>
            <w:vAlign w:val="center"/>
          </w:tcPr>
          <w:p w:rsidR="0045441E" w:rsidRPr="00AD5137" w:rsidRDefault="0045441E" w:rsidP="00096442">
            <w:pPr>
              <w:spacing w:before="40" w:after="40"/>
              <w:jc w:val="center"/>
              <w:rPr>
                <w:sz w:val="18"/>
                <w:szCs w:val="18"/>
              </w:rPr>
            </w:pPr>
            <w:r>
              <w:rPr>
                <w:sz w:val="18"/>
                <w:szCs w:val="18"/>
              </w:rPr>
              <w:t>0</w:t>
            </w:r>
          </w:p>
        </w:tc>
        <w:tc>
          <w:tcPr>
            <w:tcW w:w="1418" w:type="dxa"/>
            <w:tcBorders>
              <w:top w:val="single" w:sz="12" w:space="0" w:color="000000"/>
              <w:bottom w:val="single" w:sz="4" w:space="0" w:color="000000"/>
            </w:tcBorders>
            <w:shd w:val="clear" w:color="auto" w:fill="FFFFFF" w:themeFill="background1"/>
            <w:vAlign w:val="center"/>
          </w:tcPr>
          <w:p w:rsidR="0045441E" w:rsidRPr="00AD5137" w:rsidRDefault="0045441E" w:rsidP="00096442">
            <w:pPr>
              <w:spacing w:before="40" w:after="40"/>
              <w:jc w:val="center"/>
              <w:rPr>
                <w:sz w:val="18"/>
                <w:szCs w:val="18"/>
              </w:rPr>
            </w:pPr>
            <w:r>
              <w:rPr>
                <w:sz w:val="18"/>
                <w:szCs w:val="18"/>
              </w:rPr>
              <w:t>0</w:t>
            </w:r>
          </w:p>
        </w:tc>
        <w:tc>
          <w:tcPr>
            <w:tcW w:w="1275" w:type="dxa"/>
            <w:tcBorders>
              <w:top w:val="single" w:sz="12" w:space="0" w:color="000000"/>
              <w:bottom w:val="single" w:sz="4" w:space="0" w:color="000000"/>
              <w:right w:val="single" w:sz="4" w:space="0" w:color="auto"/>
            </w:tcBorders>
            <w:shd w:val="clear" w:color="auto" w:fill="FFFFFF" w:themeFill="background1"/>
            <w:vAlign w:val="center"/>
          </w:tcPr>
          <w:p w:rsidR="0045441E" w:rsidRPr="00AD5137" w:rsidRDefault="0045441E" w:rsidP="00096442">
            <w:pPr>
              <w:spacing w:before="40" w:after="40"/>
              <w:jc w:val="center"/>
              <w:rPr>
                <w:sz w:val="18"/>
                <w:szCs w:val="18"/>
              </w:rPr>
            </w:pPr>
            <w:r>
              <w:rPr>
                <w:sz w:val="18"/>
                <w:szCs w:val="18"/>
              </w:rPr>
              <w:t>0</w:t>
            </w:r>
          </w:p>
        </w:tc>
        <w:tc>
          <w:tcPr>
            <w:tcW w:w="1418" w:type="dxa"/>
            <w:tcBorders>
              <w:top w:val="single" w:sz="12" w:space="0" w:color="000000"/>
              <w:left w:val="single" w:sz="4" w:space="0" w:color="auto"/>
              <w:right w:val="single" w:sz="4" w:space="0" w:color="auto"/>
            </w:tcBorders>
            <w:shd w:val="clear" w:color="auto" w:fill="D9D9D9" w:themeFill="background1" w:themeFillShade="D9"/>
            <w:vAlign w:val="center"/>
          </w:tcPr>
          <w:p w:rsidR="0045441E" w:rsidRPr="0011588B" w:rsidRDefault="0045441E" w:rsidP="00096442">
            <w:pPr>
              <w:spacing w:before="40" w:after="40"/>
              <w:jc w:val="center"/>
              <w:rPr>
                <w:b/>
                <w:sz w:val="18"/>
                <w:szCs w:val="18"/>
              </w:rPr>
            </w:pPr>
            <w:r w:rsidRPr="0011588B">
              <w:rPr>
                <w:b/>
                <w:sz w:val="18"/>
                <w:szCs w:val="18"/>
              </w:rPr>
              <w:t>0</w:t>
            </w:r>
          </w:p>
        </w:tc>
      </w:tr>
      <w:tr w:rsidR="0045441E" w:rsidRPr="00372D57" w:rsidTr="00416675">
        <w:trPr>
          <w:trHeight w:val="20"/>
        </w:trPr>
        <w:tc>
          <w:tcPr>
            <w:tcW w:w="1361" w:type="dxa"/>
            <w:tcBorders>
              <w:left w:val="single" w:sz="4" w:space="0" w:color="auto"/>
              <w:right w:val="single" w:sz="12" w:space="0" w:color="000000"/>
            </w:tcBorders>
            <w:shd w:val="clear" w:color="auto" w:fill="auto"/>
            <w:vAlign w:val="center"/>
          </w:tcPr>
          <w:p w:rsidR="0045441E" w:rsidRPr="00372D57" w:rsidRDefault="0045441E" w:rsidP="00096442">
            <w:pPr>
              <w:spacing w:before="40" w:after="40"/>
              <w:jc w:val="center"/>
              <w:rPr>
                <w:b/>
                <w:sz w:val="18"/>
                <w:szCs w:val="18"/>
              </w:rPr>
            </w:pPr>
            <w:r w:rsidRPr="00372D57">
              <w:rPr>
                <w:b/>
                <w:sz w:val="18"/>
                <w:szCs w:val="18"/>
              </w:rPr>
              <w:t>Minimální</w:t>
            </w:r>
          </w:p>
        </w:tc>
        <w:tc>
          <w:tcPr>
            <w:tcW w:w="1333" w:type="dxa"/>
            <w:tcBorders>
              <w:left w:val="single" w:sz="12" w:space="0" w:color="000000"/>
              <w:bottom w:val="single" w:sz="4" w:space="0" w:color="000000"/>
            </w:tcBorders>
            <w:shd w:val="clear" w:color="auto" w:fill="FFFFFF" w:themeFill="background1"/>
            <w:vAlign w:val="center"/>
          </w:tcPr>
          <w:p w:rsidR="0045441E" w:rsidRPr="00AD5137" w:rsidRDefault="005A0965" w:rsidP="00096442">
            <w:pPr>
              <w:spacing w:before="40" w:after="40"/>
              <w:jc w:val="center"/>
              <w:rPr>
                <w:sz w:val="18"/>
                <w:szCs w:val="18"/>
              </w:rPr>
            </w:pPr>
            <w:r>
              <w:rPr>
                <w:sz w:val="18"/>
                <w:szCs w:val="18"/>
              </w:rPr>
              <w:t>441 384</w:t>
            </w:r>
          </w:p>
        </w:tc>
        <w:tc>
          <w:tcPr>
            <w:tcW w:w="1275" w:type="dxa"/>
            <w:tcBorders>
              <w:bottom w:val="single" w:sz="4" w:space="0" w:color="000000"/>
            </w:tcBorders>
            <w:shd w:val="clear" w:color="auto" w:fill="FFFFFF" w:themeFill="background1"/>
            <w:vAlign w:val="center"/>
          </w:tcPr>
          <w:p w:rsidR="0045441E" w:rsidRPr="00AD5137" w:rsidRDefault="00B3501C" w:rsidP="00096442">
            <w:pPr>
              <w:spacing w:before="40" w:after="40"/>
              <w:jc w:val="center"/>
              <w:rPr>
                <w:b/>
                <w:bCs/>
                <w:kern w:val="28"/>
                <w:sz w:val="18"/>
                <w:szCs w:val="18"/>
              </w:rPr>
            </w:pPr>
            <w:r>
              <w:rPr>
                <w:sz w:val="18"/>
                <w:szCs w:val="18"/>
              </w:rPr>
              <w:t>18</w:t>
            </w:r>
            <w:r w:rsidR="005A0965">
              <w:rPr>
                <w:sz w:val="18"/>
                <w:szCs w:val="18"/>
              </w:rPr>
              <w:t>3</w:t>
            </w:r>
            <w:r>
              <w:rPr>
                <w:sz w:val="18"/>
                <w:szCs w:val="18"/>
              </w:rPr>
              <w:t xml:space="preserve"> </w:t>
            </w:r>
            <w:r w:rsidR="005A0965">
              <w:rPr>
                <w:sz w:val="18"/>
                <w:szCs w:val="18"/>
              </w:rPr>
              <w:t>560</w:t>
            </w:r>
          </w:p>
        </w:tc>
        <w:tc>
          <w:tcPr>
            <w:tcW w:w="1276" w:type="dxa"/>
            <w:tcBorders>
              <w:bottom w:val="single" w:sz="4" w:space="0" w:color="000000"/>
            </w:tcBorders>
            <w:shd w:val="clear" w:color="auto" w:fill="FFFFFF" w:themeFill="background1"/>
            <w:vAlign w:val="center"/>
          </w:tcPr>
          <w:p w:rsidR="0045441E" w:rsidRPr="00AD5137" w:rsidRDefault="00B3501C" w:rsidP="00096442">
            <w:pPr>
              <w:spacing w:before="40" w:after="40"/>
              <w:jc w:val="center"/>
              <w:rPr>
                <w:b/>
                <w:bCs/>
                <w:kern w:val="28"/>
                <w:sz w:val="18"/>
                <w:szCs w:val="18"/>
              </w:rPr>
            </w:pPr>
            <w:r>
              <w:rPr>
                <w:sz w:val="18"/>
                <w:szCs w:val="18"/>
              </w:rPr>
              <w:t>85</w:t>
            </w:r>
            <w:r w:rsidR="005A0965">
              <w:rPr>
                <w:sz w:val="18"/>
                <w:szCs w:val="18"/>
              </w:rPr>
              <w:t>8</w:t>
            </w:r>
            <w:r>
              <w:rPr>
                <w:sz w:val="18"/>
                <w:szCs w:val="18"/>
              </w:rPr>
              <w:t xml:space="preserve"> 9</w:t>
            </w:r>
            <w:r w:rsidR="005A0965">
              <w:rPr>
                <w:sz w:val="18"/>
                <w:szCs w:val="18"/>
              </w:rPr>
              <w:t>39</w:t>
            </w:r>
          </w:p>
        </w:tc>
        <w:tc>
          <w:tcPr>
            <w:tcW w:w="1418" w:type="dxa"/>
            <w:tcBorders>
              <w:bottom w:val="single" w:sz="4" w:space="0" w:color="000000"/>
            </w:tcBorders>
            <w:shd w:val="clear" w:color="auto" w:fill="FFFFFF" w:themeFill="background1"/>
            <w:vAlign w:val="center"/>
          </w:tcPr>
          <w:p w:rsidR="0045441E" w:rsidRPr="00AD5137" w:rsidRDefault="00B3501C" w:rsidP="00096442">
            <w:pPr>
              <w:spacing w:before="40" w:after="40"/>
              <w:jc w:val="center"/>
              <w:rPr>
                <w:b/>
                <w:bCs/>
                <w:kern w:val="28"/>
                <w:sz w:val="18"/>
                <w:szCs w:val="18"/>
              </w:rPr>
            </w:pPr>
            <w:r>
              <w:rPr>
                <w:sz w:val="18"/>
                <w:szCs w:val="18"/>
              </w:rPr>
              <w:t>16</w:t>
            </w:r>
            <w:r w:rsidR="005A0965">
              <w:rPr>
                <w:sz w:val="18"/>
                <w:szCs w:val="18"/>
              </w:rPr>
              <w:t>8</w:t>
            </w:r>
            <w:r>
              <w:rPr>
                <w:sz w:val="18"/>
                <w:szCs w:val="18"/>
              </w:rPr>
              <w:t> </w:t>
            </w:r>
            <w:r w:rsidR="005A0965">
              <w:rPr>
                <w:sz w:val="18"/>
                <w:szCs w:val="18"/>
              </w:rPr>
              <w:t>844</w:t>
            </w:r>
          </w:p>
        </w:tc>
        <w:tc>
          <w:tcPr>
            <w:tcW w:w="1275" w:type="dxa"/>
            <w:tcBorders>
              <w:bottom w:val="single" w:sz="4" w:space="0" w:color="000000"/>
              <w:right w:val="single" w:sz="4" w:space="0" w:color="auto"/>
            </w:tcBorders>
            <w:shd w:val="clear" w:color="auto" w:fill="FFFFFF" w:themeFill="background1"/>
            <w:vAlign w:val="center"/>
          </w:tcPr>
          <w:p w:rsidR="0045441E" w:rsidRPr="00AD5137" w:rsidRDefault="0045441E" w:rsidP="00096442">
            <w:pPr>
              <w:spacing w:before="40" w:after="40"/>
              <w:jc w:val="center"/>
              <w:rPr>
                <w:b/>
                <w:bCs/>
                <w:kern w:val="28"/>
                <w:sz w:val="18"/>
                <w:szCs w:val="18"/>
              </w:rPr>
            </w:pPr>
            <w:r>
              <w:rPr>
                <w:sz w:val="18"/>
                <w:szCs w:val="18"/>
              </w:rPr>
              <w:t>6</w:t>
            </w:r>
            <w:r w:rsidR="005A0965">
              <w:rPr>
                <w:sz w:val="18"/>
                <w:szCs w:val="18"/>
              </w:rPr>
              <w:t>69</w:t>
            </w:r>
            <w:r>
              <w:rPr>
                <w:sz w:val="18"/>
                <w:szCs w:val="18"/>
              </w:rPr>
              <w:t xml:space="preserve"> </w:t>
            </w:r>
            <w:r w:rsidR="005A0965">
              <w:rPr>
                <w:sz w:val="18"/>
                <w:szCs w:val="18"/>
              </w:rPr>
              <w:t>983</w:t>
            </w:r>
          </w:p>
        </w:tc>
        <w:tc>
          <w:tcPr>
            <w:tcW w:w="1418" w:type="dxa"/>
            <w:tcBorders>
              <w:left w:val="single" w:sz="4" w:space="0" w:color="auto"/>
              <w:right w:val="single" w:sz="4" w:space="0" w:color="auto"/>
            </w:tcBorders>
            <w:shd w:val="clear" w:color="auto" w:fill="D9D9D9" w:themeFill="background1" w:themeFillShade="D9"/>
            <w:vAlign w:val="center"/>
          </w:tcPr>
          <w:p w:rsidR="0045441E" w:rsidRPr="0011588B" w:rsidRDefault="00B3501C" w:rsidP="00096442">
            <w:pPr>
              <w:spacing w:before="40" w:after="40"/>
              <w:jc w:val="center"/>
              <w:rPr>
                <w:b/>
                <w:bCs/>
                <w:kern w:val="28"/>
                <w:sz w:val="18"/>
                <w:szCs w:val="18"/>
              </w:rPr>
            </w:pPr>
            <w:r>
              <w:rPr>
                <w:b/>
                <w:sz w:val="18"/>
                <w:szCs w:val="18"/>
              </w:rPr>
              <w:t>2 </w:t>
            </w:r>
            <w:r w:rsidR="005A0965">
              <w:rPr>
                <w:b/>
                <w:sz w:val="18"/>
                <w:szCs w:val="18"/>
              </w:rPr>
              <w:t>322</w:t>
            </w:r>
            <w:r>
              <w:rPr>
                <w:b/>
                <w:sz w:val="18"/>
                <w:szCs w:val="18"/>
              </w:rPr>
              <w:t xml:space="preserve"> </w:t>
            </w:r>
            <w:r w:rsidR="005A0965">
              <w:rPr>
                <w:b/>
                <w:sz w:val="18"/>
                <w:szCs w:val="18"/>
              </w:rPr>
              <w:t>710</w:t>
            </w:r>
          </w:p>
        </w:tc>
      </w:tr>
      <w:tr w:rsidR="0045441E" w:rsidRPr="00372D57" w:rsidTr="00416675">
        <w:trPr>
          <w:trHeight w:val="20"/>
        </w:trPr>
        <w:tc>
          <w:tcPr>
            <w:tcW w:w="1361" w:type="dxa"/>
            <w:tcBorders>
              <w:left w:val="single" w:sz="4" w:space="0" w:color="auto"/>
              <w:right w:val="single" w:sz="12" w:space="0" w:color="000000"/>
            </w:tcBorders>
            <w:shd w:val="clear" w:color="auto" w:fill="auto"/>
            <w:vAlign w:val="center"/>
          </w:tcPr>
          <w:p w:rsidR="0045441E" w:rsidRPr="00372D57" w:rsidRDefault="00EC670C" w:rsidP="00096442">
            <w:pPr>
              <w:spacing w:before="40" w:after="40"/>
              <w:jc w:val="center"/>
              <w:rPr>
                <w:b/>
                <w:sz w:val="18"/>
                <w:szCs w:val="18"/>
              </w:rPr>
            </w:pPr>
            <w:r>
              <w:rPr>
                <w:b/>
                <w:sz w:val="18"/>
                <w:szCs w:val="18"/>
              </w:rPr>
              <w:t>Etapa</w:t>
            </w:r>
          </w:p>
        </w:tc>
        <w:tc>
          <w:tcPr>
            <w:tcW w:w="1333" w:type="dxa"/>
            <w:tcBorders>
              <w:left w:val="single" w:sz="12" w:space="0" w:color="000000"/>
            </w:tcBorders>
            <w:shd w:val="clear" w:color="auto" w:fill="FFFFFF" w:themeFill="background1"/>
            <w:vAlign w:val="center"/>
          </w:tcPr>
          <w:p w:rsidR="0045441E" w:rsidRPr="00372D57" w:rsidRDefault="00B3501C" w:rsidP="00096442">
            <w:pPr>
              <w:spacing w:before="40" w:after="40"/>
              <w:jc w:val="center"/>
              <w:rPr>
                <w:sz w:val="18"/>
                <w:szCs w:val="18"/>
              </w:rPr>
            </w:pPr>
            <w:r>
              <w:rPr>
                <w:sz w:val="18"/>
                <w:szCs w:val="18"/>
              </w:rPr>
              <w:t>0</w:t>
            </w:r>
          </w:p>
        </w:tc>
        <w:tc>
          <w:tcPr>
            <w:tcW w:w="1275" w:type="dxa"/>
            <w:shd w:val="clear" w:color="auto" w:fill="FFFFFF" w:themeFill="background1"/>
            <w:vAlign w:val="center"/>
          </w:tcPr>
          <w:p w:rsidR="0045441E" w:rsidRPr="00372D57" w:rsidRDefault="00B3501C" w:rsidP="00096442">
            <w:pPr>
              <w:spacing w:before="40" w:after="40"/>
              <w:jc w:val="center"/>
              <w:rPr>
                <w:b/>
                <w:bCs/>
                <w:kern w:val="28"/>
                <w:sz w:val="18"/>
                <w:szCs w:val="18"/>
              </w:rPr>
            </w:pPr>
            <w:r>
              <w:rPr>
                <w:sz w:val="18"/>
                <w:szCs w:val="18"/>
              </w:rPr>
              <w:t xml:space="preserve">15 </w:t>
            </w:r>
            <w:r w:rsidR="005A0965">
              <w:rPr>
                <w:sz w:val="18"/>
                <w:szCs w:val="18"/>
              </w:rPr>
              <w:t>984</w:t>
            </w:r>
          </w:p>
        </w:tc>
        <w:tc>
          <w:tcPr>
            <w:tcW w:w="1276" w:type="dxa"/>
            <w:shd w:val="clear" w:color="auto" w:fill="FFFFFF" w:themeFill="background1"/>
            <w:vAlign w:val="center"/>
          </w:tcPr>
          <w:p w:rsidR="0045441E" w:rsidRPr="00372D57" w:rsidRDefault="00B3501C" w:rsidP="00096442">
            <w:pPr>
              <w:spacing w:before="40" w:after="40"/>
              <w:jc w:val="center"/>
              <w:rPr>
                <w:b/>
                <w:bCs/>
                <w:kern w:val="28"/>
                <w:sz w:val="18"/>
                <w:szCs w:val="18"/>
              </w:rPr>
            </w:pPr>
            <w:r>
              <w:rPr>
                <w:sz w:val="18"/>
                <w:szCs w:val="18"/>
              </w:rPr>
              <w:t>98</w:t>
            </w:r>
            <w:r w:rsidR="00FC050C">
              <w:rPr>
                <w:sz w:val="18"/>
                <w:szCs w:val="18"/>
              </w:rPr>
              <w:t xml:space="preserve">5 </w:t>
            </w:r>
            <w:r w:rsidR="005A0965">
              <w:rPr>
                <w:sz w:val="18"/>
                <w:szCs w:val="18"/>
              </w:rPr>
              <w:t>529</w:t>
            </w:r>
          </w:p>
        </w:tc>
        <w:tc>
          <w:tcPr>
            <w:tcW w:w="1418" w:type="dxa"/>
            <w:shd w:val="clear" w:color="auto" w:fill="FFFFFF" w:themeFill="background1"/>
            <w:vAlign w:val="center"/>
          </w:tcPr>
          <w:p w:rsidR="0045441E" w:rsidRPr="00372D57" w:rsidRDefault="00B3501C" w:rsidP="00096442">
            <w:pPr>
              <w:spacing w:before="40" w:after="40"/>
              <w:jc w:val="center"/>
              <w:rPr>
                <w:sz w:val="18"/>
                <w:szCs w:val="18"/>
              </w:rPr>
            </w:pPr>
            <w:r>
              <w:rPr>
                <w:sz w:val="18"/>
                <w:szCs w:val="18"/>
              </w:rPr>
              <w:t>0</w:t>
            </w:r>
          </w:p>
        </w:tc>
        <w:tc>
          <w:tcPr>
            <w:tcW w:w="1275" w:type="dxa"/>
            <w:tcBorders>
              <w:right w:val="single" w:sz="4" w:space="0" w:color="auto"/>
            </w:tcBorders>
            <w:shd w:val="clear" w:color="auto" w:fill="FFFFFF" w:themeFill="background1"/>
            <w:vAlign w:val="center"/>
          </w:tcPr>
          <w:p w:rsidR="0045441E" w:rsidRPr="00372D57" w:rsidRDefault="00B3501C" w:rsidP="00096442">
            <w:pPr>
              <w:spacing w:before="40" w:after="40"/>
              <w:jc w:val="center"/>
              <w:rPr>
                <w:sz w:val="18"/>
                <w:szCs w:val="18"/>
              </w:rPr>
            </w:pPr>
            <w:r>
              <w:rPr>
                <w:sz w:val="18"/>
                <w:szCs w:val="18"/>
              </w:rPr>
              <w:t>0</w:t>
            </w:r>
          </w:p>
        </w:tc>
        <w:tc>
          <w:tcPr>
            <w:tcW w:w="1418" w:type="dxa"/>
            <w:tcBorders>
              <w:left w:val="single" w:sz="4" w:space="0" w:color="auto"/>
              <w:right w:val="single" w:sz="4" w:space="0" w:color="auto"/>
            </w:tcBorders>
            <w:shd w:val="clear" w:color="auto" w:fill="D9D9D9" w:themeFill="background1" w:themeFillShade="D9"/>
            <w:vAlign w:val="center"/>
          </w:tcPr>
          <w:p w:rsidR="0045441E" w:rsidRPr="0011588B" w:rsidRDefault="00B3501C" w:rsidP="00096442">
            <w:pPr>
              <w:spacing w:before="40" w:after="40"/>
              <w:jc w:val="center"/>
              <w:rPr>
                <w:b/>
                <w:sz w:val="18"/>
                <w:szCs w:val="18"/>
              </w:rPr>
            </w:pPr>
            <w:r>
              <w:rPr>
                <w:b/>
                <w:sz w:val="18"/>
                <w:szCs w:val="18"/>
              </w:rPr>
              <w:t>1 001 514</w:t>
            </w:r>
          </w:p>
        </w:tc>
      </w:tr>
      <w:tr w:rsidR="0045441E" w:rsidRPr="00372D57" w:rsidTr="00416675">
        <w:trPr>
          <w:trHeight w:val="20"/>
        </w:trPr>
        <w:tc>
          <w:tcPr>
            <w:tcW w:w="1361" w:type="dxa"/>
            <w:tcBorders>
              <w:left w:val="single" w:sz="4" w:space="0" w:color="auto"/>
              <w:bottom w:val="single" w:sz="4" w:space="0" w:color="auto"/>
              <w:right w:val="single" w:sz="12" w:space="0" w:color="000000"/>
            </w:tcBorders>
            <w:shd w:val="clear" w:color="auto" w:fill="auto"/>
            <w:vAlign w:val="center"/>
          </w:tcPr>
          <w:p w:rsidR="0045441E" w:rsidRPr="00372D57" w:rsidRDefault="0045441E" w:rsidP="00096442">
            <w:pPr>
              <w:spacing w:before="40" w:after="40"/>
              <w:jc w:val="center"/>
              <w:rPr>
                <w:b/>
                <w:sz w:val="18"/>
                <w:szCs w:val="18"/>
              </w:rPr>
            </w:pPr>
            <w:r>
              <w:rPr>
                <w:b/>
                <w:sz w:val="18"/>
                <w:szCs w:val="18"/>
              </w:rPr>
              <w:t>Maximální</w:t>
            </w:r>
          </w:p>
        </w:tc>
        <w:tc>
          <w:tcPr>
            <w:tcW w:w="1333" w:type="dxa"/>
            <w:tcBorders>
              <w:left w:val="single" w:sz="12" w:space="0" w:color="000000"/>
              <w:bottom w:val="single" w:sz="4" w:space="0" w:color="auto"/>
            </w:tcBorders>
            <w:shd w:val="clear" w:color="auto" w:fill="FFFFFF" w:themeFill="background1"/>
            <w:vAlign w:val="center"/>
          </w:tcPr>
          <w:p w:rsidR="0045441E" w:rsidRPr="00372D57" w:rsidRDefault="0045441E" w:rsidP="00096442">
            <w:pPr>
              <w:spacing w:before="40" w:after="40"/>
              <w:jc w:val="center"/>
              <w:rPr>
                <w:b/>
                <w:bCs/>
                <w:kern w:val="28"/>
                <w:sz w:val="18"/>
                <w:szCs w:val="18"/>
              </w:rPr>
            </w:pPr>
            <w:r>
              <w:rPr>
                <w:sz w:val="18"/>
                <w:szCs w:val="18"/>
              </w:rPr>
              <w:t>1 1</w:t>
            </w:r>
            <w:r w:rsidR="005A0965">
              <w:rPr>
                <w:sz w:val="18"/>
                <w:szCs w:val="18"/>
              </w:rPr>
              <w:t>5</w:t>
            </w:r>
            <w:r>
              <w:rPr>
                <w:sz w:val="18"/>
                <w:szCs w:val="18"/>
              </w:rPr>
              <w:t xml:space="preserve">1 </w:t>
            </w:r>
            <w:r w:rsidR="005A0965">
              <w:rPr>
                <w:sz w:val="18"/>
                <w:szCs w:val="18"/>
              </w:rPr>
              <w:t>731</w:t>
            </w:r>
          </w:p>
        </w:tc>
        <w:tc>
          <w:tcPr>
            <w:tcW w:w="1275" w:type="dxa"/>
            <w:tcBorders>
              <w:bottom w:val="single" w:sz="4" w:space="0" w:color="auto"/>
            </w:tcBorders>
            <w:shd w:val="clear" w:color="auto" w:fill="FFFFFF" w:themeFill="background1"/>
            <w:vAlign w:val="center"/>
          </w:tcPr>
          <w:p w:rsidR="0045441E" w:rsidRPr="00372D57" w:rsidRDefault="00B3501C" w:rsidP="00096442">
            <w:pPr>
              <w:spacing w:before="40" w:after="40"/>
              <w:jc w:val="center"/>
              <w:rPr>
                <w:b/>
                <w:bCs/>
                <w:kern w:val="28"/>
                <w:sz w:val="18"/>
                <w:szCs w:val="18"/>
              </w:rPr>
            </w:pPr>
            <w:r>
              <w:rPr>
                <w:sz w:val="18"/>
                <w:szCs w:val="18"/>
              </w:rPr>
              <w:t>5</w:t>
            </w:r>
            <w:r w:rsidR="005A0965">
              <w:rPr>
                <w:sz w:val="18"/>
                <w:szCs w:val="18"/>
              </w:rPr>
              <w:t>42</w:t>
            </w:r>
            <w:r w:rsidR="0045441E">
              <w:rPr>
                <w:sz w:val="18"/>
                <w:szCs w:val="18"/>
              </w:rPr>
              <w:t xml:space="preserve"> </w:t>
            </w:r>
            <w:r w:rsidR="005A0965">
              <w:rPr>
                <w:sz w:val="18"/>
                <w:szCs w:val="18"/>
              </w:rPr>
              <w:t>591</w:t>
            </w:r>
          </w:p>
        </w:tc>
        <w:tc>
          <w:tcPr>
            <w:tcW w:w="1276" w:type="dxa"/>
            <w:tcBorders>
              <w:bottom w:val="single" w:sz="4" w:space="0" w:color="auto"/>
            </w:tcBorders>
            <w:shd w:val="clear" w:color="auto" w:fill="FFFFFF" w:themeFill="background1"/>
            <w:vAlign w:val="center"/>
          </w:tcPr>
          <w:p w:rsidR="0045441E" w:rsidRPr="00372D57" w:rsidRDefault="0045441E" w:rsidP="00096442">
            <w:pPr>
              <w:spacing w:before="40" w:after="40"/>
              <w:jc w:val="center"/>
              <w:rPr>
                <w:b/>
                <w:bCs/>
                <w:kern w:val="28"/>
                <w:sz w:val="18"/>
                <w:szCs w:val="18"/>
              </w:rPr>
            </w:pPr>
            <w:r>
              <w:rPr>
                <w:sz w:val="18"/>
                <w:szCs w:val="18"/>
              </w:rPr>
              <w:t>1 5</w:t>
            </w:r>
            <w:r w:rsidR="005A0965">
              <w:rPr>
                <w:sz w:val="18"/>
                <w:szCs w:val="18"/>
              </w:rPr>
              <w:t>92</w:t>
            </w:r>
            <w:r>
              <w:rPr>
                <w:sz w:val="18"/>
                <w:szCs w:val="18"/>
              </w:rPr>
              <w:t xml:space="preserve"> </w:t>
            </w:r>
            <w:r w:rsidR="005A0965">
              <w:rPr>
                <w:sz w:val="18"/>
                <w:szCs w:val="18"/>
              </w:rPr>
              <w:t>395</w:t>
            </w:r>
          </w:p>
        </w:tc>
        <w:tc>
          <w:tcPr>
            <w:tcW w:w="1418" w:type="dxa"/>
            <w:tcBorders>
              <w:bottom w:val="single" w:sz="4" w:space="0" w:color="auto"/>
            </w:tcBorders>
            <w:shd w:val="clear" w:color="auto" w:fill="FFFFFF" w:themeFill="background1"/>
            <w:vAlign w:val="center"/>
          </w:tcPr>
          <w:p w:rsidR="0045441E" w:rsidRPr="00372D57" w:rsidRDefault="00B3501C" w:rsidP="00096442">
            <w:pPr>
              <w:spacing w:before="40" w:after="40"/>
              <w:jc w:val="center"/>
              <w:rPr>
                <w:b/>
                <w:bCs/>
                <w:kern w:val="28"/>
                <w:sz w:val="18"/>
                <w:szCs w:val="18"/>
              </w:rPr>
            </w:pPr>
            <w:r>
              <w:rPr>
                <w:sz w:val="18"/>
                <w:szCs w:val="18"/>
              </w:rPr>
              <w:t>3</w:t>
            </w:r>
            <w:r w:rsidR="005A0965">
              <w:rPr>
                <w:sz w:val="18"/>
                <w:szCs w:val="18"/>
              </w:rPr>
              <w:t>9</w:t>
            </w:r>
            <w:r>
              <w:rPr>
                <w:sz w:val="18"/>
                <w:szCs w:val="18"/>
              </w:rPr>
              <w:t>4</w:t>
            </w:r>
            <w:r w:rsidR="0045441E">
              <w:rPr>
                <w:sz w:val="18"/>
                <w:szCs w:val="18"/>
              </w:rPr>
              <w:t xml:space="preserve"> </w:t>
            </w:r>
            <w:r>
              <w:rPr>
                <w:sz w:val="18"/>
                <w:szCs w:val="18"/>
              </w:rPr>
              <w:t>5</w:t>
            </w:r>
            <w:r w:rsidR="005A0965">
              <w:rPr>
                <w:sz w:val="18"/>
                <w:szCs w:val="18"/>
              </w:rPr>
              <w:t>82</w:t>
            </w:r>
          </w:p>
        </w:tc>
        <w:tc>
          <w:tcPr>
            <w:tcW w:w="1275" w:type="dxa"/>
            <w:tcBorders>
              <w:bottom w:val="single" w:sz="4" w:space="0" w:color="auto"/>
              <w:right w:val="single" w:sz="4" w:space="0" w:color="auto"/>
            </w:tcBorders>
            <w:shd w:val="clear" w:color="auto" w:fill="FFFFFF" w:themeFill="background1"/>
            <w:vAlign w:val="center"/>
          </w:tcPr>
          <w:p w:rsidR="0045441E" w:rsidRPr="00372D57" w:rsidRDefault="00B3501C" w:rsidP="00096442">
            <w:pPr>
              <w:spacing w:before="40" w:after="40"/>
              <w:jc w:val="center"/>
              <w:rPr>
                <w:b/>
                <w:bCs/>
                <w:kern w:val="28"/>
                <w:sz w:val="18"/>
                <w:szCs w:val="18"/>
              </w:rPr>
            </w:pPr>
            <w:r>
              <w:rPr>
                <w:sz w:val="18"/>
                <w:szCs w:val="18"/>
              </w:rPr>
              <w:t>1 </w:t>
            </w:r>
            <w:r w:rsidR="005A0965">
              <w:rPr>
                <w:sz w:val="18"/>
                <w:szCs w:val="18"/>
              </w:rPr>
              <w:t>245 250</w:t>
            </w:r>
          </w:p>
        </w:tc>
        <w:tc>
          <w:tcPr>
            <w:tcW w:w="1418" w:type="dxa"/>
            <w:tcBorders>
              <w:left w:val="single" w:sz="4" w:space="0" w:color="auto"/>
              <w:bottom w:val="single" w:sz="4" w:space="0" w:color="auto"/>
              <w:right w:val="single" w:sz="4" w:space="0" w:color="auto"/>
            </w:tcBorders>
            <w:shd w:val="clear" w:color="auto" w:fill="D9D9D9" w:themeFill="background1" w:themeFillShade="D9"/>
            <w:vAlign w:val="center"/>
          </w:tcPr>
          <w:p w:rsidR="0045441E" w:rsidRPr="0011588B" w:rsidRDefault="00B3501C" w:rsidP="00096442">
            <w:pPr>
              <w:spacing w:before="40" w:after="40"/>
              <w:jc w:val="center"/>
              <w:rPr>
                <w:b/>
                <w:bCs/>
                <w:kern w:val="28"/>
                <w:sz w:val="18"/>
                <w:szCs w:val="18"/>
              </w:rPr>
            </w:pPr>
            <w:r>
              <w:rPr>
                <w:b/>
                <w:sz w:val="18"/>
                <w:szCs w:val="18"/>
              </w:rPr>
              <w:t>4 </w:t>
            </w:r>
            <w:r w:rsidR="005A0965">
              <w:rPr>
                <w:b/>
                <w:sz w:val="18"/>
                <w:szCs w:val="18"/>
              </w:rPr>
              <w:t>926</w:t>
            </w:r>
            <w:r w:rsidR="0045441E">
              <w:rPr>
                <w:b/>
                <w:sz w:val="18"/>
                <w:szCs w:val="18"/>
              </w:rPr>
              <w:t xml:space="preserve"> </w:t>
            </w:r>
            <w:r w:rsidR="005A0965">
              <w:rPr>
                <w:b/>
                <w:sz w:val="18"/>
                <w:szCs w:val="18"/>
              </w:rPr>
              <w:t>5</w:t>
            </w:r>
            <w:r>
              <w:rPr>
                <w:b/>
                <w:sz w:val="18"/>
                <w:szCs w:val="18"/>
              </w:rPr>
              <w:t>4</w:t>
            </w:r>
            <w:r w:rsidR="005A0965">
              <w:rPr>
                <w:b/>
                <w:sz w:val="18"/>
                <w:szCs w:val="18"/>
              </w:rPr>
              <w:t>9</w:t>
            </w:r>
          </w:p>
        </w:tc>
      </w:tr>
    </w:tbl>
    <w:p w:rsidR="0046796C" w:rsidRDefault="0046796C" w:rsidP="00B06619"/>
    <w:tbl>
      <w:tblPr>
        <w:tblW w:w="0" w:type="auto"/>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3828"/>
        <w:gridCol w:w="1382"/>
        <w:gridCol w:w="1382"/>
        <w:gridCol w:w="1382"/>
        <w:gridCol w:w="1382"/>
      </w:tblGrid>
      <w:tr w:rsidR="00E01AD3" w:rsidRPr="00372D57" w:rsidTr="00416675">
        <w:trPr>
          <w:trHeight w:val="423"/>
        </w:trPr>
        <w:tc>
          <w:tcPr>
            <w:tcW w:w="93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01AD3" w:rsidRPr="007476C8" w:rsidRDefault="00E01AD3" w:rsidP="009855A1">
            <w:pPr>
              <w:pStyle w:val="Titulek"/>
              <w:rPr>
                <w:b w:val="0"/>
                <w:sz w:val="16"/>
                <w:szCs w:val="16"/>
              </w:rPr>
            </w:pPr>
            <w:bookmarkStart w:id="23" w:name="_Toc390958734"/>
            <w:bookmarkStart w:id="24" w:name="_Toc391034538"/>
            <w:r w:rsidRPr="00416675">
              <w:t xml:space="preserve">Tab. </w:t>
            </w:r>
            <w:r w:rsidR="000E79AE">
              <w:fldChar w:fldCharType="begin"/>
            </w:r>
            <w:r w:rsidR="000E79AE">
              <w:instrText xml:space="preserve"> STYLEREF 1 \s </w:instrText>
            </w:r>
            <w:r w:rsidR="000E79AE">
              <w:fldChar w:fldCharType="separate"/>
            </w:r>
            <w:r w:rsidR="003843F3">
              <w:rPr>
                <w:noProof/>
              </w:rPr>
              <w:t>2</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4</w:t>
            </w:r>
            <w:r w:rsidR="000E79AE">
              <w:fldChar w:fldCharType="end"/>
            </w:r>
            <w:r w:rsidRPr="00416675">
              <w:t xml:space="preserve">: </w:t>
            </w:r>
            <w:r w:rsidR="009855A1">
              <w:t>Závěrečné shrnutí variant – přehled halvních parametrů</w:t>
            </w:r>
            <w:bookmarkEnd w:id="23"/>
            <w:bookmarkEnd w:id="24"/>
          </w:p>
        </w:tc>
      </w:tr>
      <w:tr w:rsidR="00E01AD3" w:rsidRPr="00372D57" w:rsidTr="00416675">
        <w:trPr>
          <w:trHeight w:val="642"/>
        </w:trPr>
        <w:tc>
          <w:tcPr>
            <w:tcW w:w="3828" w:type="dxa"/>
            <w:tcBorders>
              <w:top w:val="single" w:sz="4" w:space="0" w:color="auto"/>
              <w:left w:val="single" w:sz="4" w:space="0" w:color="auto"/>
              <w:bottom w:val="single" w:sz="12" w:space="0" w:color="000000"/>
              <w:right w:val="single" w:sz="12" w:space="0" w:color="000000"/>
            </w:tcBorders>
            <w:shd w:val="pct10" w:color="auto" w:fill="auto"/>
            <w:vAlign w:val="center"/>
          </w:tcPr>
          <w:p w:rsidR="00E01AD3" w:rsidRPr="00372D57" w:rsidRDefault="00E01AD3" w:rsidP="00E01AD3">
            <w:pPr>
              <w:pStyle w:val="Tabulkovtext"/>
              <w:spacing w:before="100" w:beforeAutospacing="1" w:after="100" w:afterAutospacing="1" w:line="360" w:lineRule="auto"/>
              <w:jc w:val="center"/>
              <w:rPr>
                <w:rFonts w:cs="Tahoma"/>
                <w:b/>
                <w:szCs w:val="18"/>
                <w:lang w:eastAsia="cs-CZ"/>
              </w:rPr>
            </w:pPr>
          </w:p>
        </w:tc>
        <w:tc>
          <w:tcPr>
            <w:tcW w:w="1382" w:type="dxa"/>
            <w:tcBorders>
              <w:top w:val="single" w:sz="4" w:space="0" w:color="auto"/>
              <w:left w:val="single" w:sz="12" w:space="0" w:color="000000"/>
              <w:bottom w:val="single" w:sz="12" w:space="0" w:color="000000"/>
            </w:tcBorders>
            <w:shd w:val="pct10" w:color="auto" w:fill="auto"/>
            <w:vAlign w:val="center"/>
          </w:tcPr>
          <w:p w:rsidR="00E01AD3" w:rsidRPr="009855A1" w:rsidRDefault="00E01AD3" w:rsidP="00E01AD3">
            <w:pPr>
              <w:spacing w:before="100" w:beforeAutospacing="1" w:after="100" w:afterAutospacing="1" w:line="360" w:lineRule="auto"/>
              <w:jc w:val="center"/>
              <w:rPr>
                <w:b/>
                <w:sz w:val="18"/>
              </w:rPr>
            </w:pPr>
            <w:r w:rsidRPr="009855A1">
              <w:rPr>
                <w:b/>
                <w:sz w:val="18"/>
              </w:rPr>
              <w:t>Bez projektu</w:t>
            </w:r>
          </w:p>
        </w:tc>
        <w:tc>
          <w:tcPr>
            <w:tcW w:w="1382" w:type="dxa"/>
            <w:tcBorders>
              <w:top w:val="single" w:sz="4" w:space="0" w:color="auto"/>
              <w:bottom w:val="single" w:sz="12" w:space="0" w:color="000000"/>
            </w:tcBorders>
            <w:shd w:val="pct10" w:color="auto" w:fill="auto"/>
            <w:vAlign w:val="center"/>
          </w:tcPr>
          <w:p w:rsidR="00E01AD3" w:rsidRPr="009855A1" w:rsidRDefault="00E01AD3" w:rsidP="00E01AD3">
            <w:pPr>
              <w:spacing w:before="100" w:beforeAutospacing="1" w:after="100" w:afterAutospacing="1" w:line="360" w:lineRule="auto"/>
              <w:jc w:val="center"/>
              <w:rPr>
                <w:b/>
                <w:sz w:val="18"/>
              </w:rPr>
            </w:pPr>
            <w:r w:rsidRPr="009855A1">
              <w:rPr>
                <w:b/>
                <w:sz w:val="18"/>
              </w:rPr>
              <w:t>Minimální</w:t>
            </w:r>
          </w:p>
        </w:tc>
        <w:tc>
          <w:tcPr>
            <w:tcW w:w="1382" w:type="dxa"/>
            <w:tcBorders>
              <w:top w:val="single" w:sz="4" w:space="0" w:color="auto"/>
              <w:bottom w:val="single" w:sz="12" w:space="0" w:color="000000"/>
              <w:right w:val="single" w:sz="4" w:space="0" w:color="auto"/>
            </w:tcBorders>
            <w:shd w:val="pct10" w:color="auto" w:fill="auto"/>
            <w:vAlign w:val="center"/>
          </w:tcPr>
          <w:p w:rsidR="00E01AD3" w:rsidRPr="009855A1" w:rsidRDefault="00E01AD3" w:rsidP="00E01AD3">
            <w:pPr>
              <w:spacing w:before="100" w:beforeAutospacing="1" w:after="100" w:afterAutospacing="1" w:line="360" w:lineRule="auto"/>
              <w:jc w:val="center"/>
              <w:rPr>
                <w:b/>
                <w:sz w:val="18"/>
              </w:rPr>
            </w:pPr>
            <w:r w:rsidRPr="009855A1">
              <w:rPr>
                <w:b/>
                <w:sz w:val="18"/>
              </w:rPr>
              <w:t>Etapa</w:t>
            </w:r>
          </w:p>
        </w:tc>
        <w:tc>
          <w:tcPr>
            <w:tcW w:w="1382" w:type="dxa"/>
            <w:tcBorders>
              <w:top w:val="single" w:sz="4" w:space="0" w:color="auto"/>
              <w:left w:val="single" w:sz="4" w:space="0" w:color="auto"/>
              <w:bottom w:val="single" w:sz="12" w:space="0" w:color="000000"/>
              <w:right w:val="single" w:sz="4" w:space="0" w:color="auto"/>
            </w:tcBorders>
            <w:shd w:val="pct10" w:color="auto" w:fill="auto"/>
            <w:vAlign w:val="center"/>
          </w:tcPr>
          <w:p w:rsidR="00E01AD3" w:rsidRPr="009855A1" w:rsidRDefault="00E01AD3" w:rsidP="00E01AD3">
            <w:pPr>
              <w:spacing w:before="100" w:beforeAutospacing="1" w:after="100" w:afterAutospacing="1" w:line="360" w:lineRule="auto"/>
              <w:jc w:val="center"/>
              <w:rPr>
                <w:b/>
                <w:sz w:val="18"/>
              </w:rPr>
            </w:pPr>
            <w:r w:rsidRPr="009855A1">
              <w:rPr>
                <w:b/>
                <w:sz w:val="18"/>
              </w:rPr>
              <w:t>Maximální</w:t>
            </w:r>
          </w:p>
        </w:tc>
      </w:tr>
      <w:tr w:rsidR="00E01AD3" w:rsidRPr="00372D57" w:rsidTr="00416675">
        <w:trPr>
          <w:trHeight w:val="283"/>
        </w:trPr>
        <w:tc>
          <w:tcPr>
            <w:tcW w:w="3828" w:type="dxa"/>
            <w:tcBorders>
              <w:top w:val="single" w:sz="12" w:space="0" w:color="000000"/>
              <w:left w:val="single" w:sz="4" w:space="0" w:color="auto"/>
              <w:right w:val="single" w:sz="12" w:space="0" w:color="000000"/>
            </w:tcBorders>
            <w:shd w:val="clear" w:color="auto" w:fill="auto"/>
          </w:tcPr>
          <w:p w:rsidR="00E01AD3" w:rsidRPr="009855A1" w:rsidRDefault="00E01AD3" w:rsidP="00E01AD3">
            <w:pPr>
              <w:spacing w:before="100" w:beforeAutospacing="1" w:after="100" w:afterAutospacing="1" w:line="240" w:lineRule="auto"/>
              <w:rPr>
                <w:sz w:val="18"/>
                <w:szCs w:val="18"/>
              </w:rPr>
            </w:pPr>
            <w:r w:rsidRPr="009855A1">
              <w:rPr>
                <w:sz w:val="18"/>
                <w:szCs w:val="18"/>
              </w:rPr>
              <w:t>Cestovní doba R [min]</w:t>
            </w:r>
          </w:p>
        </w:tc>
        <w:tc>
          <w:tcPr>
            <w:tcW w:w="1382" w:type="dxa"/>
            <w:tcBorders>
              <w:top w:val="single" w:sz="12" w:space="0" w:color="000000"/>
              <w:left w:val="single" w:sz="12" w:space="0" w:color="000000"/>
              <w:bottom w:val="single" w:sz="4" w:space="0" w:color="000000"/>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18,5</w:t>
            </w:r>
          </w:p>
        </w:tc>
        <w:tc>
          <w:tcPr>
            <w:tcW w:w="1382" w:type="dxa"/>
            <w:tcBorders>
              <w:top w:val="single" w:sz="12" w:space="0" w:color="000000"/>
              <w:bottom w:val="single" w:sz="4" w:space="0" w:color="000000"/>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18,0</w:t>
            </w:r>
          </w:p>
        </w:tc>
        <w:tc>
          <w:tcPr>
            <w:tcW w:w="1382" w:type="dxa"/>
            <w:tcBorders>
              <w:top w:val="single" w:sz="12" w:space="0" w:color="000000"/>
              <w:bottom w:val="single" w:sz="4" w:space="0" w:color="000000"/>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17,5</w:t>
            </w:r>
          </w:p>
        </w:tc>
        <w:tc>
          <w:tcPr>
            <w:tcW w:w="1382" w:type="dxa"/>
            <w:tcBorders>
              <w:top w:val="single" w:sz="12" w:space="0" w:color="000000"/>
              <w:left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14,5</w:t>
            </w:r>
          </w:p>
        </w:tc>
      </w:tr>
      <w:tr w:rsidR="00E01AD3" w:rsidRPr="00372D57" w:rsidTr="00416675">
        <w:trPr>
          <w:trHeight w:val="283"/>
        </w:trPr>
        <w:tc>
          <w:tcPr>
            <w:tcW w:w="3828" w:type="dxa"/>
            <w:tcBorders>
              <w:left w:val="single" w:sz="4" w:space="0" w:color="auto"/>
              <w:right w:val="single" w:sz="12" w:space="0" w:color="000000"/>
            </w:tcBorders>
            <w:shd w:val="clear" w:color="auto" w:fill="auto"/>
          </w:tcPr>
          <w:p w:rsidR="00E01AD3" w:rsidRPr="009855A1" w:rsidRDefault="00E01AD3" w:rsidP="00E01AD3">
            <w:pPr>
              <w:spacing w:before="100" w:beforeAutospacing="1" w:after="100" w:afterAutospacing="1" w:line="240" w:lineRule="auto"/>
              <w:rPr>
                <w:sz w:val="18"/>
                <w:szCs w:val="18"/>
              </w:rPr>
            </w:pPr>
            <w:r w:rsidRPr="009855A1">
              <w:rPr>
                <w:sz w:val="18"/>
                <w:szCs w:val="18"/>
              </w:rPr>
              <w:t>Cestovní doba Os [min]</w:t>
            </w:r>
          </w:p>
        </w:tc>
        <w:tc>
          <w:tcPr>
            <w:tcW w:w="1382" w:type="dxa"/>
            <w:tcBorders>
              <w:left w:val="single" w:sz="12" w:space="0" w:color="000000"/>
              <w:bottom w:val="single" w:sz="4" w:space="0" w:color="000000"/>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26,5</w:t>
            </w:r>
          </w:p>
        </w:tc>
        <w:tc>
          <w:tcPr>
            <w:tcW w:w="1382" w:type="dxa"/>
            <w:tcBorders>
              <w:bottom w:val="single" w:sz="4" w:space="0" w:color="000000"/>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27,0</w:t>
            </w:r>
          </w:p>
        </w:tc>
        <w:tc>
          <w:tcPr>
            <w:tcW w:w="1382" w:type="dxa"/>
            <w:tcBorders>
              <w:bottom w:val="single" w:sz="4" w:space="0" w:color="000000"/>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25,0</w:t>
            </w:r>
          </w:p>
        </w:tc>
        <w:tc>
          <w:tcPr>
            <w:tcW w:w="1382" w:type="dxa"/>
            <w:tcBorders>
              <w:left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22,5</w:t>
            </w:r>
          </w:p>
        </w:tc>
      </w:tr>
      <w:tr w:rsidR="00E01AD3" w:rsidRPr="00372D57" w:rsidTr="00416675">
        <w:trPr>
          <w:trHeight w:val="283"/>
        </w:trPr>
        <w:tc>
          <w:tcPr>
            <w:tcW w:w="3828" w:type="dxa"/>
            <w:tcBorders>
              <w:left w:val="single" w:sz="4" w:space="0" w:color="auto"/>
              <w:right w:val="single" w:sz="12" w:space="0" w:color="000000"/>
            </w:tcBorders>
            <w:shd w:val="clear" w:color="auto" w:fill="F2F2F2" w:themeFill="background1" w:themeFillShade="F2"/>
          </w:tcPr>
          <w:p w:rsidR="00E01AD3" w:rsidRPr="009855A1" w:rsidRDefault="00E01AD3" w:rsidP="00E01AD3">
            <w:pPr>
              <w:spacing w:before="100" w:beforeAutospacing="1" w:after="100" w:afterAutospacing="1" w:line="240" w:lineRule="auto"/>
              <w:rPr>
                <w:sz w:val="18"/>
                <w:szCs w:val="18"/>
              </w:rPr>
            </w:pPr>
            <w:r w:rsidRPr="009855A1">
              <w:rPr>
                <w:sz w:val="18"/>
                <w:szCs w:val="18"/>
              </w:rPr>
              <w:t>Počet vlaků dálk., meziregio /den</w:t>
            </w:r>
          </w:p>
        </w:tc>
        <w:tc>
          <w:tcPr>
            <w:tcW w:w="1382" w:type="dxa"/>
            <w:tcBorders>
              <w:left w:val="single" w:sz="12" w:space="0" w:color="000000"/>
            </w:tcBorders>
            <w:shd w:val="clear" w:color="auto" w:fill="F2F2F2" w:themeFill="background1" w:themeFillShade="F2"/>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48</w:t>
            </w:r>
          </w:p>
        </w:tc>
        <w:tc>
          <w:tcPr>
            <w:tcW w:w="1382" w:type="dxa"/>
            <w:shd w:val="clear" w:color="auto" w:fill="F2F2F2" w:themeFill="background1" w:themeFillShade="F2"/>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48</w:t>
            </w:r>
          </w:p>
        </w:tc>
        <w:tc>
          <w:tcPr>
            <w:tcW w:w="1382" w:type="dxa"/>
            <w:tcBorders>
              <w:right w:val="single" w:sz="4" w:space="0" w:color="auto"/>
            </w:tcBorders>
            <w:shd w:val="clear" w:color="auto" w:fill="F2F2F2" w:themeFill="background1" w:themeFillShade="F2"/>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60</w:t>
            </w:r>
          </w:p>
        </w:tc>
        <w:tc>
          <w:tcPr>
            <w:tcW w:w="1382" w:type="dxa"/>
            <w:tcBorders>
              <w:left w:val="single" w:sz="4" w:space="0" w:color="auto"/>
              <w:right w:val="single" w:sz="4" w:space="0" w:color="auto"/>
            </w:tcBorders>
            <w:shd w:val="clear" w:color="auto" w:fill="F2F2F2" w:themeFill="background1" w:themeFillShade="F2"/>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72</w:t>
            </w:r>
          </w:p>
        </w:tc>
      </w:tr>
      <w:tr w:rsidR="00E01AD3" w:rsidRPr="00372D57" w:rsidTr="00416675">
        <w:trPr>
          <w:trHeight w:val="283"/>
        </w:trPr>
        <w:tc>
          <w:tcPr>
            <w:tcW w:w="3828" w:type="dxa"/>
            <w:tcBorders>
              <w:left w:val="single" w:sz="4" w:space="0" w:color="auto"/>
              <w:right w:val="single" w:sz="12" w:space="0" w:color="000000"/>
            </w:tcBorders>
            <w:shd w:val="clear" w:color="auto" w:fill="F2F2F2" w:themeFill="background1" w:themeFillShade="F2"/>
          </w:tcPr>
          <w:p w:rsidR="00E01AD3" w:rsidRPr="009855A1" w:rsidRDefault="00E01AD3" w:rsidP="00E01AD3">
            <w:pPr>
              <w:spacing w:before="100" w:beforeAutospacing="1" w:after="100" w:afterAutospacing="1" w:line="240" w:lineRule="auto"/>
              <w:rPr>
                <w:sz w:val="18"/>
                <w:szCs w:val="18"/>
              </w:rPr>
            </w:pPr>
            <w:r w:rsidRPr="009855A1">
              <w:rPr>
                <w:sz w:val="18"/>
                <w:szCs w:val="18"/>
              </w:rPr>
              <w:t>Počet vlaků Os /den</w:t>
            </w:r>
          </w:p>
        </w:tc>
        <w:tc>
          <w:tcPr>
            <w:tcW w:w="1382" w:type="dxa"/>
            <w:tcBorders>
              <w:left w:val="single" w:sz="12" w:space="0" w:color="000000"/>
            </w:tcBorders>
            <w:shd w:val="clear" w:color="auto" w:fill="F2F2F2" w:themeFill="background1" w:themeFillShade="F2"/>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31</w:t>
            </w:r>
          </w:p>
        </w:tc>
        <w:tc>
          <w:tcPr>
            <w:tcW w:w="1382" w:type="dxa"/>
            <w:shd w:val="clear" w:color="auto" w:fill="F2F2F2" w:themeFill="background1" w:themeFillShade="F2"/>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31</w:t>
            </w:r>
          </w:p>
        </w:tc>
        <w:tc>
          <w:tcPr>
            <w:tcW w:w="1382" w:type="dxa"/>
            <w:tcBorders>
              <w:right w:val="single" w:sz="4" w:space="0" w:color="auto"/>
            </w:tcBorders>
            <w:shd w:val="clear" w:color="auto" w:fill="F2F2F2" w:themeFill="background1" w:themeFillShade="F2"/>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38</w:t>
            </w:r>
          </w:p>
        </w:tc>
        <w:tc>
          <w:tcPr>
            <w:tcW w:w="1382" w:type="dxa"/>
            <w:tcBorders>
              <w:left w:val="single" w:sz="4" w:space="0" w:color="auto"/>
              <w:right w:val="single" w:sz="4" w:space="0" w:color="auto"/>
            </w:tcBorders>
            <w:shd w:val="clear" w:color="auto" w:fill="F2F2F2" w:themeFill="background1" w:themeFillShade="F2"/>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64</w:t>
            </w:r>
          </w:p>
        </w:tc>
      </w:tr>
      <w:tr w:rsidR="00E01AD3" w:rsidRPr="00372D57" w:rsidTr="00416675">
        <w:trPr>
          <w:trHeight w:val="283"/>
        </w:trPr>
        <w:tc>
          <w:tcPr>
            <w:tcW w:w="3828" w:type="dxa"/>
            <w:tcBorders>
              <w:left w:val="single" w:sz="4" w:space="0" w:color="auto"/>
              <w:right w:val="single" w:sz="12" w:space="0" w:color="000000"/>
            </w:tcBorders>
            <w:shd w:val="clear" w:color="auto" w:fill="auto"/>
          </w:tcPr>
          <w:p w:rsidR="00E01AD3" w:rsidRPr="009855A1" w:rsidRDefault="00E01AD3" w:rsidP="00E01AD3">
            <w:pPr>
              <w:spacing w:before="100" w:beforeAutospacing="1" w:after="100" w:afterAutospacing="1" w:line="240" w:lineRule="auto"/>
              <w:rPr>
                <w:sz w:val="18"/>
                <w:szCs w:val="18"/>
                <w:vertAlign w:val="superscript"/>
              </w:rPr>
            </w:pPr>
            <w:r w:rsidRPr="009855A1">
              <w:rPr>
                <w:sz w:val="18"/>
                <w:szCs w:val="18"/>
              </w:rPr>
              <w:t xml:space="preserve">So v omezujících úsecích (17 hod) </w:t>
            </w:r>
            <w:r w:rsidRPr="009855A1">
              <w:rPr>
                <w:sz w:val="18"/>
                <w:szCs w:val="18"/>
                <w:vertAlign w:val="superscript"/>
              </w:rPr>
              <w:t>*)</w:t>
            </w:r>
          </w:p>
        </w:tc>
        <w:tc>
          <w:tcPr>
            <w:tcW w:w="1382" w:type="dxa"/>
            <w:tcBorders>
              <w:left w:val="single" w:sz="12" w:space="0" w:color="000000"/>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0,61</w:t>
            </w:r>
          </w:p>
        </w:tc>
        <w:tc>
          <w:tcPr>
            <w:tcW w:w="1382" w:type="dxa"/>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0,56</w:t>
            </w:r>
          </w:p>
        </w:tc>
        <w:tc>
          <w:tcPr>
            <w:tcW w:w="1382" w:type="dxa"/>
            <w:tcBorders>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0,75</w:t>
            </w:r>
          </w:p>
        </w:tc>
        <w:tc>
          <w:tcPr>
            <w:tcW w:w="1382" w:type="dxa"/>
            <w:tcBorders>
              <w:left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&lt;0,67</w:t>
            </w:r>
          </w:p>
        </w:tc>
      </w:tr>
      <w:tr w:rsidR="00E01AD3" w:rsidRPr="00372D57" w:rsidTr="00416675">
        <w:trPr>
          <w:trHeight w:val="283"/>
        </w:trPr>
        <w:tc>
          <w:tcPr>
            <w:tcW w:w="3828" w:type="dxa"/>
            <w:tcBorders>
              <w:left w:val="single" w:sz="4" w:space="0" w:color="auto"/>
              <w:right w:val="single" w:sz="12" w:space="0" w:color="000000"/>
            </w:tcBorders>
            <w:shd w:val="clear" w:color="auto" w:fill="auto"/>
          </w:tcPr>
          <w:p w:rsidR="00E01AD3" w:rsidRPr="009855A1" w:rsidRDefault="00E01AD3" w:rsidP="00E01AD3">
            <w:pPr>
              <w:spacing w:before="100" w:beforeAutospacing="1" w:after="100" w:afterAutospacing="1" w:line="240" w:lineRule="auto"/>
              <w:rPr>
                <w:sz w:val="18"/>
                <w:szCs w:val="18"/>
                <w:vertAlign w:val="superscript"/>
              </w:rPr>
            </w:pPr>
            <w:r w:rsidRPr="009855A1">
              <w:rPr>
                <w:sz w:val="18"/>
                <w:szCs w:val="18"/>
              </w:rPr>
              <w:t>So v omez. úsecích (120 min)</w:t>
            </w:r>
            <w:r w:rsidRPr="009855A1">
              <w:rPr>
                <w:sz w:val="18"/>
                <w:szCs w:val="18"/>
                <w:vertAlign w:val="superscript"/>
              </w:rPr>
              <w:t xml:space="preserve"> *)</w:t>
            </w:r>
          </w:p>
        </w:tc>
        <w:tc>
          <w:tcPr>
            <w:tcW w:w="1382" w:type="dxa"/>
            <w:tcBorders>
              <w:left w:val="single" w:sz="12" w:space="0" w:color="000000"/>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0,71</w:t>
            </w:r>
          </w:p>
        </w:tc>
        <w:tc>
          <w:tcPr>
            <w:tcW w:w="1382" w:type="dxa"/>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0,66</w:t>
            </w:r>
          </w:p>
        </w:tc>
        <w:tc>
          <w:tcPr>
            <w:tcW w:w="1382" w:type="dxa"/>
            <w:tcBorders>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0,95</w:t>
            </w:r>
          </w:p>
        </w:tc>
        <w:tc>
          <w:tcPr>
            <w:tcW w:w="1382" w:type="dxa"/>
            <w:tcBorders>
              <w:left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&lt;0,67</w:t>
            </w:r>
          </w:p>
        </w:tc>
      </w:tr>
      <w:tr w:rsidR="00E01AD3" w:rsidRPr="00372D57" w:rsidTr="00416675">
        <w:trPr>
          <w:trHeight w:val="283"/>
        </w:trPr>
        <w:tc>
          <w:tcPr>
            <w:tcW w:w="3828" w:type="dxa"/>
            <w:tcBorders>
              <w:left w:val="single" w:sz="4" w:space="0" w:color="auto"/>
              <w:right w:val="single" w:sz="12" w:space="0" w:color="000000"/>
            </w:tcBorders>
            <w:shd w:val="clear" w:color="auto" w:fill="auto"/>
          </w:tcPr>
          <w:p w:rsidR="00E01AD3" w:rsidRPr="009855A1" w:rsidRDefault="00E01AD3" w:rsidP="00E01AD3">
            <w:pPr>
              <w:spacing w:before="100" w:beforeAutospacing="1" w:after="100" w:afterAutospacing="1" w:line="240" w:lineRule="auto"/>
              <w:rPr>
                <w:sz w:val="18"/>
                <w:szCs w:val="18"/>
              </w:rPr>
            </w:pPr>
            <w:r w:rsidRPr="009855A1">
              <w:rPr>
                <w:sz w:val="18"/>
                <w:szCs w:val="18"/>
              </w:rPr>
              <w:t xml:space="preserve">Obsazenost R a Sp vlaků (2014) </w:t>
            </w:r>
          </w:p>
        </w:tc>
        <w:tc>
          <w:tcPr>
            <w:tcW w:w="1382" w:type="dxa"/>
            <w:tcBorders>
              <w:left w:val="single" w:sz="12" w:space="0" w:color="000000"/>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74</w:t>
            </w:r>
          </w:p>
        </w:tc>
        <w:tc>
          <w:tcPr>
            <w:tcW w:w="1382" w:type="dxa"/>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74</w:t>
            </w:r>
          </w:p>
        </w:tc>
        <w:tc>
          <w:tcPr>
            <w:tcW w:w="1382" w:type="dxa"/>
            <w:tcBorders>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74</w:t>
            </w:r>
          </w:p>
        </w:tc>
        <w:tc>
          <w:tcPr>
            <w:tcW w:w="1382" w:type="dxa"/>
            <w:tcBorders>
              <w:left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74</w:t>
            </w:r>
          </w:p>
        </w:tc>
      </w:tr>
      <w:tr w:rsidR="00E01AD3" w:rsidRPr="00372D57" w:rsidTr="00416675">
        <w:trPr>
          <w:trHeight w:val="283"/>
        </w:trPr>
        <w:tc>
          <w:tcPr>
            <w:tcW w:w="3828" w:type="dxa"/>
            <w:tcBorders>
              <w:left w:val="single" w:sz="4" w:space="0" w:color="auto"/>
              <w:right w:val="single" w:sz="12" w:space="0" w:color="000000"/>
            </w:tcBorders>
            <w:shd w:val="clear" w:color="auto" w:fill="auto"/>
          </w:tcPr>
          <w:p w:rsidR="00E01AD3" w:rsidRPr="009855A1" w:rsidRDefault="00E01AD3" w:rsidP="00E01AD3">
            <w:pPr>
              <w:spacing w:before="100" w:beforeAutospacing="1" w:after="100" w:afterAutospacing="1" w:line="240" w:lineRule="auto"/>
              <w:rPr>
                <w:sz w:val="18"/>
                <w:szCs w:val="18"/>
              </w:rPr>
            </w:pPr>
            <w:r w:rsidRPr="009855A1">
              <w:rPr>
                <w:sz w:val="18"/>
                <w:szCs w:val="18"/>
              </w:rPr>
              <w:t>Obsazenost R a Sp vlaků (2043)</w:t>
            </w:r>
          </w:p>
        </w:tc>
        <w:tc>
          <w:tcPr>
            <w:tcW w:w="1382" w:type="dxa"/>
            <w:tcBorders>
              <w:left w:val="single" w:sz="12" w:space="0" w:color="000000"/>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80</w:t>
            </w:r>
          </w:p>
        </w:tc>
        <w:tc>
          <w:tcPr>
            <w:tcW w:w="1382" w:type="dxa"/>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80</w:t>
            </w:r>
          </w:p>
        </w:tc>
        <w:tc>
          <w:tcPr>
            <w:tcW w:w="1382" w:type="dxa"/>
            <w:tcBorders>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82</w:t>
            </w:r>
          </w:p>
        </w:tc>
        <w:tc>
          <w:tcPr>
            <w:tcW w:w="1382" w:type="dxa"/>
            <w:tcBorders>
              <w:left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72</w:t>
            </w:r>
          </w:p>
        </w:tc>
      </w:tr>
      <w:tr w:rsidR="00E01AD3" w:rsidRPr="00372D57" w:rsidTr="00416675">
        <w:trPr>
          <w:trHeight w:val="283"/>
        </w:trPr>
        <w:tc>
          <w:tcPr>
            <w:tcW w:w="3828" w:type="dxa"/>
            <w:tcBorders>
              <w:left w:val="single" w:sz="4" w:space="0" w:color="auto"/>
              <w:right w:val="single" w:sz="12" w:space="0" w:color="000000"/>
            </w:tcBorders>
            <w:shd w:val="clear" w:color="auto" w:fill="F2F2F2" w:themeFill="background1" w:themeFillShade="F2"/>
          </w:tcPr>
          <w:p w:rsidR="00E01AD3" w:rsidRPr="009855A1" w:rsidRDefault="00E01AD3" w:rsidP="00E01AD3">
            <w:pPr>
              <w:spacing w:before="100" w:beforeAutospacing="1" w:after="100" w:afterAutospacing="1" w:line="240" w:lineRule="auto"/>
              <w:rPr>
                <w:sz w:val="18"/>
                <w:szCs w:val="18"/>
              </w:rPr>
            </w:pPr>
            <w:r w:rsidRPr="009855A1">
              <w:rPr>
                <w:sz w:val="18"/>
                <w:szCs w:val="18"/>
              </w:rPr>
              <w:t>Obsazenost Os vlaků (2014)</w:t>
            </w:r>
          </w:p>
        </w:tc>
        <w:tc>
          <w:tcPr>
            <w:tcW w:w="1382" w:type="dxa"/>
            <w:tcBorders>
              <w:left w:val="single" w:sz="12" w:space="0" w:color="000000"/>
            </w:tcBorders>
            <w:shd w:val="clear" w:color="auto" w:fill="F2F2F2" w:themeFill="background1" w:themeFillShade="F2"/>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76</w:t>
            </w:r>
          </w:p>
        </w:tc>
        <w:tc>
          <w:tcPr>
            <w:tcW w:w="1382" w:type="dxa"/>
            <w:shd w:val="clear" w:color="auto" w:fill="F2F2F2" w:themeFill="background1" w:themeFillShade="F2"/>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76</w:t>
            </w:r>
          </w:p>
        </w:tc>
        <w:tc>
          <w:tcPr>
            <w:tcW w:w="1382" w:type="dxa"/>
            <w:tcBorders>
              <w:right w:val="single" w:sz="4" w:space="0" w:color="auto"/>
            </w:tcBorders>
            <w:shd w:val="clear" w:color="auto" w:fill="F2F2F2" w:themeFill="background1" w:themeFillShade="F2"/>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76</w:t>
            </w:r>
          </w:p>
        </w:tc>
        <w:tc>
          <w:tcPr>
            <w:tcW w:w="1382" w:type="dxa"/>
            <w:tcBorders>
              <w:left w:val="single" w:sz="4" w:space="0" w:color="auto"/>
              <w:right w:val="single" w:sz="4" w:space="0" w:color="auto"/>
            </w:tcBorders>
            <w:shd w:val="clear" w:color="auto" w:fill="F2F2F2" w:themeFill="background1" w:themeFillShade="F2"/>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76</w:t>
            </w:r>
          </w:p>
        </w:tc>
      </w:tr>
      <w:tr w:rsidR="00E01AD3" w:rsidRPr="00372D57" w:rsidTr="00416675">
        <w:trPr>
          <w:trHeight w:val="283"/>
        </w:trPr>
        <w:tc>
          <w:tcPr>
            <w:tcW w:w="3828" w:type="dxa"/>
            <w:tcBorders>
              <w:left w:val="single" w:sz="4" w:space="0" w:color="auto"/>
              <w:right w:val="single" w:sz="12" w:space="0" w:color="000000"/>
            </w:tcBorders>
            <w:shd w:val="clear" w:color="auto" w:fill="F2F2F2" w:themeFill="background1" w:themeFillShade="F2"/>
          </w:tcPr>
          <w:p w:rsidR="00E01AD3" w:rsidRPr="009855A1" w:rsidRDefault="00E01AD3" w:rsidP="00E01AD3">
            <w:pPr>
              <w:spacing w:before="100" w:beforeAutospacing="1" w:after="100" w:afterAutospacing="1" w:line="240" w:lineRule="auto"/>
              <w:rPr>
                <w:sz w:val="18"/>
                <w:szCs w:val="18"/>
              </w:rPr>
            </w:pPr>
            <w:r w:rsidRPr="009855A1">
              <w:rPr>
                <w:sz w:val="18"/>
                <w:szCs w:val="18"/>
              </w:rPr>
              <w:t>Obsazenost Os vlaků (2043)</w:t>
            </w:r>
          </w:p>
        </w:tc>
        <w:tc>
          <w:tcPr>
            <w:tcW w:w="1382" w:type="dxa"/>
            <w:tcBorders>
              <w:left w:val="single" w:sz="12" w:space="0" w:color="000000"/>
            </w:tcBorders>
            <w:shd w:val="clear" w:color="auto" w:fill="F2F2F2" w:themeFill="background1" w:themeFillShade="F2"/>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80</w:t>
            </w:r>
          </w:p>
        </w:tc>
        <w:tc>
          <w:tcPr>
            <w:tcW w:w="1382" w:type="dxa"/>
            <w:shd w:val="clear" w:color="auto" w:fill="F2F2F2" w:themeFill="background1" w:themeFillShade="F2"/>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80</w:t>
            </w:r>
          </w:p>
        </w:tc>
        <w:tc>
          <w:tcPr>
            <w:tcW w:w="1382" w:type="dxa"/>
            <w:tcBorders>
              <w:right w:val="single" w:sz="4" w:space="0" w:color="auto"/>
            </w:tcBorders>
            <w:shd w:val="clear" w:color="auto" w:fill="F2F2F2" w:themeFill="background1" w:themeFillShade="F2"/>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79</w:t>
            </w:r>
          </w:p>
        </w:tc>
        <w:tc>
          <w:tcPr>
            <w:tcW w:w="1382" w:type="dxa"/>
            <w:tcBorders>
              <w:left w:val="single" w:sz="4" w:space="0" w:color="auto"/>
              <w:right w:val="single" w:sz="4" w:space="0" w:color="auto"/>
            </w:tcBorders>
            <w:shd w:val="clear" w:color="auto" w:fill="F2F2F2" w:themeFill="background1" w:themeFillShade="F2"/>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51</w:t>
            </w:r>
          </w:p>
        </w:tc>
      </w:tr>
      <w:tr w:rsidR="00E01AD3" w:rsidRPr="00372D57" w:rsidTr="00416675">
        <w:trPr>
          <w:trHeight w:val="283"/>
        </w:trPr>
        <w:tc>
          <w:tcPr>
            <w:tcW w:w="3828" w:type="dxa"/>
            <w:tcBorders>
              <w:left w:val="single" w:sz="4" w:space="0" w:color="auto"/>
              <w:right w:val="single" w:sz="12" w:space="0" w:color="000000"/>
            </w:tcBorders>
            <w:shd w:val="clear" w:color="auto" w:fill="auto"/>
          </w:tcPr>
          <w:p w:rsidR="00E01AD3" w:rsidRPr="009855A1" w:rsidRDefault="00E01AD3" w:rsidP="00E01AD3">
            <w:pPr>
              <w:spacing w:before="100" w:beforeAutospacing="1" w:after="100" w:afterAutospacing="1" w:line="240" w:lineRule="auto"/>
              <w:rPr>
                <w:sz w:val="18"/>
                <w:szCs w:val="18"/>
              </w:rPr>
            </w:pPr>
            <w:r w:rsidRPr="009855A1">
              <w:rPr>
                <w:sz w:val="18"/>
                <w:szCs w:val="18"/>
              </w:rPr>
              <w:t>Přepr. výkon [mil. oskm/rok 2043]</w:t>
            </w:r>
          </w:p>
        </w:tc>
        <w:tc>
          <w:tcPr>
            <w:tcW w:w="1382" w:type="dxa"/>
            <w:tcBorders>
              <w:left w:val="single" w:sz="12" w:space="0" w:color="000000"/>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48,6</w:t>
            </w:r>
          </w:p>
        </w:tc>
        <w:tc>
          <w:tcPr>
            <w:tcW w:w="1382" w:type="dxa"/>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48,6</w:t>
            </w:r>
          </w:p>
        </w:tc>
        <w:tc>
          <w:tcPr>
            <w:tcW w:w="1382" w:type="dxa"/>
            <w:tcBorders>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60,5</w:t>
            </w:r>
          </w:p>
        </w:tc>
        <w:tc>
          <w:tcPr>
            <w:tcW w:w="1382" w:type="dxa"/>
            <w:tcBorders>
              <w:left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64,1</w:t>
            </w:r>
          </w:p>
        </w:tc>
      </w:tr>
      <w:tr w:rsidR="00E01AD3" w:rsidRPr="00372D57" w:rsidTr="00416675">
        <w:trPr>
          <w:trHeight w:val="283"/>
        </w:trPr>
        <w:tc>
          <w:tcPr>
            <w:tcW w:w="3828" w:type="dxa"/>
            <w:tcBorders>
              <w:left w:val="single" w:sz="4" w:space="0" w:color="auto"/>
              <w:right w:val="single" w:sz="12" w:space="0" w:color="000000"/>
            </w:tcBorders>
            <w:shd w:val="clear" w:color="auto" w:fill="auto"/>
          </w:tcPr>
          <w:p w:rsidR="00E01AD3" w:rsidRPr="009855A1" w:rsidRDefault="00E01AD3" w:rsidP="00E01AD3">
            <w:pPr>
              <w:spacing w:before="100" w:beforeAutospacing="1" w:after="100" w:afterAutospacing="1" w:line="240" w:lineRule="auto"/>
              <w:rPr>
                <w:sz w:val="18"/>
                <w:szCs w:val="18"/>
              </w:rPr>
            </w:pPr>
            <w:r w:rsidRPr="009855A1">
              <w:rPr>
                <w:sz w:val="18"/>
                <w:szCs w:val="18"/>
              </w:rPr>
              <w:t>Úspora pracovníků</w:t>
            </w:r>
          </w:p>
        </w:tc>
        <w:tc>
          <w:tcPr>
            <w:tcW w:w="1382" w:type="dxa"/>
            <w:tcBorders>
              <w:left w:val="single" w:sz="12" w:space="0" w:color="000000"/>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17,21</w:t>
            </w:r>
          </w:p>
        </w:tc>
        <w:tc>
          <w:tcPr>
            <w:tcW w:w="1382" w:type="dxa"/>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26,57</w:t>
            </w:r>
          </w:p>
        </w:tc>
        <w:tc>
          <w:tcPr>
            <w:tcW w:w="1382" w:type="dxa"/>
            <w:tcBorders>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23,98</w:t>
            </w:r>
          </w:p>
        </w:tc>
        <w:tc>
          <w:tcPr>
            <w:tcW w:w="1382" w:type="dxa"/>
            <w:tcBorders>
              <w:left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36,53</w:t>
            </w:r>
          </w:p>
        </w:tc>
      </w:tr>
      <w:tr w:rsidR="00E01AD3" w:rsidRPr="00372D57" w:rsidTr="00416675">
        <w:trPr>
          <w:trHeight w:val="283"/>
        </w:trPr>
        <w:tc>
          <w:tcPr>
            <w:tcW w:w="3828" w:type="dxa"/>
            <w:tcBorders>
              <w:left w:val="single" w:sz="4" w:space="0" w:color="auto"/>
              <w:right w:val="single" w:sz="12" w:space="0" w:color="000000"/>
            </w:tcBorders>
            <w:shd w:val="clear" w:color="auto" w:fill="auto"/>
          </w:tcPr>
          <w:p w:rsidR="00E01AD3" w:rsidRPr="009855A1" w:rsidRDefault="00E01AD3" w:rsidP="00E01AD3">
            <w:pPr>
              <w:spacing w:before="100" w:beforeAutospacing="1" w:after="100" w:afterAutospacing="1" w:line="240" w:lineRule="auto"/>
              <w:rPr>
                <w:sz w:val="18"/>
                <w:szCs w:val="18"/>
              </w:rPr>
            </w:pPr>
            <w:r w:rsidRPr="009855A1">
              <w:rPr>
                <w:sz w:val="18"/>
                <w:szCs w:val="18"/>
              </w:rPr>
              <w:t>Provozní náklady – údržba [mil. Kč]</w:t>
            </w:r>
          </w:p>
        </w:tc>
        <w:tc>
          <w:tcPr>
            <w:tcW w:w="1382" w:type="dxa"/>
            <w:tcBorders>
              <w:left w:val="single" w:sz="12" w:space="0" w:color="000000"/>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511,406</w:t>
            </w:r>
          </w:p>
        </w:tc>
        <w:tc>
          <w:tcPr>
            <w:tcW w:w="1382" w:type="dxa"/>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460,784</w:t>
            </w:r>
          </w:p>
        </w:tc>
        <w:tc>
          <w:tcPr>
            <w:tcW w:w="1382" w:type="dxa"/>
            <w:tcBorders>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669,043</w:t>
            </w:r>
          </w:p>
        </w:tc>
        <w:tc>
          <w:tcPr>
            <w:tcW w:w="1382" w:type="dxa"/>
            <w:tcBorders>
              <w:left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720,091</w:t>
            </w:r>
          </w:p>
        </w:tc>
      </w:tr>
      <w:tr w:rsidR="00E01AD3" w:rsidRPr="00372D57" w:rsidTr="00416675">
        <w:trPr>
          <w:trHeight w:val="283"/>
        </w:trPr>
        <w:tc>
          <w:tcPr>
            <w:tcW w:w="3828" w:type="dxa"/>
            <w:tcBorders>
              <w:left w:val="single" w:sz="4" w:space="0" w:color="auto"/>
              <w:right w:val="single" w:sz="12" w:space="0" w:color="000000"/>
            </w:tcBorders>
            <w:shd w:val="clear" w:color="auto" w:fill="auto"/>
          </w:tcPr>
          <w:p w:rsidR="00E01AD3" w:rsidRPr="009855A1" w:rsidRDefault="00E01AD3" w:rsidP="00E01AD3">
            <w:pPr>
              <w:spacing w:before="100" w:beforeAutospacing="1" w:after="100" w:afterAutospacing="1" w:line="240" w:lineRule="auto"/>
              <w:rPr>
                <w:sz w:val="18"/>
                <w:szCs w:val="18"/>
              </w:rPr>
            </w:pPr>
            <w:r w:rsidRPr="009855A1">
              <w:rPr>
                <w:sz w:val="18"/>
                <w:szCs w:val="18"/>
              </w:rPr>
              <w:t>Provozní náklady – opravy [mil. Kč]</w:t>
            </w:r>
          </w:p>
        </w:tc>
        <w:tc>
          <w:tcPr>
            <w:tcW w:w="1382" w:type="dxa"/>
            <w:tcBorders>
              <w:left w:val="single" w:sz="12" w:space="0" w:color="000000"/>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1 706,972</w:t>
            </w:r>
          </w:p>
        </w:tc>
        <w:tc>
          <w:tcPr>
            <w:tcW w:w="1382" w:type="dxa"/>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498,573</w:t>
            </w:r>
          </w:p>
        </w:tc>
        <w:tc>
          <w:tcPr>
            <w:tcW w:w="1382" w:type="dxa"/>
            <w:tcBorders>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1 499,526</w:t>
            </w:r>
          </w:p>
        </w:tc>
        <w:tc>
          <w:tcPr>
            <w:tcW w:w="1382" w:type="dxa"/>
            <w:tcBorders>
              <w:left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726,064</w:t>
            </w:r>
          </w:p>
        </w:tc>
      </w:tr>
      <w:tr w:rsidR="00E01AD3" w:rsidRPr="00372D57" w:rsidTr="00416675">
        <w:trPr>
          <w:trHeight w:val="283"/>
        </w:trPr>
        <w:tc>
          <w:tcPr>
            <w:tcW w:w="3828" w:type="dxa"/>
            <w:tcBorders>
              <w:left w:val="single" w:sz="4" w:space="0" w:color="auto"/>
              <w:right w:val="single" w:sz="12" w:space="0" w:color="000000"/>
            </w:tcBorders>
            <w:shd w:val="clear" w:color="auto" w:fill="auto"/>
          </w:tcPr>
          <w:p w:rsidR="00E01AD3" w:rsidRPr="009855A1" w:rsidRDefault="00E01AD3" w:rsidP="00E01AD3">
            <w:pPr>
              <w:spacing w:before="100" w:beforeAutospacing="1" w:after="100" w:afterAutospacing="1" w:line="240" w:lineRule="auto"/>
              <w:rPr>
                <w:sz w:val="18"/>
                <w:szCs w:val="18"/>
              </w:rPr>
            </w:pPr>
            <w:r w:rsidRPr="009855A1">
              <w:rPr>
                <w:sz w:val="18"/>
                <w:szCs w:val="18"/>
              </w:rPr>
              <w:t>Provozní náklady –řízení [mil. Kč]</w:t>
            </w:r>
          </w:p>
        </w:tc>
        <w:tc>
          <w:tcPr>
            <w:tcW w:w="1382" w:type="dxa"/>
            <w:tcBorders>
              <w:left w:val="single" w:sz="12" w:space="0" w:color="000000"/>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1 807,067</w:t>
            </w:r>
          </w:p>
        </w:tc>
        <w:tc>
          <w:tcPr>
            <w:tcW w:w="1382" w:type="dxa"/>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1 395,221</w:t>
            </w:r>
          </w:p>
        </w:tc>
        <w:tc>
          <w:tcPr>
            <w:tcW w:w="1382" w:type="dxa"/>
            <w:tcBorders>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1 467,909</w:t>
            </w:r>
          </w:p>
        </w:tc>
        <w:tc>
          <w:tcPr>
            <w:tcW w:w="1382" w:type="dxa"/>
            <w:tcBorders>
              <w:left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1 168,731</w:t>
            </w:r>
          </w:p>
        </w:tc>
      </w:tr>
      <w:tr w:rsidR="00E01AD3" w:rsidRPr="00372D57" w:rsidTr="00416675">
        <w:trPr>
          <w:trHeight w:val="283"/>
        </w:trPr>
        <w:tc>
          <w:tcPr>
            <w:tcW w:w="3828" w:type="dxa"/>
            <w:tcBorders>
              <w:left w:val="single" w:sz="4" w:space="0" w:color="auto"/>
              <w:right w:val="single" w:sz="12" w:space="0" w:color="000000"/>
            </w:tcBorders>
            <w:shd w:val="clear" w:color="auto" w:fill="auto"/>
          </w:tcPr>
          <w:p w:rsidR="00E01AD3" w:rsidRPr="009855A1" w:rsidRDefault="00E01AD3" w:rsidP="00E01AD3">
            <w:pPr>
              <w:spacing w:before="100" w:beforeAutospacing="1" w:after="100" w:afterAutospacing="1" w:line="240" w:lineRule="auto"/>
              <w:rPr>
                <w:sz w:val="18"/>
                <w:szCs w:val="18"/>
              </w:rPr>
            </w:pPr>
            <w:r w:rsidRPr="009855A1">
              <w:rPr>
                <w:sz w:val="18"/>
                <w:szCs w:val="18"/>
              </w:rPr>
              <w:t>Provozní náklady – provoz vlaků [mil. Kč]</w:t>
            </w:r>
          </w:p>
        </w:tc>
        <w:tc>
          <w:tcPr>
            <w:tcW w:w="1382" w:type="dxa"/>
            <w:tcBorders>
              <w:left w:val="single" w:sz="12" w:space="0" w:color="000000"/>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1 413,582</w:t>
            </w:r>
          </w:p>
        </w:tc>
        <w:tc>
          <w:tcPr>
            <w:tcW w:w="1382" w:type="dxa"/>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1 413,582</w:t>
            </w:r>
          </w:p>
        </w:tc>
        <w:tc>
          <w:tcPr>
            <w:tcW w:w="1382" w:type="dxa"/>
            <w:tcBorders>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1 532,950</w:t>
            </w:r>
          </w:p>
        </w:tc>
        <w:tc>
          <w:tcPr>
            <w:tcW w:w="1382" w:type="dxa"/>
            <w:tcBorders>
              <w:left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2 627,781</w:t>
            </w:r>
          </w:p>
        </w:tc>
      </w:tr>
      <w:tr w:rsidR="00E01AD3" w:rsidRPr="00372D57" w:rsidTr="00416675">
        <w:trPr>
          <w:trHeight w:val="283"/>
        </w:trPr>
        <w:tc>
          <w:tcPr>
            <w:tcW w:w="3828" w:type="dxa"/>
            <w:tcBorders>
              <w:left w:val="single" w:sz="4" w:space="0" w:color="auto"/>
              <w:right w:val="single" w:sz="12" w:space="0" w:color="000000"/>
            </w:tcBorders>
            <w:shd w:val="clear" w:color="auto" w:fill="auto"/>
          </w:tcPr>
          <w:p w:rsidR="00E01AD3" w:rsidRPr="009855A1" w:rsidRDefault="00E01AD3" w:rsidP="00E01AD3">
            <w:pPr>
              <w:spacing w:before="100" w:beforeAutospacing="1" w:after="100" w:afterAutospacing="1" w:line="240" w:lineRule="auto"/>
              <w:rPr>
                <w:sz w:val="18"/>
                <w:szCs w:val="18"/>
              </w:rPr>
            </w:pPr>
            <w:r w:rsidRPr="009855A1">
              <w:rPr>
                <w:sz w:val="18"/>
                <w:szCs w:val="18"/>
              </w:rPr>
              <w:t>FRR [%]</w:t>
            </w:r>
          </w:p>
        </w:tc>
        <w:tc>
          <w:tcPr>
            <w:tcW w:w="1382" w:type="dxa"/>
            <w:tcBorders>
              <w:left w:val="single" w:sz="12" w:space="0" w:color="000000"/>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w:t>
            </w:r>
          </w:p>
        </w:tc>
        <w:tc>
          <w:tcPr>
            <w:tcW w:w="1382" w:type="dxa"/>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-5,86</w:t>
            </w:r>
          </w:p>
        </w:tc>
        <w:tc>
          <w:tcPr>
            <w:tcW w:w="1382" w:type="dxa"/>
            <w:tcBorders>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-9,58</w:t>
            </w:r>
          </w:p>
        </w:tc>
        <w:tc>
          <w:tcPr>
            <w:tcW w:w="1382" w:type="dxa"/>
            <w:tcBorders>
              <w:left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-7,79</w:t>
            </w:r>
          </w:p>
        </w:tc>
      </w:tr>
      <w:tr w:rsidR="00E01AD3" w:rsidRPr="00372D57" w:rsidTr="00416675">
        <w:trPr>
          <w:trHeight w:val="283"/>
        </w:trPr>
        <w:tc>
          <w:tcPr>
            <w:tcW w:w="3828" w:type="dxa"/>
            <w:tcBorders>
              <w:left w:val="single" w:sz="4" w:space="0" w:color="auto"/>
              <w:right w:val="single" w:sz="12" w:space="0" w:color="000000"/>
            </w:tcBorders>
            <w:shd w:val="clear" w:color="auto" w:fill="auto"/>
          </w:tcPr>
          <w:p w:rsidR="00E01AD3" w:rsidRPr="009855A1" w:rsidRDefault="00E01AD3" w:rsidP="00E01AD3">
            <w:pPr>
              <w:spacing w:before="100" w:beforeAutospacing="1" w:after="100" w:afterAutospacing="1" w:line="240" w:lineRule="auto"/>
              <w:rPr>
                <w:sz w:val="18"/>
                <w:szCs w:val="18"/>
              </w:rPr>
            </w:pPr>
            <w:r w:rsidRPr="009855A1">
              <w:rPr>
                <w:sz w:val="18"/>
                <w:szCs w:val="18"/>
              </w:rPr>
              <w:t>ERR [%]</w:t>
            </w:r>
          </w:p>
        </w:tc>
        <w:tc>
          <w:tcPr>
            <w:tcW w:w="1382" w:type="dxa"/>
            <w:tcBorders>
              <w:left w:val="single" w:sz="12" w:space="0" w:color="000000"/>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w:t>
            </w:r>
          </w:p>
        </w:tc>
        <w:tc>
          <w:tcPr>
            <w:tcW w:w="1382" w:type="dxa"/>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3,27</w:t>
            </w:r>
          </w:p>
        </w:tc>
        <w:tc>
          <w:tcPr>
            <w:tcW w:w="1382" w:type="dxa"/>
            <w:tcBorders>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16,23</w:t>
            </w:r>
          </w:p>
        </w:tc>
        <w:tc>
          <w:tcPr>
            <w:tcW w:w="1382" w:type="dxa"/>
            <w:tcBorders>
              <w:left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7,27</w:t>
            </w:r>
          </w:p>
        </w:tc>
      </w:tr>
      <w:tr w:rsidR="00E01AD3" w:rsidRPr="00372D57" w:rsidTr="00416675">
        <w:trPr>
          <w:trHeight w:val="283"/>
        </w:trPr>
        <w:tc>
          <w:tcPr>
            <w:tcW w:w="3828" w:type="dxa"/>
            <w:tcBorders>
              <w:left w:val="single" w:sz="4" w:space="0" w:color="auto"/>
              <w:right w:val="single" w:sz="12" w:space="0" w:color="000000"/>
            </w:tcBorders>
            <w:shd w:val="clear" w:color="auto" w:fill="auto"/>
          </w:tcPr>
          <w:p w:rsidR="00E01AD3" w:rsidRPr="009855A1" w:rsidRDefault="00E01AD3" w:rsidP="00E01AD3">
            <w:pPr>
              <w:spacing w:before="100" w:beforeAutospacing="1" w:after="100" w:afterAutospacing="1" w:line="240" w:lineRule="auto"/>
              <w:rPr>
                <w:sz w:val="18"/>
                <w:szCs w:val="18"/>
              </w:rPr>
            </w:pPr>
            <w:r w:rsidRPr="009855A1">
              <w:rPr>
                <w:sz w:val="18"/>
                <w:szCs w:val="18"/>
              </w:rPr>
              <w:t xml:space="preserve">ENPV [mil. Kč] </w:t>
            </w:r>
          </w:p>
        </w:tc>
        <w:tc>
          <w:tcPr>
            <w:tcW w:w="1382" w:type="dxa"/>
            <w:tcBorders>
              <w:left w:val="single" w:sz="12" w:space="0" w:color="000000"/>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w:t>
            </w:r>
          </w:p>
        </w:tc>
        <w:tc>
          <w:tcPr>
            <w:tcW w:w="1382" w:type="dxa"/>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-184 406</w:t>
            </w:r>
          </w:p>
        </w:tc>
        <w:tc>
          <w:tcPr>
            <w:tcW w:w="1382" w:type="dxa"/>
            <w:tcBorders>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949 570</w:t>
            </w:r>
          </w:p>
        </w:tc>
        <w:tc>
          <w:tcPr>
            <w:tcW w:w="1382" w:type="dxa"/>
            <w:tcBorders>
              <w:left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b/>
                <w:bCs/>
                <w:kern w:val="28"/>
                <w:sz w:val="18"/>
                <w:szCs w:val="18"/>
              </w:rPr>
            </w:pPr>
            <w:r w:rsidRPr="009855A1">
              <w:rPr>
                <w:rFonts w:cs="Tahoma"/>
                <w:sz w:val="18"/>
                <w:szCs w:val="18"/>
              </w:rPr>
              <w:t>454 675</w:t>
            </w:r>
          </w:p>
        </w:tc>
      </w:tr>
      <w:tr w:rsidR="00E01AD3" w:rsidRPr="00372D57" w:rsidTr="00416675">
        <w:trPr>
          <w:trHeight w:val="283"/>
        </w:trPr>
        <w:tc>
          <w:tcPr>
            <w:tcW w:w="3828" w:type="dxa"/>
            <w:tcBorders>
              <w:left w:val="single" w:sz="4" w:space="0" w:color="auto"/>
              <w:bottom w:val="single" w:sz="4" w:space="0" w:color="auto"/>
              <w:right w:val="single" w:sz="12" w:space="0" w:color="000000"/>
            </w:tcBorders>
            <w:shd w:val="clear" w:color="auto" w:fill="auto"/>
          </w:tcPr>
          <w:p w:rsidR="00E01AD3" w:rsidRPr="009855A1" w:rsidRDefault="00E01AD3" w:rsidP="00E01AD3">
            <w:pPr>
              <w:spacing w:before="100" w:beforeAutospacing="1" w:after="100" w:afterAutospacing="1" w:line="240" w:lineRule="auto"/>
              <w:rPr>
                <w:sz w:val="18"/>
                <w:szCs w:val="18"/>
              </w:rPr>
            </w:pPr>
            <w:r w:rsidRPr="009855A1">
              <w:rPr>
                <w:sz w:val="18"/>
                <w:szCs w:val="18"/>
              </w:rPr>
              <w:t>B/C Ratio</w:t>
            </w:r>
          </w:p>
        </w:tc>
        <w:tc>
          <w:tcPr>
            <w:tcW w:w="1382" w:type="dxa"/>
            <w:tcBorders>
              <w:left w:val="single" w:sz="12" w:space="0" w:color="000000"/>
              <w:bottom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w:t>
            </w:r>
          </w:p>
        </w:tc>
        <w:tc>
          <w:tcPr>
            <w:tcW w:w="1382" w:type="dxa"/>
            <w:tcBorders>
              <w:bottom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0,897</w:t>
            </w:r>
          </w:p>
        </w:tc>
        <w:tc>
          <w:tcPr>
            <w:tcW w:w="1382" w:type="dxa"/>
            <w:tcBorders>
              <w:bottom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2,194</w:t>
            </w:r>
          </w:p>
        </w:tc>
        <w:tc>
          <w:tcPr>
            <w:tcW w:w="1382" w:type="dxa"/>
            <w:tcBorders>
              <w:left w:val="single" w:sz="4" w:space="0" w:color="auto"/>
              <w:bottom w:val="single" w:sz="4" w:space="0" w:color="auto"/>
              <w:right w:val="single" w:sz="4" w:space="0" w:color="auto"/>
            </w:tcBorders>
            <w:shd w:val="clear" w:color="auto" w:fill="auto"/>
            <w:vAlign w:val="center"/>
          </w:tcPr>
          <w:p w:rsidR="00E01AD3" w:rsidRPr="009855A1" w:rsidRDefault="00E01AD3" w:rsidP="00E01AD3">
            <w:pPr>
              <w:spacing w:before="0" w:after="0" w:line="240" w:lineRule="auto"/>
              <w:ind w:right="333"/>
              <w:jc w:val="right"/>
              <w:rPr>
                <w:rFonts w:cs="Tahoma"/>
                <w:sz w:val="18"/>
                <w:szCs w:val="18"/>
              </w:rPr>
            </w:pPr>
            <w:r w:rsidRPr="009855A1">
              <w:rPr>
                <w:rFonts w:cs="Tahoma"/>
                <w:sz w:val="18"/>
                <w:szCs w:val="18"/>
              </w:rPr>
              <w:t>1,137</w:t>
            </w:r>
          </w:p>
        </w:tc>
      </w:tr>
      <w:tr w:rsidR="00E01AD3" w:rsidRPr="00372D57" w:rsidTr="00416675">
        <w:trPr>
          <w:trHeight w:val="283"/>
        </w:trPr>
        <w:tc>
          <w:tcPr>
            <w:tcW w:w="9356" w:type="dxa"/>
            <w:gridSpan w:val="5"/>
            <w:tcBorders>
              <w:top w:val="single" w:sz="4" w:space="0" w:color="auto"/>
              <w:left w:val="nil"/>
              <w:bottom w:val="nil"/>
              <w:right w:val="nil"/>
            </w:tcBorders>
            <w:shd w:val="clear" w:color="auto" w:fill="auto"/>
          </w:tcPr>
          <w:p w:rsidR="00E01AD3" w:rsidRPr="00E01AD3" w:rsidRDefault="00E01AD3" w:rsidP="00E01AD3">
            <w:pPr>
              <w:spacing w:before="0" w:after="0"/>
            </w:pPr>
            <w:r w:rsidRPr="009855A1">
              <w:rPr>
                <w:sz w:val="18"/>
                <w:vertAlign w:val="superscript"/>
              </w:rPr>
              <w:t>*)</w:t>
            </w:r>
            <w:r w:rsidRPr="009855A1">
              <w:rPr>
                <w:sz w:val="18"/>
              </w:rPr>
              <w:t xml:space="preserve"> platí pro nesnížený rozsah dopravy</w:t>
            </w:r>
          </w:p>
        </w:tc>
      </w:tr>
    </w:tbl>
    <w:p w:rsidR="00225B27" w:rsidRDefault="00225B27" w:rsidP="00D13FB3">
      <w:pPr>
        <w:pStyle w:val="Nadpis3"/>
        <w:ind w:hanging="8234"/>
      </w:pPr>
      <w:r>
        <w:t>Dopravně-technologická analýza</w:t>
      </w:r>
    </w:p>
    <w:p w:rsidR="00820BA1" w:rsidRDefault="002C5044" w:rsidP="000A2EA0">
      <w:r>
        <w:t>Jedním z očekávaných důsledků uvažovaných investičních zásahů do tratě Pardubice – Hradec Králové je navýšení propustnosti tratě tak, aby mohly být upokojeny požadavky objednatelů dopravy</w:t>
      </w:r>
      <w:r w:rsidR="00196378">
        <w:t xml:space="preserve"> a přitom zachovány dostatečné časové rezervy nutné pro stabilitu grafikonu</w:t>
      </w:r>
      <w:r>
        <w:t xml:space="preserve">. Projektová varianta minimální propustnost tratě nezvyšuje a umožňuje zachovat současný rozsah dopravy. Projektová varianta </w:t>
      </w:r>
      <w:r w:rsidR="008E7AB8">
        <w:t>Maximální</w:t>
      </w:r>
      <w:r>
        <w:t xml:space="preserve"> přináší naprosto dostatečnou kapacitu. </w:t>
      </w:r>
      <w:r w:rsidR="00A975B5">
        <w:t>Etapa</w:t>
      </w:r>
      <w:r w:rsidR="00DB6D10">
        <w:t xml:space="preserve"> varianty Maximální</w:t>
      </w:r>
      <w:r w:rsidR="00A975B5">
        <w:t xml:space="preserve"> </w:t>
      </w:r>
      <w:r w:rsidR="00196378">
        <w:t xml:space="preserve">navyšuje kapacitu úseku Stéblová – Opatovice nad Labem, ale přínos tohoto kroku je silně redukován </w:t>
      </w:r>
      <w:r w:rsidR="00AD185A">
        <w:t xml:space="preserve">skutečností, že samotná železniční stanice </w:t>
      </w:r>
      <w:r w:rsidR="007573B1">
        <w:t xml:space="preserve">Opatovice nad Labem </w:t>
      </w:r>
      <w:r w:rsidR="00AD185A">
        <w:t xml:space="preserve">je z projektovaných úprav vyjmuta a zůstává neperonizována. </w:t>
      </w:r>
      <w:r w:rsidR="00820BA1">
        <w:t>Osobní regionální doprava (tj. vše mimo rychlíků Pardubice – Liberec) by měla podle záměrů objednatele OREDO narůst z</w:t>
      </w:r>
      <w:r w:rsidR="00E456AE">
        <w:t>e současných</w:t>
      </w:r>
      <w:r w:rsidR="00820BA1">
        <w:t> 61 vlaků</w:t>
      </w:r>
      <w:r w:rsidR="00E456AE">
        <w:t xml:space="preserve"> až</w:t>
      </w:r>
      <w:r w:rsidR="00820BA1">
        <w:t xml:space="preserve"> na 118 vlaků. Takto razantní nárůst osobní dopravy znamená, že ve špičkové hodině již</w:t>
      </w:r>
      <w:r w:rsidR="00AD185A">
        <w:t xml:space="preserve"> téměř</w:t>
      </w:r>
      <w:r w:rsidR="00820BA1">
        <w:t xml:space="preserve"> ne</w:t>
      </w:r>
      <w:r w:rsidR="00E456AE">
        <w:t xml:space="preserve">bude možné </w:t>
      </w:r>
      <w:r w:rsidR="00820BA1">
        <w:t>po jednokolejných úsecích Pardubice-Rosice nad Lab. – Stéblová a Opatovice nad Lab. – Hradec Králové hl. nádr provézt žádný nákladní vlak. Pak by bylo na rozhodnutí Odboru jízdního řádu SŽDC, jak skloubit dostupnou kapacitu s požadavky na osobní i nákladní dopravu.</w:t>
      </w:r>
      <w:r w:rsidR="00E456AE">
        <w:t xml:space="preserve"> Problematik</w:t>
      </w:r>
      <w:r w:rsidR="00D20948">
        <w:t>a</w:t>
      </w:r>
      <w:r w:rsidR="00E456AE">
        <w:t xml:space="preserve"> propustnosti je blíže rozvedena v kapitole </w:t>
      </w:r>
      <w:r w:rsidR="00AC5CDF">
        <w:fldChar w:fldCharType="begin"/>
      </w:r>
      <w:r w:rsidR="00E456AE">
        <w:instrText xml:space="preserve"> REF _Ref321391163 \r \h </w:instrText>
      </w:r>
      <w:r w:rsidR="00AC5CDF">
        <w:fldChar w:fldCharType="separate"/>
      </w:r>
      <w:r w:rsidR="003843F3">
        <w:t>0</w:t>
      </w:r>
      <w:r w:rsidR="00AC5CDF">
        <w:fldChar w:fldCharType="end"/>
      </w:r>
      <w:r w:rsidR="00E456AE">
        <w:t>.</w:t>
      </w:r>
    </w:p>
    <w:p w:rsidR="006833A2" w:rsidRDefault="00820BA1" w:rsidP="000A2EA0">
      <w:r>
        <w:t xml:space="preserve">U nákladní dopravy </w:t>
      </w:r>
      <w:r w:rsidR="00E456AE">
        <w:t xml:space="preserve">se nepředpokládá pravidelný průvoz tranzitní zátěže. U místní dopravy </w:t>
      </w:r>
      <w:r>
        <w:t>lze uvažovat pozvolný nárůst oproti současnému stavu. Z vlečky Elektrárny Opatovice budou v příštích letech zahájeny přepravy energosádrovce, stále platí záměr výstavby Multimodálního logistického centra napojeného na žst Pardubice-Rosice nad Lab.</w:t>
      </w:r>
    </w:p>
    <w:p w:rsidR="00E456AE" w:rsidRDefault="006833A2" w:rsidP="000A2EA0">
      <w:r>
        <w:t xml:space="preserve">Úspory cestovních dob u osobních vlaků vyplývají ze zvýšení traťové rychlosti a z odstranění prostojů při křižování, resp. odstranění křižování. Oproti současnosti a minimální variantě úspora ve </w:t>
      </w:r>
      <w:r w:rsidR="00A975B5">
        <w:t xml:space="preserve">stavu Etapa </w:t>
      </w:r>
      <w:r w:rsidRPr="00A975B5">
        <w:rPr>
          <w:rFonts w:hint="eastAsia"/>
        </w:rPr>
        <w:t>č</w:t>
      </w:r>
      <w:r w:rsidRPr="00A975B5">
        <w:t>iní 0</w:t>
      </w:r>
      <w:r w:rsidR="00AD185A" w:rsidRPr="00A975B5">
        <w:t>,5</w:t>
      </w:r>
      <w:r w:rsidRPr="00A975B5">
        <w:t xml:space="preserve"> min u rychlík</w:t>
      </w:r>
      <w:r w:rsidRPr="00A975B5">
        <w:rPr>
          <w:rFonts w:hint="eastAsia"/>
        </w:rPr>
        <w:t>ů</w:t>
      </w:r>
      <w:r w:rsidRPr="00A975B5">
        <w:t xml:space="preserve">, </w:t>
      </w:r>
      <w:r w:rsidR="00AD185A" w:rsidRPr="00A975B5">
        <w:t>6</w:t>
      </w:r>
      <w:r w:rsidRPr="00A975B5">
        <w:t xml:space="preserve">,0 min u Sp a </w:t>
      </w:r>
      <w:r w:rsidR="00AD185A" w:rsidRPr="00A975B5">
        <w:t>1,5</w:t>
      </w:r>
      <w:r w:rsidRPr="00A975B5">
        <w:t xml:space="preserve"> min u zastávkových osobních vlak</w:t>
      </w:r>
      <w:r w:rsidRPr="00A975B5">
        <w:rPr>
          <w:rFonts w:hint="eastAsia"/>
        </w:rPr>
        <w:t>ů</w:t>
      </w:r>
      <w:r w:rsidR="00A975B5">
        <w:t xml:space="preserve"> </w:t>
      </w:r>
      <w:r>
        <w:t xml:space="preserve"> a ve variantě </w:t>
      </w:r>
      <w:r w:rsidR="008E7AB8">
        <w:t>M</w:t>
      </w:r>
      <w:r>
        <w:t xml:space="preserve">aximální </w:t>
      </w:r>
      <w:r w:rsidR="00625669">
        <w:t>2</w:t>
      </w:r>
      <w:r>
        <w:t xml:space="preserve">,0 min u rychlíků, </w:t>
      </w:r>
      <w:r w:rsidR="00625669">
        <w:t>4,0</w:t>
      </w:r>
      <w:r>
        <w:t xml:space="preserve"> min u Sp a </w:t>
      </w:r>
      <w:r w:rsidR="00625669">
        <w:t>9</w:t>
      </w:r>
      <w:r>
        <w:t>,5 min u zastávkových osobních vlaků.</w:t>
      </w:r>
    </w:p>
    <w:p w:rsidR="000A2EA0" w:rsidRPr="000A2EA0" w:rsidRDefault="00E456AE" w:rsidP="000A2EA0">
      <w:r>
        <w:t>Z pohledu provozní technologie lze doporučit k</w:t>
      </w:r>
      <w:r w:rsidR="00A975B5">
        <w:t> </w:t>
      </w:r>
      <w:r>
        <w:t>realizaci</w:t>
      </w:r>
      <w:r w:rsidR="00A975B5">
        <w:t xml:space="preserve"> </w:t>
      </w:r>
      <w:r>
        <w:t xml:space="preserve">plně vyhovující </w:t>
      </w:r>
      <w:r w:rsidR="008E7AB8">
        <w:t>M</w:t>
      </w:r>
      <w:r>
        <w:t>aximální variant</w:t>
      </w:r>
      <w:r w:rsidR="00A975B5">
        <w:t xml:space="preserve">u. </w:t>
      </w:r>
    </w:p>
    <w:p w:rsidR="00225B27" w:rsidRDefault="00225B27" w:rsidP="00D13FB3">
      <w:pPr>
        <w:pStyle w:val="Nadpis3"/>
        <w:ind w:hanging="8234"/>
      </w:pPr>
      <w:r>
        <w:t>Přepravní prognóza</w:t>
      </w:r>
    </w:p>
    <w:p w:rsidR="006F0A5C" w:rsidRPr="00101465" w:rsidRDefault="006F0A5C" w:rsidP="006F0A5C">
      <w:r w:rsidRPr="00101465">
        <w:t xml:space="preserve">Prognóza přepravních proudů byla provedena pro období 2014 – 2043, shodně jako </w:t>
      </w:r>
      <w:r>
        <w:t xml:space="preserve">je zpracováno </w:t>
      </w:r>
      <w:r w:rsidRPr="00101465">
        <w:t>ekonomické hodnocení.</w:t>
      </w:r>
    </w:p>
    <w:p w:rsidR="006F0A5C" w:rsidRDefault="006F0A5C" w:rsidP="006F0A5C">
      <w:r>
        <w:t>Pro zpracování prognózy osobní dopravy byl hlavním nástrojem dopravní model řešeného území, který na základě stávajících přepravních vztahů v řešeném území modeluje výhledové přepravní proudy. Do výpočtu přitom zahrnuje data týkající se demografie, ekonomických poměrů, stupně automobilizace, atraktivity v regionu z hlediska velikosti sídel, pracovních míst, nemocnic, školních zařízení atd. Zároveň je v modelu definována relevantní dopravní síť (stávající i plánovaná) a její parametry (kapacita, rychlost, jízdní doby, atd.) a nabídka veřejné dopravy (četnost spojení, cestovní doby, možnosti přestupů, atd.).</w:t>
      </w:r>
    </w:p>
    <w:p w:rsidR="006F0A5C" w:rsidRDefault="006F0A5C" w:rsidP="006F0A5C">
      <w:r>
        <w:t>Pro každou variantu</w:t>
      </w:r>
      <w:r w:rsidR="00412D07">
        <w:t>, nebo její etapu,</w:t>
      </w:r>
      <w:r>
        <w:t xml:space="preserve"> byly vypočteny příslušné přepravní proudy na hodnoceném železničním úseku, zároveň byla vyčíslena převedená a indukovaná </w:t>
      </w:r>
      <w:r w:rsidR="00356754">
        <w:t>přeprava</w:t>
      </w:r>
      <w:r>
        <w:t>. Přepravní proudy a výkony tvoří jeden ze základních vstupů ekonomického hodnocení. Následující graf představuje porovnání ročních přepravních výkonů na železnici jednotlivých variant po dobu hodnotícího období.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6F0A5C" w:rsidRPr="00DE106B" w:rsidTr="00E01AD3">
        <w:tc>
          <w:tcPr>
            <w:tcW w:w="9356" w:type="dxa"/>
          </w:tcPr>
          <w:p w:rsidR="006F0A5C" w:rsidRPr="00714409" w:rsidRDefault="00092F1A" w:rsidP="00416675">
            <w:pPr>
              <w:pStyle w:val="Titulek"/>
            </w:pPr>
            <w:bookmarkStart w:id="25" w:name="_Toc390958806"/>
            <w:r w:rsidRPr="00F14B7A">
              <w:t xml:space="preserve">Obr. </w:t>
            </w:r>
            <w:r w:rsidR="00AC5CDF" w:rsidRPr="00F5279A">
              <w:fldChar w:fldCharType="begin"/>
            </w:r>
            <w:r w:rsidR="0009293A" w:rsidRPr="00F14B7A">
              <w:instrText xml:space="preserve"> STYLEREF 1 \s </w:instrText>
            </w:r>
            <w:r w:rsidR="00AC5CDF" w:rsidRPr="00F5279A">
              <w:fldChar w:fldCharType="separate"/>
            </w:r>
            <w:r w:rsidR="003843F3">
              <w:rPr>
                <w:noProof/>
              </w:rPr>
              <w:t>2</w:t>
            </w:r>
            <w:r w:rsidR="00AC5CDF" w:rsidRPr="00F5279A">
              <w:fldChar w:fldCharType="end"/>
            </w:r>
            <w:r w:rsidRPr="00F14B7A">
              <w:noBreakHyphen/>
            </w:r>
            <w:r w:rsidR="00AC5CDF" w:rsidRPr="00F5279A">
              <w:fldChar w:fldCharType="begin"/>
            </w:r>
            <w:r w:rsidR="0009293A" w:rsidRPr="00F14B7A">
              <w:instrText xml:space="preserve"> SEQ Obr. \* ARABIC \s 1 </w:instrText>
            </w:r>
            <w:r w:rsidR="00AC5CDF" w:rsidRPr="00F5279A">
              <w:fldChar w:fldCharType="separate"/>
            </w:r>
            <w:r w:rsidR="003843F3">
              <w:rPr>
                <w:noProof/>
              </w:rPr>
              <w:t>1</w:t>
            </w:r>
            <w:r w:rsidR="00AC5CDF" w:rsidRPr="00F5279A">
              <w:fldChar w:fldCharType="end"/>
            </w:r>
            <w:r w:rsidRPr="00F14B7A">
              <w:t>:</w:t>
            </w:r>
            <w:r w:rsidRPr="00543934">
              <w:t xml:space="preserve"> </w:t>
            </w:r>
            <w:r w:rsidR="006F0A5C" w:rsidRPr="00714409">
              <w:t>Přepravní výkony na relaci H. Králové – Pardubice (os</w:t>
            </w:r>
            <w:r w:rsidR="00B72657">
              <w:t>.</w:t>
            </w:r>
            <w:r w:rsidR="006F0A5C" w:rsidRPr="00714409">
              <w:t>km/rok)</w:t>
            </w:r>
            <w:bookmarkEnd w:id="25"/>
          </w:p>
        </w:tc>
      </w:tr>
      <w:tr w:rsidR="006F0A5C" w:rsidTr="00E01AD3">
        <w:tc>
          <w:tcPr>
            <w:tcW w:w="9356" w:type="dxa"/>
          </w:tcPr>
          <w:p w:rsidR="006F0A5C" w:rsidRPr="00714409" w:rsidRDefault="000E79AE" w:rsidP="00416675">
            <w:pPr>
              <w:spacing w:before="100" w:beforeAutospacing="1" w:after="100" w:afterAutospacing="1"/>
            </w:pPr>
            <w:r>
              <w:rPr>
                <w:noProof/>
                <w:lang w:eastAsia="cs-CZ"/>
              </w:rPr>
              <w:pict>
                <v:shape id="_x0000_s1134" type="#_x0000_t75" style="position:absolute;left:0;text-align:left;margin-left:386.65pt;margin-top:240pt;width:60.55pt;height:19.45pt;z-index:251660800;mso-position-horizontal-relative:text;mso-position-vertical-relative:text" filled="t">
                  <v:imagedata r:id="rId20" o:title=""/>
                </v:shape>
                <o:OLEObject Type="Embed" ProgID="CorelDRAW.Graphic.12" ShapeID="_x0000_s1134" DrawAspect="Content" ObjectID="_1464784064" r:id="rId21"/>
              </w:pict>
            </w:r>
            <w:r w:rsidR="000F485C" w:rsidRPr="00F5279A">
              <w:rPr>
                <w:noProof/>
                <w:lang w:eastAsia="cs-CZ"/>
              </w:rPr>
              <w:drawing>
                <wp:anchor distT="0" distB="0" distL="114300" distR="114300" simplePos="0" relativeHeight="251651584" behindDoc="0" locked="0" layoutInCell="1" allowOverlap="1" wp14:anchorId="1835BAF9" wp14:editId="60529AE0">
                  <wp:simplePos x="0" y="0"/>
                  <wp:positionH relativeFrom="column">
                    <wp:posOffset>2540</wp:posOffset>
                  </wp:positionH>
                  <wp:positionV relativeFrom="paragraph">
                    <wp:posOffset>118745</wp:posOffset>
                  </wp:positionV>
                  <wp:extent cx="5743575" cy="3253105"/>
                  <wp:effectExtent l="0" t="0" r="0" b="0"/>
                  <wp:wrapSquare wrapText="bothSides"/>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43575" cy="3253105"/>
                          </a:xfrm>
                          <a:prstGeom prst="rect">
                            <a:avLst/>
                          </a:prstGeom>
                          <a:noFill/>
                        </pic:spPr>
                      </pic:pic>
                    </a:graphicData>
                  </a:graphic>
                  <wp14:sizeRelH relativeFrom="page">
                    <wp14:pctWidth>0</wp14:pctWidth>
                  </wp14:sizeRelH>
                  <wp14:sizeRelV relativeFrom="page">
                    <wp14:pctHeight>0</wp14:pctHeight>
                  </wp14:sizeRelV>
                </wp:anchor>
              </w:drawing>
            </w:r>
          </w:p>
        </w:tc>
      </w:tr>
    </w:tbl>
    <w:p w:rsidR="006F0A5C" w:rsidRDefault="006F0A5C" w:rsidP="006F0A5C">
      <w:r>
        <w:t xml:space="preserve">Nárůsty přepravních výkonů ve </w:t>
      </w:r>
      <w:r w:rsidR="00EC670C">
        <w:t>variantě</w:t>
      </w:r>
      <w:r>
        <w:t xml:space="preserve"> Maximální </w:t>
      </w:r>
      <w:r w:rsidR="00EC670C">
        <w:t xml:space="preserve">a její Etapě </w:t>
      </w:r>
      <w:r>
        <w:t xml:space="preserve">oproti variantám Bez projektu a Minimální se pohybují v rozmezí </w:t>
      </w:r>
      <w:r w:rsidR="00B72657" w:rsidRPr="008166C7">
        <w:t xml:space="preserve">25 </w:t>
      </w:r>
      <w:r w:rsidRPr="00F14B7A">
        <w:t xml:space="preserve">– </w:t>
      </w:r>
      <w:r w:rsidR="00B72657" w:rsidRPr="008166C7">
        <w:t>32</w:t>
      </w:r>
      <w:r w:rsidRPr="008166C7">
        <w:t>%</w:t>
      </w:r>
      <w:r>
        <w:t xml:space="preserve"> a jsou způsobeny zejména vlivem kvalitnější dopravní nabídky (o více než </w:t>
      </w:r>
      <w:r w:rsidR="00B72657">
        <w:t>65</w:t>
      </w:r>
      <w:r>
        <w:t xml:space="preserve">% vyšší počty spojů), zkrácení cestovních dob není </w:t>
      </w:r>
      <w:r w:rsidR="00B72657">
        <w:t xml:space="preserve">tolik </w:t>
      </w:r>
      <w:r>
        <w:t xml:space="preserve">rozhodující. Rozdíly v přepravních výkonech mezi jednotlivými variantami tvoří převedená a indukovaná </w:t>
      </w:r>
      <w:r w:rsidR="00356754">
        <w:t>přeprava</w:t>
      </w:r>
      <w:r>
        <w:t xml:space="preserve">. Výrazně vetší část připadá na </w:t>
      </w:r>
      <w:r w:rsidR="00356754">
        <w:t xml:space="preserve">přepravu </w:t>
      </w:r>
      <w:r>
        <w:t xml:space="preserve">převedenou z jiných dopravních módů (cca 90%), malá část (kolem 10%) připadá na </w:t>
      </w:r>
      <w:r w:rsidR="00356754">
        <w:t xml:space="preserve">přepravu </w:t>
      </w:r>
      <w:r>
        <w:t xml:space="preserve">indukovanou. V případě převedené </w:t>
      </w:r>
      <w:r w:rsidR="00356754">
        <w:t xml:space="preserve">přepravy </w:t>
      </w:r>
      <w:r>
        <w:t>nejčastěji dochází k převedení z veřejné autobusové dopravy (cca 85% případů), menší část (kolem 15%) připadá na osobní automobily.</w:t>
      </w:r>
    </w:p>
    <w:p w:rsidR="006F0A5C" w:rsidRPr="006F0A5C" w:rsidRDefault="006F0A5C" w:rsidP="006F0A5C">
      <w:r>
        <w:t>Prognóza nákladní dopravy nebyla pro účely ekonomického hodnocení zpracována, neboť realizace projektu nemá na poptávku po nákladní dopravě vliv a případné úspory z cestovních dob nákladních vlaků je možné zanedbat.</w:t>
      </w:r>
    </w:p>
    <w:p w:rsidR="00225B27" w:rsidRDefault="00225B27" w:rsidP="00D13FB3">
      <w:pPr>
        <w:pStyle w:val="Nadpis3"/>
        <w:ind w:hanging="8234"/>
      </w:pPr>
      <w:r>
        <w:t>Ekonomické hodnocení</w:t>
      </w:r>
    </w:p>
    <w:p w:rsidR="00743BED" w:rsidRDefault="00743BED" w:rsidP="00743BED">
      <w:r>
        <w:t>Ekonomické hodnocení je zpracováno pomocí nákladovo-výnosové analýzy (Cost Benefit Analysis – CBA). CBA byla provedena v souladu s materiálem „Aktualizace metodiky pro výpočet efektivnosti investic na SŽDC“, MD 2009.</w:t>
      </w:r>
    </w:p>
    <w:p w:rsidR="00743BED" w:rsidRDefault="00743BED" w:rsidP="00743BED">
      <w:r>
        <w:t xml:space="preserve">Ve finanční analýze jsou výpočty založeny na analýze diferenčních nákladových a výnosových finančních toků provozovatele dopravní infrastruktury v době hodnocení projektu. </w:t>
      </w:r>
    </w:p>
    <w:p w:rsidR="00743BED" w:rsidRDefault="00743BED" w:rsidP="00743BED">
      <w:r>
        <w:t>Výstupy ekonomické analýzy jsou shodné jako u analýzy finanční. Rozdílný je však úhel pohledu na celý projekt. Navíc zde totiž přistupují další finanční toky, které jsou relevantní z hlediska celé společnosti. V ekonomické analýze jsou tedy hodnoceny navíc finanční toky uživatelů dopravy a celospolečenské účinky.</w:t>
      </w:r>
    </w:p>
    <w:p w:rsidR="00743BED" w:rsidRDefault="00743BED" w:rsidP="00743BED">
      <w:r>
        <w:t>Z diferenčních finančních toků je vypracována tabulka cash-flow a z ní odvozeno vnitřní výnosové procento (FRR / ERR), čistá současná hodnota (FNPV / ENPV) a poměr přínosů a nákladů (B/C Ratio).</w:t>
      </w:r>
    </w:p>
    <w:p w:rsidR="00743BED" w:rsidRDefault="00743BED" w:rsidP="00743BED">
      <w:r>
        <w:t xml:space="preserve">Hodnocení bylo provedeno pro úsek Hradec Králové – Pardubice. Byly hodnoceny </w:t>
      </w:r>
      <w:r w:rsidR="00AE43EF">
        <w:t xml:space="preserve">dvě </w:t>
      </w:r>
      <w:r>
        <w:t xml:space="preserve">projektové varianty </w:t>
      </w:r>
      <w:r w:rsidR="00AE43EF">
        <w:t xml:space="preserve">a Etapa varianty Maximální </w:t>
      </w:r>
      <w:r>
        <w:t>vycházející z rozdílného technického řešení jednotlivých dílčích úseků, resp. jejich kombinací.</w:t>
      </w:r>
    </w:p>
    <w:p w:rsidR="00743BED" w:rsidRDefault="00743BED" w:rsidP="00743BED">
      <w:r>
        <w:t>V následující tabulce jsou uvedeny výsledky zpracované finanční a ekonomické analýzy.</w:t>
      </w:r>
    </w:p>
    <w:tbl>
      <w:tblPr>
        <w:tblW w:w="9283" w:type="dxa"/>
        <w:jc w:val="center"/>
        <w:tblInd w:w="-16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49"/>
        <w:gridCol w:w="2195"/>
        <w:gridCol w:w="2126"/>
        <w:gridCol w:w="1813"/>
      </w:tblGrid>
      <w:tr w:rsidR="00743BED" w:rsidTr="00416675">
        <w:trPr>
          <w:jc w:val="center"/>
        </w:trPr>
        <w:tc>
          <w:tcPr>
            <w:tcW w:w="9283" w:type="dxa"/>
            <w:gridSpan w:val="4"/>
            <w:tcBorders>
              <w:bottom w:val="single" w:sz="4" w:space="0" w:color="000000"/>
            </w:tcBorders>
            <w:shd w:val="clear" w:color="auto" w:fill="auto"/>
          </w:tcPr>
          <w:p w:rsidR="00743BED" w:rsidRPr="00AC18C3" w:rsidRDefault="00743BED" w:rsidP="00416675">
            <w:pPr>
              <w:pStyle w:val="Titulek"/>
              <w:rPr>
                <w:rFonts w:eastAsia="Arial Unicode MS"/>
                <w:color w:val="FF0000"/>
              </w:rPr>
            </w:pPr>
            <w:bookmarkStart w:id="26" w:name="_Toc390958735"/>
            <w:bookmarkStart w:id="27" w:name="_Toc391034539"/>
            <w:r w:rsidRPr="00495E2A">
              <w:t xml:space="preserve">Tab. </w:t>
            </w:r>
            <w:r w:rsidR="000E79AE">
              <w:fldChar w:fldCharType="begin"/>
            </w:r>
            <w:r w:rsidR="000E79AE">
              <w:instrText xml:space="preserve"> STYLEREF 1 \s </w:instrText>
            </w:r>
            <w:r w:rsidR="000E79AE">
              <w:fldChar w:fldCharType="separate"/>
            </w:r>
            <w:r w:rsidR="003843F3">
              <w:rPr>
                <w:noProof/>
              </w:rPr>
              <w:t>2</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5</w:t>
            </w:r>
            <w:r w:rsidR="000E79AE">
              <w:fldChar w:fldCharType="end"/>
            </w:r>
            <w:r w:rsidRPr="00495E2A">
              <w:t>: Přehled výsledků</w:t>
            </w:r>
            <w:bookmarkEnd w:id="26"/>
            <w:bookmarkEnd w:id="27"/>
          </w:p>
        </w:tc>
      </w:tr>
      <w:tr w:rsidR="00743BED" w:rsidTr="00416675">
        <w:trPr>
          <w:jc w:val="center"/>
        </w:trPr>
        <w:tc>
          <w:tcPr>
            <w:tcW w:w="3149" w:type="dxa"/>
            <w:tcBorders>
              <w:bottom w:val="single" w:sz="12" w:space="0" w:color="auto"/>
            </w:tcBorders>
            <w:shd w:val="pct12" w:color="auto" w:fill="auto"/>
          </w:tcPr>
          <w:p w:rsidR="00743BED" w:rsidRPr="00416675" w:rsidRDefault="00743BED" w:rsidP="00416675">
            <w:pPr>
              <w:spacing w:before="60" w:after="60"/>
              <w:rPr>
                <w:rFonts w:eastAsia="Arial Unicode MS"/>
                <w:b/>
                <w:sz w:val="18"/>
              </w:rPr>
            </w:pPr>
            <w:r w:rsidRPr="00416675">
              <w:rPr>
                <w:rFonts w:eastAsia="Arial Unicode MS"/>
                <w:b/>
                <w:sz w:val="18"/>
              </w:rPr>
              <w:t>varianta/ukazatel</w:t>
            </w:r>
          </w:p>
        </w:tc>
        <w:tc>
          <w:tcPr>
            <w:tcW w:w="2195" w:type="dxa"/>
            <w:tcBorders>
              <w:bottom w:val="single" w:sz="12" w:space="0" w:color="auto"/>
            </w:tcBorders>
            <w:shd w:val="pct12" w:color="auto" w:fill="auto"/>
          </w:tcPr>
          <w:p w:rsidR="00743BED" w:rsidRPr="00416675" w:rsidRDefault="00743BED" w:rsidP="00416675">
            <w:pPr>
              <w:spacing w:before="60" w:after="60"/>
              <w:rPr>
                <w:rFonts w:eastAsia="Arial Unicode MS"/>
                <w:b/>
                <w:sz w:val="18"/>
              </w:rPr>
            </w:pPr>
            <w:r w:rsidRPr="00416675">
              <w:rPr>
                <w:rFonts w:eastAsia="Arial Unicode MS"/>
                <w:b/>
                <w:sz w:val="18"/>
              </w:rPr>
              <w:t>FRR/ERR [%]</w:t>
            </w:r>
          </w:p>
        </w:tc>
        <w:tc>
          <w:tcPr>
            <w:tcW w:w="2126" w:type="dxa"/>
            <w:tcBorders>
              <w:bottom w:val="single" w:sz="12" w:space="0" w:color="auto"/>
            </w:tcBorders>
            <w:shd w:val="pct12" w:color="auto" w:fill="auto"/>
          </w:tcPr>
          <w:p w:rsidR="00743BED" w:rsidRPr="00416675" w:rsidRDefault="00743BED" w:rsidP="00416675">
            <w:pPr>
              <w:spacing w:before="60" w:after="60"/>
              <w:rPr>
                <w:rFonts w:eastAsia="Arial Unicode MS"/>
                <w:b/>
                <w:sz w:val="18"/>
              </w:rPr>
            </w:pPr>
            <w:r w:rsidRPr="00416675">
              <w:rPr>
                <w:rFonts w:eastAsia="Arial Unicode MS"/>
                <w:b/>
                <w:sz w:val="18"/>
              </w:rPr>
              <w:t>FNPV/ENPV [tis. Kč]</w:t>
            </w:r>
          </w:p>
        </w:tc>
        <w:tc>
          <w:tcPr>
            <w:tcW w:w="1813" w:type="dxa"/>
            <w:tcBorders>
              <w:bottom w:val="single" w:sz="12" w:space="0" w:color="auto"/>
            </w:tcBorders>
            <w:shd w:val="pct12" w:color="auto" w:fill="auto"/>
          </w:tcPr>
          <w:p w:rsidR="00743BED" w:rsidRPr="00416675" w:rsidRDefault="00743BED" w:rsidP="00416675">
            <w:pPr>
              <w:spacing w:before="60" w:after="60"/>
              <w:rPr>
                <w:rFonts w:eastAsia="Arial Unicode MS"/>
                <w:b/>
                <w:sz w:val="18"/>
              </w:rPr>
            </w:pPr>
            <w:r w:rsidRPr="00416675">
              <w:rPr>
                <w:rFonts w:eastAsia="Arial Unicode MS"/>
                <w:b/>
                <w:sz w:val="18"/>
              </w:rPr>
              <w:t>B/C Ratio</w:t>
            </w:r>
          </w:p>
        </w:tc>
      </w:tr>
      <w:tr w:rsidR="00743BED" w:rsidTr="00416675">
        <w:trPr>
          <w:jc w:val="center"/>
        </w:trPr>
        <w:tc>
          <w:tcPr>
            <w:tcW w:w="9283" w:type="dxa"/>
            <w:gridSpan w:val="4"/>
            <w:tcBorders>
              <w:bottom w:val="single" w:sz="12" w:space="0" w:color="auto"/>
            </w:tcBorders>
            <w:shd w:val="pct12" w:color="auto" w:fill="auto"/>
          </w:tcPr>
          <w:p w:rsidR="00743BED" w:rsidRPr="00416675" w:rsidRDefault="00743BED" w:rsidP="00416675">
            <w:pPr>
              <w:spacing w:before="60" w:after="60"/>
              <w:rPr>
                <w:rFonts w:eastAsia="Arial Unicode MS"/>
                <w:b/>
                <w:sz w:val="18"/>
              </w:rPr>
            </w:pPr>
            <w:r w:rsidRPr="00416675">
              <w:rPr>
                <w:rFonts w:eastAsia="Arial Unicode MS"/>
                <w:b/>
                <w:sz w:val="18"/>
              </w:rPr>
              <w:t>Finanční analýza</w:t>
            </w:r>
          </w:p>
        </w:tc>
      </w:tr>
      <w:tr w:rsidR="00E07AE6" w:rsidTr="00416675">
        <w:trPr>
          <w:jc w:val="center"/>
        </w:trPr>
        <w:tc>
          <w:tcPr>
            <w:tcW w:w="3149" w:type="dxa"/>
            <w:tcBorders>
              <w:top w:val="single" w:sz="12" w:space="0" w:color="auto"/>
              <w:right w:val="single" w:sz="12" w:space="0" w:color="auto"/>
            </w:tcBorders>
            <w:shd w:val="pct12" w:color="auto" w:fill="auto"/>
          </w:tcPr>
          <w:p w:rsidR="00E07AE6" w:rsidRPr="00416675" w:rsidRDefault="00E07AE6" w:rsidP="00416675">
            <w:pPr>
              <w:spacing w:before="60" w:after="60"/>
              <w:rPr>
                <w:rFonts w:eastAsia="Arial Unicode MS"/>
                <w:sz w:val="18"/>
              </w:rPr>
            </w:pPr>
            <w:r w:rsidRPr="00416675">
              <w:rPr>
                <w:rFonts w:eastAsia="Arial Unicode MS"/>
                <w:sz w:val="18"/>
              </w:rPr>
              <w:t>varianta Minimální</w:t>
            </w:r>
          </w:p>
        </w:tc>
        <w:tc>
          <w:tcPr>
            <w:tcW w:w="2195" w:type="dxa"/>
            <w:tcBorders>
              <w:top w:val="single" w:sz="12" w:space="0" w:color="auto"/>
              <w:left w:val="single" w:sz="12" w:space="0" w:color="auto"/>
            </w:tcBorders>
            <w:vAlign w:val="center"/>
          </w:tcPr>
          <w:p w:rsidR="00E07AE6" w:rsidRPr="00416675" w:rsidRDefault="00E07AE6" w:rsidP="00416675">
            <w:pPr>
              <w:spacing w:before="60" w:after="60"/>
              <w:rPr>
                <w:rFonts w:eastAsia="Arial Unicode MS"/>
                <w:sz w:val="18"/>
              </w:rPr>
            </w:pPr>
            <w:r w:rsidRPr="00416675">
              <w:rPr>
                <w:rFonts w:eastAsia="Arial Unicode MS"/>
                <w:sz w:val="18"/>
              </w:rPr>
              <w:t>- 5,86</w:t>
            </w:r>
          </w:p>
        </w:tc>
        <w:tc>
          <w:tcPr>
            <w:tcW w:w="2126" w:type="dxa"/>
            <w:tcBorders>
              <w:top w:val="single" w:sz="12" w:space="0" w:color="auto"/>
            </w:tcBorders>
            <w:vAlign w:val="center"/>
          </w:tcPr>
          <w:p w:rsidR="00E07AE6" w:rsidRPr="00416675" w:rsidRDefault="00E07AE6" w:rsidP="00416675">
            <w:pPr>
              <w:spacing w:before="60" w:after="60"/>
              <w:rPr>
                <w:rFonts w:eastAsia="Arial Unicode MS"/>
                <w:sz w:val="18"/>
              </w:rPr>
            </w:pPr>
            <w:r w:rsidRPr="00416675">
              <w:rPr>
                <w:rFonts w:eastAsia="Arial Unicode MS"/>
                <w:sz w:val="18"/>
              </w:rPr>
              <w:t>- 624 100</w:t>
            </w:r>
          </w:p>
        </w:tc>
        <w:tc>
          <w:tcPr>
            <w:tcW w:w="1813" w:type="dxa"/>
            <w:tcBorders>
              <w:top w:val="single" w:sz="12" w:space="0" w:color="auto"/>
            </w:tcBorders>
            <w:vAlign w:val="bottom"/>
          </w:tcPr>
          <w:p w:rsidR="00E07AE6" w:rsidRPr="00416675" w:rsidRDefault="00E07AE6" w:rsidP="00416675">
            <w:pPr>
              <w:spacing w:before="60" w:after="60"/>
              <w:rPr>
                <w:rFonts w:eastAsia="Arial Unicode MS"/>
                <w:sz w:val="18"/>
              </w:rPr>
            </w:pPr>
            <w:r w:rsidRPr="00416675">
              <w:rPr>
                <w:rFonts w:eastAsia="Arial Unicode MS"/>
                <w:sz w:val="18"/>
              </w:rPr>
              <w:t>-</w:t>
            </w:r>
          </w:p>
        </w:tc>
      </w:tr>
      <w:tr w:rsidR="00E07AE6" w:rsidTr="00416675">
        <w:trPr>
          <w:jc w:val="center"/>
        </w:trPr>
        <w:tc>
          <w:tcPr>
            <w:tcW w:w="3149" w:type="dxa"/>
            <w:tcBorders>
              <w:right w:val="single" w:sz="12" w:space="0" w:color="auto"/>
            </w:tcBorders>
            <w:shd w:val="pct12" w:color="auto" w:fill="auto"/>
          </w:tcPr>
          <w:p w:rsidR="00E07AE6" w:rsidRPr="00416675" w:rsidRDefault="00EC670C" w:rsidP="00416675">
            <w:pPr>
              <w:spacing w:before="60" w:after="60"/>
              <w:rPr>
                <w:rFonts w:eastAsia="Arial Unicode MS"/>
                <w:sz w:val="18"/>
              </w:rPr>
            </w:pPr>
            <w:r w:rsidRPr="00416675">
              <w:rPr>
                <w:rFonts w:eastAsia="Arial Unicode MS"/>
                <w:sz w:val="18"/>
              </w:rPr>
              <w:t>Etapa</w:t>
            </w:r>
          </w:p>
        </w:tc>
        <w:tc>
          <w:tcPr>
            <w:tcW w:w="2195" w:type="dxa"/>
            <w:tcBorders>
              <w:left w:val="single" w:sz="12" w:space="0" w:color="auto"/>
            </w:tcBorders>
            <w:vAlign w:val="center"/>
          </w:tcPr>
          <w:p w:rsidR="00E07AE6" w:rsidRPr="00416675" w:rsidRDefault="00E07AE6" w:rsidP="00416675">
            <w:pPr>
              <w:spacing w:before="60" w:after="60"/>
              <w:rPr>
                <w:rFonts w:eastAsia="Arial Unicode MS"/>
                <w:sz w:val="18"/>
              </w:rPr>
            </w:pPr>
            <w:r w:rsidRPr="00416675">
              <w:rPr>
                <w:rFonts w:eastAsia="Arial Unicode MS"/>
                <w:sz w:val="18"/>
              </w:rPr>
              <w:t>- 9,58</w:t>
            </w:r>
          </w:p>
        </w:tc>
        <w:tc>
          <w:tcPr>
            <w:tcW w:w="2126" w:type="dxa"/>
            <w:vAlign w:val="center"/>
          </w:tcPr>
          <w:p w:rsidR="00E07AE6" w:rsidRPr="00416675" w:rsidRDefault="00E07AE6" w:rsidP="00416675">
            <w:pPr>
              <w:spacing w:before="60" w:after="60"/>
              <w:rPr>
                <w:rFonts w:eastAsia="Arial Unicode MS"/>
                <w:sz w:val="18"/>
              </w:rPr>
            </w:pPr>
            <w:r w:rsidRPr="00416675">
              <w:rPr>
                <w:rFonts w:eastAsia="Arial Unicode MS"/>
                <w:sz w:val="18"/>
              </w:rPr>
              <w:t>- 603 535</w:t>
            </w:r>
          </w:p>
        </w:tc>
        <w:tc>
          <w:tcPr>
            <w:tcW w:w="1813" w:type="dxa"/>
            <w:vAlign w:val="bottom"/>
          </w:tcPr>
          <w:p w:rsidR="00E07AE6" w:rsidRPr="00416675" w:rsidRDefault="00E07AE6" w:rsidP="00416675">
            <w:pPr>
              <w:spacing w:before="60" w:after="60"/>
              <w:rPr>
                <w:rFonts w:eastAsia="Arial Unicode MS"/>
                <w:sz w:val="18"/>
              </w:rPr>
            </w:pPr>
            <w:r w:rsidRPr="00416675">
              <w:rPr>
                <w:rFonts w:eastAsia="Arial Unicode MS"/>
                <w:sz w:val="18"/>
              </w:rPr>
              <w:t>-</w:t>
            </w:r>
          </w:p>
        </w:tc>
      </w:tr>
      <w:tr w:rsidR="00E07AE6" w:rsidTr="00416675">
        <w:trPr>
          <w:jc w:val="center"/>
        </w:trPr>
        <w:tc>
          <w:tcPr>
            <w:tcW w:w="3149" w:type="dxa"/>
            <w:tcBorders>
              <w:bottom w:val="single" w:sz="12" w:space="0" w:color="auto"/>
              <w:right w:val="single" w:sz="12" w:space="0" w:color="auto"/>
            </w:tcBorders>
            <w:shd w:val="pct12" w:color="auto" w:fill="auto"/>
          </w:tcPr>
          <w:p w:rsidR="00E07AE6" w:rsidRPr="00416675" w:rsidRDefault="00E07AE6" w:rsidP="00416675">
            <w:pPr>
              <w:spacing w:before="60" w:after="60"/>
              <w:rPr>
                <w:rFonts w:eastAsia="Arial Unicode MS"/>
                <w:sz w:val="18"/>
              </w:rPr>
            </w:pPr>
            <w:r w:rsidRPr="00416675">
              <w:rPr>
                <w:rFonts w:eastAsia="Arial Unicode MS"/>
                <w:sz w:val="18"/>
              </w:rPr>
              <w:t>varianta Maximální</w:t>
            </w:r>
          </w:p>
        </w:tc>
        <w:tc>
          <w:tcPr>
            <w:tcW w:w="2195" w:type="dxa"/>
            <w:tcBorders>
              <w:left w:val="single" w:sz="12" w:space="0" w:color="auto"/>
              <w:bottom w:val="single" w:sz="12" w:space="0" w:color="auto"/>
            </w:tcBorders>
            <w:vAlign w:val="center"/>
          </w:tcPr>
          <w:p w:rsidR="00E07AE6" w:rsidRPr="00416675" w:rsidRDefault="00E07AE6" w:rsidP="00416675">
            <w:pPr>
              <w:spacing w:before="60" w:after="60"/>
              <w:rPr>
                <w:rFonts w:eastAsia="Arial Unicode MS"/>
                <w:sz w:val="18"/>
              </w:rPr>
            </w:pPr>
            <w:r w:rsidRPr="00416675">
              <w:rPr>
                <w:rFonts w:eastAsia="Arial Unicode MS"/>
                <w:sz w:val="18"/>
              </w:rPr>
              <w:t>- 7,79</w:t>
            </w:r>
          </w:p>
        </w:tc>
        <w:tc>
          <w:tcPr>
            <w:tcW w:w="2126" w:type="dxa"/>
            <w:tcBorders>
              <w:bottom w:val="single" w:sz="12" w:space="0" w:color="auto"/>
            </w:tcBorders>
            <w:vAlign w:val="center"/>
          </w:tcPr>
          <w:p w:rsidR="00E07AE6" w:rsidRPr="00416675" w:rsidRDefault="00E07AE6" w:rsidP="00416675">
            <w:pPr>
              <w:spacing w:before="60" w:after="60"/>
              <w:rPr>
                <w:rFonts w:eastAsia="Arial Unicode MS"/>
                <w:sz w:val="18"/>
              </w:rPr>
            </w:pPr>
            <w:r w:rsidRPr="00416675">
              <w:rPr>
                <w:rFonts w:eastAsia="Arial Unicode MS"/>
                <w:sz w:val="18"/>
              </w:rPr>
              <w:t>- 2 385 026</w:t>
            </w:r>
          </w:p>
        </w:tc>
        <w:tc>
          <w:tcPr>
            <w:tcW w:w="1813" w:type="dxa"/>
            <w:tcBorders>
              <w:bottom w:val="single" w:sz="12" w:space="0" w:color="auto"/>
            </w:tcBorders>
            <w:vAlign w:val="bottom"/>
          </w:tcPr>
          <w:p w:rsidR="00E07AE6" w:rsidRPr="00416675" w:rsidRDefault="00E07AE6" w:rsidP="00416675">
            <w:pPr>
              <w:spacing w:before="60" w:after="60"/>
              <w:rPr>
                <w:rFonts w:eastAsia="Arial Unicode MS"/>
                <w:sz w:val="18"/>
              </w:rPr>
            </w:pPr>
            <w:r w:rsidRPr="00416675">
              <w:rPr>
                <w:rFonts w:eastAsia="Arial Unicode MS"/>
                <w:sz w:val="18"/>
              </w:rPr>
              <w:t>-</w:t>
            </w:r>
          </w:p>
        </w:tc>
      </w:tr>
      <w:tr w:rsidR="00743BED" w:rsidTr="00416675">
        <w:trPr>
          <w:jc w:val="center"/>
        </w:trPr>
        <w:tc>
          <w:tcPr>
            <w:tcW w:w="9283" w:type="dxa"/>
            <w:gridSpan w:val="4"/>
            <w:tcBorders>
              <w:top w:val="single" w:sz="12" w:space="0" w:color="auto"/>
              <w:bottom w:val="single" w:sz="12" w:space="0" w:color="auto"/>
            </w:tcBorders>
            <w:shd w:val="pct12" w:color="auto" w:fill="auto"/>
          </w:tcPr>
          <w:p w:rsidR="00743BED" w:rsidRPr="00416675" w:rsidRDefault="00743BED" w:rsidP="00416675">
            <w:pPr>
              <w:spacing w:before="60" w:after="60"/>
              <w:rPr>
                <w:rFonts w:eastAsia="Arial Unicode MS"/>
                <w:b/>
                <w:sz w:val="18"/>
              </w:rPr>
            </w:pPr>
            <w:r w:rsidRPr="00416675">
              <w:rPr>
                <w:rFonts w:eastAsia="Arial Unicode MS"/>
                <w:b/>
                <w:sz w:val="18"/>
              </w:rPr>
              <w:t>Ekonomická analýza</w:t>
            </w:r>
          </w:p>
        </w:tc>
      </w:tr>
      <w:tr w:rsidR="00E07AE6" w:rsidTr="00416675">
        <w:trPr>
          <w:jc w:val="center"/>
        </w:trPr>
        <w:tc>
          <w:tcPr>
            <w:tcW w:w="3149" w:type="dxa"/>
            <w:tcBorders>
              <w:top w:val="single" w:sz="12" w:space="0" w:color="auto"/>
              <w:right w:val="single" w:sz="12" w:space="0" w:color="auto"/>
            </w:tcBorders>
            <w:shd w:val="pct12" w:color="auto" w:fill="auto"/>
          </w:tcPr>
          <w:p w:rsidR="00E07AE6" w:rsidRPr="00416675" w:rsidRDefault="00E07AE6" w:rsidP="00416675">
            <w:pPr>
              <w:spacing w:before="60" w:after="60"/>
              <w:rPr>
                <w:rFonts w:eastAsia="Arial Unicode MS"/>
                <w:sz w:val="18"/>
              </w:rPr>
            </w:pPr>
            <w:r w:rsidRPr="00416675">
              <w:rPr>
                <w:rFonts w:eastAsia="Arial Unicode MS"/>
                <w:sz w:val="18"/>
              </w:rPr>
              <w:t>varianta Minimální</w:t>
            </w:r>
          </w:p>
        </w:tc>
        <w:tc>
          <w:tcPr>
            <w:tcW w:w="2195" w:type="dxa"/>
            <w:tcBorders>
              <w:top w:val="single" w:sz="12" w:space="0" w:color="auto"/>
              <w:left w:val="single" w:sz="12" w:space="0" w:color="auto"/>
            </w:tcBorders>
            <w:vAlign w:val="bottom"/>
          </w:tcPr>
          <w:p w:rsidR="00E07AE6" w:rsidRPr="00416675" w:rsidRDefault="00E07AE6" w:rsidP="00416675">
            <w:pPr>
              <w:spacing w:before="60" w:after="60"/>
              <w:rPr>
                <w:rFonts w:eastAsia="Arial Unicode MS"/>
                <w:sz w:val="18"/>
              </w:rPr>
            </w:pPr>
            <w:r w:rsidRPr="00416675">
              <w:rPr>
                <w:rFonts w:eastAsia="Arial Unicode MS"/>
                <w:sz w:val="18"/>
              </w:rPr>
              <w:t>3,27</w:t>
            </w:r>
          </w:p>
        </w:tc>
        <w:tc>
          <w:tcPr>
            <w:tcW w:w="2126" w:type="dxa"/>
            <w:tcBorders>
              <w:top w:val="single" w:sz="12" w:space="0" w:color="auto"/>
            </w:tcBorders>
            <w:vAlign w:val="bottom"/>
          </w:tcPr>
          <w:p w:rsidR="00E07AE6" w:rsidRPr="00416675" w:rsidRDefault="00E07AE6" w:rsidP="00416675">
            <w:pPr>
              <w:spacing w:before="60" w:after="60"/>
              <w:rPr>
                <w:rFonts w:eastAsia="Arial Unicode MS"/>
                <w:sz w:val="18"/>
              </w:rPr>
            </w:pPr>
            <w:r w:rsidRPr="00416675">
              <w:rPr>
                <w:rFonts w:eastAsia="Arial Unicode MS"/>
                <w:sz w:val="18"/>
              </w:rPr>
              <w:t>- 184 406</w:t>
            </w:r>
          </w:p>
        </w:tc>
        <w:tc>
          <w:tcPr>
            <w:tcW w:w="1813" w:type="dxa"/>
            <w:tcBorders>
              <w:top w:val="single" w:sz="12" w:space="0" w:color="auto"/>
            </w:tcBorders>
            <w:vAlign w:val="bottom"/>
          </w:tcPr>
          <w:p w:rsidR="00E07AE6" w:rsidRPr="00416675" w:rsidRDefault="00E07AE6" w:rsidP="00416675">
            <w:pPr>
              <w:spacing w:before="60" w:after="60"/>
              <w:rPr>
                <w:rFonts w:eastAsia="Arial Unicode MS"/>
                <w:sz w:val="18"/>
              </w:rPr>
            </w:pPr>
            <w:r w:rsidRPr="00416675">
              <w:rPr>
                <w:rFonts w:eastAsia="Arial Unicode MS"/>
                <w:sz w:val="18"/>
              </w:rPr>
              <w:t>0,897</w:t>
            </w:r>
          </w:p>
        </w:tc>
      </w:tr>
      <w:tr w:rsidR="00E07AE6" w:rsidTr="00416675">
        <w:trPr>
          <w:jc w:val="center"/>
        </w:trPr>
        <w:tc>
          <w:tcPr>
            <w:tcW w:w="3149" w:type="dxa"/>
            <w:tcBorders>
              <w:right w:val="single" w:sz="12" w:space="0" w:color="auto"/>
            </w:tcBorders>
            <w:shd w:val="pct12" w:color="auto" w:fill="auto"/>
          </w:tcPr>
          <w:p w:rsidR="00E07AE6" w:rsidRPr="00416675" w:rsidRDefault="00EC670C" w:rsidP="00416675">
            <w:pPr>
              <w:spacing w:before="60" w:after="60"/>
              <w:rPr>
                <w:rFonts w:eastAsia="Arial Unicode MS"/>
                <w:sz w:val="18"/>
              </w:rPr>
            </w:pPr>
            <w:r w:rsidRPr="00416675">
              <w:rPr>
                <w:rFonts w:eastAsia="Arial Unicode MS"/>
                <w:sz w:val="18"/>
              </w:rPr>
              <w:t>Etapa</w:t>
            </w:r>
          </w:p>
        </w:tc>
        <w:tc>
          <w:tcPr>
            <w:tcW w:w="2195" w:type="dxa"/>
            <w:tcBorders>
              <w:left w:val="single" w:sz="12" w:space="0" w:color="auto"/>
            </w:tcBorders>
            <w:vAlign w:val="bottom"/>
          </w:tcPr>
          <w:p w:rsidR="00E07AE6" w:rsidRPr="00416675" w:rsidRDefault="00E07AE6" w:rsidP="00416675">
            <w:pPr>
              <w:spacing w:before="60" w:after="60"/>
              <w:rPr>
                <w:rFonts w:eastAsia="Arial Unicode MS"/>
                <w:sz w:val="18"/>
              </w:rPr>
            </w:pPr>
            <w:r w:rsidRPr="00416675">
              <w:rPr>
                <w:rFonts w:eastAsia="Arial Unicode MS"/>
                <w:sz w:val="18"/>
              </w:rPr>
              <w:t>16,23</w:t>
            </w:r>
          </w:p>
        </w:tc>
        <w:tc>
          <w:tcPr>
            <w:tcW w:w="2126" w:type="dxa"/>
            <w:vAlign w:val="bottom"/>
          </w:tcPr>
          <w:p w:rsidR="00E07AE6" w:rsidRPr="00416675" w:rsidRDefault="00E07AE6" w:rsidP="00416675">
            <w:pPr>
              <w:spacing w:before="60" w:after="60"/>
              <w:rPr>
                <w:rFonts w:eastAsia="Arial Unicode MS"/>
                <w:sz w:val="18"/>
              </w:rPr>
            </w:pPr>
            <w:r w:rsidRPr="00416675">
              <w:rPr>
                <w:rFonts w:eastAsia="Arial Unicode MS"/>
                <w:sz w:val="18"/>
              </w:rPr>
              <w:t>949 570</w:t>
            </w:r>
          </w:p>
        </w:tc>
        <w:tc>
          <w:tcPr>
            <w:tcW w:w="1813" w:type="dxa"/>
            <w:vAlign w:val="bottom"/>
          </w:tcPr>
          <w:p w:rsidR="00E07AE6" w:rsidRPr="00416675" w:rsidRDefault="00E07AE6" w:rsidP="00416675">
            <w:pPr>
              <w:spacing w:before="60" w:after="60"/>
              <w:rPr>
                <w:rFonts w:eastAsia="Arial Unicode MS"/>
                <w:sz w:val="18"/>
              </w:rPr>
            </w:pPr>
            <w:r w:rsidRPr="00416675">
              <w:rPr>
                <w:rFonts w:eastAsia="Arial Unicode MS"/>
                <w:sz w:val="18"/>
              </w:rPr>
              <w:t>2,194</w:t>
            </w:r>
          </w:p>
        </w:tc>
      </w:tr>
      <w:tr w:rsidR="00E07AE6" w:rsidTr="00416675">
        <w:trPr>
          <w:jc w:val="center"/>
        </w:trPr>
        <w:tc>
          <w:tcPr>
            <w:tcW w:w="3149" w:type="dxa"/>
            <w:tcBorders>
              <w:right w:val="single" w:sz="12" w:space="0" w:color="auto"/>
            </w:tcBorders>
            <w:shd w:val="pct12" w:color="auto" w:fill="auto"/>
          </w:tcPr>
          <w:p w:rsidR="00E07AE6" w:rsidRPr="00416675" w:rsidRDefault="00E07AE6" w:rsidP="00416675">
            <w:pPr>
              <w:spacing w:before="60" w:after="60"/>
              <w:rPr>
                <w:rFonts w:eastAsia="Arial Unicode MS"/>
                <w:sz w:val="18"/>
              </w:rPr>
            </w:pPr>
            <w:r w:rsidRPr="00416675">
              <w:rPr>
                <w:rFonts w:eastAsia="Arial Unicode MS"/>
                <w:sz w:val="18"/>
              </w:rPr>
              <w:t>varianta Maximální</w:t>
            </w:r>
          </w:p>
        </w:tc>
        <w:tc>
          <w:tcPr>
            <w:tcW w:w="2195" w:type="dxa"/>
            <w:tcBorders>
              <w:left w:val="single" w:sz="12" w:space="0" w:color="auto"/>
            </w:tcBorders>
            <w:vAlign w:val="bottom"/>
          </w:tcPr>
          <w:p w:rsidR="00E07AE6" w:rsidRPr="00416675" w:rsidRDefault="00E07AE6" w:rsidP="00416675">
            <w:pPr>
              <w:spacing w:before="60" w:after="60"/>
              <w:rPr>
                <w:rFonts w:eastAsia="Arial Unicode MS"/>
                <w:sz w:val="18"/>
              </w:rPr>
            </w:pPr>
            <w:r w:rsidRPr="00416675">
              <w:rPr>
                <w:rFonts w:eastAsia="Arial Unicode MS"/>
                <w:sz w:val="18"/>
              </w:rPr>
              <w:t>7,27</w:t>
            </w:r>
          </w:p>
        </w:tc>
        <w:tc>
          <w:tcPr>
            <w:tcW w:w="2126" w:type="dxa"/>
            <w:vAlign w:val="bottom"/>
          </w:tcPr>
          <w:p w:rsidR="00E07AE6" w:rsidRPr="00416675" w:rsidRDefault="00E07AE6" w:rsidP="00416675">
            <w:pPr>
              <w:spacing w:before="60" w:after="60"/>
              <w:rPr>
                <w:rFonts w:eastAsia="Arial Unicode MS"/>
                <w:sz w:val="18"/>
              </w:rPr>
            </w:pPr>
            <w:r w:rsidRPr="00416675">
              <w:rPr>
                <w:rFonts w:eastAsia="Arial Unicode MS"/>
                <w:sz w:val="18"/>
              </w:rPr>
              <w:t>454 675</w:t>
            </w:r>
          </w:p>
        </w:tc>
        <w:tc>
          <w:tcPr>
            <w:tcW w:w="1813" w:type="dxa"/>
            <w:vAlign w:val="bottom"/>
          </w:tcPr>
          <w:p w:rsidR="00E07AE6" w:rsidRPr="00416675" w:rsidRDefault="00E07AE6" w:rsidP="00416675">
            <w:pPr>
              <w:spacing w:before="60" w:after="60"/>
              <w:rPr>
                <w:rFonts w:eastAsia="Arial Unicode MS"/>
                <w:sz w:val="18"/>
              </w:rPr>
            </w:pPr>
            <w:r w:rsidRPr="00416675">
              <w:rPr>
                <w:rFonts w:eastAsia="Arial Unicode MS"/>
                <w:sz w:val="18"/>
              </w:rPr>
              <w:t>1,137</w:t>
            </w:r>
          </w:p>
        </w:tc>
      </w:tr>
    </w:tbl>
    <w:p w:rsidR="00743BED" w:rsidRDefault="00743BED" w:rsidP="00743BED">
      <w:r>
        <w:t>Z pohledu finanční analýzy jsou hodnoty FRR a FNPV všech variant pod hranicí ekonomické efektivnosti. Je to logické, vzhledem k zaměření projektu na modernizaci infrastruktury, která z hlediska investora obvykle nepřináší podstatné finanční efekty. Projekt sice přinese efekty i v oblasti provozu investora (především úspora zaměstnanců a provozních nákladů infrastruktury), výše úspor však nebude tak velká, aby jimi byly pokryty celé investiční náklady.</w:t>
      </w:r>
    </w:p>
    <w:p w:rsidR="00A71347" w:rsidRDefault="00A71347" w:rsidP="00A71347">
      <w:r>
        <w:t xml:space="preserve">Z hlediska celospolečenského přínosu vykazuje </w:t>
      </w:r>
      <w:r w:rsidRPr="000E0633">
        <w:rPr>
          <w:b/>
        </w:rPr>
        <w:t xml:space="preserve">nejlepší výsledky varianta </w:t>
      </w:r>
      <w:r w:rsidR="00495E2A" w:rsidRPr="00AF2377">
        <w:rPr>
          <w:b/>
        </w:rPr>
        <w:t xml:space="preserve">Maximální </w:t>
      </w:r>
      <w:r w:rsidR="00495E2A" w:rsidRPr="00AF2377">
        <w:t>(ERR =  7,27%, ENPV = 454 675 tis. Kč)</w:t>
      </w:r>
      <w:r w:rsidR="00495E2A" w:rsidRPr="00AF2377">
        <w:rPr>
          <w:b/>
        </w:rPr>
        <w:t xml:space="preserve">, resp. její </w:t>
      </w:r>
      <w:r w:rsidR="00495E2A">
        <w:rPr>
          <w:b/>
        </w:rPr>
        <w:t>E</w:t>
      </w:r>
      <w:r w:rsidR="00495E2A" w:rsidRPr="00AF2377">
        <w:rPr>
          <w:b/>
        </w:rPr>
        <w:t>tapa</w:t>
      </w:r>
      <w:r>
        <w:t xml:space="preserve"> (ERR =  </w:t>
      </w:r>
      <w:r w:rsidR="00E07AE6">
        <w:t>16</w:t>
      </w:r>
      <w:r>
        <w:t>,</w:t>
      </w:r>
      <w:r w:rsidR="00E07AE6">
        <w:t>23</w:t>
      </w:r>
      <w:r>
        <w:t xml:space="preserve">%, ENPV = </w:t>
      </w:r>
      <w:r w:rsidR="00E07AE6">
        <w:t xml:space="preserve">949 570 </w:t>
      </w:r>
      <w:r>
        <w:t xml:space="preserve">tis. Kč). Pozitivní výsledky ekonomické </w:t>
      </w:r>
      <w:r w:rsidRPr="00495E2A">
        <w:t xml:space="preserve">analýzy </w:t>
      </w:r>
      <w:r w:rsidR="00EC670C" w:rsidRPr="00495E2A">
        <w:t>varianty</w:t>
      </w:r>
      <w:r w:rsidRPr="00495E2A">
        <w:t xml:space="preserve"> Maximální </w:t>
      </w:r>
      <w:r w:rsidR="00EC670C" w:rsidRPr="00495E2A">
        <w:t xml:space="preserve">a její Etapy </w:t>
      </w:r>
      <w:r w:rsidRPr="00495E2A">
        <w:t>jsou vyvolány zejména úsporou času, úsporou provozních nákladů na údržbu a opravy železniční infrastruktury, ale i provozních nákladů silnice (údržba</w:t>
      </w:r>
      <w:r>
        <w:t xml:space="preserve"> a opravy infrastruktury a provoz vozidel), které vzniknou díky převedené dopravě. Tyto úspory vznikají zásluhou osobní dopravy, resp. jejího převedení ze silnice na železnici (ve stavu projektovém ve variantách, kde se realizuje zdvoukolejnění úseku Stéblová – Opatovice dojde díky tomuto opatření ke zlepšení přepravní nabídky a následnému nárůstu poptávky).</w:t>
      </w:r>
    </w:p>
    <w:p w:rsidR="00A71347" w:rsidRDefault="00A71347" w:rsidP="00A71347">
      <w:r>
        <w:t>Výsledky analýzy citlivosti a dříve provedené analýzy rizik ukazují, že hodnoty vypočtených ukazatelů ekonomické efektivity budou sice pravděpodobně mírně nižší, než vychází ze základního výpočtu, přesto ale jsou i nejhorší možné výsledky (při uvažování nejpesimističtějších scénářů) stále nad hranicí nebo na hranici ekonomické efektivity. Vzhledem k parametrům ekonomického modelu jednotlivých projektových variant nebyla podrobná kvantitativní analýza rizik provedena a při odhadu se vycházelo z původní studie proveditelnosti.</w:t>
      </w:r>
    </w:p>
    <w:p w:rsidR="0082658E" w:rsidRDefault="00A71347">
      <w:r>
        <w:t xml:space="preserve">Z výše uvedených výsledků </w:t>
      </w:r>
      <w:r w:rsidRPr="00495E2A">
        <w:t xml:space="preserve">vyplývá, že </w:t>
      </w:r>
      <w:r w:rsidRPr="00495E2A">
        <w:rPr>
          <w:b/>
        </w:rPr>
        <w:t>z hlediska ekonomické efektivity</w:t>
      </w:r>
      <w:r w:rsidRPr="00495E2A">
        <w:t xml:space="preserve"> je </w:t>
      </w:r>
      <w:r w:rsidRPr="00495E2A">
        <w:rPr>
          <w:b/>
        </w:rPr>
        <w:t xml:space="preserve">pro realizaci nejvhodnější varianta </w:t>
      </w:r>
      <w:r w:rsidR="00495E2A">
        <w:rPr>
          <w:b/>
        </w:rPr>
        <w:t>Maximální</w:t>
      </w:r>
      <w:r w:rsidRPr="00495E2A">
        <w:t>, tedy zdvoukolejn</w:t>
      </w:r>
      <w:r w:rsidRPr="00495E2A">
        <w:rPr>
          <w:rFonts w:hint="eastAsia"/>
        </w:rPr>
        <w:t>ě</w:t>
      </w:r>
      <w:r w:rsidRPr="00495E2A">
        <w:t xml:space="preserve">ní </w:t>
      </w:r>
      <w:r w:rsidRPr="00495E2A">
        <w:rPr>
          <w:rFonts w:hint="eastAsia"/>
        </w:rPr>
        <w:t>ú</w:t>
      </w:r>
      <w:r w:rsidRPr="00495E2A">
        <w:t xml:space="preserve">seku Stéblová </w:t>
      </w:r>
      <w:r w:rsidRPr="00495E2A">
        <w:rPr>
          <w:rFonts w:hint="eastAsia"/>
        </w:rPr>
        <w:t>–</w:t>
      </w:r>
      <w:r w:rsidRPr="00495E2A">
        <w:t xml:space="preserve"> Opatovice n.L. v rozsahu podle p</w:t>
      </w:r>
      <w:r w:rsidRPr="00495E2A">
        <w:rPr>
          <w:rFonts w:hint="eastAsia"/>
        </w:rPr>
        <w:t>ř</w:t>
      </w:r>
      <w:r w:rsidRPr="00495E2A">
        <w:t xml:space="preserve">ipravovaného projektu stavby </w:t>
      </w:r>
      <w:r w:rsidR="002858F6">
        <w:t xml:space="preserve">a </w:t>
      </w:r>
      <w:r w:rsidR="002858F6" w:rsidRPr="00AF2377">
        <w:t>dalších úseků podle návrhů prezentovaných ve studii proveditelnosti</w:t>
      </w:r>
      <w:r w:rsidRPr="00495E2A">
        <w:t xml:space="preserve">. </w:t>
      </w:r>
      <w:bookmarkStart w:id="28" w:name="_Toc207692638"/>
    </w:p>
    <w:p w:rsidR="00A90989" w:rsidRPr="00FD63AB" w:rsidRDefault="00A90989">
      <w:pPr>
        <w:rPr>
          <w:b/>
        </w:rPr>
        <w:sectPr w:rsidR="00A90989" w:rsidRPr="00FD63AB" w:rsidSect="009C7F1C">
          <w:footerReference w:type="default" r:id="rId23"/>
          <w:footnotePr>
            <w:pos w:val="beneathText"/>
          </w:footnotePr>
          <w:pgSz w:w="11905" w:h="16837" w:code="9"/>
          <w:pgMar w:top="1492" w:right="1134" w:bottom="1134" w:left="1418" w:header="709" w:footer="201" w:gutter="0"/>
          <w:cols w:space="708"/>
          <w:docGrid w:linePitch="360"/>
        </w:sectPr>
      </w:pPr>
      <w:r w:rsidRPr="00FD63AB">
        <w:rPr>
          <w:b/>
        </w:rPr>
        <w:t>Závěrečné celkové zhodnocení a doporučení je uvedeno v kapitole 8.</w:t>
      </w:r>
    </w:p>
    <w:p w:rsidR="00225B27" w:rsidRDefault="00225B27"/>
    <w:p w:rsidR="00225B27" w:rsidRDefault="00225B27" w:rsidP="005716FE">
      <w:pPr>
        <w:pStyle w:val="Nadpis1"/>
        <w:tabs>
          <w:tab w:val="clear" w:pos="716"/>
          <w:tab w:val="clear" w:pos="902"/>
        </w:tabs>
        <w:ind w:left="567" w:hanging="573"/>
      </w:pPr>
      <w:bookmarkStart w:id="29" w:name="_Ref323134388"/>
      <w:bookmarkStart w:id="30" w:name="_Ref323134394"/>
      <w:bookmarkStart w:id="31" w:name="_Toc390958691"/>
      <w:bookmarkStart w:id="32" w:name="_GoBack"/>
      <w:bookmarkEnd w:id="32"/>
      <w:r>
        <w:t>Technické řešení</w:t>
      </w:r>
      <w:bookmarkEnd w:id="29"/>
      <w:bookmarkEnd w:id="30"/>
      <w:bookmarkEnd w:id="31"/>
    </w:p>
    <w:p w:rsidR="00CB1F22" w:rsidRDefault="00CB1F22" w:rsidP="00CB1F22">
      <w:pPr>
        <w:pStyle w:val="Nadpis2"/>
      </w:pPr>
      <w:bookmarkStart w:id="33" w:name="_Toc183270744"/>
      <w:bookmarkStart w:id="34" w:name="_Toc222625053"/>
      <w:bookmarkStart w:id="35" w:name="_Toc280085778"/>
      <w:bookmarkStart w:id="36" w:name="_Toc390958692"/>
      <w:r>
        <w:t>Výchozí stav</w:t>
      </w:r>
      <w:bookmarkEnd w:id="33"/>
      <w:bookmarkEnd w:id="34"/>
      <w:bookmarkEnd w:id="35"/>
      <w:bookmarkEnd w:id="36"/>
    </w:p>
    <w:p w:rsidR="00CB1F22" w:rsidRDefault="00E65CA9" w:rsidP="00D13FB3">
      <w:pPr>
        <w:pStyle w:val="Nadpis3"/>
        <w:ind w:hanging="8234"/>
      </w:pPr>
      <w:r>
        <w:t>Popis úseku Hradec Králové - Pardubice</w:t>
      </w:r>
    </w:p>
    <w:p w:rsidR="0079292B" w:rsidRDefault="00CB1F22" w:rsidP="00CB1F22">
      <w:r>
        <w:t xml:space="preserve">Krajská města Pardubice a Hradec Králové jsou spojena celostátní dráhou č. 031 (dle KJŘ) Pardubice – Jaroměř. Jednokolejná trať délky </w:t>
      </w:r>
      <w:smartTag w:uri="urn:schemas-microsoft-com:office:smarttags" w:element="metricconverter">
        <w:smartTagPr>
          <w:attr w:name="ProductID" w:val="22,4 km"/>
        </w:smartTagPr>
        <w:r>
          <w:t>22,4 km</w:t>
        </w:r>
      </w:smartTag>
      <w:r>
        <w:t xml:space="preserve"> je elektrizována stejnosměrnou proudovou soustavou o napětí 3000 V a </w:t>
      </w:r>
      <w:r w:rsidR="00EA4872">
        <w:t xml:space="preserve">pojížděna maximální rychlostí </w:t>
      </w:r>
      <w:smartTag w:uri="urn:schemas-microsoft-com:office:smarttags" w:element="metricconverter">
        <w:smartTagPr>
          <w:attr w:name="ProductID" w:val="100 km/h"/>
        </w:smartTagPr>
        <w:r w:rsidR="00EA4872">
          <w:t>10</w:t>
        </w:r>
        <w:r>
          <w:t>0 km/h</w:t>
        </w:r>
      </w:smartTag>
      <w:r>
        <w:t xml:space="preserve">. Na trati jsou tři </w:t>
      </w:r>
      <w:r w:rsidR="003245FF">
        <w:t>mezilehlé stanice</w:t>
      </w:r>
      <w:r>
        <w:t xml:space="preserve"> </w:t>
      </w:r>
      <w:r w:rsidR="003245FF">
        <w:t xml:space="preserve">(Pardubice-Roscie nad Labem, Stéblová, Opatovice nad Labem) </w:t>
      </w:r>
      <w:r>
        <w:t>a dvě zastávky</w:t>
      </w:r>
      <w:r w:rsidR="003245FF">
        <w:t xml:space="preserve"> (Pardubice-Semtín, Čeperka)</w:t>
      </w:r>
      <w:r>
        <w:t xml:space="preserve">. </w:t>
      </w:r>
    </w:p>
    <w:p w:rsidR="0079292B" w:rsidRDefault="00CB1F22" w:rsidP="00CB1F22">
      <w:r>
        <w:t>Trať je vedena v úrovni terénu bez velkých nároků na zábor území, stoupá</w:t>
      </w:r>
      <w:r w:rsidR="0079292B">
        <w:t>/klesá</w:t>
      </w:r>
      <w:r>
        <w:t xml:space="preserve"> ve směru staničení do Hradce Králové o sklonu max. </w:t>
      </w:r>
      <w:r w:rsidR="0079292B">
        <w:t>+2,45/-2,63 ‰, výjimečně až +4,97</w:t>
      </w:r>
      <w:r w:rsidR="008C77E7">
        <w:t xml:space="preserve"> ‰ (</w:t>
      </w:r>
      <w:r>
        <w:t>v km 21,302 až 21,744</w:t>
      </w:r>
      <w:r w:rsidR="003245FF">
        <w:t>)</w:t>
      </w:r>
      <w:r w:rsidR="0079292B">
        <w:t xml:space="preserve"> a -9,62 ‰ </w:t>
      </w:r>
      <w:r w:rsidR="008C77E7">
        <w:t>(</w:t>
      </w:r>
      <w:r w:rsidR="0079292B">
        <w:t>v úseku mezi mostem přes Labe a jižním zhlavím ž</w:t>
      </w:r>
      <w:r w:rsidR="008C77E7">
        <w:t xml:space="preserve">st. Pardubice-Rosice nad Labem, </w:t>
      </w:r>
      <w:r w:rsidR="0079292B">
        <w:t>km 2,283 až 2,409)</w:t>
      </w:r>
      <w:r w:rsidR="003245FF">
        <w:t xml:space="preserve">. </w:t>
      </w:r>
    </w:p>
    <w:p w:rsidR="00CB1F22" w:rsidRDefault="0079292B" w:rsidP="00CB1F22">
      <w:r>
        <w:t xml:space="preserve">Odbočení trati ze západního zhlaví žst. Pardubice obloukem o poloměru </w:t>
      </w:r>
      <w:smartTag w:uri="urn:schemas-microsoft-com:office:smarttags" w:element="metricconverter">
        <w:smartTagPr>
          <w:attr w:name="ProductID" w:val="250 m"/>
        </w:smartTagPr>
        <w:r>
          <w:t>250 m</w:t>
        </w:r>
      </w:smartTag>
      <w:r>
        <w:t xml:space="preserve"> se souběžnou výtažnou kolejí a prostorovým uspořádáním pod silničním mostem omezují rychlost na vjezdu a odjezdu na </w:t>
      </w:r>
      <w:smartTag w:uri="urn:schemas-microsoft-com:office:smarttags" w:element="metricconverter">
        <w:smartTagPr>
          <w:attr w:name="ProductID" w:val="40 km/h"/>
        </w:smartTagPr>
        <w:r>
          <w:t>40 km/h</w:t>
        </w:r>
      </w:smartTag>
      <w:r>
        <w:t xml:space="preserve">. Od km 1,400 do km 3,360 je traťová rychlost </w:t>
      </w:r>
      <w:smartTag w:uri="urn:schemas-microsoft-com:office:smarttags" w:element="metricconverter">
        <w:smartTagPr>
          <w:attr w:name="ProductID" w:val="80 km/h"/>
        </w:smartTagPr>
        <w:r>
          <w:t>80 km/h</w:t>
        </w:r>
      </w:smartTag>
      <w:r>
        <w:t xml:space="preserve">. </w:t>
      </w:r>
      <w:r w:rsidR="003245FF">
        <w:t>Minimální poloměr oblouku 296,5</w:t>
      </w:r>
      <w:r w:rsidR="00E65CA9">
        <w:t> </w:t>
      </w:r>
      <w:r w:rsidR="00CB1F22">
        <w:t>m při výjezdu ze žst</w:t>
      </w:r>
      <w:r>
        <w:t xml:space="preserve">. Pardubice-Rosice nad Labem opět snižuje rychlost </w:t>
      </w:r>
      <w:r w:rsidR="00CB1F22">
        <w:t xml:space="preserve">na </w:t>
      </w:r>
      <w:smartTag w:uri="urn:schemas-microsoft-com:office:smarttags" w:element="metricconverter">
        <w:smartTagPr>
          <w:attr w:name="ProductID" w:val="70ﾠkm/h"/>
        </w:smartTagPr>
        <w:r w:rsidR="00CB1F22">
          <w:t>70</w:t>
        </w:r>
        <w:r w:rsidR="00E65CA9">
          <w:t> </w:t>
        </w:r>
        <w:r>
          <w:t>km/h</w:t>
        </w:r>
      </w:smartTag>
      <w:r w:rsidR="00CB1F22">
        <w:t xml:space="preserve">. </w:t>
      </w:r>
      <w:r w:rsidR="002A0E3A">
        <w:t>Od km 3,655</w:t>
      </w:r>
      <w:r w:rsidR="00CB1F22">
        <w:t xml:space="preserve"> </w:t>
      </w:r>
      <w:r>
        <w:t xml:space="preserve">až do km 21,533 </w:t>
      </w:r>
      <w:r w:rsidR="00CB1F22">
        <w:t>je</w:t>
      </w:r>
      <w:r>
        <w:t xml:space="preserve"> potom traťová rychlost </w:t>
      </w:r>
      <w:smartTag w:uri="urn:schemas-microsoft-com:office:smarttags" w:element="metricconverter">
        <w:smartTagPr>
          <w:attr w:name="ProductID" w:val="100 km/h"/>
        </w:smartTagPr>
        <w:r>
          <w:t>10</w:t>
        </w:r>
        <w:r w:rsidR="00CB1F22">
          <w:t>0 km/h</w:t>
        </w:r>
      </w:smartTag>
      <w:r>
        <w:t xml:space="preserve">, přičemž směrové poměry </w:t>
      </w:r>
      <w:r w:rsidR="00766655">
        <w:t xml:space="preserve">teoreticky </w:t>
      </w:r>
      <w:r>
        <w:t>umožňují bez přeložek osy (pouze zvětšením převýšení ve dvou směrových obloucích) rychlost v celém úseku 120 km/h</w:t>
      </w:r>
      <w:r w:rsidR="00766655">
        <w:t xml:space="preserve"> (tuto rychlost dnes fakticky neumožňuje mj. technický stav trati ani její zabezpečení)</w:t>
      </w:r>
      <w:r w:rsidR="00CB1F22">
        <w:t>. Provoz na trati je řízen dle předpisu D</w:t>
      </w:r>
      <w:r w:rsidR="006E61CA">
        <w:t>1</w:t>
      </w:r>
      <w:r w:rsidR="00BA7980">
        <w:t xml:space="preserve">. </w:t>
      </w:r>
      <w:r w:rsidR="00F34125">
        <w:t>T</w:t>
      </w:r>
      <w:r w:rsidR="00E65CA9">
        <w:t xml:space="preserve">řída zatížení je D4, </w:t>
      </w:r>
      <w:r w:rsidR="00F34125">
        <w:t xml:space="preserve">trať na většině úseku splňuje </w:t>
      </w:r>
      <w:r w:rsidR="00E65CA9">
        <w:t>průjezdný průřez</w:t>
      </w:r>
      <w:r w:rsidR="00F34125">
        <w:t xml:space="preserve"> </w:t>
      </w:r>
      <w:r w:rsidR="00E65CA9">
        <w:t>UIC-GC</w:t>
      </w:r>
      <w:r w:rsidR="00F34125">
        <w:t>.</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9855A1" w:rsidTr="00416675">
        <w:tc>
          <w:tcPr>
            <w:tcW w:w="9356" w:type="dxa"/>
          </w:tcPr>
          <w:p w:rsidR="009855A1" w:rsidRPr="00416675" w:rsidRDefault="009855A1" w:rsidP="009855A1">
            <w:pPr>
              <w:pStyle w:val="Titulek"/>
            </w:pPr>
            <w:bookmarkStart w:id="37" w:name="_Toc390958807"/>
            <w:r w:rsidRPr="00416675">
              <w:t xml:space="preserve">Obr. </w:t>
            </w:r>
            <w:r w:rsidRPr="00416675">
              <w:fldChar w:fldCharType="begin"/>
            </w:r>
            <w:r w:rsidRPr="00416675">
              <w:instrText xml:space="preserve"> STYLEREF 1 \s </w:instrText>
            </w:r>
            <w:r w:rsidRPr="00416675">
              <w:fldChar w:fldCharType="separate"/>
            </w:r>
            <w:r w:rsidR="003843F3">
              <w:rPr>
                <w:noProof/>
              </w:rPr>
              <w:t>3</w:t>
            </w:r>
            <w:r w:rsidRPr="00416675">
              <w:fldChar w:fldCharType="end"/>
            </w:r>
            <w:r w:rsidRPr="00416675">
              <w:noBreakHyphen/>
            </w:r>
            <w:r w:rsidRPr="00416675">
              <w:fldChar w:fldCharType="begin"/>
            </w:r>
            <w:r w:rsidRPr="00416675">
              <w:instrText xml:space="preserve"> SEQ Obr. \* ARABIC \s 1 </w:instrText>
            </w:r>
            <w:r w:rsidRPr="00416675">
              <w:fldChar w:fldCharType="separate"/>
            </w:r>
            <w:r w:rsidR="003843F3">
              <w:rPr>
                <w:noProof/>
              </w:rPr>
              <w:t>1</w:t>
            </w:r>
            <w:r w:rsidRPr="00416675">
              <w:fldChar w:fldCharType="end"/>
            </w:r>
            <w:r w:rsidRPr="00416675">
              <w:t>: Přehledná situace úseku Pardubice hl. n. – Hradec Králové hl. n.</w:t>
            </w:r>
            <w:bookmarkEnd w:id="37"/>
          </w:p>
        </w:tc>
      </w:tr>
      <w:tr w:rsidR="009855A1" w:rsidTr="00416675">
        <w:tc>
          <w:tcPr>
            <w:tcW w:w="9356" w:type="dxa"/>
          </w:tcPr>
          <w:p w:rsidR="009855A1" w:rsidRDefault="009855A1" w:rsidP="00416675">
            <w:pPr>
              <w:spacing w:before="120" w:after="60"/>
            </w:pPr>
            <w:r>
              <w:rPr>
                <w:noProof/>
                <w:lang w:eastAsia="cs-CZ"/>
              </w:rPr>
              <w:drawing>
                <wp:inline distT="0" distB="0" distL="0" distR="0" wp14:anchorId="5C0C7AF6" wp14:editId="65D6054F">
                  <wp:extent cx="5756744" cy="1396898"/>
                  <wp:effectExtent l="0" t="0" r="0" b="0"/>
                  <wp:docPr id="243" name="Obráze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print">
                            <a:extLst>
                              <a:ext uri="{28A0092B-C50C-407E-A947-70E740481C1C}">
                                <a14:useLocalDpi xmlns:a14="http://schemas.microsoft.com/office/drawing/2010/main" val="0"/>
                              </a:ext>
                            </a:extLst>
                          </a:blip>
                          <a:srcRect t="33538" b="33334"/>
                          <a:stretch/>
                        </pic:blipFill>
                        <pic:spPr bwMode="auto">
                          <a:xfrm>
                            <a:off x="0" y="0"/>
                            <a:ext cx="5754547" cy="1396365"/>
                          </a:xfrm>
                          <a:prstGeom prst="rect">
                            <a:avLst/>
                          </a:prstGeom>
                          <a:ln>
                            <a:noFill/>
                          </a:ln>
                          <a:extLst>
                            <a:ext uri="{53640926-AAD7-44D8-BBD7-CCE9431645EC}">
                              <a14:shadowObscured xmlns:a14="http://schemas.microsoft.com/office/drawing/2010/main"/>
                            </a:ext>
                          </a:extLst>
                        </pic:spPr>
                      </pic:pic>
                    </a:graphicData>
                  </a:graphic>
                </wp:inline>
              </w:drawing>
            </w:r>
          </w:p>
        </w:tc>
      </w:tr>
    </w:tbl>
    <w:p w:rsidR="00422620" w:rsidRPr="006012C1" w:rsidRDefault="00BA7980" w:rsidP="00CB1F22">
      <w:r w:rsidRPr="006012C1">
        <w:t>Bližší údaje o technologických zařízení</w:t>
      </w:r>
      <w:r w:rsidR="0059693F" w:rsidRPr="006012C1">
        <w:t>ch</w:t>
      </w:r>
      <w:r w:rsidRPr="006012C1">
        <w:t xml:space="preserve"> na trati jsou uvedeny v následujících odstavcích.</w:t>
      </w:r>
    </w:p>
    <w:p w:rsidR="00E01AD3" w:rsidRDefault="00E01AD3">
      <w:pPr>
        <w:suppressAutoHyphens w:val="0"/>
        <w:spacing w:before="0" w:after="0" w:line="240" w:lineRule="auto"/>
        <w:jc w:val="left"/>
        <w:rPr>
          <w:b/>
          <w:bCs/>
          <w:sz w:val="24"/>
        </w:rPr>
      </w:pPr>
      <w:r>
        <w:br w:type="page"/>
      </w:r>
    </w:p>
    <w:p w:rsidR="00BA7980" w:rsidRPr="006012C1" w:rsidRDefault="00BA7980" w:rsidP="00E33009">
      <w:pPr>
        <w:pStyle w:val="Nadpis3"/>
        <w:ind w:hanging="8234"/>
      </w:pPr>
      <w:r w:rsidRPr="006012C1">
        <w:t>Zabezpečovací zařízení ve stanicích</w:t>
      </w:r>
      <w:r w:rsidR="00E6353A" w:rsidRPr="006012C1">
        <w:t xml:space="preserve"> a na trati</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5"/>
        <w:gridCol w:w="2555"/>
        <w:gridCol w:w="1417"/>
        <w:gridCol w:w="3148"/>
      </w:tblGrid>
      <w:tr w:rsidR="001223AE" w:rsidRPr="006012C1" w:rsidTr="00416675">
        <w:tc>
          <w:tcPr>
            <w:tcW w:w="9385" w:type="dxa"/>
            <w:gridSpan w:val="4"/>
            <w:tcBorders>
              <w:bottom w:val="single" w:sz="4" w:space="0" w:color="000000"/>
            </w:tcBorders>
            <w:shd w:val="clear" w:color="auto" w:fill="auto"/>
          </w:tcPr>
          <w:p w:rsidR="001223AE" w:rsidRPr="006012C1" w:rsidRDefault="001223AE" w:rsidP="00416675">
            <w:pPr>
              <w:pStyle w:val="Titulek"/>
            </w:pPr>
            <w:bookmarkStart w:id="38" w:name="_Toc390958736"/>
            <w:bookmarkStart w:id="39" w:name="_Toc391034540"/>
            <w:r w:rsidRPr="00416675">
              <w:t xml:space="preserve">Tab. </w:t>
            </w:r>
            <w:r w:rsidR="000E79AE">
              <w:fldChar w:fldCharType="begin"/>
            </w:r>
            <w:r w:rsidR="000E79AE">
              <w:instrText xml:space="preserve"> STYLEREF 1 \s </w:instrText>
            </w:r>
            <w:r w:rsidR="000E79AE">
              <w:fldChar w:fldCharType="separate"/>
            </w:r>
            <w:r w:rsidR="003843F3">
              <w:rPr>
                <w:noProof/>
              </w:rPr>
              <w:t>3</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w:t>
            </w:r>
            <w:r w:rsidR="000E79AE">
              <w:fldChar w:fldCharType="end"/>
            </w:r>
            <w:r w:rsidRPr="00416675">
              <w:t>: Staniční zabezpečovací zařízení - přehled</w:t>
            </w:r>
            <w:bookmarkEnd w:id="38"/>
            <w:bookmarkEnd w:id="39"/>
          </w:p>
        </w:tc>
      </w:tr>
      <w:tr w:rsidR="001223AE" w:rsidRPr="006012C1" w:rsidTr="009855A1">
        <w:tc>
          <w:tcPr>
            <w:tcW w:w="2265" w:type="dxa"/>
            <w:tcBorders>
              <w:bottom w:val="single" w:sz="12" w:space="0" w:color="auto"/>
            </w:tcBorders>
            <w:shd w:val="pct15" w:color="auto" w:fill="auto"/>
            <w:vAlign w:val="center"/>
          </w:tcPr>
          <w:p w:rsidR="001223AE" w:rsidRPr="00416675" w:rsidRDefault="00E6353A" w:rsidP="00416675">
            <w:pPr>
              <w:pStyle w:val="Bezmezer"/>
              <w:jc w:val="left"/>
              <w:rPr>
                <w:b/>
                <w:sz w:val="18"/>
              </w:rPr>
            </w:pPr>
            <w:r w:rsidRPr="00416675">
              <w:rPr>
                <w:b/>
                <w:sz w:val="18"/>
              </w:rPr>
              <w:t>železniční stanice</w:t>
            </w:r>
          </w:p>
        </w:tc>
        <w:tc>
          <w:tcPr>
            <w:tcW w:w="2555" w:type="dxa"/>
            <w:tcBorders>
              <w:bottom w:val="single" w:sz="12" w:space="0" w:color="auto"/>
            </w:tcBorders>
            <w:shd w:val="pct15" w:color="auto" w:fill="auto"/>
            <w:vAlign w:val="center"/>
          </w:tcPr>
          <w:p w:rsidR="001223AE" w:rsidRPr="00416675" w:rsidRDefault="00E6353A" w:rsidP="00416675">
            <w:pPr>
              <w:pStyle w:val="Bezmezer"/>
              <w:jc w:val="left"/>
              <w:rPr>
                <w:b/>
                <w:sz w:val="18"/>
              </w:rPr>
            </w:pPr>
            <w:r w:rsidRPr="00416675">
              <w:rPr>
                <w:b/>
                <w:sz w:val="18"/>
              </w:rPr>
              <w:t>typ zařízení</w:t>
            </w:r>
          </w:p>
        </w:tc>
        <w:tc>
          <w:tcPr>
            <w:tcW w:w="1417" w:type="dxa"/>
            <w:tcBorders>
              <w:bottom w:val="single" w:sz="12" w:space="0" w:color="auto"/>
            </w:tcBorders>
            <w:shd w:val="pct15" w:color="auto" w:fill="auto"/>
            <w:vAlign w:val="center"/>
          </w:tcPr>
          <w:p w:rsidR="001223AE" w:rsidRPr="00416675" w:rsidRDefault="00E6353A" w:rsidP="00416675">
            <w:pPr>
              <w:pStyle w:val="Bezmezer"/>
              <w:jc w:val="left"/>
              <w:rPr>
                <w:b/>
                <w:sz w:val="18"/>
              </w:rPr>
            </w:pPr>
            <w:r w:rsidRPr="00416675">
              <w:rPr>
                <w:b/>
                <w:sz w:val="18"/>
              </w:rPr>
              <w:t>instalováno v roce</w:t>
            </w:r>
          </w:p>
        </w:tc>
        <w:tc>
          <w:tcPr>
            <w:tcW w:w="3148" w:type="dxa"/>
            <w:tcBorders>
              <w:bottom w:val="single" w:sz="12" w:space="0" w:color="auto"/>
            </w:tcBorders>
            <w:shd w:val="pct15" w:color="auto" w:fill="auto"/>
            <w:vAlign w:val="center"/>
          </w:tcPr>
          <w:p w:rsidR="001223AE" w:rsidRPr="00416675" w:rsidRDefault="00E6353A" w:rsidP="00416675">
            <w:pPr>
              <w:pStyle w:val="Bezmezer"/>
              <w:jc w:val="left"/>
              <w:rPr>
                <w:b/>
                <w:sz w:val="18"/>
              </w:rPr>
            </w:pPr>
            <w:r w:rsidRPr="00416675">
              <w:rPr>
                <w:b/>
                <w:sz w:val="18"/>
              </w:rPr>
              <w:t>poznámka</w:t>
            </w:r>
          </w:p>
        </w:tc>
      </w:tr>
      <w:tr w:rsidR="00E6353A" w:rsidRPr="006012C1" w:rsidTr="009855A1">
        <w:tc>
          <w:tcPr>
            <w:tcW w:w="2265" w:type="dxa"/>
            <w:tcBorders>
              <w:top w:val="single" w:sz="12" w:space="0" w:color="auto"/>
            </w:tcBorders>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Pardubice hlavní nádraží</w:t>
            </w:r>
          </w:p>
        </w:tc>
        <w:tc>
          <w:tcPr>
            <w:tcW w:w="2555" w:type="dxa"/>
            <w:tcBorders>
              <w:top w:val="single" w:sz="12" w:space="0" w:color="auto"/>
            </w:tcBorders>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reléové AŽD (III. kategorie)</w:t>
            </w:r>
          </w:p>
        </w:tc>
        <w:tc>
          <w:tcPr>
            <w:tcW w:w="1417" w:type="dxa"/>
            <w:tcBorders>
              <w:top w:val="single" w:sz="12" w:space="0" w:color="auto"/>
            </w:tcBorders>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1967</w:t>
            </w:r>
          </w:p>
        </w:tc>
        <w:tc>
          <w:tcPr>
            <w:tcW w:w="3148" w:type="dxa"/>
            <w:tcBorders>
              <w:top w:val="single" w:sz="12" w:space="0" w:color="auto"/>
            </w:tcBorders>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na spádovišti je elektromechanické stavědlo s vazbou na staniční zabezpečovací reléového zařízení</w:t>
            </w:r>
          </w:p>
        </w:tc>
      </w:tr>
      <w:tr w:rsidR="00E6353A" w:rsidRPr="006012C1" w:rsidTr="00416675">
        <w:tc>
          <w:tcPr>
            <w:tcW w:w="2265" w:type="dxa"/>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Pardubice-Rosice nad Labem</w:t>
            </w:r>
          </w:p>
        </w:tc>
        <w:tc>
          <w:tcPr>
            <w:tcW w:w="2555" w:type="dxa"/>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elektromechanické (II. kategorie) vzor 5007 - řídící stavědlo + závislá stavědla</w:t>
            </w:r>
          </w:p>
        </w:tc>
        <w:tc>
          <w:tcPr>
            <w:tcW w:w="1417" w:type="dxa"/>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cca 60. léta, dílčí úpravy v roce 2003</w:t>
            </w:r>
          </w:p>
        </w:tc>
        <w:tc>
          <w:tcPr>
            <w:tcW w:w="3148" w:type="dxa"/>
            <w:shd w:val="clear" w:color="auto" w:fill="auto"/>
            <w:vAlign w:val="center"/>
          </w:tcPr>
          <w:p w:rsidR="00E6353A" w:rsidRPr="00416675" w:rsidRDefault="00E6353A" w:rsidP="00416675">
            <w:pPr>
              <w:pStyle w:val="Bezmezer"/>
              <w:spacing w:before="100" w:beforeAutospacing="1" w:after="100" w:afterAutospacing="1"/>
              <w:jc w:val="left"/>
              <w:rPr>
                <w:sz w:val="18"/>
              </w:rPr>
            </w:pPr>
          </w:p>
        </w:tc>
      </w:tr>
      <w:tr w:rsidR="00E6353A" w:rsidRPr="006012C1" w:rsidTr="00416675">
        <w:tc>
          <w:tcPr>
            <w:tcW w:w="2265" w:type="dxa"/>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Stéblová</w:t>
            </w:r>
          </w:p>
        </w:tc>
        <w:tc>
          <w:tcPr>
            <w:tcW w:w="2555" w:type="dxa"/>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elektromechanické (II. kategorie) vzor 5007 - ústřední stavědlo</w:t>
            </w:r>
          </w:p>
        </w:tc>
        <w:tc>
          <w:tcPr>
            <w:tcW w:w="1417" w:type="dxa"/>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cca 60. léta</w:t>
            </w:r>
          </w:p>
        </w:tc>
        <w:tc>
          <w:tcPr>
            <w:tcW w:w="3148" w:type="dxa"/>
            <w:shd w:val="clear" w:color="auto" w:fill="auto"/>
            <w:vAlign w:val="center"/>
          </w:tcPr>
          <w:p w:rsidR="00E6353A" w:rsidRPr="00416675" w:rsidRDefault="00E6353A" w:rsidP="00416675">
            <w:pPr>
              <w:pStyle w:val="Bezmezer"/>
              <w:spacing w:before="100" w:beforeAutospacing="1" w:after="100" w:afterAutospacing="1"/>
              <w:jc w:val="left"/>
              <w:rPr>
                <w:sz w:val="18"/>
              </w:rPr>
            </w:pPr>
          </w:p>
        </w:tc>
      </w:tr>
      <w:tr w:rsidR="00E6353A" w:rsidRPr="006012C1" w:rsidTr="00416675">
        <w:tc>
          <w:tcPr>
            <w:tcW w:w="2265" w:type="dxa"/>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Opatovice nad Labem</w:t>
            </w:r>
          </w:p>
        </w:tc>
        <w:tc>
          <w:tcPr>
            <w:tcW w:w="2555" w:type="dxa"/>
            <w:shd w:val="clear" w:color="auto" w:fill="auto"/>
            <w:vAlign w:val="center"/>
          </w:tcPr>
          <w:p w:rsidR="00E6353A" w:rsidRPr="00416675" w:rsidRDefault="00E6353A" w:rsidP="00416675">
            <w:pPr>
              <w:spacing w:before="100" w:beforeAutospacing="1" w:after="100" w:afterAutospacing="1"/>
              <w:jc w:val="left"/>
              <w:rPr>
                <w:sz w:val="18"/>
              </w:rPr>
            </w:pPr>
            <w:r w:rsidRPr="00416675">
              <w:rPr>
                <w:sz w:val="18"/>
              </w:rPr>
              <w:t>reléové AŽD (III. kategorie)</w:t>
            </w:r>
          </w:p>
        </w:tc>
        <w:tc>
          <w:tcPr>
            <w:tcW w:w="1417" w:type="dxa"/>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1986</w:t>
            </w:r>
          </w:p>
        </w:tc>
        <w:tc>
          <w:tcPr>
            <w:tcW w:w="3148" w:type="dxa"/>
            <w:shd w:val="clear" w:color="auto" w:fill="auto"/>
            <w:vAlign w:val="center"/>
          </w:tcPr>
          <w:p w:rsidR="00E6353A" w:rsidRPr="00416675" w:rsidRDefault="00E6353A" w:rsidP="00416675">
            <w:pPr>
              <w:pStyle w:val="Bezmezer"/>
              <w:spacing w:before="100" w:beforeAutospacing="1" w:after="100" w:afterAutospacing="1"/>
              <w:jc w:val="left"/>
              <w:rPr>
                <w:sz w:val="18"/>
              </w:rPr>
            </w:pPr>
          </w:p>
        </w:tc>
      </w:tr>
      <w:tr w:rsidR="00E6353A" w:rsidRPr="006012C1" w:rsidTr="00416675">
        <w:tc>
          <w:tcPr>
            <w:tcW w:w="2265" w:type="dxa"/>
            <w:vMerge w:val="restart"/>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Hradec Králové hlavní nádraží</w:t>
            </w:r>
          </w:p>
        </w:tc>
        <w:tc>
          <w:tcPr>
            <w:tcW w:w="2555" w:type="dxa"/>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zhlaví jih a sever: elektromechanické vz. 5007 (II. kategorie)</w:t>
            </w:r>
          </w:p>
        </w:tc>
        <w:tc>
          <w:tcPr>
            <w:tcW w:w="1417" w:type="dxa"/>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cca 60. léta</w:t>
            </w:r>
          </w:p>
        </w:tc>
        <w:tc>
          <w:tcPr>
            <w:tcW w:w="3148" w:type="dxa"/>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na spádovišti je pomocné mechanic</w:t>
            </w:r>
            <w:r w:rsidR="00FD63AB" w:rsidRPr="00416675">
              <w:rPr>
                <w:sz w:val="18"/>
              </w:rPr>
              <w:t>ké</w:t>
            </w:r>
            <w:r w:rsidRPr="00416675">
              <w:rPr>
                <w:sz w:val="18"/>
              </w:rPr>
              <w:t xml:space="preserve"> stavědlo s vazbou na staniční elektromechanické zabezpečovací zařízení</w:t>
            </w:r>
          </w:p>
        </w:tc>
      </w:tr>
      <w:tr w:rsidR="00E6353A" w:rsidRPr="006012C1" w:rsidTr="00416675">
        <w:tc>
          <w:tcPr>
            <w:tcW w:w="2265" w:type="dxa"/>
            <w:vMerge/>
            <w:shd w:val="clear" w:color="auto" w:fill="auto"/>
            <w:vAlign w:val="center"/>
          </w:tcPr>
          <w:p w:rsidR="00E6353A" w:rsidRPr="00416675" w:rsidRDefault="00E6353A" w:rsidP="00416675">
            <w:pPr>
              <w:pStyle w:val="Bezmezer"/>
              <w:spacing w:before="100" w:beforeAutospacing="1" w:after="100" w:afterAutospacing="1"/>
              <w:jc w:val="left"/>
              <w:rPr>
                <w:sz w:val="18"/>
              </w:rPr>
            </w:pPr>
          </w:p>
        </w:tc>
        <w:tc>
          <w:tcPr>
            <w:tcW w:w="2555" w:type="dxa"/>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zhlaví střed: provizorní elektronické MOZAS</w:t>
            </w:r>
          </w:p>
        </w:tc>
        <w:tc>
          <w:tcPr>
            <w:tcW w:w="1417" w:type="dxa"/>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2002</w:t>
            </w:r>
          </w:p>
        </w:tc>
        <w:tc>
          <w:tcPr>
            <w:tcW w:w="3148" w:type="dxa"/>
            <w:shd w:val="clear" w:color="auto" w:fill="auto"/>
            <w:vAlign w:val="center"/>
          </w:tcPr>
          <w:p w:rsidR="00E6353A" w:rsidRPr="00416675" w:rsidRDefault="00E6353A" w:rsidP="00416675">
            <w:pPr>
              <w:pStyle w:val="Bezmezer"/>
              <w:spacing w:before="100" w:beforeAutospacing="1" w:after="100" w:afterAutospacing="1"/>
              <w:jc w:val="left"/>
              <w:rPr>
                <w:sz w:val="18"/>
              </w:rPr>
            </w:pPr>
            <w:r w:rsidRPr="00416675">
              <w:rPr>
                <w:sz w:val="18"/>
              </w:rPr>
              <w:t>dočasné zařízení</w:t>
            </w:r>
          </w:p>
        </w:tc>
      </w:tr>
    </w:tbl>
    <w:p w:rsidR="00BA7980" w:rsidRPr="006012C1" w:rsidRDefault="00BA7980" w:rsidP="00BA7980"/>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5"/>
        <w:gridCol w:w="2555"/>
        <w:gridCol w:w="1417"/>
        <w:gridCol w:w="3148"/>
      </w:tblGrid>
      <w:tr w:rsidR="00E6353A" w:rsidRPr="006012C1" w:rsidTr="00416675">
        <w:tc>
          <w:tcPr>
            <w:tcW w:w="9385" w:type="dxa"/>
            <w:gridSpan w:val="4"/>
            <w:tcBorders>
              <w:bottom w:val="single" w:sz="4" w:space="0" w:color="000000"/>
            </w:tcBorders>
            <w:shd w:val="clear" w:color="auto" w:fill="auto"/>
          </w:tcPr>
          <w:p w:rsidR="00E6353A" w:rsidRPr="006012C1" w:rsidRDefault="00E6353A" w:rsidP="00416675">
            <w:pPr>
              <w:pStyle w:val="Titulek"/>
            </w:pPr>
            <w:bookmarkStart w:id="40" w:name="_Toc390958737"/>
            <w:bookmarkStart w:id="41" w:name="_Toc391034541"/>
            <w:r w:rsidRPr="00416675">
              <w:t xml:space="preserve">Tab. </w:t>
            </w:r>
            <w:r w:rsidR="000E79AE">
              <w:fldChar w:fldCharType="begin"/>
            </w:r>
            <w:r w:rsidR="000E79AE">
              <w:instrText xml:space="preserve"> STYLEREF 1 \s </w:instrText>
            </w:r>
            <w:r w:rsidR="000E79AE">
              <w:fldChar w:fldCharType="separate"/>
            </w:r>
            <w:r w:rsidR="003843F3">
              <w:rPr>
                <w:noProof/>
              </w:rPr>
              <w:t>3</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2</w:t>
            </w:r>
            <w:r w:rsidR="000E79AE">
              <w:fldChar w:fldCharType="end"/>
            </w:r>
            <w:r w:rsidRPr="00416675">
              <w:t>: Traťové zabezpečovací zařízení - přehled</w:t>
            </w:r>
            <w:bookmarkEnd w:id="40"/>
            <w:bookmarkEnd w:id="41"/>
          </w:p>
        </w:tc>
      </w:tr>
      <w:tr w:rsidR="00E6353A" w:rsidRPr="006012C1" w:rsidTr="009855A1">
        <w:tc>
          <w:tcPr>
            <w:tcW w:w="2265" w:type="dxa"/>
            <w:tcBorders>
              <w:bottom w:val="single" w:sz="12" w:space="0" w:color="auto"/>
            </w:tcBorders>
            <w:shd w:val="pct15" w:color="auto" w:fill="auto"/>
            <w:vAlign w:val="center"/>
          </w:tcPr>
          <w:p w:rsidR="00E6353A" w:rsidRPr="00416675" w:rsidRDefault="00E6353A" w:rsidP="00416675">
            <w:pPr>
              <w:pStyle w:val="Bezmezer"/>
              <w:jc w:val="left"/>
              <w:rPr>
                <w:b/>
                <w:sz w:val="18"/>
                <w:szCs w:val="18"/>
              </w:rPr>
            </w:pPr>
            <w:r w:rsidRPr="00416675">
              <w:rPr>
                <w:b/>
                <w:sz w:val="18"/>
                <w:szCs w:val="18"/>
              </w:rPr>
              <w:t>úsek</w:t>
            </w:r>
          </w:p>
        </w:tc>
        <w:tc>
          <w:tcPr>
            <w:tcW w:w="2555" w:type="dxa"/>
            <w:tcBorders>
              <w:bottom w:val="single" w:sz="12" w:space="0" w:color="auto"/>
            </w:tcBorders>
            <w:shd w:val="pct15" w:color="auto" w:fill="auto"/>
            <w:vAlign w:val="center"/>
          </w:tcPr>
          <w:p w:rsidR="00E6353A" w:rsidRPr="00416675" w:rsidRDefault="00E6353A" w:rsidP="00416675">
            <w:pPr>
              <w:pStyle w:val="Bezmezer"/>
              <w:jc w:val="left"/>
              <w:rPr>
                <w:b/>
                <w:sz w:val="18"/>
                <w:szCs w:val="18"/>
              </w:rPr>
            </w:pPr>
            <w:r w:rsidRPr="00416675">
              <w:rPr>
                <w:b/>
                <w:sz w:val="18"/>
                <w:szCs w:val="18"/>
              </w:rPr>
              <w:t>typ zařízení</w:t>
            </w:r>
          </w:p>
        </w:tc>
        <w:tc>
          <w:tcPr>
            <w:tcW w:w="1417" w:type="dxa"/>
            <w:tcBorders>
              <w:bottom w:val="single" w:sz="12" w:space="0" w:color="auto"/>
            </w:tcBorders>
            <w:shd w:val="pct15" w:color="auto" w:fill="auto"/>
            <w:vAlign w:val="center"/>
          </w:tcPr>
          <w:p w:rsidR="00E6353A" w:rsidRPr="00416675" w:rsidRDefault="00E6353A" w:rsidP="00416675">
            <w:pPr>
              <w:pStyle w:val="Bezmezer"/>
              <w:jc w:val="left"/>
              <w:rPr>
                <w:b/>
                <w:sz w:val="18"/>
                <w:szCs w:val="18"/>
              </w:rPr>
            </w:pPr>
            <w:r w:rsidRPr="00416675">
              <w:rPr>
                <w:b/>
                <w:sz w:val="18"/>
                <w:szCs w:val="18"/>
              </w:rPr>
              <w:t>instalováno v roce</w:t>
            </w:r>
          </w:p>
        </w:tc>
        <w:tc>
          <w:tcPr>
            <w:tcW w:w="3148" w:type="dxa"/>
            <w:tcBorders>
              <w:bottom w:val="single" w:sz="12" w:space="0" w:color="auto"/>
            </w:tcBorders>
            <w:shd w:val="pct15" w:color="auto" w:fill="auto"/>
            <w:vAlign w:val="center"/>
          </w:tcPr>
          <w:p w:rsidR="00E6353A" w:rsidRPr="00416675" w:rsidRDefault="00E6353A" w:rsidP="00416675">
            <w:pPr>
              <w:pStyle w:val="Bezmezer"/>
              <w:jc w:val="left"/>
              <w:rPr>
                <w:b/>
                <w:sz w:val="18"/>
                <w:szCs w:val="18"/>
              </w:rPr>
            </w:pPr>
            <w:r w:rsidRPr="00416675">
              <w:rPr>
                <w:b/>
                <w:sz w:val="18"/>
                <w:szCs w:val="18"/>
              </w:rPr>
              <w:t>poznámka</w:t>
            </w:r>
          </w:p>
        </w:tc>
      </w:tr>
      <w:tr w:rsidR="00E6353A" w:rsidRPr="006012C1" w:rsidTr="009855A1">
        <w:tc>
          <w:tcPr>
            <w:tcW w:w="2265" w:type="dxa"/>
            <w:tcBorders>
              <w:top w:val="single" w:sz="12" w:space="0" w:color="auto"/>
            </w:tcBorders>
            <w:shd w:val="clear" w:color="auto" w:fill="auto"/>
            <w:vAlign w:val="center"/>
          </w:tcPr>
          <w:p w:rsidR="00E6353A" w:rsidRPr="00416675" w:rsidRDefault="00E6353A" w:rsidP="00416675">
            <w:pPr>
              <w:pStyle w:val="Bezmezer"/>
              <w:jc w:val="left"/>
              <w:rPr>
                <w:sz w:val="18"/>
                <w:szCs w:val="18"/>
              </w:rPr>
            </w:pPr>
            <w:r w:rsidRPr="00416675">
              <w:rPr>
                <w:sz w:val="18"/>
                <w:szCs w:val="18"/>
              </w:rPr>
              <w:t xml:space="preserve">Pardubice hlavní nádraží – Pardubice-Rosice nad Labem </w:t>
            </w:r>
          </w:p>
        </w:tc>
        <w:tc>
          <w:tcPr>
            <w:tcW w:w="2555" w:type="dxa"/>
            <w:tcBorders>
              <w:top w:val="single" w:sz="12" w:space="0" w:color="auto"/>
            </w:tcBorders>
            <w:shd w:val="clear" w:color="auto" w:fill="auto"/>
            <w:vAlign w:val="center"/>
          </w:tcPr>
          <w:p w:rsidR="00E6353A" w:rsidRPr="00416675" w:rsidRDefault="00E6353A" w:rsidP="00416675">
            <w:pPr>
              <w:pStyle w:val="Bezmezer"/>
              <w:jc w:val="left"/>
              <w:rPr>
                <w:sz w:val="18"/>
                <w:szCs w:val="18"/>
              </w:rPr>
            </w:pPr>
            <w:r w:rsidRPr="00416675">
              <w:rPr>
                <w:sz w:val="18"/>
                <w:szCs w:val="18"/>
              </w:rPr>
              <w:t>traťový souhlas s kolejovými obvody</w:t>
            </w:r>
          </w:p>
        </w:tc>
        <w:tc>
          <w:tcPr>
            <w:tcW w:w="1417" w:type="dxa"/>
            <w:tcBorders>
              <w:top w:val="single" w:sz="12" w:space="0" w:color="auto"/>
            </w:tcBorders>
            <w:shd w:val="clear" w:color="auto" w:fill="auto"/>
            <w:vAlign w:val="center"/>
          </w:tcPr>
          <w:p w:rsidR="00E6353A" w:rsidRPr="00416675" w:rsidRDefault="00495C99" w:rsidP="00416675">
            <w:pPr>
              <w:pStyle w:val="Bezmezer"/>
              <w:jc w:val="left"/>
              <w:rPr>
                <w:sz w:val="18"/>
                <w:szCs w:val="18"/>
              </w:rPr>
            </w:pPr>
            <w:r w:rsidRPr="00416675">
              <w:rPr>
                <w:sz w:val="18"/>
                <w:szCs w:val="18"/>
              </w:rPr>
              <w:t>nezjištěno</w:t>
            </w:r>
          </w:p>
        </w:tc>
        <w:tc>
          <w:tcPr>
            <w:tcW w:w="3148" w:type="dxa"/>
            <w:tcBorders>
              <w:top w:val="single" w:sz="12" w:space="0" w:color="auto"/>
            </w:tcBorders>
            <w:shd w:val="clear" w:color="auto" w:fill="auto"/>
            <w:vAlign w:val="center"/>
          </w:tcPr>
          <w:p w:rsidR="00E6353A" w:rsidRPr="00416675" w:rsidRDefault="00E6353A" w:rsidP="00416675">
            <w:pPr>
              <w:pStyle w:val="Bezmezer"/>
              <w:jc w:val="left"/>
              <w:rPr>
                <w:sz w:val="18"/>
                <w:szCs w:val="18"/>
              </w:rPr>
            </w:pPr>
          </w:p>
        </w:tc>
      </w:tr>
      <w:tr w:rsidR="00E6353A" w:rsidRPr="006012C1" w:rsidTr="00416675">
        <w:tc>
          <w:tcPr>
            <w:tcW w:w="2265" w:type="dxa"/>
            <w:shd w:val="clear" w:color="auto" w:fill="auto"/>
            <w:vAlign w:val="center"/>
          </w:tcPr>
          <w:p w:rsidR="00E6353A" w:rsidRPr="00416675" w:rsidRDefault="00E6353A" w:rsidP="00416675">
            <w:pPr>
              <w:pStyle w:val="Bezmezer"/>
              <w:jc w:val="left"/>
              <w:rPr>
                <w:sz w:val="18"/>
                <w:szCs w:val="18"/>
              </w:rPr>
            </w:pPr>
            <w:r w:rsidRPr="00416675">
              <w:rPr>
                <w:sz w:val="18"/>
                <w:szCs w:val="18"/>
              </w:rPr>
              <w:t>Pardubice-Rosice nad Labem – Stéblová</w:t>
            </w:r>
          </w:p>
        </w:tc>
        <w:tc>
          <w:tcPr>
            <w:tcW w:w="2555" w:type="dxa"/>
            <w:shd w:val="clear" w:color="auto" w:fill="auto"/>
            <w:vAlign w:val="center"/>
          </w:tcPr>
          <w:p w:rsidR="00E6353A" w:rsidRPr="00416675" w:rsidRDefault="00E6353A" w:rsidP="00416675">
            <w:pPr>
              <w:pStyle w:val="Bezmezer"/>
              <w:jc w:val="left"/>
              <w:rPr>
                <w:sz w:val="18"/>
                <w:szCs w:val="18"/>
              </w:rPr>
            </w:pPr>
            <w:r w:rsidRPr="00416675">
              <w:rPr>
                <w:sz w:val="18"/>
                <w:szCs w:val="18"/>
              </w:rPr>
              <w:t>žádné - telefonické dorozumívání (I. kategorie)</w:t>
            </w:r>
          </w:p>
        </w:tc>
        <w:tc>
          <w:tcPr>
            <w:tcW w:w="1417" w:type="dxa"/>
            <w:shd w:val="clear" w:color="auto" w:fill="auto"/>
            <w:vAlign w:val="center"/>
          </w:tcPr>
          <w:p w:rsidR="00E6353A" w:rsidRPr="00416675" w:rsidRDefault="00495C99" w:rsidP="00416675">
            <w:pPr>
              <w:pStyle w:val="Bezmezer"/>
              <w:jc w:val="left"/>
              <w:rPr>
                <w:sz w:val="18"/>
                <w:szCs w:val="18"/>
              </w:rPr>
            </w:pPr>
            <w:r w:rsidRPr="00416675">
              <w:rPr>
                <w:sz w:val="18"/>
                <w:szCs w:val="18"/>
              </w:rPr>
              <w:t>----</w:t>
            </w:r>
          </w:p>
        </w:tc>
        <w:tc>
          <w:tcPr>
            <w:tcW w:w="3148" w:type="dxa"/>
            <w:shd w:val="clear" w:color="auto" w:fill="auto"/>
            <w:vAlign w:val="center"/>
          </w:tcPr>
          <w:p w:rsidR="00E6353A" w:rsidRPr="00416675" w:rsidRDefault="00E6353A" w:rsidP="00416675">
            <w:pPr>
              <w:pStyle w:val="Bezmezer"/>
              <w:jc w:val="left"/>
              <w:rPr>
                <w:sz w:val="18"/>
                <w:szCs w:val="18"/>
              </w:rPr>
            </w:pPr>
          </w:p>
        </w:tc>
      </w:tr>
      <w:tr w:rsidR="00E6353A" w:rsidRPr="006012C1" w:rsidTr="00416675">
        <w:tc>
          <w:tcPr>
            <w:tcW w:w="2265" w:type="dxa"/>
            <w:shd w:val="clear" w:color="auto" w:fill="auto"/>
            <w:vAlign w:val="center"/>
          </w:tcPr>
          <w:p w:rsidR="00E6353A" w:rsidRPr="00416675" w:rsidRDefault="00E6353A" w:rsidP="00416675">
            <w:pPr>
              <w:pStyle w:val="Bezmezer"/>
              <w:jc w:val="left"/>
              <w:rPr>
                <w:sz w:val="18"/>
                <w:szCs w:val="18"/>
              </w:rPr>
            </w:pPr>
            <w:r w:rsidRPr="00416675">
              <w:rPr>
                <w:sz w:val="18"/>
                <w:szCs w:val="18"/>
              </w:rPr>
              <w:t>Stéblová – Opatovice nad Lab.</w:t>
            </w:r>
          </w:p>
        </w:tc>
        <w:tc>
          <w:tcPr>
            <w:tcW w:w="2555" w:type="dxa"/>
            <w:shd w:val="clear" w:color="auto" w:fill="auto"/>
            <w:vAlign w:val="center"/>
          </w:tcPr>
          <w:p w:rsidR="00E6353A" w:rsidRPr="00416675" w:rsidRDefault="00E6353A" w:rsidP="00416675">
            <w:pPr>
              <w:pStyle w:val="Bezmezer"/>
              <w:jc w:val="left"/>
              <w:rPr>
                <w:sz w:val="18"/>
                <w:szCs w:val="18"/>
              </w:rPr>
            </w:pPr>
            <w:r w:rsidRPr="00416675">
              <w:rPr>
                <w:sz w:val="18"/>
                <w:szCs w:val="18"/>
              </w:rPr>
              <w:t>žádné - telefonické dorozumívání (I. kategorie)</w:t>
            </w:r>
          </w:p>
        </w:tc>
        <w:tc>
          <w:tcPr>
            <w:tcW w:w="1417" w:type="dxa"/>
            <w:shd w:val="clear" w:color="auto" w:fill="auto"/>
            <w:vAlign w:val="center"/>
          </w:tcPr>
          <w:p w:rsidR="00E6353A" w:rsidRPr="00416675" w:rsidRDefault="00495C99" w:rsidP="00416675">
            <w:pPr>
              <w:pStyle w:val="Bezmezer"/>
              <w:jc w:val="left"/>
              <w:rPr>
                <w:sz w:val="18"/>
                <w:szCs w:val="18"/>
              </w:rPr>
            </w:pPr>
            <w:r w:rsidRPr="00416675">
              <w:rPr>
                <w:sz w:val="18"/>
                <w:szCs w:val="18"/>
              </w:rPr>
              <w:t>----</w:t>
            </w:r>
          </w:p>
        </w:tc>
        <w:tc>
          <w:tcPr>
            <w:tcW w:w="3148" w:type="dxa"/>
            <w:shd w:val="clear" w:color="auto" w:fill="auto"/>
            <w:vAlign w:val="center"/>
          </w:tcPr>
          <w:p w:rsidR="00E6353A" w:rsidRPr="00416675" w:rsidRDefault="00E6353A" w:rsidP="00416675">
            <w:pPr>
              <w:pStyle w:val="Bezmezer"/>
              <w:jc w:val="left"/>
              <w:rPr>
                <w:sz w:val="18"/>
                <w:szCs w:val="18"/>
              </w:rPr>
            </w:pPr>
          </w:p>
        </w:tc>
      </w:tr>
      <w:tr w:rsidR="00E6353A" w:rsidRPr="006012C1" w:rsidTr="00416675">
        <w:tc>
          <w:tcPr>
            <w:tcW w:w="2265" w:type="dxa"/>
            <w:shd w:val="clear" w:color="auto" w:fill="auto"/>
            <w:vAlign w:val="center"/>
          </w:tcPr>
          <w:p w:rsidR="00E6353A" w:rsidRPr="00416675" w:rsidRDefault="00E6353A" w:rsidP="00416675">
            <w:pPr>
              <w:pStyle w:val="Bezmezer"/>
              <w:jc w:val="left"/>
              <w:rPr>
                <w:sz w:val="18"/>
                <w:szCs w:val="18"/>
              </w:rPr>
            </w:pPr>
            <w:r w:rsidRPr="00416675">
              <w:rPr>
                <w:sz w:val="18"/>
                <w:szCs w:val="18"/>
              </w:rPr>
              <w:t>Opatovice nad Lab. – Hradec Králové hlavní nádr.</w:t>
            </w:r>
          </w:p>
        </w:tc>
        <w:tc>
          <w:tcPr>
            <w:tcW w:w="2555" w:type="dxa"/>
            <w:shd w:val="clear" w:color="auto" w:fill="auto"/>
            <w:vAlign w:val="center"/>
          </w:tcPr>
          <w:p w:rsidR="00E6353A" w:rsidRPr="00416675" w:rsidRDefault="00E6353A" w:rsidP="00416675">
            <w:pPr>
              <w:jc w:val="left"/>
              <w:rPr>
                <w:sz w:val="18"/>
                <w:szCs w:val="18"/>
              </w:rPr>
            </w:pPr>
            <w:r w:rsidRPr="00416675">
              <w:rPr>
                <w:sz w:val="18"/>
                <w:szCs w:val="18"/>
              </w:rPr>
              <w:t xml:space="preserve">automatické hradlo jednoduchý traťový souhlas </w:t>
            </w:r>
          </w:p>
        </w:tc>
        <w:tc>
          <w:tcPr>
            <w:tcW w:w="1417" w:type="dxa"/>
            <w:shd w:val="clear" w:color="auto" w:fill="auto"/>
            <w:vAlign w:val="center"/>
          </w:tcPr>
          <w:p w:rsidR="00E6353A" w:rsidRPr="00416675" w:rsidRDefault="00495C99" w:rsidP="00416675">
            <w:pPr>
              <w:pStyle w:val="Bezmezer"/>
              <w:jc w:val="left"/>
              <w:rPr>
                <w:sz w:val="18"/>
                <w:szCs w:val="18"/>
              </w:rPr>
            </w:pPr>
            <w:r w:rsidRPr="00416675">
              <w:rPr>
                <w:sz w:val="18"/>
                <w:szCs w:val="18"/>
              </w:rPr>
              <w:t>cca 1995</w:t>
            </w:r>
          </w:p>
        </w:tc>
        <w:tc>
          <w:tcPr>
            <w:tcW w:w="3148" w:type="dxa"/>
            <w:shd w:val="clear" w:color="auto" w:fill="auto"/>
            <w:vAlign w:val="center"/>
          </w:tcPr>
          <w:p w:rsidR="00E6353A" w:rsidRPr="00416675" w:rsidRDefault="00495C99" w:rsidP="00416675">
            <w:pPr>
              <w:pStyle w:val="Bezmezer"/>
              <w:jc w:val="left"/>
              <w:rPr>
                <w:sz w:val="18"/>
                <w:szCs w:val="18"/>
              </w:rPr>
            </w:pPr>
            <w:r w:rsidRPr="00416675">
              <w:rPr>
                <w:sz w:val="18"/>
                <w:szCs w:val="18"/>
              </w:rPr>
              <w:t>nevyhovuje podmínkám pro zařízení III. kategorie</w:t>
            </w:r>
          </w:p>
        </w:tc>
      </w:tr>
    </w:tbl>
    <w:p w:rsidR="00E01AD3" w:rsidRDefault="00E01AD3" w:rsidP="00E01AD3"/>
    <w:p w:rsidR="00E01AD3" w:rsidRDefault="00E01AD3">
      <w:pPr>
        <w:suppressAutoHyphens w:val="0"/>
        <w:spacing w:before="0" w:after="0" w:line="240" w:lineRule="auto"/>
        <w:jc w:val="left"/>
        <w:rPr>
          <w:b/>
          <w:bCs/>
          <w:sz w:val="24"/>
        </w:rPr>
      </w:pPr>
      <w:r>
        <w:br w:type="page"/>
      </w:r>
    </w:p>
    <w:p w:rsidR="00E6353A" w:rsidRPr="006012C1" w:rsidRDefault="00A7042B" w:rsidP="0059693F">
      <w:pPr>
        <w:pStyle w:val="Nadpis3"/>
        <w:ind w:hanging="8234"/>
      </w:pPr>
      <w:r w:rsidRPr="006012C1">
        <w:t>Přejezdy a jejich zabezpečení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34"/>
        <w:gridCol w:w="851"/>
        <w:gridCol w:w="1276"/>
        <w:gridCol w:w="1275"/>
        <w:gridCol w:w="4820"/>
      </w:tblGrid>
      <w:tr w:rsidR="00A7042B" w:rsidRPr="006012C1" w:rsidTr="00416675">
        <w:tc>
          <w:tcPr>
            <w:tcW w:w="9356" w:type="dxa"/>
            <w:gridSpan w:val="5"/>
            <w:tcBorders>
              <w:bottom w:val="single" w:sz="4" w:space="0" w:color="000000"/>
            </w:tcBorders>
            <w:shd w:val="clear" w:color="auto" w:fill="auto"/>
          </w:tcPr>
          <w:p w:rsidR="00A7042B" w:rsidRPr="006012C1" w:rsidRDefault="00A7042B" w:rsidP="00416675">
            <w:pPr>
              <w:pStyle w:val="Titulek"/>
            </w:pPr>
            <w:bookmarkStart w:id="42" w:name="_Toc390958738"/>
            <w:bookmarkStart w:id="43" w:name="_Toc391034542"/>
            <w:r w:rsidRPr="006012C1">
              <w:t xml:space="preserve">Tab. </w:t>
            </w:r>
            <w:r w:rsidR="000E79AE">
              <w:fldChar w:fldCharType="begin"/>
            </w:r>
            <w:r w:rsidR="000E79AE">
              <w:instrText xml:space="preserve"> STYLEREF 1 \s </w:instrText>
            </w:r>
            <w:r w:rsidR="000E79AE">
              <w:fldChar w:fldCharType="separate"/>
            </w:r>
            <w:r w:rsidR="003843F3">
              <w:rPr>
                <w:noProof/>
              </w:rPr>
              <w:t>3</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3</w:t>
            </w:r>
            <w:r w:rsidR="000E79AE">
              <w:fldChar w:fldCharType="end"/>
            </w:r>
            <w:r w:rsidRPr="006012C1">
              <w:t>: Zabezpečení přejezdů - přehled</w:t>
            </w:r>
            <w:bookmarkEnd w:id="42"/>
            <w:bookmarkEnd w:id="43"/>
          </w:p>
        </w:tc>
      </w:tr>
      <w:tr w:rsidR="00A7042B" w:rsidRPr="006012C1" w:rsidTr="00416675">
        <w:tc>
          <w:tcPr>
            <w:tcW w:w="1134" w:type="dxa"/>
            <w:tcBorders>
              <w:bottom w:val="single" w:sz="12" w:space="0" w:color="auto"/>
            </w:tcBorders>
            <w:shd w:val="pct15" w:color="auto" w:fill="auto"/>
          </w:tcPr>
          <w:p w:rsidR="00A7042B" w:rsidRPr="00416675" w:rsidRDefault="00A7042B" w:rsidP="005D7F87">
            <w:pPr>
              <w:pStyle w:val="Bezmezer"/>
              <w:rPr>
                <w:b/>
                <w:sz w:val="18"/>
              </w:rPr>
            </w:pPr>
            <w:r w:rsidRPr="00416675">
              <w:rPr>
                <w:b/>
                <w:sz w:val="18"/>
              </w:rPr>
              <w:t>přejezd km</w:t>
            </w:r>
          </w:p>
        </w:tc>
        <w:tc>
          <w:tcPr>
            <w:tcW w:w="851" w:type="dxa"/>
            <w:tcBorders>
              <w:bottom w:val="single" w:sz="12" w:space="0" w:color="auto"/>
            </w:tcBorders>
            <w:shd w:val="pct15" w:color="auto" w:fill="auto"/>
          </w:tcPr>
          <w:p w:rsidR="00A7042B" w:rsidRPr="00416675" w:rsidRDefault="00A7042B" w:rsidP="005D7F87">
            <w:pPr>
              <w:pStyle w:val="Bezmezer"/>
              <w:rPr>
                <w:b/>
                <w:sz w:val="18"/>
              </w:rPr>
            </w:pPr>
            <w:r w:rsidRPr="00416675">
              <w:rPr>
                <w:b/>
                <w:sz w:val="18"/>
              </w:rPr>
              <w:t>třída silnice</w:t>
            </w:r>
          </w:p>
        </w:tc>
        <w:tc>
          <w:tcPr>
            <w:tcW w:w="1276" w:type="dxa"/>
            <w:tcBorders>
              <w:bottom w:val="single" w:sz="12" w:space="0" w:color="auto"/>
            </w:tcBorders>
            <w:shd w:val="pct15" w:color="auto" w:fill="auto"/>
          </w:tcPr>
          <w:p w:rsidR="00A7042B" w:rsidRPr="00416675" w:rsidRDefault="00A7042B" w:rsidP="005D7F87">
            <w:pPr>
              <w:pStyle w:val="Bezmezer"/>
              <w:rPr>
                <w:b/>
                <w:sz w:val="18"/>
              </w:rPr>
            </w:pPr>
            <w:r w:rsidRPr="00416675">
              <w:rPr>
                <w:b/>
                <w:sz w:val="18"/>
              </w:rPr>
              <w:t>typ zařízení</w:t>
            </w:r>
          </w:p>
        </w:tc>
        <w:tc>
          <w:tcPr>
            <w:tcW w:w="1275" w:type="dxa"/>
            <w:tcBorders>
              <w:bottom w:val="single" w:sz="12" w:space="0" w:color="auto"/>
            </w:tcBorders>
            <w:shd w:val="pct15" w:color="auto" w:fill="auto"/>
          </w:tcPr>
          <w:p w:rsidR="00A7042B" w:rsidRPr="00416675" w:rsidRDefault="00A7042B" w:rsidP="005D7F87">
            <w:pPr>
              <w:pStyle w:val="Bezmezer"/>
              <w:rPr>
                <w:b/>
                <w:sz w:val="18"/>
              </w:rPr>
            </w:pPr>
            <w:r w:rsidRPr="00416675">
              <w:rPr>
                <w:b/>
                <w:sz w:val="18"/>
              </w:rPr>
              <w:t>instalováno v roce</w:t>
            </w:r>
          </w:p>
        </w:tc>
        <w:tc>
          <w:tcPr>
            <w:tcW w:w="4820" w:type="dxa"/>
            <w:tcBorders>
              <w:bottom w:val="single" w:sz="12" w:space="0" w:color="auto"/>
            </w:tcBorders>
            <w:shd w:val="pct15" w:color="auto" w:fill="auto"/>
          </w:tcPr>
          <w:p w:rsidR="00A7042B" w:rsidRPr="00416675" w:rsidRDefault="00A7042B" w:rsidP="005D7F87">
            <w:pPr>
              <w:pStyle w:val="Bezmezer"/>
              <w:rPr>
                <w:b/>
                <w:sz w:val="18"/>
              </w:rPr>
            </w:pPr>
            <w:r w:rsidRPr="00416675">
              <w:rPr>
                <w:b/>
                <w:sz w:val="18"/>
              </w:rPr>
              <w:t>poznámka</w:t>
            </w:r>
          </w:p>
        </w:tc>
      </w:tr>
      <w:tr w:rsidR="00A7042B" w:rsidRPr="006012C1" w:rsidTr="00416675">
        <w:tc>
          <w:tcPr>
            <w:tcW w:w="1134" w:type="dxa"/>
            <w:tcBorders>
              <w:top w:val="single" w:sz="12" w:space="0" w:color="auto"/>
            </w:tcBorders>
            <w:shd w:val="clear" w:color="auto" w:fill="auto"/>
          </w:tcPr>
          <w:p w:rsidR="00A7042B" w:rsidRPr="00416675" w:rsidRDefault="00A7042B" w:rsidP="005D7F87">
            <w:pPr>
              <w:pStyle w:val="Bezmezer"/>
              <w:rPr>
                <w:rFonts w:cs="Tahoma"/>
                <w:sz w:val="18"/>
              </w:rPr>
            </w:pPr>
            <w:r w:rsidRPr="00416675">
              <w:rPr>
                <w:rFonts w:cs="Tahoma"/>
                <w:sz w:val="18"/>
              </w:rPr>
              <w:t>3,285</w:t>
            </w:r>
          </w:p>
        </w:tc>
        <w:tc>
          <w:tcPr>
            <w:tcW w:w="851" w:type="dxa"/>
            <w:tcBorders>
              <w:top w:val="single" w:sz="12" w:space="0" w:color="auto"/>
            </w:tcBorders>
            <w:shd w:val="clear" w:color="auto" w:fill="auto"/>
          </w:tcPr>
          <w:p w:rsidR="00A7042B" w:rsidRPr="00416675" w:rsidRDefault="00A7042B" w:rsidP="005D7F87">
            <w:pPr>
              <w:pStyle w:val="Bezmezer"/>
              <w:rPr>
                <w:rFonts w:cs="Tahoma"/>
                <w:sz w:val="18"/>
              </w:rPr>
            </w:pPr>
            <w:r w:rsidRPr="00416675">
              <w:rPr>
                <w:rFonts w:cs="Tahoma"/>
                <w:sz w:val="18"/>
              </w:rPr>
              <w:t>MK</w:t>
            </w:r>
            <w:r w:rsidRPr="00416675">
              <w:rPr>
                <w:rFonts w:cs="Tahoma"/>
                <w:sz w:val="18"/>
                <w:vertAlign w:val="superscript"/>
              </w:rPr>
              <w:t>*)</w:t>
            </w:r>
          </w:p>
        </w:tc>
        <w:tc>
          <w:tcPr>
            <w:tcW w:w="1276" w:type="dxa"/>
            <w:tcBorders>
              <w:top w:val="single" w:sz="12" w:space="0" w:color="auto"/>
            </w:tcBorders>
            <w:shd w:val="clear" w:color="auto" w:fill="auto"/>
          </w:tcPr>
          <w:p w:rsidR="00A7042B" w:rsidRPr="00416675" w:rsidRDefault="00A7042B" w:rsidP="005D7F87">
            <w:pPr>
              <w:pStyle w:val="Bezmezer"/>
              <w:rPr>
                <w:rFonts w:cs="Tahoma"/>
                <w:sz w:val="18"/>
              </w:rPr>
            </w:pPr>
            <w:r w:rsidRPr="00416675">
              <w:rPr>
                <w:rFonts w:cs="Tahoma"/>
                <w:sz w:val="18"/>
              </w:rPr>
              <w:t>SSSR</w:t>
            </w:r>
          </w:p>
        </w:tc>
        <w:tc>
          <w:tcPr>
            <w:tcW w:w="1275" w:type="dxa"/>
            <w:tcBorders>
              <w:top w:val="single" w:sz="12" w:space="0" w:color="auto"/>
            </w:tcBorders>
            <w:shd w:val="clear" w:color="auto" w:fill="auto"/>
          </w:tcPr>
          <w:p w:rsidR="00A7042B" w:rsidRPr="00416675" w:rsidRDefault="00A7042B" w:rsidP="005D7F87">
            <w:pPr>
              <w:pStyle w:val="Bezmezer"/>
              <w:rPr>
                <w:rFonts w:cs="Tahoma"/>
                <w:sz w:val="18"/>
              </w:rPr>
            </w:pPr>
            <w:r w:rsidRPr="00416675">
              <w:rPr>
                <w:rFonts w:cs="Tahoma"/>
                <w:sz w:val="18"/>
              </w:rPr>
              <w:t>1992</w:t>
            </w:r>
          </w:p>
        </w:tc>
        <w:tc>
          <w:tcPr>
            <w:tcW w:w="4820" w:type="dxa"/>
            <w:tcBorders>
              <w:top w:val="single" w:sz="12" w:space="0" w:color="auto"/>
            </w:tcBorders>
            <w:shd w:val="clear" w:color="auto" w:fill="auto"/>
          </w:tcPr>
          <w:p w:rsidR="00A7042B" w:rsidRPr="00416675" w:rsidRDefault="00A7042B" w:rsidP="005D7F87">
            <w:pPr>
              <w:pStyle w:val="Bezmezer"/>
              <w:rPr>
                <w:rFonts w:cs="Tahoma"/>
                <w:sz w:val="18"/>
              </w:rPr>
            </w:pPr>
            <w:r w:rsidRPr="00416675">
              <w:rPr>
                <w:rFonts w:cs="Tahoma"/>
                <w:sz w:val="18"/>
              </w:rPr>
              <w:t xml:space="preserve">bez kolejových obvodů, ovládán ze stavědla č.2 žst Pardubice-Rosice n/L. </w:t>
            </w:r>
          </w:p>
        </w:tc>
      </w:tr>
      <w:tr w:rsidR="00A7042B" w:rsidRPr="006012C1" w:rsidTr="00416675">
        <w:tc>
          <w:tcPr>
            <w:tcW w:w="1134" w:type="dxa"/>
            <w:shd w:val="clear" w:color="auto" w:fill="auto"/>
          </w:tcPr>
          <w:p w:rsidR="00A7042B" w:rsidRPr="00416675" w:rsidRDefault="00A7042B" w:rsidP="005D7F87">
            <w:pPr>
              <w:pStyle w:val="Bezmezer"/>
              <w:rPr>
                <w:rFonts w:cs="Tahoma"/>
                <w:sz w:val="18"/>
              </w:rPr>
            </w:pPr>
            <w:r w:rsidRPr="00416675">
              <w:rPr>
                <w:rFonts w:cs="Tahoma"/>
                <w:sz w:val="18"/>
              </w:rPr>
              <w:t>4,803</w:t>
            </w:r>
          </w:p>
        </w:tc>
        <w:tc>
          <w:tcPr>
            <w:tcW w:w="851" w:type="dxa"/>
            <w:shd w:val="clear" w:color="auto" w:fill="auto"/>
          </w:tcPr>
          <w:p w:rsidR="00A7042B" w:rsidRPr="00416675" w:rsidRDefault="00A7042B" w:rsidP="005D7F87">
            <w:pPr>
              <w:pStyle w:val="Bezmezer"/>
              <w:rPr>
                <w:rFonts w:cs="Tahoma"/>
                <w:sz w:val="18"/>
              </w:rPr>
            </w:pPr>
            <w:r w:rsidRPr="00416675">
              <w:rPr>
                <w:rFonts w:cs="Tahoma"/>
                <w:sz w:val="18"/>
              </w:rPr>
              <w:t>MK</w:t>
            </w:r>
          </w:p>
        </w:tc>
        <w:tc>
          <w:tcPr>
            <w:tcW w:w="1276" w:type="dxa"/>
            <w:shd w:val="clear" w:color="auto" w:fill="auto"/>
          </w:tcPr>
          <w:p w:rsidR="00A7042B" w:rsidRPr="00416675" w:rsidRDefault="00A7042B" w:rsidP="005D7F87">
            <w:pPr>
              <w:pStyle w:val="Bezmezer"/>
              <w:rPr>
                <w:rFonts w:cs="Tahoma"/>
                <w:sz w:val="18"/>
              </w:rPr>
            </w:pPr>
            <w:r w:rsidRPr="00416675">
              <w:rPr>
                <w:rFonts w:cs="Tahoma"/>
                <w:sz w:val="18"/>
              </w:rPr>
              <w:t>AŽD 71</w:t>
            </w:r>
          </w:p>
        </w:tc>
        <w:tc>
          <w:tcPr>
            <w:tcW w:w="1275" w:type="dxa"/>
            <w:shd w:val="clear" w:color="auto" w:fill="auto"/>
          </w:tcPr>
          <w:p w:rsidR="00A7042B" w:rsidRPr="00416675" w:rsidRDefault="00A7042B" w:rsidP="005D7F87">
            <w:pPr>
              <w:pStyle w:val="Bezmezer"/>
              <w:rPr>
                <w:rFonts w:cs="Tahoma"/>
                <w:sz w:val="18"/>
              </w:rPr>
            </w:pPr>
            <w:r w:rsidRPr="00416675">
              <w:rPr>
                <w:rFonts w:cs="Tahoma"/>
                <w:sz w:val="18"/>
              </w:rPr>
              <w:t>1993</w:t>
            </w:r>
          </w:p>
        </w:tc>
        <w:tc>
          <w:tcPr>
            <w:tcW w:w="4820" w:type="dxa"/>
            <w:shd w:val="clear" w:color="auto" w:fill="auto"/>
          </w:tcPr>
          <w:p w:rsidR="00A7042B" w:rsidRPr="00416675" w:rsidRDefault="00A7042B" w:rsidP="005D7F87">
            <w:pPr>
              <w:pStyle w:val="Bezmezer"/>
              <w:rPr>
                <w:rFonts w:cs="Tahoma"/>
                <w:sz w:val="18"/>
              </w:rPr>
            </w:pPr>
            <w:r w:rsidRPr="00416675">
              <w:rPr>
                <w:rFonts w:cs="Tahoma"/>
                <w:sz w:val="18"/>
              </w:rPr>
              <w:t>KO</w:t>
            </w:r>
            <w:r w:rsidRPr="00416675">
              <w:rPr>
                <w:rFonts w:cs="Tahoma"/>
                <w:sz w:val="18"/>
                <w:vertAlign w:val="superscript"/>
              </w:rPr>
              <w:t>**)</w:t>
            </w:r>
            <w:r w:rsidRPr="00416675">
              <w:rPr>
                <w:rFonts w:cs="Tahoma"/>
                <w:sz w:val="18"/>
              </w:rPr>
              <w:t xml:space="preserve"> 50 Hz, kontrolní prvky v žst Stéblová</w:t>
            </w:r>
          </w:p>
        </w:tc>
      </w:tr>
      <w:tr w:rsidR="00A7042B" w:rsidRPr="006012C1" w:rsidTr="00416675">
        <w:tc>
          <w:tcPr>
            <w:tcW w:w="1134" w:type="dxa"/>
            <w:shd w:val="clear" w:color="auto" w:fill="auto"/>
          </w:tcPr>
          <w:p w:rsidR="00A7042B" w:rsidRPr="00416675" w:rsidRDefault="00A7042B" w:rsidP="005D7F87">
            <w:pPr>
              <w:pStyle w:val="Bezmezer"/>
              <w:rPr>
                <w:rFonts w:cs="Tahoma"/>
                <w:sz w:val="18"/>
              </w:rPr>
            </w:pPr>
            <w:r w:rsidRPr="00416675">
              <w:rPr>
                <w:rFonts w:cs="Tahoma"/>
                <w:sz w:val="18"/>
              </w:rPr>
              <w:t>8,295</w:t>
            </w:r>
          </w:p>
        </w:tc>
        <w:tc>
          <w:tcPr>
            <w:tcW w:w="851" w:type="dxa"/>
            <w:shd w:val="clear" w:color="auto" w:fill="auto"/>
          </w:tcPr>
          <w:p w:rsidR="00A7042B" w:rsidRPr="00416675" w:rsidRDefault="00A7042B" w:rsidP="005D7F87">
            <w:pPr>
              <w:pStyle w:val="Bezmezer"/>
              <w:rPr>
                <w:rFonts w:cs="Tahoma"/>
                <w:sz w:val="18"/>
              </w:rPr>
            </w:pPr>
            <w:r w:rsidRPr="00416675">
              <w:rPr>
                <w:rFonts w:cs="Tahoma"/>
                <w:sz w:val="18"/>
              </w:rPr>
              <w:t>III.</w:t>
            </w:r>
          </w:p>
        </w:tc>
        <w:tc>
          <w:tcPr>
            <w:tcW w:w="1276" w:type="dxa"/>
            <w:shd w:val="clear" w:color="auto" w:fill="auto"/>
          </w:tcPr>
          <w:p w:rsidR="00A7042B" w:rsidRPr="00416675" w:rsidRDefault="00A7042B" w:rsidP="005D7F87">
            <w:pPr>
              <w:pStyle w:val="Bezmezer"/>
              <w:rPr>
                <w:rFonts w:cs="Tahoma"/>
                <w:sz w:val="18"/>
              </w:rPr>
            </w:pPr>
            <w:r w:rsidRPr="00416675">
              <w:rPr>
                <w:rFonts w:cs="Tahoma"/>
                <w:sz w:val="18"/>
              </w:rPr>
              <w:t>SSSR</w:t>
            </w:r>
          </w:p>
        </w:tc>
        <w:tc>
          <w:tcPr>
            <w:tcW w:w="1275" w:type="dxa"/>
            <w:shd w:val="clear" w:color="auto" w:fill="auto"/>
          </w:tcPr>
          <w:p w:rsidR="00A7042B" w:rsidRPr="00416675" w:rsidRDefault="00A7042B" w:rsidP="005D7F87">
            <w:pPr>
              <w:pStyle w:val="Bezmezer"/>
              <w:rPr>
                <w:rFonts w:cs="Tahoma"/>
                <w:sz w:val="18"/>
              </w:rPr>
            </w:pPr>
            <w:r w:rsidRPr="00416675">
              <w:rPr>
                <w:rFonts w:cs="Tahoma"/>
                <w:sz w:val="18"/>
              </w:rPr>
              <w:t>1973</w:t>
            </w:r>
          </w:p>
        </w:tc>
        <w:tc>
          <w:tcPr>
            <w:tcW w:w="4820" w:type="dxa"/>
            <w:shd w:val="clear" w:color="auto" w:fill="auto"/>
          </w:tcPr>
          <w:p w:rsidR="00A7042B" w:rsidRPr="00416675" w:rsidRDefault="00A7042B" w:rsidP="005D7F87">
            <w:pPr>
              <w:pStyle w:val="Bezmezer"/>
              <w:rPr>
                <w:rFonts w:cs="Tahoma"/>
                <w:sz w:val="18"/>
              </w:rPr>
            </w:pPr>
            <w:r w:rsidRPr="00416675">
              <w:rPr>
                <w:rFonts w:cs="Tahoma"/>
                <w:sz w:val="18"/>
              </w:rPr>
              <w:t>KO 50 Hz, kontrolní prvky v žst Stéblová</w:t>
            </w:r>
          </w:p>
        </w:tc>
      </w:tr>
      <w:tr w:rsidR="00A7042B" w:rsidRPr="006012C1" w:rsidTr="00416675">
        <w:tc>
          <w:tcPr>
            <w:tcW w:w="1134" w:type="dxa"/>
            <w:shd w:val="clear" w:color="auto" w:fill="auto"/>
          </w:tcPr>
          <w:p w:rsidR="00A7042B" w:rsidRPr="00416675" w:rsidRDefault="00A7042B" w:rsidP="005D7F87">
            <w:pPr>
              <w:pStyle w:val="Bezmezer"/>
              <w:rPr>
                <w:rFonts w:cs="Tahoma"/>
                <w:sz w:val="18"/>
              </w:rPr>
            </w:pPr>
            <w:r w:rsidRPr="00416675">
              <w:rPr>
                <w:rFonts w:cs="Tahoma"/>
                <w:sz w:val="18"/>
              </w:rPr>
              <w:t>9,618</w:t>
            </w:r>
          </w:p>
        </w:tc>
        <w:tc>
          <w:tcPr>
            <w:tcW w:w="851" w:type="dxa"/>
            <w:shd w:val="clear" w:color="auto" w:fill="auto"/>
          </w:tcPr>
          <w:p w:rsidR="00A7042B" w:rsidRPr="00416675" w:rsidRDefault="00A7042B" w:rsidP="005D7F87">
            <w:pPr>
              <w:pStyle w:val="Bezmezer"/>
              <w:rPr>
                <w:rFonts w:cs="Tahoma"/>
                <w:sz w:val="18"/>
              </w:rPr>
            </w:pPr>
            <w:r w:rsidRPr="00416675">
              <w:rPr>
                <w:rFonts w:cs="Tahoma"/>
                <w:sz w:val="18"/>
              </w:rPr>
              <w:t>III.</w:t>
            </w:r>
          </w:p>
        </w:tc>
        <w:tc>
          <w:tcPr>
            <w:tcW w:w="1276" w:type="dxa"/>
            <w:shd w:val="clear" w:color="auto" w:fill="auto"/>
          </w:tcPr>
          <w:p w:rsidR="00A7042B" w:rsidRPr="00416675" w:rsidRDefault="00A7042B" w:rsidP="005D7F87">
            <w:pPr>
              <w:pStyle w:val="Bezmezer"/>
              <w:rPr>
                <w:rFonts w:cs="Tahoma"/>
                <w:sz w:val="18"/>
              </w:rPr>
            </w:pPr>
            <w:r w:rsidRPr="00416675">
              <w:rPr>
                <w:rFonts w:cs="Tahoma"/>
                <w:sz w:val="18"/>
              </w:rPr>
              <w:t>AŽD 71</w:t>
            </w:r>
          </w:p>
        </w:tc>
        <w:tc>
          <w:tcPr>
            <w:tcW w:w="1275" w:type="dxa"/>
            <w:shd w:val="clear" w:color="auto" w:fill="auto"/>
          </w:tcPr>
          <w:p w:rsidR="00A7042B" w:rsidRPr="00416675" w:rsidRDefault="00A7042B" w:rsidP="005D7F87">
            <w:pPr>
              <w:pStyle w:val="Bezmezer"/>
              <w:rPr>
                <w:rFonts w:cs="Tahoma"/>
                <w:sz w:val="18"/>
              </w:rPr>
            </w:pPr>
            <w:r w:rsidRPr="00416675">
              <w:rPr>
                <w:rFonts w:cs="Tahoma"/>
                <w:sz w:val="18"/>
              </w:rPr>
              <w:t>1984</w:t>
            </w:r>
          </w:p>
        </w:tc>
        <w:tc>
          <w:tcPr>
            <w:tcW w:w="4820" w:type="dxa"/>
            <w:shd w:val="clear" w:color="auto" w:fill="auto"/>
          </w:tcPr>
          <w:p w:rsidR="00A7042B" w:rsidRPr="00416675" w:rsidRDefault="00A7042B" w:rsidP="005D7F87">
            <w:pPr>
              <w:pStyle w:val="Bezmezer"/>
              <w:rPr>
                <w:rFonts w:cs="Tahoma"/>
                <w:sz w:val="18"/>
              </w:rPr>
            </w:pPr>
            <w:r w:rsidRPr="00416675">
              <w:rPr>
                <w:rFonts w:cs="Tahoma"/>
                <w:sz w:val="18"/>
              </w:rPr>
              <w:t>kontrolní prvky v žst Stéblová</w:t>
            </w:r>
          </w:p>
        </w:tc>
      </w:tr>
      <w:tr w:rsidR="00A7042B" w:rsidRPr="006012C1" w:rsidTr="00416675">
        <w:tc>
          <w:tcPr>
            <w:tcW w:w="1134" w:type="dxa"/>
            <w:shd w:val="clear" w:color="auto" w:fill="auto"/>
          </w:tcPr>
          <w:p w:rsidR="00A7042B" w:rsidRPr="00416675" w:rsidRDefault="00A7042B" w:rsidP="005D7F87">
            <w:pPr>
              <w:pStyle w:val="Bezmezer"/>
              <w:rPr>
                <w:rFonts w:cs="Tahoma"/>
                <w:sz w:val="18"/>
              </w:rPr>
            </w:pPr>
            <w:r w:rsidRPr="00416675">
              <w:rPr>
                <w:rFonts w:cs="Tahoma"/>
                <w:sz w:val="18"/>
              </w:rPr>
              <w:t>12,771</w:t>
            </w:r>
          </w:p>
        </w:tc>
        <w:tc>
          <w:tcPr>
            <w:tcW w:w="851" w:type="dxa"/>
            <w:shd w:val="clear" w:color="auto" w:fill="auto"/>
          </w:tcPr>
          <w:p w:rsidR="00A7042B" w:rsidRPr="00416675" w:rsidRDefault="00A7042B" w:rsidP="005D7F87">
            <w:pPr>
              <w:pStyle w:val="Bezmezer"/>
              <w:rPr>
                <w:rFonts w:cs="Tahoma"/>
                <w:sz w:val="18"/>
              </w:rPr>
            </w:pPr>
            <w:r w:rsidRPr="00416675">
              <w:rPr>
                <w:rFonts w:cs="Tahoma"/>
                <w:sz w:val="18"/>
              </w:rPr>
              <w:t>III.</w:t>
            </w:r>
          </w:p>
        </w:tc>
        <w:tc>
          <w:tcPr>
            <w:tcW w:w="1276" w:type="dxa"/>
            <w:shd w:val="clear" w:color="auto" w:fill="auto"/>
          </w:tcPr>
          <w:p w:rsidR="00A7042B" w:rsidRPr="00416675" w:rsidRDefault="00A7042B" w:rsidP="005D7F87">
            <w:pPr>
              <w:pStyle w:val="Bezmezer"/>
              <w:rPr>
                <w:rFonts w:cs="Tahoma"/>
                <w:sz w:val="18"/>
              </w:rPr>
            </w:pPr>
            <w:r w:rsidRPr="00416675">
              <w:rPr>
                <w:rFonts w:cs="Tahoma"/>
                <w:sz w:val="18"/>
              </w:rPr>
              <w:t>mechanické</w:t>
            </w:r>
          </w:p>
        </w:tc>
        <w:tc>
          <w:tcPr>
            <w:tcW w:w="1275" w:type="dxa"/>
            <w:shd w:val="clear" w:color="auto" w:fill="auto"/>
          </w:tcPr>
          <w:p w:rsidR="00A7042B" w:rsidRPr="00416675" w:rsidRDefault="00A7042B" w:rsidP="005D7F87">
            <w:pPr>
              <w:pStyle w:val="Bezmezer"/>
              <w:rPr>
                <w:rFonts w:cs="Tahoma"/>
                <w:sz w:val="18"/>
              </w:rPr>
            </w:pPr>
            <w:r w:rsidRPr="00416675">
              <w:rPr>
                <w:rFonts w:cs="Tahoma"/>
                <w:sz w:val="18"/>
              </w:rPr>
              <w:t>nezjištěno</w:t>
            </w:r>
          </w:p>
        </w:tc>
        <w:tc>
          <w:tcPr>
            <w:tcW w:w="4820" w:type="dxa"/>
            <w:shd w:val="clear" w:color="auto" w:fill="auto"/>
          </w:tcPr>
          <w:p w:rsidR="00A7042B" w:rsidRPr="00416675" w:rsidRDefault="00A7042B" w:rsidP="005D7F87">
            <w:pPr>
              <w:pStyle w:val="Bezmezer"/>
              <w:rPr>
                <w:rFonts w:cs="Tahoma"/>
                <w:sz w:val="18"/>
              </w:rPr>
            </w:pPr>
            <w:r w:rsidRPr="00416675">
              <w:rPr>
                <w:rFonts w:cs="Tahoma"/>
                <w:sz w:val="18"/>
              </w:rPr>
              <w:t>ručně obsluhované z hlásky Čeperka</w:t>
            </w:r>
          </w:p>
        </w:tc>
      </w:tr>
      <w:tr w:rsidR="00A7042B" w:rsidRPr="006012C1" w:rsidTr="00416675">
        <w:tc>
          <w:tcPr>
            <w:tcW w:w="1134" w:type="dxa"/>
            <w:shd w:val="clear" w:color="auto" w:fill="auto"/>
          </w:tcPr>
          <w:p w:rsidR="00A7042B" w:rsidRPr="00416675" w:rsidRDefault="00A7042B" w:rsidP="005D7F87">
            <w:pPr>
              <w:pStyle w:val="Bezmezer"/>
              <w:rPr>
                <w:rFonts w:cs="Tahoma"/>
                <w:sz w:val="18"/>
              </w:rPr>
            </w:pPr>
            <w:r w:rsidRPr="00416675">
              <w:rPr>
                <w:rFonts w:cs="Tahoma"/>
                <w:sz w:val="18"/>
              </w:rPr>
              <w:t>12,990</w:t>
            </w:r>
          </w:p>
        </w:tc>
        <w:tc>
          <w:tcPr>
            <w:tcW w:w="851" w:type="dxa"/>
            <w:shd w:val="clear" w:color="auto" w:fill="auto"/>
          </w:tcPr>
          <w:p w:rsidR="00A7042B" w:rsidRPr="00416675" w:rsidRDefault="00A7042B" w:rsidP="005D7F87">
            <w:pPr>
              <w:pStyle w:val="Bezmezer"/>
              <w:rPr>
                <w:rFonts w:cs="Tahoma"/>
                <w:sz w:val="18"/>
              </w:rPr>
            </w:pPr>
            <w:r w:rsidRPr="00416675">
              <w:rPr>
                <w:rFonts w:cs="Tahoma"/>
                <w:sz w:val="18"/>
              </w:rPr>
              <w:t>MK</w:t>
            </w:r>
          </w:p>
        </w:tc>
        <w:tc>
          <w:tcPr>
            <w:tcW w:w="1276" w:type="dxa"/>
            <w:shd w:val="clear" w:color="auto" w:fill="auto"/>
          </w:tcPr>
          <w:p w:rsidR="00A7042B" w:rsidRPr="00416675" w:rsidRDefault="00A7042B" w:rsidP="005D7F87">
            <w:pPr>
              <w:pStyle w:val="Bezmezer"/>
              <w:rPr>
                <w:rFonts w:cs="Tahoma"/>
                <w:sz w:val="18"/>
              </w:rPr>
            </w:pPr>
            <w:r w:rsidRPr="00416675">
              <w:rPr>
                <w:rFonts w:cs="Tahoma"/>
                <w:sz w:val="18"/>
              </w:rPr>
              <w:t>mechanické</w:t>
            </w:r>
          </w:p>
        </w:tc>
        <w:tc>
          <w:tcPr>
            <w:tcW w:w="1275" w:type="dxa"/>
            <w:shd w:val="clear" w:color="auto" w:fill="auto"/>
          </w:tcPr>
          <w:p w:rsidR="00A7042B" w:rsidRPr="00416675" w:rsidRDefault="00A7042B" w:rsidP="005D7F87">
            <w:pPr>
              <w:pStyle w:val="Bezmezer"/>
              <w:rPr>
                <w:rFonts w:cs="Tahoma"/>
                <w:sz w:val="18"/>
              </w:rPr>
            </w:pPr>
            <w:r w:rsidRPr="00416675">
              <w:rPr>
                <w:rFonts w:cs="Tahoma"/>
                <w:sz w:val="18"/>
              </w:rPr>
              <w:t>nezjištěno</w:t>
            </w:r>
          </w:p>
        </w:tc>
        <w:tc>
          <w:tcPr>
            <w:tcW w:w="4820" w:type="dxa"/>
            <w:shd w:val="clear" w:color="auto" w:fill="auto"/>
          </w:tcPr>
          <w:p w:rsidR="00A7042B" w:rsidRPr="00416675" w:rsidRDefault="00A7042B" w:rsidP="005D7F87">
            <w:pPr>
              <w:pStyle w:val="Bezmezer"/>
              <w:rPr>
                <w:rFonts w:cs="Tahoma"/>
                <w:sz w:val="18"/>
              </w:rPr>
            </w:pPr>
            <w:r w:rsidRPr="00416675">
              <w:rPr>
                <w:rFonts w:cs="Tahoma"/>
                <w:sz w:val="18"/>
              </w:rPr>
              <w:t>ručně obsluhované z hlásky Čeperka</w:t>
            </w:r>
          </w:p>
        </w:tc>
      </w:tr>
      <w:tr w:rsidR="00A7042B" w:rsidRPr="006012C1" w:rsidTr="00416675">
        <w:tc>
          <w:tcPr>
            <w:tcW w:w="1134" w:type="dxa"/>
            <w:shd w:val="clear" w:color="auto" w:fill="auto"/>
          </w:tcPr>
          <w:p w:rsidR="00A7042B" w:rsidRPr="00416675" w:rsidRDefault="00A7042B" w:rsidP="005D7F87">
            <w:pPr>
              <w:pStyle w:val="Bezmezer"/>
              <w:rPr>
                <w:rFonts w:cs="Tahoma"/>
                <w:sz w:val="18"/>
              </w:rPr>
            </w:pPr>
            <w:r w:rsidRPr="00416675">
              <w:rPr>
                <w:rFonts w:cs="Tahoma"/>
                <w:sz w:val="18"/>
              </w:rPr>
              <w:t>16,203</w:t>
            </w:r>
          </w:p>
        </w:tc>
        <w:tc>
          <w:tcPr>
            <w:tcW w:w="851" w:type="dxa"/>
            <w:shd w:val="clear" w:color="auto" w:fill="auto"/>
          </w:tcPr>
          <w:p w:rsidR="00A7042B" w:rsidRPr="00416675" w:rsidRDefault="00A7042B" w:rsidP="005D7F87">
            <w:pPr>
              <w:pStyle w:val="Bezmezer"/>
              <w:rPr>
                <w:rFonts w:cs="Tahoma"/>
                <w:sz w:val="18"/>
              </w:rPr>
            </w:pPr>
            <w:r w:rsidRPr="00416675">
              <w:rPr>
                <w:rFonts w:cs="Tahoma"/>
                <w:sz w:val="18"/>
              </w:rPr>
              <w:t>MK</w:t>
            </w:r>
          </w:p>
        </w:tc>
        <w:tc>
          <w:tcPr>
            <w:tcW w:w="1276" w:type="dxa"/>
            <w:shd w:val="clear" w:color="auto" w:fill="auto"/>
          </w:tcPr>
          <w:p w:rsidR="00A7042B" w:rsidRPr="00416675" w:rsidRDefault="00A7042B" w:rsidP="005D7F87">
            <w:pPr>
              <w:pStyle w:val="Bezmezer"/>
              <w:rPr>
                <w:rFonts w:cs="Tahoma"/>
                <w:sz w:val="18"/>
              </w:rPr>
            </w:pPr>
            <w:r w:rsidRPr="00416675">
              <w:rPr>
                <w:rFonts w:cs="Tahoma"/>
                <w:sz w:val="18"/>
              </w:rPr>
              <w:t>SSSR</w:t>
            </w:r>
          </w:p>
        </w:tc>
        <w:tc>
          <w:tcPr>
            <w:tcW w:w="1275" w:type="dxa"/>
            <w:shd w:val="clear" w:color="auto" w:fill="auto"/>
          </w:tcPr>
          <w:p w:rsidR="00A7042B" w:rsidRPr="00416675" w:rsidRDefault="00A7042B" w:rsidP="005D7F87">
            <w:pPr>
              <w:pStyle w:val="Bezmezer"/>
              <w:rPr>
                <w:rFonts w:cs="Tahoma"/>
                <w:sz w:val="18"/>
              </w:rPr>
            </w:pPr>
            <w:r w:rsidRPr="00416675">
              <w:rPr>
                <w:rFonts w:cs="Tahoma"/>
                <w:sz w:val="18"/>
              </w:rPr>
              <w:t>1964</w:t>
            </w:r>
          </w:p>
        </w:tc>
        <w:tc>
          <w:tcPr>
            <w:tcW w:w="4820" w:type="dxa"/>
            <w:shd w:val="clear" w:color="auto" w:fill="auto"/>
          </w:tcPr>
          <w:p w:rsidR="00A7042B" w:rsidRPr="00416675" w:rsidRDefault="00A7042B" w:rsidP="005D7F87">
            <w:pPr>
              <w:pStyle w:val="Bezmezer"/>
              <w:rPr>
                <w:rFonts w:cs="Tahoma"/>
                <w:sz w:val="18"/>
              </w:rPr>
            </w:pPr>
            <w:r w:rsidRPr="00416675">
              <w:rPr>
                <w:rFonts w:cs="Tahoma"/>
                <w:sz w:val="18"/>
              </w:rPr>
              <w:t>KO 275 Hz, kontrolní prvky v žst Opatovice nad Lab</w:t>
            </w:r>
          </w:p>
        </w:tc>
      </w:tr>
      <w:tr w:rsidR="00A7042B" w:rsidRPr="006012C1" w:rsidTr="00416675">
        <w:tc>
          <w:tcPr>
            <w:tcW w:w="1134" w:type="dxa"/>
            <w:shd w:val="clear" w:color="auto" w:fill="auto"/>
          </w:tcPr>
          <w:p w:rsidR="00A7042B" w:rsidRPr="00416675" w:rsidRDefault="00A7042B" w:rsidP="005D7F87">
            <w:pPr>
              <w:pStyle w:val="Bezmezer"/>
              <w:rPr>
                <w:rFonts w:cs="Tahoma"/>
                <w:sz w:val="18"/>
              </w:rPr>
            </w:pPr>
            <w:r w:rsidRPr="00416675">
              <w:rPr>
                <w:rFonts w:cs="Tahoma"/>
                <w:sz w:val="18"/>
              </w:rPr>
              <w:t>16,419</w:t>
            </w:r>
          </w:p>
        </w:tc>
        <w:tc>
          <w:tcPr>
            <w:tcW w:w="851" w:type="dxa"/>
            <w:shd w:val="clear" w:color="auto" w:fill="auto"/>
          </w:tcPr>
          <w:p w:rsidR="00A7042B" w:rsidRPr="00416675" w:rsidRDefault="00A7042B" w:rsidP="005D7F87">
            <w:pPr>
              <w:pStyle w:val="Bezmezer"/>
              <w:rPr>
                <w:rFonts w:cs="Tahoma"/>
                <w:sz w:val="18"/>
              </w:rPr>
            </w:pPr>
            <w:r w:rsidRPr="00416675">
              <w:rPr>
                <w:rFonts w:cs="Tahoma"/>
                <w:sz w:val="18"/>
              </w:rPr>
              <w:t>II.</w:t>
            </w:r>
          </w:p>
        </w:tc>
        <w:tc>
          <w:tcPr>
            <w:tcW w:w="1276" w:type="dxa"/>
            <w:shd w:val="clear" w:color="auto" w:fill="auto"/>
          </w:tcPr>
          <w:p w:rsidR="00A7042B" w:rsidRPr="00416675" w:rsidRDefault="00A7042B" w:rsidP="005D7F87">
            <w:pPr>
              <w:pStyle w:val="Bezmezer"/>
              <w:rPr>
                <w:rFonts w:cs="Tahoma"/>
                <w:sz w:val="18"/>
              </w:rPr>
            </w:pPr>
            <w:r w:rsidRPr="00416675">
              <w:rPr>
                <w:rFonts w:cs="Tahoma"/>
                <w:sz w:val="18"/>
              </w:rPr>
              <w:t>SSSR</w:t>
            </w:r>
          </w:p>
        </w:tc>
        <w:tc>
          <w:tcPr>
            <w:tcW w:w="1275" w:type="dxa"/>
            <w:shd w:val="clear" w:color="auto" w:fill="auto"/>
          </w:tcPr>
          <w:p w:rsidR="00A7042B" w:rsidRPr="00416675" w:rsidRDefault="00A7042B" w:rsidP="005D7F87">
            <w:pPr>
              <w:pStyle w:val="Bezmezer"/>
              <w:rPr>
                <w:rFonts w:cs="Tahoma"/>
                <w:sz w:val="18"/>
              </w:rPr>
            </w:pPr>
            <w:r w:rsidRPr="00416675">
              <w:rPr>
                <w:rFonts w:cs="Tahoma"/>
                <w:sz w:val="18"/>
              </w:rPr>
              <w:t>1964</w:t>
            </w:r>
          </w:p>
        </w:tc>
        <w:tc>
          <w:tcPr>
            <w:tcW w:w="4820" w:type="dxa"/>
            <w:shd w:val="clear" w:color="auto" w:fill="auto"/>
          </w:tcPr>
          <w:p w:rsidR="00A7042B" w:rsidRPr="00416675" w:rsidRDefault="00A7042B" w:rsidP="005D7F87">
            <w:pPr>
              <w:pStyle w:val="Bezmezer"/>
              <w:rPr>
                <w:rFonts w:cs="Tahoma"/>
                <w:sz w:val="18"/>
              </w:rPr>
            </w:pPr>
            <w:r w:rsidRPr="00416675">
              <w:rPr>
                <w:rFonts w:cs="Tahoma"/>
                <w:sz w:val="18"/>
              </w:rPr>
              <w:t>KO 275 Hz, kontrolní prvky v žst Opatovice nad Lab</w:t>
            </w:r>
          </w:p>
        </w:tc>
      </w:tr>
      <w:tr w:rsidR="00A7042B" w:rsidRPr="006012C1" w:rsidTr="00416675">
        <w:tc>
          <w:tcPr>
            <w:tcW w:w="1134" w:type="dxa"/>
            <w:shd w:val="clear" w:color="auto" w:fill="auto"/>
          </w:tcPr>
          <w:p w:rsidR="00A7042B" w:rsidRPr="00416675" w:rsidRDefault="00A7042B" w:rsidP="005D7F87">
            <w:pPr>
              <w:pStyle w:val="Bezmezer"/>
              <w:rPr>
                <w:rFonts w:cs="Tahoma"/>
                <w:sz w:val="18"/>
              </w:rPr>
            </w:pPr>
            <w:r w:rsidRPr="00416675">
              <w:rPr>
                <w:rFonts w:cs="Tahoma"/>
                <w:sz w:val="18"/>
              </w:rPr>
              <w:t>17,501</w:t>
            </w:r>
          </w:p>
        </w:tc>
        <w:tc>
          <w:tcPr>
            <w:tcW w:w="851" w:type="dxa"/>
            <w:shd w:val="clear" w:color="auto" w:fill="auto"/>
          </w:tcPr>
          <w:p w:rsidR="00A7042B" w:rsidRPr="00416675" w:rsidRDefault="00A7042B" w:rsidP="005D7F87">
            <w:pPr>
              <w:pStyle w:val="Bezmezer"/>
              <w:rPr>
                <w:rFonts w:cs="Tahoma"/>
                <w:sz w:val="18"/>
              </w:rPr>
            </w:pPr>
            <w:r w:rsidRPr="00416675">
              <w:rPr>
                <w:rFonts w:cs="Tahoma"/>
                <w:sz w:val="18"/>
              </w:rPr>
              <w:t>přechod</w:t>
            </w:r>
          </w:p>
        </w:tc>
        <w:tc>
          <w:tcPr>
            <w:tcW w:w="1276" w:type="dxa"/>
            <w:shd w:val="clear" w:color="auto" w:fill="auto"/>
          </w:tcPr>
          <w:p w:rsidR="00A7042B" w:rsidRPr="00416675" w:rsidRDefault="00A7042B" w:rsidP="005D7F87">
            <w:pPr>
              <w:pStyle w:val="Bezmezer"/>
              <w:rPr>
                <w:rFonts w:cs="Tahoma"/>
                <w:sz w:val="18"/>
              </w:rPr>
            </w:pPr>
            <w:r w:rsidRPr="00416675">
              <w:rPr>
                <w:rFonts w:cs="Tahoma"/>
                <w:sz w:val="18"/>
              </w:rPr>
              <w:t>SSSR</w:t>
            </w:r>
          </w:p>
        </w:tc>
        <w:tc>
          <w:tcPr>
            <w:tcW w:w="1275" w:type="dxa"/>
            <w:shd w:val="clear" w:color="auto" w:fill="auto"/>
          </w:tcPr>
          <w:p w:rsidR="00A7042B" w:rsidRPr="00416675" w:rsidRDefault="00A7042B" w:rsidP="005D7F87">
            <w:pPr>
              <w:pStyle w:val="Bezmezer"/>
              <w:rPr>
                <w:rFonts w:cs="Tahoma"/>
                <w:sz w:val="18"/>
              </w:rPr>
            </w:pPr>
            <w:r w:rsidRPr="00416675">
              <w:rPr>
                <w:rFonts w:cs="Tahoma"/>
                <w:sz w:val="18"/>
              </w:rPr>
              <w:t>1964</w:t>
            </w:r>
          </w:p>
        </w:tc>
        <w:tc>
          <w:tcPr>
            <w:tcW w:w="4820" w:type="dxa"/>
            <w:shd w:val="clear" w:color="auto" w:fill="auto"/>
          </w:tcPr>
          <w:p w:rsidR="00A7042B" w:rsidRPr="00416675" w:rsidRDefault="00A7042B" w:rsidP="005D7F87">
            <w:pPr>
              <w:pStyle w:val="Bezmezer"/>
              <w:rPr>
                <w:rFonts w:cs="Tahoma"/>
                <w:sz w:val="18"/>
              </w:rPr>
            </w:pPr>
            <w:r w:rsidRPr="00416675">
              <w:rPr>
                <w:rFonts w:cs="Tahoma"/>
                <w:sz w:val="18"/>
              </w:rPr>
              <w:t>KO 275 Hz, kontrolní prvky v žst Opatovice nad Lab</w:t>
            </w:r>
          </w:p>
        </w:tc>
      </w:tr>
      <w:tr w:rsidR="00A7042B" w:rsidRPr="006012C1" w:rsidTr="00416675">
        <w:tc>
          <w:tcPr>
            <w:tcW w:w="1134" w:type="dxa"/>
            <w:shd w:val="clear" w:color="auto" w:fill="auto"/>
          </w:tcPr>
          <w:p w:rsidR="00A7042B" w:rsidRPr="00416675" w:rsidRDefault="00A7042B" w:rsidP="005D7F87">
            <w:pPr>
              <w:pStyle w:val="Bezmezer"/>
              <w:rPr>
                <w:rFonts w:cs="Tahoma"/>
                <w:sz w:val="18"/>
              </w:rPr>
            </w:pPr>
            <w:r w:rsidRPr="00416675">
              <w:rPr>
                <w:rFonts w:cs="Tahoma"/>
                <w:sz w:val="18"/>
              </w:rPr>
              <w:t>17,855</w:t>
            </w:r>
          </w:p>
        </w:tc>
        <w:tc>
          <w:tcPr>
            <w:tcW w:w="851" w:type="dxa"/>
            <w:shd w:val="clear" w:color="auto" w:fill="auto"/>
          </w:tcPr>
          <w:p w:rsidR="00A7042B" w:rsidRPr="00416675" w:rsidRDefault="00A7042B" w:rsidP="005D7F87">
            <w:pPr>
              <w:pStyle w:val="Bezmezer"/>
              <w:rPr>
                <w:rFonts w:cs="Tahoma"/>
                <w:sz w:val="18"/>
              </w:rPr>
            </w:pPr>
            <w:r w:rsidRPr="00416675">
              <w:rPr>
                <w:rFonts w:cs="Tahoma"/>
                <w:sz w:val="18"/>
              </w:rPr>
              <w:t>II.</w:t>
            </w:r>
          </w:p>
        </w:tc>
        <w:tc>
          <w:tcPr>
            <w:tcW w:w="1276" w:type="dxa"/>
            <w:shd w:val="clear" w:color="auto" w:fill="auto"/>
          </w:tcPr>
          <w:p w:rsidR="00A7042B" w:rsidRPr="00416675" w:rsidRDefault="00A7042B" w:rsidP="005D7F87">
            <w:pPr>
              <w:pStyle w:val="Bezmezer"/>
              <w:rPr>
                <w:rFonts w:cs="Tahoma"/>
                <w:sz w:val="18"/>
              </w:rPr>
            </w:pPr>
            <w:r w:rsidRPr="00416675">
              <w:rPr>
                <w:rFonts w:cs="Tahoma"/>
                <w:sz w:val="18"/>
              </w:rPr>
              <w:t>elektronické</w:t>
            </w:r>
          </w:p>
        </w:tc>
        <w:tc>
          <w:tcPr>
            <w:tcW w:w="1275" w:type="dxa"/>
            <w:shd w:val="clear" w:color="auto" w:fill="auto"/>
          </w:tcPr>
          <w:p w:rsidR="00A7042B" w:rsidRPr="00416675" w:rsidRDefault="00A7042B" w:rsidP="005D7F87">
            <w:pPr>
              <w:pStyle w:val="Bezmezer"/>
              <w:rPr>
                <w:rFonts w:cs="Tahoma"/>
                <w:sz w:val="18"/>
              </w:rPr>
            </w:pPr>
            <w:r w:rsidRPr="00416675">
              <w:rPr>
                <w:rFonts w:cs="Tahoma"/>
                <w:sz w:val="18"/>
              </w:rPr>
              <w:t>2005</w:t>
            </w:r>
          </w:p>
        </w:tc>
        <w:tc>
          <w:tcPr>
            <w:tcW w:w="4820" w:type="dxa"/>
            <w:shd w:val="clear" w:color="auto" w:fill="auto"/>
          </w:tcPr>
          <w:p w:rsidR="00A7042B" w:rsidRPr="00416675" w:rsidRDefault="00A7042B" w:rsidP="005D7F87">
            <w:pPr>
              <w:pStyle w:val="Bezmezer"/>
              <w:rPr>
                <w:rFonts w:cs="Tahoma"/>
                <w:sz w:val="18"/>
              </w:rPr>
            </w:pPr>
            <w:r w:rsidRPr="00416675">
              <w:rPr>
                <w:rFonts w:cs="Tahoma"/>
                <w:sz w:val="18"/>
              </w:rPr>
              <w:t>KO 275 Hz, kontrolní prvky v žst Opatovice nad Lab</w:t>
            </w:r>
          </w:p>
        </w:tc>
      </w:tr>
      <w:tr w:rsidR="00A7042B" w:rsidRPr="006012C1" w:rsidTr="00416675">
        <w:tc>
          <w:tcPr>
            <w:tcW w:w="1134" w:type="dxa"/>
            <w:shd w:val="clear" w:color="auto" w:fill="auto"/>
          </w:tcPr>
          <w:p w:rsidR="00A7042B" w:rsidRPr="00416675" w:rsidRDefault="00A7042B" w:rsidP="005D7F87">
            <w:pPr>
              <w:pStyle w:val="Bezmezer"/>
              <w:rPr>
                <w:rFonts w:cs="Tahoma"/>
                <w:sz w:val="18"/>
              </w:rPr>
            </w:pPr>
            <w:r w:rsidRPr="00416675">
              <w:rPr>
                <w:rFonts w:cs="Tahoma"/>
                <w:sz w:val="18"/>
              </w:rPr>
              <w:t>18,743</w:t>
            </w:r>
          </w:p>
        </w:tc>
        <w:tc>
          <w:tcPr>
            <w:tcW w:w="851" w:type="dxa"/>
            <w:shd w:val="clear" w:color="auto" w:fill="auto"/>
          </w:tcPr>
          <w:p w:rsidR="00A7042B" w:rsidRPr="00416675" w:rsidRDefault="00A7042B" w:rsidP="005D7F87">
            <w:pPr>
              <w:pStyle w:val="Bezmezer"/>
              <w:rPr>
                <w:rFonts w:cs="Tahoma"/>
                <w:sz w:val="18"/>
              </w:rPr>
            </w:pPr>
            <w:r w:rsidRPr="00416675">
              <w:rPr>
                <w:rFonts w:cs="Tahoma"/>
                <w:sz w:val="18"/>
              </w:rPr>
              <w:t>MK</w:t>
            </w:r>
          </w:p>
        </w:tc>
        <w:tc>
          <w:tcPr>
            <w:tcW w:w="1276" w:type="dxa"/>
            <w:shd w:val="clear" w:color="auto" w:fill="auto"/>
          </w:tcPr>
          <w:p w:rsidR="00A7042B" w:rsidRPr="00416675" w:rsidRDefault="00A7042B" w:rsidP="005D7F87">
            <w:pPr>
              <w:pStyle w:val="Bezmezer"/>
              <w:rPr>
                <w:rFonts w:cs="Tahoma"/>
                <w:sz w:val="18"/>
              </w:rPr>
            </w:pPr>
            <w:r w:rsidRPr="00416675">
              <w:rPr>
                <w:rFonts w:cs="Tahoma"/>
                <w:sz w:val="18"/>
              </w:rPr>
              <w:t>AŽD 71</w:t>
            </w:r>
          </w:p>
        </w:tc>
        <w:tc>
          <w:tcPr>
            <w:tcW w:w="1275" w:type="dxa"/>
            <w:shd w:val="clear" w:color="auto" w:fill="auto"/>
          </w:tcPr>
          <w:p w:rsidR="00A7042B" w:rsidRPr="00416675" w:rsidRDefault="00A7042B" w:rsidP="005D7F87">
            <w:pPr>
              <w:pStyle w:val="Bezmezer"/>
              <w:rPr>
                <w:rFonts w:cs="Tahoma"/>
                <w:sz w:val="18"/>
              </w:rPr>
            </w:pPr>
            <w:r w:rsidRPr="00416675">
              <w:rPr>
                <w:rFonts w:cs="Tahoma"/>
                <w:sz w:val="18"/>
              </w:rPr>
              <w:t>1976</w:t>
            </w:r>
          </w:p>
        </w:tc>
        <w:tc>
          <w:tcPr>
            <w:tcW w:w="4820" w:type="dxa"/>
            <w:shd w:val="clear" w:color="auto" w:fill="auto"/>
          </w:tcPr>
          <w:p w:rsidR="00A7042B" w:rsidRPr="00416675" w:rsidRDefault="00A7042B" w:rsidP="005D7F87">
            <w:pPr>
              <w:pStyle w:val="Bezmezer"/>
              <w:rPr>
                <w:rFonts w:cs="Tahoma"/>
                <w:sz w:val="18"/>
              </w:rPr>
            </w:pPr>
            <w:r w:rsidRPr="00416675">
              <w:rPr>
                <w:rFonts w:cs="Tahoma"/>
                <w:sz w:val="18"/>
              </w:rPr>
              <w:t>KO 275 Hz, kontrolní prvky v žst Opatovice nad Lab</w:t>
            </w:r>
          </w:p>
        </w:tc>
      </w:tr>
      <w:tr w:rsidR="00A7042B" w:rsidRPr="006012C1" w:rsidTr="00416675">
        <w:tc>
          <w:tcPr>
            <w:tcW w:w="1134" w:type="dxa"/>
            <w:shd w:val="clear" w:color="auto" w:fill="auto"/>
          </w:tcPr>
          <w:p w:rsidR="00A7042B" w:rsidRPr="00416675" w:rsidRDefault="00A7042B" w:rsidP="005D7F87">
            <w:pPr>
              <w:pStyle w:val="Bezmezer"/>
              <w:rPr>
                <w:rFonts w:cs="Tahoma"/>
                <w:sz w:val="18"/>
              </w:rPr>
            </w:pPr>
            <w:r w:rsidRPr="00416675">
              <w:rPr>
                <w:rFonts w:cs="Tahoma"/>
                <w:sz w:val="18"/>
              </w:rPr>
              <w:t>19,409</w:t>
            </w:r>
          </w:p>
        </w:tc>
        <w:tc>
          <w:tcPr>
            <w:tcW w:w="851" w:type="dxa"/>
            <w:shd w:val="clear" w:color="auto" w:fill="auto"/>
          </w:tcPr>
          <w:p w:rsidR="00A7042B" w:rsidRPr="00416675" w:rsidRDefault="00A7042B" w:rsidP="005D7F87">
            <w:pPr>
              <w:pStyle w:val="Bezmezer"/>
              <w:rPr>
                <w:rFonts w:cs="Tahoma"/>
                <w:sz w:val="18"/>
              </w:rPr>
            </w:pPr>
            <w:r w:rsidRPr="00416675">
              <w:rPr>
                <w:rFonts w:cs="Tahoma"/>
                <w:sz w:val="18"/>
              </w:rPr>
              <w:t>MK</w:t>
            </w:r>
          </w:p>
        </w:tc>
        <w:tc>
          <w:tcPr>
            <w:tcW w:w="1276" w:type="dxa"/>
            <w:shd w:val="clear" w:color="auto" w:fill="auto"/>
          </w:tcPr>
          <w:p w:rsidR="00A7042B" w:rsidRPr="00416675" w:rsidRDefault="00A7042B" w:rsidP="005D7F87">
            <w:pPr>
              <w:pStyle w:val="Bezmezer"/>
              <w:rPr>
                <w:rFonts w:cs="Tahoma"/>
                <w:sz w:val="18"/>
              </w:rPr>
            </w:pPr>
            <w:r w:rsidRPr="00416675">
              <w:rPr>
                <w:rFonts w:cs="Tahoma"/>
                <w:sz w:val="18"/>
              </w:rPr>
              <w:t>mechanické</w:t>
            </w:r>
          </w:p>
        </w:tc>
        <w:tc>
          <w:tcPr>
            <w:tcW w:w="1275" w:type="dxa"/>
            <w:shd w:val="clear" w:color="auto" w:fill="auto"/>
          </w:tcPr>
          <w:p w:rsidR="00A7042B" w:rsidRPr="00416675" w:rsidRDefault="00A7042B" w:rsidP="005D7F87">
            <w:pPr>
              <w:pStyle w:val="Bezmezer"/>
              <w:rPr>
                <w:rFonts w:cs="Tahoma"/>
                <w:sz w:val="18"/>
              </w:rPr>
            </w:pPr>
            <w:r w:rsidRPr="00416675">
              <w:rPr>
                <w:rFonts w:cs="Tahoma"/>
                <w:sz w:val="18"/>
              </w:rPr>
              <w:t>nezjištěno</w:t>
            </w:r>
          </w:p>
        </w:tc>
        <w:tc>
          <w:tcPr>
            <w:tcW w:w="4820" w:type="dxa"/>
            <w:shd w:val="clear" w:color="auto" w:fill="auto"/>
          </w:tcPr>
          <w:p w:rsidR="00A7042B" w:rsidRPr="00416675" w:rsidRDefault="00A7042B" w:rsidP="005D7F87">
            <w:pPr>
              <w:pStyle w:val="Bezmezer"/>
              <w:rPr>
                <w:rFonts w:cs="Tahoma"/>
                <w:sz w:val="18"/>
              </w:rPr>
            </w:pPr>
            <w:r w:rsidRPr="00416675">
              <w:rPr>
                <w:rFonts w:cs="Tahoma"/>
                <w:sz w:val="18"/>
              </w:rPr>
              <w:t>přejezd trvale uzavřen, otevírán pouze na požádání</w:t>
            </w:r>
          </w:p>
        </w:tc>
      </w:tr>
      <w:tr w:rsidR="00A7042B" w:rsidRPr="006012C1" w:rsidTr="00416675">
        <w:tc>
          <w:tcPr>
            <w:tcW w:w="1134" w:type="dxa"/>
            <w:shd w:val="clear" w:color="auto" w:fill="auto"/>
          </w:tcPr>
          <w:p w:rsidR="00A7042B" w:rsidRPr="00416675" w:rsidRDefault="00A7042B" w:rsidP="005D7F87">
            <w:pPr>
              <w:pStyle w:val="Bezmezer"/>
              <w:rPr>
                <w:rFonts w:cs="Tahoma"/>
                <w:sz w:val="18"/>
              </w:rPr>
            </w:pPr>
            <w:r w:rsidRPr="00416675">
              <w:rPr>
                <w:rFonts w:cs="Tahoma"/>
                <w:sz w:val="18"/>
              </w:rPr>
              <w:t>20,985</w:t>
            </w:r>
          </w:p>
        </w:tc>
        <w:tc>
          <w:tcPr>
            <w:tcW w:w="851" w:type="dxa"/>
            <w:shd w:val="clear" w:color="auto" w:fill="auto"/>
          </w:tcPr>
          <w:p w:rsidR="00A7042B" w:rsidRPr="00416675" w:rsidRDefault="00A7042B" w:rsidP="005D7F87">
            <w:pPr>
              <w:pStyle w:val="Bezmezer"/>
              <w:rPr>
                <w:rFonts w:cs="Tahoma"/>
                <w:sz w:val="18"/>
              </w:rPr>
            </w:pPr>
            <w:r w:rsidRPr="00416675">
              <w:rPr>
                <w:rFonts w:cs="Tahoma"/>
                <w:sz w:val="18"/>
              </w:rPr>
              <w:t>MK</w:t>
            </w:r>
          </w:p>
        </w:tc>
        <w:tc>
          <w:tcPr>
            <w:tcW w:w="1276" w:type="dxa"/>
            <w:shd w:val="clear" w:color="auto" w:fill="auto"/>
          </w:tcPr>
          <w:p w:rsidR="00A7042B" w:rsidRPr="00416675" w:rsidRDefault="00A7042B" w:rsidP="005D7F87">
            <w:pPr>
              <w:pStyle w:val="Bezmezer"/>
              <w:rPr>
                <w:rFonts w:cs="Tahoma"/>
                <w:sz w:val="18"/>
              </w:rPr>
            </w:pPr>
            <w:r w:rsidRPr="00416675">
              <w:rPr>
                <w:rFonts w:cs="Tahoma"/>
                <w:sz w:val="18"/>
              </w:rPr>
              <w:t>AŽD 71</w:t>
            </w:r>
          </w:p>
        </w:tc>
        <w:tc>
          <w:tcPr>
            <w:tcW w:w="1275" w:type="dxa"/>
            <w:shd w:val="clear" w:color="auto" w:fill="auto"/>
          </w:tcPr>
          <w:p w:rsidR="00A7042B" w:rsidRPr="00416675" w:rsidRDefault="00A7042B" w:rsidP="005D7F87">
            <w:pPr>
              <w:pStyle w:val="Bezmezer"/>
              <w:rPr>
                <w:rFonts w:cs="Tahoma"/>
                <w:sz w:val="18"/>
              </w:rPr>
            </w:pPr>
            <w:r w:rsidRPr="00416675">
              <w:rPr>
                <w:rFonts w:cs="Tahoma"/>
                <w:sz w:val="18"/>
              </w:rPr>
              <w:t>1986</w:t>
            </w:r>
          </w:p>
        </w:tc>
        <w:tc>
          <w:tcPr>
            <w:tcW w:w="4820" w:type="dxa"/>
            <w:shd w:val="clear" w:color="auto" w:fill="auto"/>
          </w:tcPr>
          <w:p w:rsidR="00A7042B" w:rsidRPr="00416675" w:rsidRDefault="00A7042B" w:rsidP="005D7F87">
            <w:pPr>
              <w:pStyle w:val="Bezmezer"/>
              <w:rPr>
                <w:rFonts w:cs="Tahoma"/>
                <w:sz w:val="18"/>
              </w:rPr>
            </w:pPr>
            <w:r w:rsidRPr="00416675">
              <w:rPr>
                <w:rFonts w:cs="Tahoma"/>
                <w:sz w:val="18"/>
              </w:rPr>
              <w:t>KO 75 Hz, kontrolní prvky v žst Hradec Králové hl. nádr.</w:t>
            </w:r>
          </w:p>
        </w:tc>
      </w:tr>
      <w:tr w:rsidR="00A7042B" w:rsidRPr="006012C1" w:rsidTr="00416675">
        <w:tc>
          <w:tcPr>
            <w:tcW w:w="1134" w:type="dxa"/>
            <w:shd w:val="clear" w:color="auto" w:fill="auto"/>
          </w:tcPr>
          <w:p w:rsidR="00A7042B" w:rsidRPr="00416675" w:rsidRDefault="00A7042B" w:rsidP="005D7F87">
            <w:pPr>
              <w:pStyle w:val="Bezmezer"/>
              <w:rPr>
                <w:rFonts w:cs="Tahoma"/>
                <w:sz w:val="18"/>
              </w:rPr>
            </w:pPr>
            <w:r w:rsidRPr="00416675">
              <w:rPr>
                <w:rFonts w:cs="Tahoma"/>
                <w:sz w:val="18"/>
              </w:rPr>
              <w:t>21,620</w:t>
            </w:r>
          </w:p>
        </w:tc>
        <w:tc>
          <w:tcPr>
            <w:tcW w:w="851" w:type="dxa"/>
            <w:shd w:val="clear" w:color="auto" w:fill="auto"/>
          </w:tcPr>
          <w:p w:rsidR="00A7042B" w:rsidRPr="00416675" w:rsidRDefault="00A7042B" w:rsidP="005D7F87">
            <w:pPr>
              <w:pStyle w:val="Bezmezer"/>
              <w:rPr>
                <w:rFonts w:cs="Tahoma"/>
                <w:sz w:val="18"/>
              </w:rPr>
            </w:pPr>
            <w:r w:rsidRPr="00416675">
              <w:rPr>
                <w:rFonts w:cs="Tahoma"/>
                <w:sz w:val="18"/>
              </w:rPr>
              <w:t>MK</w:t>
            </w:r>
          </w:p>
        </w:tc>
        <w:tc>
          <w:tcPr>
            <w:tcW w:w="1276" w:type="dxa"/>
            <w:shd w:val="clear" w:color="auto" w:fill="auto"/>
          </w:tcPr>
          <w:p w:rsidR="00A7042B" w:rsidRPr="00416675" w:rsidRDefault="00A7042B" w:rsidP="005D7F87">
            <w:pPr>
              <w:pStyle w:val="Bezmezer"/>
              <w:rPr>
                <w:rFonts w:cs="Tahoma"/>
                <w:sz w:val="18"/>
              </w:rPr>
            </w:pPr>
            <w:r w:rsidRPr="00416675">
              <w:rPr>
                <w:rFonts w:cs="Tahoma"/>
                <w:sz w:val="18"/>
              </w:rPr>
              <w:t>AŽD 71</w:t>
            </w:r>
          </w:p>
        </w:tc>
        <w:tc>
          <w:tcPr>
            <w:tcW w:w="1275" w:type="dxa"/>
            <w:shd w:val="clear" w:color="auto" w:fill="auto"/>
          </w:tcPr>
          <w:p w:rsidR="00A7042B" w:rsidRPr="00416675" w:rsidRDefault="00A7042B" w:rsidP="005D7F87">
            <w:pPr>
              <w:pStyle w:val="Bezmezer"/>
              <w:rPr>
                <w:rFonts w:cs="Tahoma"/>
                <w:sz w:val="18"/>
              </w:rPr>
            </w:pPr>
            <w:r w:rsidRPr="00416675">
              <w:rPr>
                <w:rFonts w:cs="Tahoma"/>
                <w:sz w:val="18"/>
              </w:rPr>
              <w:t>1986</w:t>
            </w:r>
          </w:p>
        </w:tc>
        <w:tc>
          <w:tcPr>
            <w:tcW w:w="4820" w:type="dxa"/>
            <w:shd w:val="clear" w:color="auto" w:fill="auto"/>
          </w:tcPr>
          <w:p w:rsidR="00A7042B" w:rsidRPr="00416675" w:rsidRDefault="00A7042B" w:rsidP="005D7F87">
            <w:pPr>
              <w:pStyle w:val="Bezmezer"/>
              <w:rPr>
                <w:rFonts w:cs="Tahoma"/>
                <w:sz w:val="18"/>
              </w:rPr>
            </w:pPr>
            <w:r w:rsidRPr="00416675">
              <w:rPr>
                <w:rFonts w:cs="Tahoma"/>
                <w:sz w:val="18"/>
              </w:rPr>
              <w:t>KO 75 Hz, kontrolní prvky v žst Hradec Králové hl. nádr.</w:t>
            </w:r>
          </w:p>
        </w:tc>
      </w:tr>
      <w:tr w:rsidR="00416675" w:rsidRPr="006012C1" w:rsidTr="00416675">
        <w:tc>
          <w:tcPr>
            <w:tcW w:w="9356" w:type="dxa"/>
            <w:gridSpan w:val="5"/>
            <w:tcBorders>
              <w:left w:val="nil"/>
              <w:bottom w:val="nil"/>
              <w:right w:val="nil"/>
            </w:tcBorders>
            <w:shd w:val="clear" w:color="auto" w:fill="auto"/>
          </w:tcPr>
          <w:p w:rsidR="00416675" w:rsidRPr="00416675" w:rsidRDefault="00416675" w:rsidP="00416675">
            <w:pPr>
              <w:spacing w:before="0" w:after="0"/>
              <w:rPr>
                <w:sz w:val="18"/>
              </w:rPr>
            </w:pPr>
            <w:r w:rsidRPr="00416675">
              <w:rPr>
                <w:sz w:val="18"/>
                <w:vertAlign w:val="superscript"/>
              </w:rPr>
              <w:t xml:space="preserve">*) </w:t>
            </w:r>
            <w:r w:rsidRPr="00416675">
              <w:rPr>
                <w:sz w:val="18"/>
              </w:rPr>
              <w:t>MK = místní komunikace</w:t>
            </w:r>
            <w:r w:rsidRPr="00416675">
              <w:rPr>
                <w:sz w:val="18"/>
              </w:rPr>
              <w:tab/>
            </w:r>
            <w:r w:rsidRPr="00416675">
              <w:rPr>
                <w:sz w:val="18"/>
                <w:vertAlign w:val="superscript"/>
              </w:rPr>
              <w:t>**)</w:t>
            </w:r>
            <w:r>
              <w:rPr>
                <w:sz w:val="18"/>
              </w:rPr>
              <w:t xml:space="preserve"> KO = kolejové obvody</w:t>
            </w:r>
          </w:p>
        </w:tc>
      </w:tr>
    </w:tbl>
    <w:p w:rsidR="00495C99" w:rsidRPr="006012C1" w:rsidRDefault="00495C99" w:rsidP="00A7042B">
      <w:r w:rsidRPr="006012C1">
        <w:t>Ostatní přejezdy neuvedené v</w:t>
      </w:r>
      <w:r w:rsidR="00464B69" w:rsidRPr="006012C1">
        <w:t> </w:t>
      </w:r>
      <w:r w:rsidRPr="006012C1">
        <w:t>tabulce</w:t>
      </w:r>
      <w:r w:rsidR="00464B69" w:rsidRPr="006012C1">
        <w:t xml:space="preserve"> v počtu devíti křížení</w:t>
      </w:r>
      <w:r w:rsidRPr="006012C1">
        <w:t xml:space="preserve"> jsou chráněny pouze výstražnými kříži.</w:t>
      </w:r>
    </w:p>
    <w:p w:rsidR="00A7042B" w:rsidRPr="006012C1" w:rsidRDefault="00A7042B" w:rsidP="0059693F">
      <w:pPr>
        <w:pStyle w:val="Nadpis3"/>
        <w:ind w:hanging="8234"/>
      </w:pPr>
      <w:r w:rsidRPr="006012C1">
        <w:t>Sdělovací zařízení</w:t>
      </w:r>
    </w:p>
    <w:p w:rsidR="00A7042B" w:rsidRPr="006012C1" w:rsidRDefault="00A7042B" w:rsidP="00A7042B">
      <w:pPr>
        <w:tabs>
          <w:tab w:val="left" w:pos="540"/>
          <w:tab w:val="left" w:pos="1080"/>
          <w:tab w:val="left" w:pos="1620"/>
          <w:tab w:val="left" w:pos="2880"/>
          <w:tab w:val="left" w:pos="7560"/>
        </w:tabs>
      </w:pPr>
      <w:r w:rsidRPr="006012C1">
        <w:t xml:space="preserve">Podél trati Pardubice – Hradec Králové je položen dálkový optický vysokokapacitní kabel, který je ve správě společnosti ČD-Telematika a je součástí páteřní telekomunikační sítě, která pokrývá území ČR. SŽDC si pro svoje potřeby pronajímá potřebnou přenosovou kapacitu. Přístupové body ke kabelu jsou v Pardubicích hlavním nádraží, Pardubicích-Rosicích nad Lab., Stéblové, Opatovicích nad Lab. a Hradci Králové hlavním nádr. Tato základní přenosová kapacita bude využita i pro budoucí potřeby. Kromě toho je trať vybavena dalšími spoji, které jsou ve správě SŽDC – místní telefonní okruhy, informační zařízení pro cestující, rozhlas, požární signalizace a jiné. Trať je radiofikována národním systémem TRS, který je nerozšířenější na síti SŽDC. Tento systém pracuje v pásmu 460 Hz, je vyvinutý pro potřeby železničního provozu a umožňuje mimo jiné dispečerovi zastavit na dálku kterýkoliv vlak, případně všechny vlaky na trati. Jedná se o výrazně levnější aplikaci než systém GSM-R, který je instalován na tratích zařazených do evropských koridorů. </w:t>
      </w:r>
    </w:p>
    <w:p w:rsidR="00E01AD3" w:rsidRDefault="00E01AD3">
      <w:pPr>
        <w:suppressAutoHyphens w:val="0"/>
        <w:spacing w:before="0" w:after="0" w:line="240" w:lineRule="auto"/>
        <w:jc w:val="left"/>
        <w:rPr>
          <w:b/>
          <w:bCs/>
          <w:sz w:val="24"/>
        </w:rPr>
      </w:pPr>
      <w:r>
        <w:br w:type="page"/>
      </w:r>
    </w:p>
    <w:p w:rsidR="00A7042B" w:rsidRPr="006012C1" w:rsidRDefault="00A7042B" w:rsidP="0059693F">
      <w:pPr>
        <w:pStyle w:val="Nadpis3"/>
        <w:ind w:hanging="8234"/>
      </w:pPr>
      <w:r w:rsidRPr="006012C1">
        <w:t>Zařízení pro elektrickou trakci</w:t>
      </w:r>
    </w:p>
    <w:p w:rsidR="00A7042B" w:rsidRPr="006012C1" w:rsidRDefault="00A7042B" w:rsidP="00A7042B">
      <w:pPr>
        <w:tabs>
          <w:tab w:val="left" w:pos="540"/>
          <w:tab w:val="left" w:pos="1080"/>
          <w:tab w:val="left" w:pos="1620"/>
          <w:tab w:val="left" w:pos="2880"/>
          <w:tab w:val="left" w:pos="7560"/>
        </w:tabs>
      </w:pPr>
      <w:r w:rsidRPr="006012C1">
        <w:rPr>
          <w:u w:val="single"/>
        </w:rPr>
        <w:t>Napájení</w:t>
      </w:r>
      <w:r w:rsidRPr="006012C1">
        <w:t xml:space="preserve">: Trať Hradec Králové – Pardubice je napájena za normálních okolností oboustranně jednak měnírnou Hradec Králové (která ovšem leží až cca </w:t>
      </w:r>
      <w:smartTag w:uri="urn:schemas-microsoft-com:office:smarttags" w:element="metricconverter">
        <w:smartTagPr>
          <w:attr w:name="ProductID" w:val="1,77 km"/>
        </w:smartTagPr>
        <w:r w:rsidRPr="006012C1">
          <w:t>1,77 km</w:t>
        </w:r>
      </w:smartTag>
      <w:r w:rsidRPr="006012C1">
        <w:t xml:space="preserve"> za žel. st. Hradec Králové hl. n. u trati do Týniště nad Orlicí), jednak z trakčního vedení meziměnírenského úseku MR Opočínek – MR Moravany. V Hradci Králové je pro pardubickou trať vyveden z měnírny samostatný napáječ (částečně s využitím zvláštní sekce trakčního vedení ve stanici), v Pardubicích je za zhlavím stanice 5-ti rychlovypínačová spínací stanice, v níž 1 rychlovypínač slouží právě pro trať do Hradce Králové. Vzhledem k její excentrické poloze v meziměnírenském úseku (vzdálenost MR Opočínek cca </w:t>
      </w:r>
      <w:smartTag w:uri="urn:schemas-microsoft-com:office:smarttags" w:element="metricconverter">
        <w:smartTagPr>
          <w:attr w:name="ProductID" w:val="5,6 km"/>
        </w:smartTagPr>
        <w:r w:rsidRPr="006012C1">
          <w:t>5,6 km</w:t>
        </w:r>
      </w:smartTag>
      <w:r w:rsidRPr="006012C1">
        <w:t xml:space="preserve"> a MR Moravany cca </w:t>
      </w:r>
      <w:smartTag w:uri="urn:schemas-microsoft-com:office:smarttags" w:element="metricconverter">
        <w:smartTagPr>
          <w:attr w:name="ProductID" w:val="15,8 km"/>
        </w:smartTagPr>
        <w:r w:rsidRPr="006012C1">
          <w:t>15,8 km</w:t>
        </w:r>
      </w:smartTag>
      <w:r w:rsidRPr="006012C1">
        <w:t>) je však podíl měnírny Moravany na napájení sledované trati velmi malý. Přesto při jejím výpadku (a tím spíše samozřejmě při výpadku měnírny Opočínek a při některých výlukách trakčního vedení v meziměnírenském úseku) není napájení přes spínací stanici Pardubice možné a je nutné jednostranné napájení z měnírny Hradec Králové až po spínací stanici Pardubice. Měnírna Hradec Králové napájí dále trati (vesměs jednokolejné) ve směrech Velký Osek, Týniště nad Orlicí a Jaroměř a při jejím výpadku (a při některých výpadcích či výlukách trakčního vedení) je situace v uzlu mimořádně nepříznivá. V těchto případech je zase nezbytné jednostranné napájení až po Hradec Králové (mimo) od spínací stanice Pardubice. V žel. st. Opatovice nad Labem je další spínací stanice (se čtyřmi rychlovypínači), která slouží jednak pro vypínání vzdálených zkratů při normálním i nouzovém napájení, jednak pro oddělení trakčního vedení vlečky do elektrárny Opatovice a také Plačické spojky.</w:t>
      </w:r>
    </w:p>
    <w:p w:rsidR="00A7042B" w:rsidRPr="006012C1" w:rsidRDefault="00A7042B" w:rsidP="00A7042B">
      <w:pPr>
        <w:tabs>
          <w:tab w:val="left" w:pos="540"/>
          <w:tab w:val="left" w:pos="1080"/>
          <w:tab w:val="left" w:pos="1620"/>
          <w:tab w:val="left" w:pos="2880"/>
          <w:tab w:val="left" w:pos="7560"/>
        </w:tabs>
      </w:pPr>
      <w:r w:rsidRPr="006012C1">
        <w:t>Ideálním řešením by bylo vybudování nové měnírny výlučně pro napájení této trati, čímž by se odstranil hlavní současný nedostatek – že trať je na obou koncích zcela závislá na napájení z měníren, které leží poněkud nebo úplně jinde a napájejí především jiné trati. To je však nákladné řešení a současný stav umožňuje i přes své nevýhody pokrýt výhledový odběr el. energie na trati Pardubice – Hradec Králové.</w:t>
      </w:r>
    </w:p>
    <w:p w:rsidR="00A7042B" w:rsidRPr="006012C1" w:rsidRDefault="00A7042B" w:rsidP="00A7042B">
      <w:r w:rsidRPr="006012C1">
        <w:rPr>
          <w:u w:val="single"/>
        </w:rPr>
        <w:t>Trakční vedení</w:t>
      </w:r>
      <w:r w:rsidRPr="006012C1">
        <w:t>: Současné trakční vedení + stožáry pochází ze 60. let minulého století, kdy trať byla elektrifikována, celková oprava byla provedena v roce 1998. Trakční vedení je sotva průměrně dimenzované (zesilovací lano je jen v části trati). V novém stavu dojde k výměně trakčních stožárů v případech, kdy jejich základy jsou v kolizi s novým stavem nebo kdy jejich stav je neuspokojivý. Bude nutná výměna a regulace troleje, aby vyhovovala vyšším rychlostem. Doplní se i zesilovací vedení tak, aby úhrnný vodivý průřez trakčního vedení odpovídal závěrům energetických výpočtů. Upraví se ukolejnění trakčního vedení a dalších vodivých konstrukcí.</w:t>
      </w:r>
    </w:p>
    <w:p w:rsidR="00637E16" w:rsidRDefault="00637E16">
      <w:pPr>
        <w:suppressAutoHyphens w:val="0"/>
        <w:spacing w:before="0" w:after="0" w:line="240" w:lineRule="auto"/>
        <w:jc w:val="left"/>
        <w:rPr>
          <w:b/>
          <w:bCs/>
          <w:sz w:val="24"/>
        </w:rPr>
      </w:pPr>
      <w:r>
        <w:br w:type="page"/>
      </w:r>
    </w:p>
    <w:p w:rsidR="00827F14" w:rsidRPr="006012C1" w:rsidRDefault="00827F14" w:rsidP="0059693F">
      <w:pPr>
        <w:pStyle w:val="Nadpis3"/>
        <w:ind w:hanging="8234"/>
      </w:pPr>
      <w:r w:rsidRPr="006012C1">
        <w:t>Důvody pro rekonstrukci infrastruktury</w:t>
      </w:r>
    </w:p>
    <w:p w:rsidR="00827F14" w:rsidRPr="006012C1" w:rsidRDefault="00827F14" w:rsidP="00827F14">
      <w:r w:rsidRPr="006012C1">
        <w:t>Kromě významných provozních důvodů, vyplývajících z uspořádání železniční infrastruktury na relaci Pardubice – Hradec Králové jako celku a uvedených v Úvodu, slou</w:t>
      </w:r>
      <w:r w:rsidR="002644DF" w:rsidRPr="006012C1">
        <w:t>ží pro nutnost rekonstrukce nás</w:t>
      </w:r>
      <w:r w:rsidRPr="006012C1">
        <w:t>l</w:t>
      </w:r>
      <w:r w:rsidR="002644DF" w:rsidRPr="006012C1">
        <w:t>e</w:t>
      </w:r>
      <w:r w:rsidRPr="006012C1">
        <w:t>dujícíc podpůrné argumenty:</w:t>
      </w:r>
    </w:p>
    <w:p w:rsidR="00631EAB" w:rsidRDefault="00827F14" w:rsidP="00D20948">
      <w:pPr>
        <w:numPr>
          <w:ilvl w:val="0"/>
          <w:numId w:val="41"/>
        </w:numPr>
      </w:pPr>
      <w:r w:rsidRPr="006012C1">
        <w:t>není zajištěn bezpečný přístup cestujících do vlakových souprav v mezilehlých stanicích a zastávkách (nástupiště s úrovňovým přístupem přes staniční dopravní koleje</w:t>
      </w:r>
      <w:r w:rsidR="002644DF" w:rsidRPr="006012C1">
        <w:t>,</w:t>
      </w:r>
      <w:r w:rsidRPr="006012C1">
        <w:t xml:space="preserve"> s nedostatečnou výškou nástupní hrany do </w:t>
      </w:r>
      <w:smartTag w:uri="urn:schemas-microsoft-com:office:smarttags" w:element="metricconverter">
        <w:smartTagPr>
          <w:attr w:name="ProductID" w:val="250 mm"/>
        </w:smartTagPr>
        <w:r w:rsidRPr="006012C1">
          <w:t>250 mm</w:t>
        </w:r>
      </w:smartTag>
      <w:r w:rsidR="002644DF" w:rsidRPr="006012C1">
        <w:t xml:space="preserve"> a absencí bezpečnostních prvků</w:t>
      </w:r>
      <w:r w:rsidRPr="006012C1">
        <w:t xml:space="preserve">, přičemž na tratích evropského systému se stává standardem </w:t>
      </w:r>
      <w:r w:rsidR="002644DF" w:rsidRPr="006012C1">
        <w:t xml:space="preserve">mimoúrovňový přístup i pro osoby se sníženou schopností pohybu a orientace a výška nástupní hrany alespoň </w:t>
      </w:r>
      <w:smartTag w:uri="urn:schemas-microsoft-com:office:smarttags" w:element="metricconverter">
        <w:smartTagPr>
          <w:attr w:name="ProductID" w:val="550 mm"/>
        </w:smartTagPr>
        <w:r w:rsidR="002644DF" w:rsidRPr="006012C1">
          <w:t>550 mm</w:t>
        </w:r>
      </w:smartTag>
      <w:r w:rsidR="002644DF" w:rsidRPr="006012C1">
        <w:t>)</w:t>
      </w:r>
      <w:r w:rsidR="00317581" w:rsidRPr="006012C1">
        <w:t>;</w:t>
      </w:r>
    </w:p>
    <w:p w:rsidR="00631EAB" w:rsidRDefault="002644DF" w:rsidP="00D20948">
      <w:pPr>
        <w:numPr>
          <w:ilvl w:val="0"/>
          <w:numId w:val="41"/>
        </w:numPr>
      </w:pPr>
      <w:r w:rsidRPr="006012C1">
        <w:t xml:space="preserve">geometrie a stav výhybkových konstrukcí na všech zhlavích ve všech stanicích neumožňuje rychlost vyšší než </w:t>
      </w:r>
      <w:smartTag w:uri="urn:schemas-microsoft-com:office:smarttags" w:element="metricconverter">
        <w:smartTagPr>
          <w:attr w:name="ProductID" w:val="40 km/h"/>
        </w:smartTagPr>
        <w:r w:rsidRPr="006012C1">
          <w:t>40 km/h</w:t>
        </w:r>
      </w:smartTag>
      <w:r w:rsidRPr="006012C1">
        <w:t>, což má vliv na provozní intervaly (vjezdu-odjezdu, křižování)</w:t>
      </w:r>
      <w:r w:rsidR="00317581" w:rsidRPr="006012C1">
        <w:t>;</w:t>
      </w:r>
    </w:p>
    <w:p w:rsidR="00631EAB" w:rsidRDefault="002644DF" w:rsidP="00D20948">
      <w:pPr>
        <w:numPr>
          <w:ilvl w:val="0"/>
          <w:numId w:val="41"/>
        </w:numPr>
      </w:pPr>
      <w:r w:rsidRPr="006012C1">
        <w:t>stáří železničního svršku</w:t>
      </w:r>
      <w:r w:rsidR="00CB7F87" w:rsidRPr="006012C1">
        <w:t xml:space="preserve"> (nejstarší úseky pochází již z 80. let 20. stol) a s tím spojená klesající spolehlivost zajištění </w:t>
      </w:r>
      <w:r w:rsidR="00236822" w:rsidRPr="006012C1">
        <w:t>pohybu železničních vozidel na dané relaci</w:t>
      </w:r>
      <w:r w:rsidR="00317581" w:rsidRPr="006012C1">
        <w:t>;</w:t>
      </w:r>
    </w:p>
    <w:p w:rsidR="00631EAB" w:rsidRDefault="002644DF" w:rsidP="00D20948">
      <w:pPr>
        <w:numPr>
          <w:ilvl w:val="0"/>
          <w:numId w:val="41"/>
        </w:numPr>
      </w:pPr>
      <w:r w:rsidRPr="006012C1">
        <w:t>stáří trakčních zařízení (pochází ze 60. let 20. stol.)</w:t>
      </w:r>
      <w:r w:rsidR="00CB7F87" w:rsidRPr="006012C1">
        <w:t xml:space="preserve"> a s tím spojená klesající spolehlivost zajištění trakční energie pro soupravy poháněné elektrickou stejnosměrnou trakcí</w:t>
      </w:r>
      <w:r w:rsidR="00317581" w:rsidRPr="006012C1">
        <w:t>;</w:t>
      </w:r>
    </w:p>
    <w:p w:rsidR="00631EAB" w:rsidRDefault="00CB7F87" w:rsidP="00D20948">
      <w:pPr>
        <w:numPr>
          <w:ilvl w:val="0"/>
          <w:numId w:val="41"/>
        </w:numPr>
      </w:pPr>
      <w:r w:rsidRPr="006012C1">
        <w:t>stáří staničních zabezpečovacích zařízení II. kategorie a s tím spojená klesající spolehlivost zabezpečení železničního provozu (Pardubice-Rosice nad Labem, Stéblová, Hradec Králové hl. n., pochází ze 60. let 20. stol)</w:t>
      </w:r>
      <w:r w:rsidR="00317581" w:rsidRPr="006012C1">
        <w:t>;</w:t>
      </w:r>
    </w:p>
    <w:p w:rsidR="00631EAB" w:rsidRDefault="00236822" w:rsidP="00D20948">
      <w:pPr>
        <w:numPr>
          <w:ilvl w:val="0"/>
          <w:numId w:val="41"/>
        </w:numPr>
      </w:pPr>
      <w:r w:rsidRPr="006012C1">
        <w:t>stáří přejezdových zabezpečovacích zařízení (především vzoru SSSR ze 60. let 20. stol) a s tím spojená nutnost výměny pro zajištění bezpečnosti železničního i silničního provozu a zajištění plné traťové rychlosti bez nutnosti jejího snižování z důvodu chybějícího zabezpečení</w:t>
      </w:r>
      <w:r w:rsidR="00317581" w:rsidRPr="006012C1">
        <w:t>;</w:t>
      </w:r>
    </w:p>
    <w:p w:rsidR="00631EAB" w:rsidRDefault="00236822" w:rsidP="00D20948">
      <w:pPr>
        <w:numPr>
          <w:ilvl w:val="0"/>
          <w:numId w:val="41"/>
        </w:numPr>
      </w:pPr>
      <w:r w:rsidRPr="006012C1">
        <w:t>stav některých mostních objektů a propustů (převážně pocházejících ze 60. let 20. stol) vyžaduje pro zajištění bezpečného pohybu vlakových souprav opravu či rekonstrukci alespoň nosné konstrukce</w:t>
      </w:r>
      <w:r w:rsidR="00317581" w:rsidRPr="006012C1">
        <w:t>; p</w:t>
      </w:r>
      <w:r w:rsidR="001619D8" w:rsidRPr="006012C1">
        <w:t>řehled objektů uvádí níže uvedená</w:t>
      </w:r>
      <w:r w:rsidR="00317581" w:rsidRPr="006012C1">
        <w:t xml:space="preserve"> tabulka</w:t>
      </w:r>
      <w:r w:rsidR="001619D8" w:rsidRPr="006012C1">
        <w:t>.</w:t>
      </w:r>
    </w:p>
    <w:p w:rsidR="006012C1" w:rsidRDefault="006012C1" w:rsidP="006012C1">
      <w:pPr>
        <w:ind w:left="720"/>
        <w:sectPr w:rsidR="006012C1" w:rsidSect="00BD70C0">
          <w:footerReference w:type="default" r:id="rId25"/>
          <w:footnotePr>
            <w:pos w:val="beneathText"/>
          </w:footnotePr>
          <w:type w:val="continuous"/>
          <w:pgSz w:w="11905" w:h="16837" w:code="9"/>
          <w:pgMar w:top="1492" w:right="1134" w:bottom="1134" w:left="1418" w:header="709" w:footer="201" w:gutter="0"/>
          <w:cols w:space="708"/>
          <w:docGrid w:linePitch="360"/>
        </w:sectPr>
      </w:pPr>
    </w:p>
    <w:tbl>
      <w:tblPr>
        <w:tblW w:w="1417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2"/>
        <w:gridCol w:w="719"/>
        <w:gridCol w:w="915"/>
        <w:gridCol w:w="678"/>
        <w:gridCol w:w="719"/>
        <w:gridCol w:w="702"/>
        <w:gridCol w:w="810"/>
        <w:gridCol w:w="851"/>
        <w:gridCol w:w="1417"/>
        <w:gridCol w:w="992"/>
        <w:gridCol w:w="851"/>
        <w:gridCol w:w="992"/>
        <w:gridCol w:w="1843"/>
        <w:gridCol w:w="1984"/>
      </w:tblGrid>
      <w:tr w:rsidR="006012C1" w:rsidRPr="00C90180" w:rsidTr="009855A1">
        <w:trPr>
          <w:trHeight w:val="255"/>
        </w:trPr>
        <w:tc>
          <w:tcPr>
            <w:tcW w:w="14175" w:type="dxa"/>
            <w:gridSpan w:val="14"/>
            <w:tcBorders>
              <w:top w:val="single" w:sz="4" w:space="0" w:color="auto"/>
              <w:left w:val="single" w:sz="4" w:space="0" w:color="auto"/>
              <w:bottom w:val="single" w:sz="4" w:space="0" w:color="auto"/>
              <w:right w:val="single" w:sz="4" w:space="0" w:color="auto"/>
            </w:tcBorders>
            <w:shd w:val="clear" w:color="auto" w:fill="auto"/>
            <w:noWrap/>
            <w:vAlign w:val="center"/>
          </w:tcPr>
          <w:p w:rsidR="006819BA" w:rsidRDefault="00CA41B4" w:rsidP="006C565C">
            <w:pPr>
              <w:pStyle w:val="Titulek"/>
              <w:rPr>
                <w:sz w:val="16"/>
                <w:szCs w:val="16"/>
                <w:lang w:eastAsia="cs-CZ"/>
              </w:rPr>
            </w:pPr>
            <w:bookmarkStart w:id="44" w:name="_Toc390958739"/>
            <w:bookmarkStart w:id="45" w:name="_Toc391034543"/>
            <w:r w:rsidRPr="006012C1">
              <w:t xml:space="preserve">Tab. </w:t>
            </w:r>
            <w:r w:rsidR="000E79AE">
              <w:fldChar w:fldCharType="begin"/>
            </w:r>
            <w:r w:rsidR="000E79AE">
              <w:instrText xml:space="preserve"> STYLEREF 1 \s </w:instrText>
            </w:r>
            <w:r w:rsidR="000E79AE">
              <w:fldChar w:fldCharType="separate"/>
            </w:r>
            <w:r w:rsidR="003843F3">
              <w:rPr>
                <w:noProof/>
              </w:rPr>
              <w:t>3</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4</w:t>
            </w:r>
            <w:r w:rsidR="000E79AE">
              <w:fldChar w:fldCharType="end"/>
            </w:r>
            <w:r w:rsidRPr="006012C1">
              <w:t>: Mosty – přehled</w:t>
            </w:r>
            <w:bookmarkEnd w:id="44"/>
            <w:bookmarkEnd w:id="45"/>
          </w:p>
        </w:tc>
      </w:tr>
      <w:tr w:rsidR="009855A1" w:rsidRPr="00C90180" w:rsidTr="009855A1">
        <w:trPr>
          <w:trHeight w:val="255"/>
        </w:trPr>
        <w:tc>
          <w:tcPr>
            <w:tcW w:w="702" w:type="dxa"/>
            <w:tcBorders>
              <w:top w:val="single" w:sz="4" w:space="0" w:color="auto"/>
              <w:left w:val="single" w:sz="4" w:space="0" w:color="auto"/>
              <w:bottom w:val="single" w:sz="12" w:space="0" w:color="000000"/>
              <w:right w:val="single" w:sz="6" w:space="0" w:color="000000"/>
            </w:tcBorders>
            <w:shd w:val="clear" w:color="auto" w:fill="D9D9D9" w:themeFill="background1" w:themeFillShade="D9"/>
            <w:noWrap/>
            <w:vAlign w:val="center"/>
          </w:tcPr>
          <w:p w:rsidR="006819BA" w:rsidRDefault="00CA41B4" w:rsidP="00E92B29">
            <w:pPr>
              <w:suppressAutoHyphens w:val="0"/>
              <w:spacing w:beforeLines="20" w:before="48" w:afterLines="20" w:after="48" w:line="240" w:lineRule="auto"/>
              <w:jc w:val="center"/>
              <w:rPr>
                <w:rFonts w:cs="Tahoma"/>
                <w:b/>
                <w:sz w:val="16"/>
                <w:szCs w:val="16"/>
                <w:lang w:eastAsia="cs-CZ"/>
              </w:rPr>
            </w:pPr>
            <w:r w:rsidRPr="006012C1">
              <w:rPr>
                <w:rFonts w:cs="Tahoma"/>
                <w:b/>
                <w:sz w:val="16"/>
                <w:szCs w:val="16"/>
                <w:lang w:eastAsia="cs-CZ"/>
              </w:rPr>
              <w:t>Km</w:t>
            </w:r>
          </w:p>
        </w:tc>
        <w:tc>
          <w:tcPr>
            <w:tcW w:w="719" w:type="dxa"/>
            <w:tcBorders>
              <w:top w:val="single" w:sz="4" w:space="0" w:color="auto"/>
              <w:left w:val="single" w:sz="6" w:space="0" w:color="000000"/>
              <w:bottom w:val="single" w:sz="12" w:space="0" w:color="000000"/>
              <w:right w:val="single" w:sz="6" w:space="0" w:color="000000"/>
            </w:tcBorders>
            <w:shd w:val="clear" w:color="auto" w:fill="D9D9D9" w:themeFill="background1" w:themeFillShade="D9"/>
            <w:noWrap/>
            <w:vAlign w:val="center"/>
          </w:tcPr>
          <w:p w:rsidR="00631EAB" w:rsidRDefault="00CA41B4" w:rsidP="00D20948">
            <w:pPr>
              <w:suppressAutoHyphens w:val="0"/>
              <w:spacing w:beforeLines="20" w:before="48" w:afterLines="20" w:after="48" w:line="240" w:lineRule="auto"/>
              <w:jc w:val="center"/>
              <w:rPr>
                <w:rFonts w:cs="Tahoma"/>
                <w:b/>
                <w:bCs/>
                <w:kern w:val="28"/>
                <w:sz w:val="16"/>
                <w:szCs w:val="16"/>
                <w:lang w:eastAsia="cs-CZ"/>
              </w:rPr>
            </w:pPr>
            <w:r w:rsidRPr="006012C1">
              <w:rPr>
                <w:rFonts w:cs="Tahoma"/>
                <w:b/>
                <w:sz w:val="16"/>
                <w:szCs w:val="16"/>
                <w:lang w:eastAsia="cs-CZ"/>
              </w:rPr>
              <w:t>Id mostu</w:t>
            </w:r>
          </w:p>
        </w:tc>
        <w:tc>
          <w:tcPr>
            <w:tcW w:w="915" w:type="dxa"/>
            <w:tcBorders>
              <w:top w:val="single" w:sz="4" w:space="0" w:color="auto"/>
              <w:left w:val="single" w:sz="6" w:space="0" w:color="000000"/>
              <w:bottom w:val="single" w:sz="12" w:space="0" w:color="000000"/>
              <w:right w:val="single" w:sz="6" w:space="0" w:color="000000"/>
            </w:tcBorders>
            <w:shd w:val="clear" w:color="auto" w:fill="D9D9D9" w:themeFill="background1" w:themeFillShade="D9"/>
            <w:noWrap/>
            <w:vAlign w:val="center"/>
          </w:tcPr>
          <w:p w:rsidR="006819BA" w:rsidRDefault="00CA41B4" w:rsidP="00E92B29">
            <w:pPr>
              <w:suppressAutoHyphens w:val="0"/>
              <w:spacing w:beforeLines="20" w:before="48" w:afterLines="20" w:after="48" w:line="240" w:lineRule="auto"/>
              <w:jc w:val="center"/>
              <w:rPr>
                <w:rFonts w:cs="Tahoma"/>
                <w:b/>
                <w:sz w:val="16"/>
                <w:szCs w:val="16"/>
                <w:lang w:eastAsia="cs-CZ"/>
              </w:rPr>
            </w:pPr>
            <w:r w:rsidRPr="006012C1">
              <w:rPr>
                <w:rFonts w:cs="Tahoma"/>
                <w:b/>
                <w:sz w:val="16"/>
                <w:szCs w:val="16"/>
                <w:lang w:eastAsia="cs-CZ"/>
              </w:rPr>
              <w:t>Název mostu</w:t>
            </w:r>
          </w:p>
        </w:tc>
        <w:tc>
          <w:tcPr>
            <w:tcW w:w="678" w:type="dxa"/>
            <w:tcBorders>
              <w:top w:val="single" w:sz="4" w:space="0" w:color="auto"/>
              <w:left w:val="single" w:sz="6" w:space="0" w:color="000000"/>
              <w:bottom w:val="single" w:sz="12" w:space="0" w:color="000000"/>
              <w:right w:val="single" w:sz="6" w:space="0" w:color="000000"/>
            </w:tcBorders>
            <w:shd w:val="clear" w:color="auto" w:fill="D9D9D9" w:themeFill="background1" w:themeFillShade="D9"/>
            <w:noWrap/>
            <w:vAlign w:val="center"/>
          </w:tcPr>
          <w:p w:rsidR="00631EAB" w:rsidRDefault="00CA41B4">
            <w:pPr>
              <w:suppressAutoHyphens w:val="0"/>
              <w:spacing w:beforeLines="20" w:before="48" w:afterLines="20" w:after="48" w:line="240" w:lineRule="auto"/>
              <w:jc w:val="center"/>
              <w:rPr>
                <w:rFonts w:cs="Tahoma"/>
                <w:b/>
                <w:sz w:val="16"/>
                <w:szCs w:val="16"/>
                <w:lang w:eastAsia="cs-CZ"/>
              </w:rPr>
            </w:pPr>
            <w:r w:rsidRPr="006012C1">
              <w:rPr>
                <w:rFonts w:cs="Tahoma"/>
                <w:b/>
                <w:sz w:val="16"/>
                <w:szCs w:val="16"/>
                <w:lang w:eastAsia="cs-CZ"/>
              </w:rPr>
              <w:t>St. stav</w:t>
            </w:r>
          </w:p>
        </w:tc>
        <w:tc>
          <w:tcPr>
            <w:tcW w:w="719" w:type="dxa"/>
            <w:tcBorders>
              <w:top w:val="single" w:sz="4" w:space="0" w:color="auto"/>
              <w:left w:val="single" w:sz="6" w:space="0" w:color="000000"/>
              <w:bottom w:val="single" w:sz="12" w:space="0" w:color="000000"/>
              <w:right w:val="single" w:sz="6" w:space="0" w:color="000000"/>
            </w:tcBorders>
            <w:shd w:val="clear" w:color="auto" w:fill="D9D9D9" w:themeFill="background1" w:themeFillShade="D9"/>
            <w:noWrap/>
            <w:vAlign w:val="center"/>
          </w:tcPr>
          <w:p w:rsidR="00631EAB" w:rsidRDefault="00CA41B4">
            <w:pPr>
              <w:suppressAutoHyphens w:val="0"/>
              <w:spacing w:beforeLines="20" w:before="48" w:afterLines="20" w:after="48" w:line="240" w:lineRule="auto"/>
              <w:jc w:val="center"/>
              <w:rPr>
                <w:rFonts w:cs="Tahoma"/>
                <w:b/>
                <w:sz w:val="16"/>
                <w:szCs w:val="16"/>
                <w:lang w:eastAsia="cs-CZ"/>
              </w:rPr>
            </w:pPr>
            <w:r w:rsidRPr="006012C1">
              <w:rPr>
                <w:rFonts w:cs="Tahoma"/>
                <w:b/>
                <w:sz w:val="16"/>
                <w:szCs w:val="16"/>
                <w:lang w:eastAsia="cs-CZ"/>
              </w:rPr>
              <w:t>Dl. mostu</w:t>
            </w:r>
          </w:p>
        </w:tc>
        <w:tc>
          <w:tcPr>
            <w:tcW w:w="702" w:type="dxa"/>
            <w:tcBorders>
              <w:top w:val="single" w:sz="4" w:space="0" w:color="auto"/>
              <w:left w:val="single" w:sz="6" w:space="0" w:color="000000"/>
              <w:bottom w:val="single" w:sz="12" w:space="0" w:color="000000"/>
              <w:right w:val="single" w:sz="6" w:space="0" w:color="000000"/>
            </w:tcBorders>
            <w:shd w:val="clear" w:color="auto" w:fill="D9D9D9" w:themeFill="background1" w:themeFillShade="D9"/>
            <w:noWrap/>
            <w:vAlign w:val="center"/>
          </w:tcPr>
          <w:p w:rsidR="00631EAB" w:rsidRDefault="00CA41B4">
            <w:pPr>
              <w:suppressAutoHyphens w:val="0"/>
              <w:spacing w:beforeLines="20" w:before="48" w:afterLines="20" w:after="48" w:line="240" w:lineRule="auto"/>
              <w:jc w:val="center"/>
              <w:rPr>
                <w:rFonts w:cs="Tahoma"/>
                <w:b/>
                <w:sz w:val="16"/>
                <w:szCs w:val="16"/>
                <w:lang w:eastAsia="cs-CZ"/>
              </w:rPr>
            </w:pPr>
            <w:r w:rsidRPr="006012C1">
              <w:rPr>
                <w:rFonts w:cs="Tahoma"/>
                <w:b/>
                <w:sz w:val="16"/>
                <w:szCs w:val="16"/>
                <w:lang w:eastAsia="cs-CZ"/>
              </w:rPr>
              <w:t>Dl. přem.</w:t>
            </w:r>
          </w:p>
        </w:tc>
        <w:tc>
          <w:tcPr>
            <w:tcW w:w="810" w:type="dxa"/>
            <w:tcBorders>
              <w:top w:val="single" w:sz="4" w:space="0" w:color="auto"/>
              <w:left w:val="single" w:sz="6" w:space="0" w:color="000000"/>
              <w:bottom w:val="single" w:sz="12" w:space="0" w:color="000000"/>
              <w:right w:val="single" w:sz="6" w:space="0" w:color="000000"/>
            </w:tcBorders>
            <w:shd w:val="clear" w:color="auto" w:fill="D9D9D9" w:themeFill="background1" w:themeFillShade="D9"/>
            <w:noWrap/>
            <w:vAlign w:val="center"/>
          </w:tcPr>
          <w:p w:rsidR="00631EAB" w:rsidRDefault="00CA41B4">
            <w:pPr>
              <w:suppressAutoHyphens w:val="0"/>
              <w:spacing w:beforeLines="20" w:before="48" w:afterLines="20" w:after="48" w:line="240" w:lineRule="auto"/>
              <w:jc w:val="center"/>
              <w:rPr>
                <w:rFonts w:cs="Tahoma"/>
                <w:b/>
                <w:sz w:val="16"/>
                <w:szCs w:val="16"/>
                <w:lang w:eastAsia="cs-CZ"/>
              </w:rPr>
            </w:pPr>
            <w:r w:rsidRPr="006012C1">
              <w:rPr>
                <w:rFonts w:cs="Tahoma"/>
                <w:b/>
                <w:sz w:val="16"/>
                <w:szCs w:val="16"/>
                <w:lang w:eastAsia="cs-CZ"/>
              </w:rPr>
              <w:t>Šířka</w:t>
            </w:r>
          </w:p>
        </w:tc>
        <w:tc>
          <w:tcPr>
            <w:tcW w:w="851" w:type="dxa"/>
            <w:tcBorders>
              <w:top w:val="single" w:sz="4" w:space="0" w:color="auto"/>
              <w:left w:val="single" w:sz="6" w:space="0" w:color="000000"/>
              <w:bottom w:val="single" w:sz="12" w:space="0" w:color="000000"/>
              <w:right w:val="single" w:sz="6" w:space="0" w:color="000000"/>
            </w:tcBorders>
            <w:shd w:val="clear" w:color="auto" w:fill="D9D9D9" w:themeFill="background1" w:themeFillShade="D9"/>
            <w:noWrap/>
            <w:vAlign w:val="center"/>
          </w:tcPr>
          <w:p w:rsidR="00631EAB" w:rsidRDefault="00CA41B4">
            <w:pPr>
              <w:suppressAutoHyphens w:val="0"/>
              <w:spacing w:beforeLines="20" w:before="48" w:afterLines="20" w:after="48" w:line="240" w:lineRule="auto"/>
              <w:jc w:val="center"/>
              <w:rPr>
                <w:rFonts w:cs="Tahoma"/>
                <w:b/>
                <w:sz w:val="16"/>
                <w:szCs w:val="16"/>
                <w:lang w:eastAsia="cs-CZ"/>
              </w:rPr>
            </w:pPr>
            <w:r w:rsidRPr="006012C1">
              <w:rPr>
                <w:rFonts w:cs="Tahoma"/>
                <w:b/>
                <w:sz w:val="16"/>
                <w:szCs w:val="16"/>
                <w:lang w:eastAsia="cs-CZ"/>
              </w:rPr>
              <w:t>Poloha</w:t>
            </w:r>
          </w:p>
        </w:tc>
        <w:tc>
          <w:tcPr>
            <w:tcW w:w="1417" w:type="dxa"/>
            <w:tcBorders>
              <w:top w:val="single" w:sz="4" w:space="0" w:color="auto"/>
              <w:left w:val="single" w:sz="6" w:space="0" w:color="000000"/>
              <w:bottom w:val="single" w:sz="12" w:space="0" w:color="000000"/>
              <w:right w:val="single" w:sz="6" w:space="0" w:color="000000"/>
            </w:tcBorders>
            <w:shd w:val="clear" w:color="auto" w:fill="D9D9D9" w:themeFill="background1" w:themeFillShade="D9"/>
            <w:noWrap/>
            <w:vAlign w:val="center"/>
          </w:tcPr>
          <w:p w:rsidR="00631EAB" w:rsidRDefault="00CA41B4">
            <w:pPr>
              <w:suppressAutoHyphens w:val="0"/>
              <w:spacing w:beforeLines="20" w:before="48" w:afterLines="20" w:after="48" w:line="240" w:lineRule="auto"/>
              <w:jc w:val="center"/>
              <w:rPr>
                <w:rFonts w:cs="Tahoma"/>
                <w:b/>
                <w:sz w:val="16"/>
                <w:szCs w:val="16"/>
                <w:lang w:eastAsia="cs-CZ"/>
              </w:rPr>
            </w:pPr>
            <w:r w:rsidRPr="006012C1">
              <w:rPr>
                <w:rFonts w:cs="Tahoma"/>
                <w:b/>
                <w:sz w:val="16"/>
                <w:szCs w:val="16"/>
                <w:lang w:eastAsia="cs-CZ"/>
              </w:rPr>
              <w:t>Spodní stavba materiál</w:t>
            </w:r>
          </w:p>
        </w:tc>
        <w:tc>
          <w:tcPr>
            <w:tcW w:w="992" w:type="dxa"/>
            <w:tcBorders>
              <w:top w:val="single" w:sz="4" w:space="0" w:color="auto"/>
              <w:left w:val="single" w:sz="6" w:space="0" w:color="000000"/>
              <w:bottom w:val="single" w:sz="12" w:space="0" w:color="000000"/>
              <w:right w:val="single" w:sz="6" w:space="0" w:color="000000"/>
            </w:tcBorders>
            <w:shd w:val="clear" w:color="auto" w:fill="D9D9D9" w:themeFill="background1" w:themeFillShade="D9"/>
            <w:noWrap/>
            <w:vAlign w:val="center"/>
          </w:tcPr>
          <w:p w:rsidR="00631EAB" w:rsidRDefault="00CA41B4">
            <w:pPr>
              <w:suppressAutoHyphens w:val="0"/>
              <w:spacing w:beforeLines="20" w:before="48" w:afterLines="20" w:after="48" w:line="240" w:lineRule="auto"/>
              <w:jc w:val="center"/>
              <w:rPr>
                <w:rFonts w:cs="Tahoma"/>
                <w:b/>
                <w:sz w:val="16"/>
                <w:szCs w:val="16"/>
                <w:lang w:eastAsia="cs-CZ"/>
              </w:rPr>
            </w:pPr>
            <w:r w:rsidRPr="006012C1">
              <w:rPr>
                <w:rFonts w:cs="Tahoma"/>
                <w:b/>
                <w:sz w:val="16"/>
                <w:szCs w:val="16"/>
                <w:lang w:eastAsia="cs-CZ"/>
              </w:rPr>
              <w:t>Založení</w:t>
            </w:r>
          </w:p>
        </w:tc>
        <w:tc>
          <w:tcPr>
            <w:tcW w:w="851" w:type="dxa"/>
            <w:tcBorders>
              <w:top w:val="single" w:sz="4" w:space="0" w:color="auto"/>
              <w:left w:val="single" w:sz="6" w:space="0" w:color="000000"/>
              <w:bottom w:val="single" w:sz="12" w:space="0" w:color="000000"/>
              <w:right w:val="single" w:sz="6" w:space="0" w:color="000000"/>
            </w:tcBorders>
            <w:shd w:val="clear" w:color="auto" w:fill="D9D9D9" w:themeFill="background1" w:themeFillShade="D9"/>
            <w:noWrap/>
            <w:vAlign w:val="center"/>
          </w:tcPr>
          <w:p w:rsidR="00631EAB" w:rsidRDefault="00CA41B4">
            <w:pPr>
              <w:suppressAutoHyphens w:val="0"/>
              <w:spacing w:beforeLines="20" w:before="48" w:afterLines="20" w:after="48" w:line="240" w:lineRule="auto"/>
              <w:jc w:val="center"/>
              <w:rPr>
                <w:rFonts w:cs="Tahoma"/>
                <w:b/>
                <w:sz w:val="16"/>
                <w:szCs w:val="16"/>
                <w:lang w:eastAsia="cs-CZ"/>
              </w:rPr>
            </w:pPr>
            <w:r w:rsidRPr="006012C1">
              <w:rPr>
                <w:rFonts w:cs="Tahoma"/>
                <w:b/>
                <w:sz w:val="16"/>
                <w:szCs w:val="16"/>
                <w:lang w:eastAsia="cs-CZ"/>
              </w:rPr>
              <w:t>Výst.</w:t>
            </w:r>
          </w:p>
        </w:tc>
        <w:tc>
          <w:tcPr>
            <w:tcW w:w="992" w:type="dxa"/>
            <w:tcBorders>
              <w:top w:val="single" w:sz="4" w:space="0" w:color="auto"/>
              <w:left w:val="single" w:sz="6" w:space="0" w:color="000000"/>
              <w:bottom w:val="single" w:sz="12" w:space="0" w:color="000000"/>
              <w:right w:val="single" w:sz="6" w:space="0" w:color="000000"/>
            </w:tcBorders>
            <w:shd w:val="clear" w:color="auto" w:fill="D9D9D9" w:themeFill="background1" w:themeFillShade="D9"/>
            <w:noWrap/>
            <w:vAlign w:val="center"/>
          </w:tcPr>
          <w:p w:rsidR="00631EAB" w:rsidRDefault="00CA41B4">
            <w:pPr>
              <w:suppressAutoHyphens w:val="0"/>
              <w:spacing w:beforeLines="20" w:before="48" w:afterLines="20" w:after="48" w:line="240" w:lineRule="auto"/>
              <w:jc w:val="center"/>
              <w:rPr>
                <w:rFonts w:cs="Tahoma"/>
                <w:b/>
                <w:sz w:val="16"/>
                <w:szCs w:val="16"/>
                <w:lang w:eastAsia="cs-CZ"/>
              </w:rPr>
            </w:pPr>
            <w:r w:rsidRPr="006012C1">
              <w:rPr>
                <w:rFonts w:cs="Tahoma"/>
                <w:b/>
                <w:sz w:val="16"/>
                <w:szCs w:val="16"/>
                <w:lang w:eastAsia="cs-CZ"/>
              </w:rPr>
              <w:t>Kons.</w:t>
            </w:r>
          </w:p>
        </w:tc>
        <w:tc>
          <w:tcPr>
            <w:tcW w:w="1843" w:type="dxa"/>
            <w:tcBorders>
              <w:top w:val="single" w:sz="4" w:space="0" w:color="auto"/>
              <w:left w:val="single" w:sz="6" w:space="0" w:color="000000"/>
              <w:bottom w:val="single" w:sz="12" w:space="0" w:color="000000"/>
              <w:right w:val="single" w:sz="6" w:space="0" w:color="000000"/>
            </w:tcBorders>
            <w:shd w:val="clear" w:color="auto" w:fill="D9D9D9" w:themeFill="background1" w:themeFillShade="D9"/>
            <w:noWrap/>
            <w:vAlign w:val="center"/>
          </w:tcPr>
          <w:p w:rsidR="00631EAB" w:rsidRDefault="00CA41B4">
            <w:pPr>
              <w:suppressAutoHyphens w:val="0"/>
              <w:spacing w:beforeLines="20" w:before="48" w:afterLines="20" w:after="48" w:line="240" w:lineRule="auto"/>
              <w:jc w:val="center"/>
              <w:rPr>
                <w:rFonts w:cs="Tahoma"/>
                <w:b/>
                <w:sz w:val="16"/>
                <w:szCs w:val="16"/>
                <w:lang w:eastAsia="cs-CZ"/>
              </w:rPr>
            </w:pPr>
            <w:r w:rsidRPr="006012C1">
              <w:rPr>
                <w:rFonts w:cs="Tahoma"/>
                <w:b/>
                <w:sz w:val="16"/>
                <w:szCs w:val="16"/>
                <w:lang w:eastAsia="cs-CZ"/>
              </w:rPr>
              <w:t>Materiál NK</w:t>
            </w:r>
          </w:p>
        </w:tc>
        <w:tc>
          <w:tcPr>
            <w:tcW w:w="1984" w:type="dxa"/>
            <w:tcBorders>
              <w:top w:val="single" w:sz="4" w:space="0" w:color="auto"/>
              <w:left w:val="single" w:sz="6" w:space="0" w:color="000000"/>
              <w:bottom w:val="single" w:sz="12" w:space="0" w:color="000000"/>
              <w:right w:val="single" w:sz="4" w:space="0" w:color="auto"/>
            </w:tcBorders>
            <w:shd w:val="clear" w:color="auto" w:fill="D9D9D9" w:themeFill="background1" w:themeFillShade="D9"/>
            <w:noWrap/>
            <w:vAlign w:val="center"/>
          </w:tcPr>
          <w:p w:rsidR="00631EAB" w:rsidRDefault="00CA41B4">
            <w:pPr>
              <w:suppressAutoHyphens w:val="0"/>
              <w:spacing w:beforeLines="20" w:before="48" w:afterLines="20" w:after="48" w:line="240" w:lineRule="auto"/>
              <w:jc w:val="center"/>
              <w:rPr>
                <w:rFonts w:cs="Tahoma"/>
                <w:b/>
                <w:sz w:val="16"/>
                <w:szCs w:val="16"/>
                <w:lang w:eastAsia="cs-CZ"/>
              </w:rPr>
            </w:pPr>
            <w:r w:rsidRPr="006012C1">
              <w:rPr>
                <w:rFonts w:cs="Tahoma"/>
                <w:b/>
                <w:sz w:val="16"/>
                <w:szCs w:val="16"/>
                <w:lang w:eastAsia="cs-CZ"/>
              </w:rPr>
              <w:t>Popis NK</w:t>
            </w:r>
          </w:p>
        </w:tc>
      </w:tr>
      <w:tr w:rsidR="009855A1" w:rsidRPr="00C90180" w:rsidTr="009855A1">
        <w:trPr>
          <w:trHeight w:val="255"/>
        </w:trPr>
        <w:tc>
          <w:tcPr>
            <w:tcW w:w="702" w:type="dxa"/>
            <w:tcBorders>
              <w:top w:val="single" w:sz="12" w:space="0" w:color="000000"/>
              <w:left w:val="single" w:sz="4" w:space="0" w:color="auto"/>
              <w:bottom w:val="single" w:sz="4" w:space="0" w:color="auto"/>
              <w:right w:val="single" w:sz="6" w:space="0" w:color="000000"/>
            </w:tcBorders>
            <w:shd w:val="clear" w:color="auto" w:fill="auto"/>
            <w:noWrap/>
            <w:vAlign w:val="center"/>
          </w:tcPr>
          <w:p w:rsidR="006819BA" w:rsidRPr="009855A1" w:rsidRDefault="00CA41B4" w:rsidP="009855A1">
            <w:pPr>
              <w:suppressAutoHyphens w:val="0"/>
              <w:spacing w:beforeLines="20" w:before="48" w:afterLines="20" w:after="48" w:line="240" w:lineRule="auto"/>
              <w:jc w:val="left"/>
              <w:rPr>
                <w:rFonts w:cs="Tahoma"/>
                <w:sz w:val="16"/>
                <w:szCs w:val="16"/>
                <w:lang w:eastAsia="cs-CZ"/>
              </w:rPr>
            </w:pPr>
            <w:r w:rsidRPr="009855A1">
              <w:rPr>
                <w:rFonts w:cs="Tahoma"/>
                <w:sz w:val="16"/>
                <w:szCs w:val="16"/>
                <w:lang w:eastAsia="cs-CZ"/>
              </w:rPr>
              <w:t>2,184</w:t>
            </w:r>
          </w:p>
        </w:tc>
        <w:tc>
          <w:tcPr>
            <w:tcW w:w="719" w:type="dxa"/>
            <w:tcBorders>
              <w:top w:val="single" w:sz="12"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5893</w:t>
            </w:r>
          </w:p>
        </w:tc>
        <w:tc>
          <w:tcPr>
            <w:tcW w:w="915" w:type="dxa"/>
            <w:tcBorders>
              <w:top w:val="single" w:sz="12"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Labák - Rosice n.L.</w:t>
            </w:r>
          </w:p>
        </w:tc>
        <w:tc>
          <w:tcPr>
            <w:tcW w:w="678" w:type="dxa"/>
            <w:tcBorders>
              <w:top w:val="single" w:sz="12"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 / 1</w:t>
            </w:r>
          </w:p>
        </w:tc>
        <w:tc>
          <w:tcPr>
            <w:tcW w:w="719" w:type="dxa"/>
            <w:tcBorders>
              <w:top w:val="single" w:sz="12"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148,78</w:t>
            </w:r>
          </w:p>
        </w:tc>
        <w:tc>
          <w:tcPr>
            <w:tcW w:w="702" w:type="dxa"/>
            <w:tcBorders>
              <w:top w:val="single" w:sz="12"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138,53</w:t>
            </w:r>
          </w:p>
        </w:tc>
        <w:tc>
          <w:tcPr>
            <w:tcW w:w="810" w:type="dxa"/>
            <w:tcBorders>
              <w:top w:val="single" w:sz="12"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6,85</w:t>
            </w:r>
          </w:p>
        </w:tc>
        <w:tc>
          <w:tcPr>
            <w:tcW w:w="851" w:type="dxa"/>
            <w:tcBorders>
              <w:top w:val="single" w:sz="12"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stanice</w:t>
            </w:r>
          </w:p>
        </w:tc>
        <w:tc>
          <w:tcPr>
            <w:tcW w:w="1417" w:type="dxa"/>
            <w:tcBorders>
              <w:top w:val="single" w:sz="12"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kamenné zdivo</w:t>
            </w:r>
          </w:p>
        </w:tc>
        <w:tc>
          <w:tcPr>
            <w:tcW w:w="992" w:type="dxa"/>
            <w:tcBorders>
              <w:top w:val="single" w:sz="12"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plošné</w:t>
            </w:r>
          </w:p>
        </w:tc>
        <w:tc>
          <w:tcPr>
            <w:tcW w:w="851" w:type="dxa"/>
            <w:tcBorders>
              <w:top w:val="single" w:sz="12"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1967</w:t>
            </w:r>
          </w:p>
        </w:tc>
        <w:tc>
          <w:tcPr>
            <w:tcW w:w="992" w:type="dxa"/>
            <w:tcBorders>
              <w:top w:val="single" w:sz="12"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 01</w:t>
            </w:r>
          </w:p>
        </w:tc>
        <w:tc>
          <w:tcPr>
            <w:tcW w:w="1843" w:type="dxa"/>
            <w:tcBorders>
              <w:top w:val="single" w:sz="12"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ocel</w:t>
            </w:r>
          </w:p>
        </w:tc>
        <w:tc>
          <w:tcPr>
            <w:tcW w:w="1984" w:type="dxa"/>
            <w:tcBorders>
              <w:top w:val="single" w:sz="12" w:space="0" w:color="000000"/>
              <w:left w:val="single" w:sz="6" w:space="0" w:color="000000"/>
              <w:bottom w:val="single" w:sz="4" w:space="0" w:color="auto"/>
              <w:right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trámová plnostěnná</w:t>
            </w:r>
          </w:p>
        </w:tc>
      </w:tr>
      <w:tr w:rsidR="009855A1" w:rsidRPr="006012C1" w:rsidTr="009855A1">
        <w:trPr>
          <w:trHeight w:val="255"/>
        </w:trPr>
        <w:tc>
          <w:tcPr>
            <w:tcW w:w="702" w:type="dxa"/>
            <w:tcBorders>
              <w:top w:val="single" w:sz="4" w:space="0" w:color="auto"/>
              <w:left w:val="single" w:sz="4" w:space="0" w:color="auto"/>
              <w:bottom w:val="single" w:sz="4" w:space="0" w:color="auto"/>
            </w:tcBorders>
            <w:shd w:val="clear" w:color="auto" w:fill="auto"/>
            <w:noWrap/>
            <w:vAlign w:val="center"/>
          </w:tcPr>
          <w:p w:rsidR="006819BA"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3,677</w:t>
            </w:r>
          </w:p>
        </w:tc>
        <w:tc>
          <w:tcPr>
            <w:tcW w:w="719" w:type="dxa"/>
            <w:tcBorders>
              <w:top w:val="single" w:sz="4" w:space="0" w:color="auto"/>
              <w:bottom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6</w:t>
            </w:r>
          </w:p>
        </w:tc>
        <w:tc>
          <w:tcPr>
            <w:tcW w:w="915" w:type="dxa"/>
            <w:tcBorders>
              <w:top w:val="single" w:sz="4" w:space="0" w:color="auto"/>
              <w:bottom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Rosice</w:t>
            </w:r>
          </w:p>
        </w:tc>
        <w:tc>
          <w:tcPr>
            <w:tcW w:w="678" w:type="dxa"/>
            <w:tcBorders>
              <w:top w:val="single" w:sz="4" w:space="0" w:color="auto"/>
              <w:bottom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2 / 1</w:t>
            </w:r>
          </w:p>
        </w:tc>
        <w:tc>
          <w:tcPr>
            <w:tcW w:w="719" w:type="dxa"/>
            <w:tcBorders>
              <w:top w:val="single" w:sz="4" w:space="0" w:color="auto"/>
              <w:bottom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13,10</w:t>
            </w:r>
          </w:p>
        </w:tc>
        <w:tc>
          <w:tcPr>
            <w:tcW w:w="702" w:type="dxa"/>
            <w:tcBorders>
              <w:top w:val="single" w:sz="4" w:space="0" w:color="auto"/>
              <w:bottom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6,20</w:t>
            </w:r>
          </w:p>
        </w:tc>
        <w:tc>
          <w:tcPr>
            <w:tcW w:w="810" w:type="dxa"/>
            <w:tcBorders>
              <w:top w:val="single" w:sz="4" w:space="0" w:color="auto"/>
              <w:bottom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4,80</w:t>
            </w:r>
          </w:p>
        </w:tc>
        <w:tc>
          <w:tcPr>
            <w:tcW w:w="851" w:type="dxa"/>
            <w:tcBorders>
              <w:top w:val="single" w:sz="4" w:space="0" w:color="auto"/>
              <w:bottom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širá trať</w:t>
            </w:r>
          </w:p>
        </w:tc>
        <w:tc>
          <w:tcPr>
            <w:tcW w:w="1417" w:type="dxa"/>
            <w:tcBorders>
              <w:top w:val="single" w:sz="4" w:space="0" w:color="auto"/>
              <w:bottom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kamenné zdivo</w:t>
            </w:r>
          </w:p>
        </w:tc>
        <w:tc>
          <w:tcPr>
            <w:tcW w:w="992" w:type="dxa"/>
            <w:tcBorders>
              <w:top w:val="single" w:sz="4" w:space="0" w:color="auto"/>
              <w:bottom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kombinace</w:t>
            </w:r>
          </w:p>
        </w:tc>
        <w:tc>
          <w:tcPr>
            <w:tcW w:w="851" w:type="dxa"/>
            <w:tcBorders>
              <w:top w:val="single" w:sz="4" w:space="0" w:color="auto"/>
              <w:bottom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1949</w:t>
            </w:r>
          </w:p>
        </w:tc>
        <w:tc>
          <w:tcPr>
            <w:tcW w:w="992" w:type="dxa"/>
            <w:tcBorders>
              <w:top w:val="single" w:sz="4" w:space="0" w:color="auto"/>
              <w:bottom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 01</w:t>
            </w:r>
          </w:p>
        </w:tc>
        <w:tc>
          <w:tcPr>
            <w:tcW w:w="1843" w:type="dxa"/>
            <w:tcBorders>
              <w:top w:val="single" w:sz="4" w:space="0" w:color="auto"/>
              <w:bottom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zabetonované nosníky</w:t>
            </w:r>
          </w:p>
        </w:tc>
        <w:tc>
          <w:tcPr>
            <w:tcW w:w="1984" w:type="dxa"/>
            <w:tcBorders>
              <w:top w:val="single" w:sz="4" w:space="0" w:color="auto"/>
              <w:bottom w:val="single" w:sz="4" w:space="0" w:color="auto"/>
              <w:right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desková</w:t>
            </w:r>
          </w:p>
        </w:tc>
      </w:tr>
      <w:tr w:rsidR="009855A1" w:rsidRPr="006012C1" w:rsidTr="009855A1">
        <w:trPr>
          <w:trHeight w:val="255"/>
        </w:trPr>
        <w:tc>
          <w:tcPr>
            <w:tcW w:w="702" w:type="dxa"/>
            <w:tcBorders>
              <w:top w:val="single" w:sz="4" w:space="0" w:color="auto"/>
              <w:left w:val="single" w:sz="4" w:space="0" w:color="auto"/>
              <w:bottom w:val="single" w:sz="6" w:space="0" w:color="000000"/>
              <w:right w:val="single" w:sz="6" w:space="0" w:color="000000"/>
            </w:tcBorders>
            <w:shd w:val="clear" w:color="auto" w:fill="auto"/>
            <w:noWrap/>
            <w:vAlign w:val="center"/>
          </w:tcPr>
          <w:p w:rsidR="006819BA"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8,176</w:t>
            </w:r>
          </w:p>
        </w:tc>
        <w:tc>
          <w:tcPr>
            <w:tcW w:w="719"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7</w:t>
            </w:r>
          </w:p>
        </w:tc>
        <w:tc>
          <w:tcPr>
            <w:tcW w:w="915"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Stéblová</w:t>
            </w:r>
          </w:p>
        </w:tc>
        <w:tc>
          <w:tcPr>
            <w:tcW w:w="678"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 / 1</w:t>
            </w:r>
          </w:p>
        </w:tc>
        <w:tc>
          <w:tcPr>
            <w:tcW w:w="719"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13,15</w:t>
            </w:r>
          </w:p>
        </w:tc>
        <w:tc>
          <w:tcPr>
            <w:tcW w:w="702"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5,70</w:t>
            </w:r>
          </w:p>
        </w:tc>
        <w:tc>
          <w:tcPr>
            <w:tcW w:w="810"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5,70</w:t>
            </w:r>
          </w:p>
        </w:tc>
        <w:tc>
          <w:tcPr>
            <w:tcW w:w="851"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širá trať</w:t>
            </w:r>
          </w:p>
        </w:tc>
        <w:tc>
          <w:tcPr>
            <w:tcW w:w="1417"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beton</w:t>
            </w:r>
          </w:p>
        </w:tc>
        <w:tc>
          <w:tcPr>
            <w:tcW w:w="992"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plošné</w:t>
            </w:r>
          </w:p>
        </w:tc>
        <w:tc>
          <w:tcPr>
            <w:tcW w:w="851"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2005</w:t>
            </w:r>
          </w:p>
        </w:tc>
        <w:tc>
          <w:tcPr>
            <w:tcW w:w="992"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 01</w:t>
            </w:r>
          </w:p>
        </w:tc>
        <w:tc>
          <w:tcPr>
            <w:tcW w:w="1843"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železobeton</w:t>
            </w:r>
          </w:p>
        </w:tc>
        <w:tc>
          <w:tcPr>
            <w:tcW w:w="1984" w:type="dxa"/>
            <w:tcBorders>
              <w:top w:val="single" w:sz="4" w:space="0" w:color="auto"/>
              <w:left w:val="single" w:sz="6" w:space="0" w:color="000000"/>
              <w:bottom w:val="single" w:sz="6" w:space="0" w:color="000000"/>
              <w:right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trámová plnostěnná</w:t>
            </w:r>
          </w:p>
        </w:tc>
      </w:tr>
      <w:tr w:rsidR="009855A1" w:rsidRPr="006012C1" w:rsidTr="009855A1">
        <w:trPr>
          <w:trHeight w:val="255"/>
        </w:trPr>
        <w:tc>
          <w:tcPr>
            <w:tcW w:w="702" w:type="dxa"/>
            <w:tcBorders>
              <w:top w:val="single" w:sz="6" w:space="0" w:color="000000"/>
              <w:left w:val="single" w:sz="4" w:space="0" w:color="auto"/>
              <w:bottom w:val="single" w:sz="4" w:space="0" w:color="auto"/>
              <w:right w:val="single" w:sz="6" w:space="0" w:color="000000"/>
            </w:tcBorders>
            <w:shd w:val="clear" w:color="auto" w:fill="auto"/>
            <w:noWrap/>
            <w:vAlign w:val="center"/>
          </w:tcPr>
          <w:p w:rsidR="006819BA" w:rsidRPr="009855A1" w:rsidRDefault="006819BA" w:rsidP="009855A1">
            <w:pPr>
              <w:suppressAutoHyphens w:val="0"/>
              <w:spacing w:beforeLines="20" w:before="48" w:afterLines="20" w:after="48" w:line="240" w:lineRule="auto"/>
              <w:jc w:val="left"/>
              <w:rPr>
                <w:rFonts w:cs="Tahoma"/>
                <w:sz w:val="16"/>
                <w:szCs w:val="16"/>
                <w:lang w:eastAsia="cs-CZ"/>
              </w:rPr>
            </w:pPr>
          </w:p>
        </w:tc>
        <w:tc>
          <w:tcPr>
            <w:tcW w:w="719"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631EAB" w:rsidP="009855A1">
            <w:pPr>
              <w:suppressAutoHyphens w:val="0"/>
              <w:spacing w:beforeLines="20" w:before="48" w:afterLines="20" w:after="48" w:line="240" w:lineRule="auto"/>
              <w:jc w:val="left"/>
              <w:rPr>
                <w:rFonts w:cs="Tahoma"/>
                <w:sz w:val="16"/>
                <w:szCs w:val="16"/>
                <w:lang w:eastAsia="cs-CZ"/>
              </w:rPr>
            </w:pPr>
          </w:p>
        </w:tc>
        <w:tc>
          <w:tcPr>
            <w:tcW w:w="915"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631EAB" w:rsidP="009855A1">
            <w:pPr>
              <w:suppressAutoHyphens w:val="0"/>
              <w:spacing w:beforeLines="20" w:before="48" w:afterLines="20" w:after="48" w:line="240" w:lineRule="auto"/>
              <w:jc w:val="left"/>
              <w:rPr>
                <w:rFonts w:cs="Tahoma"/>
                <w:sz w:val="16"/>
                <w:szCs w:val="16"/>
                <w:lang w:eastAsia="cs-CZ"/>
              </w:rPr>
            </w:pPr>
          </w:p>
        </w:tc>
        <w:tc>
          <w:tcPr>
            <w:tcW w:w="678"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 / 1</w:t>
            </w:r>
          </w:p>
        </w:tc>
        <w:tc>
          <w:tcPr>
            <w:tcW w:w="719"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13,15</w:t>
            </w:r>
          </w:p>
        </w:tc>
        <w:tc>
          <w:tcPr>
            <w:tcW w:w="702"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5,70</w:t>
            </w:r>
          </w:p>
        </w:tc>
        <w:tc>
          <w:tcPr>
            <w:tcW w:w="810"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5,70</w:t>
            </w:r>
          </w:p>
        </w:tc>
        <w:tc>
          <w:tcPr>
            <w:tcW w:w="851"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širá trať</w:t>
            </w:r>
          </w:p>
        </w:tc>
        <w:tc>
          <w:tcPr>
            <w:tcW w:w="1417"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beton</w:t>
            </w:r>
          </w:p>
        </w:tc>
        <w:tc>
          <w:tcPr>
            <w:tcW w:w="992"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plošné</w:t>
            </w:r>
          </w:p>
        </w:tc>
        <w:tc>
          <w:tcPr>
            <w:tcW w:w="851"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2005</w:t>
            </w:r>
          </w:p>
        </w:tc>
        <w:tc>
          <w:tcPr>
            <w:tcW w:w="992"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 01</w:t>
            </w:r>
          </w:p>
        </w:tc>
        <w:tc>
          <w:tcPr>
            <w:tcW w:w="1843"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železobeton</w:t>
            </w:r>
          </w:p>
        </w:tc>
        <w:tc>
          <w:tcPr>
            <w:tcW w:w="1984" w:type="dxa"/>
            <w:tcBorders>
              <w:top w:val="single" w:sz="6" w:space="0" w:color="000000"/>
              <w:left w:val="single" w:sz="6" w:space="0" w:color="000000"/>
              <w:bottom w:val="single" w:sz="4" w:space="0" w:color="auto"/>
              <w:right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trámová plnostěnná</w:t>
            </w:r>
          </w:p>
        </w:tc>
      </w:tr>
      <w:tr w:rsidR="009855A1" w:rsidRPr="006012C1" w:rsidTr="009855A1">
        <w:trPr>
          <w:trHeight w:val="255"/>
        </w:trPr>
        <w:tc>
          <w:tcPr>
            <w:tcW w:w="702" w:type="dxa"/>
            <w:tcBorders>
              <w:top w:val="single" w:sz="4" w:space="0" w:color="auto"/>
              <w:left w:val="single" w:sz="4" w:space="0" w:color="auto"/>
              <w:bottom w:val="single" w:sz="4" w:space="0" w:color="auto"/>
              <w:right w:val="single" w:sz="6" w:space="0" w:color="000000"/>
            </w:tcBorders>
            <w:shd w:val="clear" w:color="auto" w:fill="auto"/>
            <w:noWrap/>
            <w:vAlign w:val="center"/>
          </w:tcPr>
          <w:p w:rsidR="006819BA"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12,849</w:t>
            </w:r>
          </w:p>
        </w:tc>
        <w:tc>
          <w:tcPr>
            <w:tcW w:w="719"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1547</w:t>
            </w:r>
          </w:p>
        </w:tc>
        <w:tc>
          <w:tcPr>
            <w:tcW w:w="915"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Čeperka</w:t>
            </w:r>
          </w:p>
        </w:tc>
        <w:tc>
          <w:tcPr>
            <w:tcW w:w="678"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2 / 2</w:t>
            </w:r>
          </w:p>
        </w:tc>
        <w:tc>
          <w:tcPr>
            <w:tcW w:w="719"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15,30</w:t>
            </w:r>
          </w:p>
        </w:tc>
        <w:tc>
          <w:tcPr>
            <w:tcW w:w="702"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11,25</w:t>
            </w:r>
          </w:p>
        </w:tc>
        <w:tc>
          <w:tcPr>
            <w:tcW w:w="810"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4,70</w:t>
            </w:r>
          </w:p>
        </w:tc>
        <w:tc>
          <w:tcPr>
            <w:tcW w:w="851"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širá trať</w:t>
            </w:r>
          </w:p>
        </w:tc>
        <w:tc>
          <w:tcPr>
            <w:tcW w:w="1417"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kamenné zdivo</w:t>
            </w:r>
          </w:p>
        </w:tc>
        <w:tc>
          <w:tcPr>
            <w:tcW w:w="992"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plošné</w:t>
            </w:r>
          </w:p>
        </w:tc>
        <w:tc>
          <w:tcPr>
            <w:tcW w:w="851"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1894</w:t>
            </w:r>
          </w:p>
        </w:tc>
        <w:tc>
          <w:tcPr>
            <w:tcW w:w="992"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 01</w:t>
            </w:r>
          </w:p>
        </w:tc>
        <w:tc>
          <w:tcPr>
            <w:tcW w:w="1843"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ocel</w:t>
            </w:r>
          </w:p>
        </w:tc>
        <w:tc>
          <w:tcPr>
            <w:tcW w:w="1984" w:type="dxa"/>
            <w:tcBorders>
              <w:top w:val="single" w:sz="4" w:space="0" w:color="auto"/>
              <w:left w:val="single" w:sz="6" w:space="0" w:color="000000"/>
              <w:bottom w:val="single" w:sz="4" w:space="0" w:color="auto"/>
              <w:right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trámová plnostěnná</w:t>
            </w:r>
          </w:p>
        </w:tc>
      </w:tr>
      <w:tr w:rsidR="009855A1" w:rsidRPr="006012C1" w:rsidTr="009855A1">
        <w:trPr>
          <w:trHeight w:val="255"/>
        </w:trPr>
        <w:tc>
          <w:tcPr>
            <w:tcW w:w="702" w:type="dxa"/>
            <w:tcBorders>
              <w:top w:val="single" w:sz="4" w:space="0" w:color="auto"/>
              <w:left w:val="single" w:sz="4" w:space="0" w:color="auto"/>
              <w:bottom w:val="single" w:sz="4" w:space="0" w:color="auto"/>
              <w:right w:val="single" w:sz="6" w:space="0" w:color="000000"/>
            </w:tcBorders>
            <w:shd w:val="clear" w:color="auto" w:fill="auto"/>
            <w:noWrap/>
            <w:vAlign w:val="center"/>
          </w:tcPr>
          <w:p w:rsidR="006819BA"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15,394</w:t>
            </w:r>
          </w:p>
        </w:tc>
        <w:tc>
          <w:tcPr>
            <w:tcW w:w="719"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1548</w:t>
            </w:r>
          </w:p>
        </w:tc>
        <w:tc>
          <w:tcPr>
            <w:tcW w:w="915"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Souběh s vlečkou</w:t>
            </w:r>
          </w:p>
        </w:tc>
        <w:tc>
          <w:tcPr>
            <w:tcW w:w="678"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2 / 1</w:t>
            </w:r>
          </w:p>
        </w:tc>
        <w:tc>
          <w:tcPr>
            <w:tcW w:w="719"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11,00</w:t>
            </w:r>
          </w:p>
        </w:tc>
        <w:tc>
          <w:tcPr>
            <w:tcW w:w="702"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5,50</w:t>
            </w:r>
          </w:p>
        </w:tc>
        <w:tc>
          <w:tcPr>
            <w:tcW w:w="810"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16,90</w:t>
            </w:r>
          </w:p>
        </w:tc>
        <w:tc>
          <w:tcPr>
            <w:tcW w:w="851"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širá trať</w:t>
            </w:r>
          </w:p>
        </w:tc>
        <w:tc>
          <w:tcPr>
            <w:tcW w:w="1417"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kamenné zdivo</w:t>
            </w:r>
          </w:p>
        </w:tc>
        <w:tc>
          <w:tcPr>
            <w:tcW w:w="992"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plošné</w:t>
            </w:r>
          </w:p>
        </w:tc>
        <w:tc>
          <w:tcPr>
            <w:tcW w:w="851"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1930</w:t>
            </w:r>
          </w:p>
        </w:tc>
        <w:tc>
          <w:tcPr>
            <w:tcW w:w="992"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 01</w:t>
            </w:r>
          </w:p>
        </w:tc>
        <w:tc>
          <w:tcPr>
            <w:tcW w:w="1843" w:type="dxa"/>
            <w:tcBorders>
              <w:top w:val="single" w:sz="4" w:space="0" w:color="auto"/>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zabetonované nosníky</w:t>
            </w:r>
          </w:p>
        </w:tc>
        <w:tc>
          <w:tcPr>
            <w:tcW w:w="1984" w:type="dxa"/>
            <w:tcBorders>
              <w:top w:val="single" w:sz="4" w:space="0" w:color="auto"/>
              <w:left w:val="single" w:sz="6" w:space="0" w:color="000000"/>
              <w:bottom w:val="single" w:sz="4" w:space="0" w:color="auto"/>
              <w:right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desková</w:t>
            </w:r>
          </w:p>
        </w:tc>
      </w:tr>
      <w:tr w:rsidR="009855A1" w:rsidRPr="006012C1" w:rsidTr="009855A1">
        <w:trPr>
          <w:trHeight w:val="255"/>
        </w:trPr>
        <w:tc>
          <w:tcPr>
            <w:tcW w:w="702" w:type="dxa"/>
            <w:tcBorders>
              <w:top w:val="single" w:sz="4" w:space="0" w:color="auto"/>
              <w:left w:val="single" w:sz="4" w:space="0" w:color="auto"/>
              <w:bottom w:val="single" w:sz="6" w:space="0" w:color="000000"/>
              <w:right w:val="single" w:sz="6" w:space="0" w:color="000000"/>
            </w:tcBorders>
            <w:shd w:val="clear" w:color="auto" w:fill="auto"/>
            <w:noWrap/>
            <w:vAlign w:val="center"/>
          </w:tcPr>
          <w:p w:rsidR="006819BA"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17,288</w:t>
            </w:r>
          </w:p>
        </w:tc>
        <w:tc>
          <w:tcPr>
            <w:tcW w:w="719"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6051</w:t>
            </w:r>
          </w:p>
        </w:tc>
        <w:tc>
          <w:tcPr>
            <w:tcW w:w="915"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Plačický potok</w:t>
            </w:r>
          </w:p>
        </w:tc>
        <w:tc>
          <w:tcPr>
            <w:tcW w:w="678"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2 / 2</w:t>
            </w:r>
          </w:p>
        </w:tc>
        <w:tc>
          <w:tcPr>
            <w:tcW w:w="719"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10,86</w:t>
            </w:r>
          </w:p>
        </w:tc>
        <w:tc>
          <w:tcPr>
            <w:tcW w:w="702"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5,00</w:t>
            </w:r>
          </w:p>
        </w:tc>
        <w:tc>
          <w:tcPr>
            <w:tcW w:w="810"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30,50</w:t>
            </w:r>
          </w:p>
        </w:tc>
        <w:tc>
          <w:tcPr>
            <w:tcW w:w="851"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stanice</w:t>
            </w:r>
          </w:p>
        </w:tc>
        <w:tc>
          <w:tcPr>
            <w:tcW w:w="1417"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beton</w:t>
            </w:r>
          </w:p>
        </w:tc>
        <w:tc>
          <w:tcPr>
            <w:tcW w:w="992"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plošné</w:t>
            </w:r>
          </w:p>
        </w:tc>
        <w:tc>
          <w:tcPr>
            <w:tcW w:w="851"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1960</w:t>
            </w:r>
          </w:p>
        </w:tc>
        <w:tc>
          <w:tcPr>
            <w:tcW w:w="992"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 01</w:t>
            </w:r>
          </w:p>
        </w:tc>
        <w:tc>
          <w:tcPr>
            <w:tcW w:w="1843"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železobeton</w:t>
            </w:r>
          </w:p>
        </w:tc>
        <w:tc>
          <w:tcPr>
            <w:tcW w:w="1984" w:type="dxa"/>
            <w:tcBorders>
              <w:top w:val="single" w:sz="4" w:space="0" w:color="auto"/>
              <w:left w:val="single" w:sz="6" w:space="0" w:color="000000"/>
              <w:bottom w:val="single" w:sz="6" w:space="0" w:color="000000"/>
              <w:right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desková</w:t>
            </w:r>
          </w:p>
        </w:tc>
      </w:tr>
      <w:tr w:rsidR="009855A1" w:rsidRPr="006012C1" w:rsidTr="009855A1">
        <w:trPr>
          <w:trHeight w:val="255"/>
        </w:trPr>
        <w:tc>
          <w:tcPr>
            <w:tcW w:w="702" w:type="dxa"/>
            <w:tcBorders>
              <w:top w:val="single" w:sz="6" w:space="0" w:color="000000"/>
              <w:left w:val="single" w:sz="4" w:space="0" w:color="auto"/>
              <w:bottom w:val="single" w:sz="6" w:space="0" w:color="000000"/>
              <w:right w:val="single" w:sz="6" w:space="0" w:color="000000"/>
            </w:tcBorders>
            <w:shd w:val="clear" w:color="auto" w:fill="auto"/>
            <w:noWrap/>
            <w:vAlign w:val="center"/>
          </w:tcPr>
          <w:p w:rsidR="006819BA" w:rsidRPr="009855A1" w:rsidRDefault="006819BA" w:rsidP="009855A1">
            <w:pPr>
              <w:suppressAutoHyphens w:val="0"/>
              <w:spacing w:beforeLines="20" w:before="48" w:afterLines="20" w:after="48" w:line="240" w:lineRule="auto"/>
              <w:jc w:val="left"/>
              <w:rPr>
                <w:rFonts w:cs="Tahoma"/>
                <w:sz w:val="16"/>
                <w:szCs w:val="16"/>
                <w:lang w:eastAsia="cs-CZ"/>
              </w:rPr>
            </w:pPr>
          </w:p>
        </w:tc>
        <w:tc>
          <w:tcPr>
            <w:tcW w:w="719" w:type="dxa"/>
            <w:tcBorders>
              <w:top w:val="single" w:sz="6" w:space="0" w:color="000000"/>
              <w:left w:val="single" w:sz="6" w:space="0" w:color="000000"/>
              <w:bottom w:val="single" w:sz="6" w:space="0" w:color="000000"/>
              <w:right w:val="single" w:sz="6" w:space="0" w:color="000000"/>
            </w:tcBorders>
            <w:shd w:val="clear" w:color="auto" w:fill="auto"/>
            <w:noWrap/>
            <w:vAlign w:val="center"/>
          </w:tcPr>
          <w:p w:rsidR="00631EAB" w:rsidRPr="009855A1" w:rsidRDefault="00631EAB" w:rsidP="009855A1">
            <w:pPr>
              <w:suppressAutoHyphens w:val="0"/>
              <w:spacing w:beforeLines="20" w:before="48" w:afterLines="20" w:after="48" w:line="240" w:lineRule="auto"/>
              <w:jc w:val="left"/>
              <w:rPr>
                <w:rFonts w:cs="Tahoma"/>
                <w:sz w:val="16"/>
                <w:szCs w:val="16"/>
                <w:lang w:eastAsia="cs-CZ"/>
              </w:rPr>
            </w:pPr>
          </w:p>
        </w:tc>
        <w:tc>
          <w:tcPr>
            <w:tcW w:w="915" w:type="dxa"/>
            <w:tcBorders>
              <w:top w:val="single" w:sz="6" w:space="0" w:color="000000"/>
              <w:left w:val="single" w:sz="6" w:space="0" w:color="000000"/>
              <w:bottom w:val="single" w:sz="6" w:space="0" w:color="000000"/>
              <w:right w:val="single" w:sz="6" w:space="0" w:color="000000"/>
            </w:tcBorders>
            <w:shd w:val="clear" w:color="auto" w:fill="auto"/>
            <w:noWrap/>
            <w:vAlign w:val="center"/>
          </w:tcPr>
          <w:p w:rsidR="00631EAB" w:rsidRPr="009855A1" w:rsidRDefault="00631EAB" w:rsidP="009855A1">
            <w:pPr>
              <w:suppressAutoHyphens w:val="0"/>
              <w:spacing w:beforeLines="20" w:before="48" w:afterLines="20" w:after="48" w:line="240" w:lineRule="auto"/>
              <w:jc w:val="left"/>
              <w:rPr>
                <w:rFonts w:cs="Tahoma"/>
                <w:sz w:val="16"/>
                <w:szCs w:val="16"/>
                <w:lang w:eastAsia="cs-CZ"/>
              </w:rPr>
            </w:pPr>
          </w:p>
        </w:tc>
        <w:tc>
          <w:tcPr>
            <w:tcW w:w="678" w:type="dxa"/>
            <w:tcBorders>
              <w:top w:val="single" w:sz="6" w:space="0" w:color="000000"/>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2 / 2</w:t>
            </w:r>
          </w:p>
        </w:tc>
        <w:tc>
          <w:tcPr>
            <w:tcW w:w="719" w:type="dxa"/>
            <w:tcBorders>
              <w:top w:val="single" w:sz="6" w:space="0" w:color="000000"/>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10,86</w:t>
            </w:r>
          </w:p>
        </w:tc>
        <w:tc>
          <w:tcPr>
            <w:tcW w:w="702" w:type="dxa"/>
            <w:tcBorders>
              <w:top w:val="single" w:sz="6" w:space="0" w:color="000000"/>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5,00</w:t>
            </w:r>
          </w:p>
        </w:tc>
        <w:tc>
          <w:tcPr>
            <w:tcW w:w="810" w:type="dxa"/>
            <w:tcBorders>
              <w:top w:val="single" w:sz="6" w:space="0" w:color="000000"/>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30,50</w:t>
            </w:r>
          </w:p>
        </w:tc>
        <w:tc>
          <w:tcPr>
            <w:tcW w:w="851" w:type="dxa"/>
            <w:tcBorders>
              <w:top w:val="single" w:sz="6" w:space="0" w:color="000000"/>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stanice</w:t>
            </w:r>
          </w:p>
        </w:tc>
        <w:tc>
          <w:tcPr>
            <w:tcW w:w="1417" w:type="dxa"/>
            <w:tcBorders>
              <w:top w:val="single" w:sz="6" w:space="0" w:color="000000"/>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beton</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plošné</w:t>
            </w:r>
          </w:p>
        </w:tc>
        <w:tc>
          <w:tcPr>
            <w:tcW w:w="851" w:type="dxa"/>
            <w:tcBorders>
              <w:top w:val="single" w:sz="6" w:space="0" w:color="000000"/>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1960</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 02</w:t>
            </w:r>
          </w:p>
        </w:tc>
        <w:tc>
          <w:tcPr>
            <w:tcW w:w="1843" w:type="dxa"/>
            <w:tcBorders>
              <w:top w:val="single" w:sz="6" w:space="0" w:color="000000"/>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železobeton</w:t>
            </w:r>
          </w:p>
        </w:tc>
        <w:tc>
          <w:tcPr>
            <w:tcW w:w="1984" w:type="dxa"/>
            <w:tcBorders>
              <w:top w:val="single" w:sz="6" w:space="0" w:color="000000"/>
              <w:left w:val="single" w:sz="6" w:space="0" w:color="000000"/>
              <w:bottom w:val="single" w:sz="6" w:space="0" w:color="000000"/>
              <w:right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desková</w:t>
            </w:r>
          </w:p>
        </w:tc>
      </w:tr>
      <w:tr w:rsidR="009855A1" w:rsidRPr="006012C1" w:rsidTr="009855A1">
        <w:trPr>
          <w:trHeight w:val="255"/>
        </w:trPr>
        <w:tc>
          <w:tcPr>
            <w:tcW w:w="702" w:type="dxa"/>
            <w:tcBorders>
              <w:top w:val="single" w:sz="6" w:space="0" w:color="000000"/>
              <w:left w:val="single" w:sz="4" w:space="0" w:color="auto"/>
              <w:bottom w:val="single" w:sz="4" w:space="0" w:color="auto"/>
              <w:right w:val="single" w:sz="6" w:space="0" w:color="000000"/>
            </w:tcBorders>
            <w:shd w:val="clear" w:color="auto" w:fill="auto"/>
            <w:noWrap/>
            <w:vAlign w:val="center"/>
          </w:tcPr>
          <w:p w:rsidR="006819BA" w:rsidRPr="009855A1" w:rsidRDefault="006819BA" w:rsidP="009855A1">
            <w:pPr>
              <w:suppressAutoHyphens w:val="0"/>
              <w:spacing w:beforeLines="20" w:before="48" w:afterLines="20" w:after="48" w:line="240" w:lineRule="auto"/>
              <w:jc w:val="left"/>
              <w:rPr>
                <w:rFonts w:cs="Tahoma"/>
                <w:sz w:val="16"/>
                <w:szCs w:val="16"/>
                <w:lang w:eastAsia="cs-CZ"/>
              </w:rPr>
            </w:pPr>
          </w:p>
        </w:tc>
        <w:tc>
          <w:tcPr>
            <w:tcW w:w="719"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631EAB" w:rsidP="009855A1">
            <w:pPr>
              <w:suppressAutoHyphens w:val="0"/>
              <w:spacing w:beforeLines="20" w:before="48" w:afterLines="20" w:after="48" w:line="240" w:lineRule="auto"/>
              <w:jc w:val="left"/>
              <w:rPr>
                <w:rFonts w:cs="Tahoma"/>
                <w:sz w:val="16"/>
                <w:szCs w:val="16"/>
                <w:lang w:eastAsia="cs-CZ"/>
              </w:rPr>
            </w:pPr>
          </w:p>
        </w:tc>
        <w:tc>
          <w:tcPr>
            <w:tcW w:w="915"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631EAB" w:rsidP="009855A1">
            <w:pPr>
              <w:suppressAutoHyphens w:val="0"/>
              <w:spacing w:beforeLines="20" w:before="48" w:afterLines="20" w:after="48" w:line="240" w:lineRule="auto"/>
              <w:jc w:val="left"/>
              <w:rPr>
                <w:rFonts w:cs="Tahoma"/>
                <w:sz w:val="16"/>
                <w:szCs w:val="16"/>
                <w:lang w:eastAsia="cs-CZ"/>
              </w:rPr>
            </w:pPr>
          </w:p>
        </w:tc>
        <w:tc>
          <w:tcPr>
            <w:tcW w:w="678"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2 / 2</w:t>
            </w:r>
          </w:p>
        </w:tc>
        <w:tc>
          <w:tcPr>
            <w:tcW w:w="719"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10,86</w:t>
            </w:r>
          </w:p>
        </w:tc>
        <w:tc>
          <w:tcPr>
            <w:tcW w:w="702"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5,00</w:t>
            </w:r>
          </w:p>
        </w:tc>
        <w:tc>
          <w:tcPr>
            <w:tcW w:w="810"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30,50</w:t>
            </w:r>
          </w:p>
        </w:tc>
        <w:tc>
          <w:tcPr>
            <w:tcW w:w="851"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stanice</w:t>
            </w:r>
          </w:p>
        </w:tc>
        <w:tc>
          <w:tcPr>
            <w:tcW w:w="1417"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beton</w:t>
            </w:r>
          </w:p>
        </w:tc>
        <w:tc>
          <w:tcPr>
            <w:tcW w:w="992"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plošné</w:t>
            </w:r>
          </w:p>
        </w:tc>
        <w:tc>
          <w:tcPr>
            <w:tcW w:w="851"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1960</w:t>
            </w:r>
          </w:p>
        </w:tc>
        <w:tc>
          <w:tcPr>
            <w:tcW w:w="992"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 03</w:t>
            </w:r>
          </w:p>
        </w:tc>
        <w:tc>
          <w:tcPr>
            <w:tcW w:w="1843"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železobeton</w:t>
            </w:r>
          </w:p>
        </w:tc>
        <w:tc>
          <w:tcPr>
            <w:tcW w:w="1984" w:type="dxa"/>
            <w:tcBorders>
              <w:top w:val="single" w:sz="6" w:space="0" w:color="000000"/>
              <w:left w:val="single" w:sz="6" w:space="0" w:color="000000"/>
              <w:bottom w:val="single" w:sz="4" w:space="0" w:color="auto"/>
              <w:right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desková</w:t>
            </w:r>
          </w:p>
        </w:tc>
      </w:tr>
      <w:tr w:rsidR="009855A1" w:rsidRPr="006012C1" w:rsidTr="009855A1">
        <w:trPr>
          <w:trHeight w:val="255"/>
        </w:trPr>
        <w:tc>
          <w:tcPr>
            <w:tcW w:w="702" w:type="dxa"/>
            <w:tcBorders>
              <w:top w:val="single" w:sz="4" w:space="0" w:color="auto"/>
              <w:left w:val="single" w:sz="4" w:space="0" w:color="auto"/>
              <w:bottom w:val="single" w:sz="6" w:space="0" w:color="000000"/>
              <w:right w:val="single" w:sz="6" w:space="0" w:color="000000"/>
            </w:tcBorders>
            <w:shd w:val="clear" w:color="auto" w:fill="auto"/>
            <w:noWrap/>
            <w:vAlign w:val="center"/>
          </w:tcPr>
          <w:p w:rsidR="006819BA"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19,885</w:t>
            </w:r>
          </w:p>
        </w:tc>
        <w:tc>
          <w:tcPr>
            <w:tcW w:w="719"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1607</w:t>
            </w:r>
          </w:p>
        </w:tc>
        <w:tc>
          <w:tcPr>
            <w:tcW w:w="915"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Pražské předměstí</w:t>
            </w:r>
          </w:p>
        </w:tc>
        <w:tc>
          <w:tcPr>
            <w:tcW w:w="678"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2 / 1</w:t>
            </w:r>
          </w:p>
        </w:tc>
        <w:tc>
          <w:tcPr>
            <w:tcW w:w="719"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11,50</w:t>
            </w:r>
          </w:p>
        </w:tc>
        <w:tc>
          <w:tcPr>
            <w:tcW w:w="702"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Cs/>
                <w:kern w:val="28"/>
                <w:sz w:val="16"/>
                <w:szCs w:val="16"/>
                <w:lang w:eastAsia="cs-CZ"/>
              </w:rPr>
            </w:pPr>
            <w:r w:rsidRPr="009855A1">
              <w:rPr>
                <w:rFonts w:cs="Tahoma"/>
                <w:sz w:val="16"/>
                <w:szCs w:val="16"/>
                <w:lang w:eastAsia="cs-CZ"/>
              </w:rPr>
              <w:t>8,78</w:t>
            </w:r>
          </w:p>
        </w:tc>
        <w:tc>
          <w:tcPr>
            <w:tcW w:w="810"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5,80</w:t>
            </w:r>
          </w:p>
        </w:tc>
        <w:tc>
          <w:tcPr>
            <w:tcW w:w="851"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širá trať</w:t>
            </w:r>
          </w:p>
        </w:tc>
        <w:tc>
          <w:tcPr>
            <w:tcW w:w="1417"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kamenné zdivo</w:t>
            </w:r>
          </w:p>
        </w:tc>
        <w:tc>
          <w:tcPr>
            <w:tcW w:w="992"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plošné</w:t>
            </w:r>
          </w:p>
        </w:tc>
        <w:tc>
          <w:tcPr>
            <w:tcW w:w="851"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1930</w:t>
            </w:r>
          </w:p>
        </w:tc>
        <w:tc>
          <w:tcPr>
            <w:tcW w:w="992"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 01</w:t>
            </w:r>
          </w:p>
        </w:tc>
        <w:tc>
          <w:tcPr>
            <w:tcW w:w="1843" w:type="dxa"/>
            <w:tcBorders>
              <w:top w:val="single" w:sz="4" w:space="0" w:color="auto"/>
              <w:left w:val="single" w:sz="6" w:space="0" w:color="000000"/>
              <w:bottom w:val="single" w:sz="6" w:space="0" w:color="000000"/>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zabetonované nosníky</w:t>
            </w:r>
          </w:p>
        </w:tc>
        <w:tc>
          <w:tcPr>
            <w:tcW w:w="1984" w:type="dxa"/>
            <w:tcBorders>
              <w:top w:val="single" w:sz="4" w:space="0" w:color="auto"/>
              <w:left w:val="single" w:sz="6" w:space="0" w:color="000000"/>
              <w:bottom w:val="single" w:sz="6" w:space="0" w:color="000000"/>
              <w:right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desková</w:t>
            </w:r>
          </w:p>
        </w:tc>
      </w:tr>
      <w:tr w:rsidR="009855A1" w:rsidRPr="006012C1" w:rsidTr="009855A1">
        <w:trPr>
          <w:trHeight w:val="255"/>
        </w:trPr>
        <w:tc>
          <w:tcPr>
            <w:tcW w:w="702" w:type="dxa"/>
            <w:tcBorders>
              <w:top w:val="single" w:sz="6" w:space="0" w:color="000000"/>
              <w:left w:val="single" w:sz="4" w:space="0" w:color="auto"/>
              <w:bottom w:val="single" w:sz="4" w:space="0" w:color="auto"/>
              <w:right w:val="single" w:sz="6" w:space="0" w:color="000000"/>
            </w:tcBorders>
            <w:shd w:val="clear" w:color="auto" w:fill="auto"/>
            <w:noWrap/>
            <w:vAlign w:val="center"/>
          </w:tcPr>
          <w:p w:rsidR="006819BA" w:rsidRPr="009855A1" w:rsidRDefault="006819BA" w:rsidP="009855A1">
            <w:pPr>
              <w:suppressAutoHyphens w:val="0"/>
              <w:spacing w:beforeLines="20" w:before="48" w:afterLines="20" w:after="48" w:line="240" w:lineRule="auto"/>
              <w:jc w:val="left"/>
              <w:rPr>
                <w:rFonts w:cs="Tahoma"/>
                <w:sz w:val="16"/>
                <w:szCs w:val="16"/>
                <w:lang w:eastAsia="cs-CZ"/>
              </w:rPr>
            </w:pPr>
          </w:p>
        </w:tc>
        <w:tc>
          <w:tcPr>
            <w:tcW w:w="719"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631EAB" w:rsidP="009855A1">
            <w:pPr>
              <w:suppressAutoHyphens w:val="0"/>
              <w:spacing w:beforeLines="20" w:before="48" w:afterLines="20" w:after="48" w:line="240" w:lineRule="auto"/>
              <w:jc w:val="left"/>
              <w:rPr>
                <w:rFonts w:cs="Tahoma"/>
                <w:sz w:val="16"/>
                <w:szCs w:val="16"/>
                <w:lang w:eastAsia="cs-CZ"/>
              </w:rPr>
            </w:pPr>
          </w:p>
        </w:tc>
        <w:tc>
          <w:tcPr>
            <w:tcW w:w="915"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631EAB" w:rsidP="009855A1">
            <w:pPr>
              <w:suppressAutoHyphens w:val="0"/>
              <w:spacing w:beforeLines="20" w:before="48" w:afterLines="20" w:after="48" w:line="240" w:lineRule="auto"/>
              <w:jc w:val="left"/>
              <w:rPr>
                <w:rFonts w:cs="Tahoma"/>
                <w:sz w:val="16"/>
                <w:szCs w:val="16"/>
                <w:lang w:eastAsia="cs-CZ"/>
              </w:rPr>
            </w:pPr>
          </w:p>
        </w:tc>
        <w:tc>
          <w:tcPr>
            <w:tcW w:w="678"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2 / 1</w:t>
            </w:r>
          </w:p>
        </w:tc>
        <w:tc>
          <w:tcPr>
            <w:tcW w:w="719"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11,50</w:t>
            </w:r>
          </w:p>
        </w:tc>
        <w:tc>
          <w:tcPr>
            <w:tcW w:w="702"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8,78</w:t>
            </w:r>
          </w:p>
        </w:tc>
        <w:tc>
          <w:tcPr>
            <w:tcW w:w="810"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5,80</w:t>
            </w:r>
          </w:p>
        </w:tc>
        <w:tc>
          <w:tcPr>
            <w:tcW w:w="851"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širá trať</w:t>
            </w:r>
          </w:p>
        </w:tc>
        <w:tc>
          <w:tcPr>
            <w:tcW w:w="1417"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kamenné zdivo</w:t>
            </w:r>
          </w:p>
        </w:tc>
        <w:tc>
          <w:tcPr>
            <w:tcW w:w="992"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plošné</w:t>
            </w:r>
          </w:p>
        </w:tc>
        <w:tc>
          <w:tcPr>
            <w:tcW w:w="851"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1930</w:t>
            </w:r>
          </w:p>
        </w:tc>
        <w:tc>
          <w:tcPr>
            <w:tcW w:w="992"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K 02</w:t>
            </w:r>
          </w:p>
        </w:tc>
        <w:tc>
          <w:tcPr>
            <w:tcW w:w="1843" w:type="dxa"/>
            <w:tcBorders>
              <w:top w:val="single" w:sz="6" w:space="0" w:color="000000"/>
              <w:left w:val="single" w:sz="6" w:space="0" w:color="000000"/>
              <w:bottom w:val="single" w:sz="4" w:space="0" w:color="auto"/>
              <w:right w:val="single" w:sz="6" w:space="0" w:color="000000"/>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zabetonované nosníky</w:t>
            </w:r>
          </w:p>
        </w:tc>
        <w:tc>
          <w:tcPr>
            <w:tcW w:w="1984" w:type="dxa"/>
            <w:tcBorders>
              <w:top w:val="single" w:sz="6" w:space="0" w:color="000000"/>
              <w:left w:val="single" w:sz="6" w:space="0" w:color="000000"/>
              <w:bottom w:val="single" w:sz="4" w:space="0" w:color="auto"/>
              <w:right w:val="single" w:sz="4" w:space="0" w:color="auto"/>
            </w:tcBorders>
            <w:shd w:val="clear" w:color="auto" w:fill="auto"/>
            <w:noWrap/>
            <w:vAlign w:val="center"/>
          </w:tcPr>
          <w:p w:rsidR="00631EAB" w:rsidRPr="009855A1" w:rsidRDefault="00CA41B4" w:rsidP="009855A1">
            <w:pPr>
              <w:suppressAutoHyphens w:val="0"/>
              <w:spacing w:beforeLines="20" w:before="48" w:afterLines="20" w:after="48" w:line="240" w:lineRule="auto"/>
              <w:jc w:val="left"/>
              <w:rPr>
                <w:rFonts w:cs="Tahoma"/>
                <w:b/>
                <w:bCs/>
                <w:kern w:val="28"/>
                <w:sz w:val="16"/>
                <w:szCs w:val="16"/>
                <w:lang w:eastAsia="cs-CZ"/>
              </w:rPr>
            </w:pPr>
            <w:r w:rsidRPr="009855A1">
              <w:rPr>
                <w:rFonts w:cs="Tahoma"/>
                <w:sz w:val="16"/>
                <w:szCs w:val="16"/>
                <w:lang w:eastAsia="cs-CZ"/>
              </w:rPr>
              <w:t>desková</w:t>
            </w:r>
          </w:p>
        </w:tc>
      </w:tr>
    </w:tbl>
    <w:p w:rsidR="00EC670C" w:rsidRDefault="00EC670C">
      <w:pPr>
        <w:suppressAutoHyphens w:val="0"/>
        <w:spacing w:before="0" w:after="0" w:line="240" w:lineRule="auto"/>
        <w:jc w:val="left"/>
      </w:pPr>
      <w:r>
        <w:br w:type="page"/>
      </w:r>
    </w:p>
    <w:tbl>
      <w:tblPr>
        <w:tblW w:w="14190" w:type="dxa"/>
        <w:tblInd w:w="5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left w:w="70" w:type="dxa"/>
          <w:right w:w="70" w:type="dxa"/>
        </w:tblCellMar>
        <w:tblLook w:val="04A0" w:firstRow="1" w:lastRow="0" w:firstColumn="1" w:lastColumn="0" w:noHBand="0" w:noVBand="1"/>
      </w:tblPr>
      <w:tblGrid>
        <w:gridCol w:w="866"/>
        <w:gridCol w:w="478"/>
        <w:gridCol w:w="567"/>
        <w:gridCol w:w="603"/>
        <w:gridCol w:w="851"/>
        <w:gridCol w:w="2126"/>
        <w:gridCol w:w="1134"/>
        <w:gridCol w:w="1134"/>
        <w:gridCol w:w="1984"/>
        <w:gridCol w:w="1843"/>
        <w:gridCol w:w="1276"/>
        <w:gridCol w:w="1328"/>
      </w:tblGrid>
      <w:tr w:rsidR="001619D8" w:rsidRPr="006012C1" w:rsidTr="009855A1">
        <w:trPr>
          <w:trHeight w:val="258"/>
        </w:trPr>
        <w:tc>
          <w:tcPr>
            <w:tcW w:w="14190" w:type="dxa"/>
            <w:gridSpan w:val="12"/>
            <w:tcBorders>
              <w:top w:val="single" w:sz="4" w:space="0" w:color="auto"/>
              <w:left w:val="single" w:sz="4" w:space="0" w:color="auto"/>
              <w:bottom w:val="single" w:sz="12" w:space="0" w:color="000000"/>
              <w:right w:val="single" w:sz="4" w:space="0" w:color="auto"/>
            </w:tcBorders>
            <w:shd w:val="clear" w:color="auto" w:fill="auto"/>
          </w:tcPr>
          <w:p w:rsidR="001619D8" w:rsidRPr="006012C1" w:rsidRDefault="001619D8" w:rsidP="006C565C">
            <w:pPr>
              <w:pStyle w:val="Titulek"/>
              <w:rPr>
                <w:rFonts w:ascii="Arial" w:hAnsi="Arial" w:cs="Arial"/>
                <w:sz w:val="16"/>
                <w:szCs w:val="16"/>
                <w:lang w:eastAsia="cs-CZ"/>
              </w:rPr>
            </w:pPr>
            <w:bookmarkStart w:id="46" w:name="_Toc390958740"/>
            <w:bookmarkStart w:id="47" w:name="_Toc391034544"/>
            <w:r w:rsidRPr="006012C1">
              <w:t xml:space="preserve">Tab. </w:t>
            </w:r>
            <w:r w:rsidR="000E79AE">
              <w:fldChar w:fldCharType="begin"/>
            </w:r>
            <w:r w:rsidR="000E79AE">
              <w:instrText xml:space="preserve"> STYLEREF 1 \s </w:instrText>
            </w:r>
            <w:r w:rsidR="000E79AE">
              <w:fldChar w:fldCharType="separate"/>
            </w:r>
            <w:r w:rsidR="003843F3">
              <w:rPr>
                <w:noProof/>
              </w:rPr>
              <w:t>3</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5</w:t>
            </w:r>
            <w:r w:rsidR="000E79AE">
              <w:fldChar w:fldCharType="end"/>
            </w:r>
            <w:r w:rsidRPr="006012C1">
              <w:t>: Propust</w:t>
            </w:r>
            <w:r w:rsidR="006E61CA">
              <w:t>k</w:t>
            </w:r>
            <w:r w:rsidRPr="006012C1">
              <w:t>y – přehled</w:t>
            </w:r>
            <w:bookmarkEnd w:id="46"/>
            <w:bookmarkEnd w:id="47"/>
          </w:p>
        </w:tc>
      </w:tr>
      <w:tr w:rsidR="006C565C" w:rsidRPr="006012C1" w:rsidTr="009855A1">
        <w:trPr>
          <w:trHeight w:val="510"/>
        </w:trPr>
        <w:tc>
          <w:tcPr>
            <w:tcW w:w="866" w:type="dxa"/>
            <w:tcBorders>
              <w:top w:val="single" w:sz="12" w:space="0" w:color="000000"/>
              <w:left w:val="single" w:sz="4" w:space="0" w:color="auto"/>
              <w:bottom w:val="single" w:sz="12" w:space="0" w:color="000000"/>
            </w:tcBorders>
            <w:shd w:val="clear" w:color="auto" w:fill="D9D9D9" w:themeFill="background1" w:themeFillShade="D9"/>
            <w:vAlign w:val="center"/>
          </w:tcPr>
          <w:p w:rsidR="001619D8" w:rsidRPr="006012C1" w:rsidRDefault="001619D8" w:rsidP="006C565C">
            <w:pPr>
              <w:suppressAutoHyphens w:val="0"/>
              <w:spacing w:before="0" w:after="0" w:line="240" w:lineRule="auto"/>
              <w:jc w:val="center"/>
              <w:rPr>
                <w:rFonts w:ascii="Arial" w:hAnsi="Arial" w:cs="Arial"/>
                <w:b/>
                <w:sz w:val="16"/>
                <w:szCs w:val="16"/>
                <w:lang w:eastAsia="cs-CZ"/>
              </w:rPr>
            </w:pPr>
            <w:r w:rsidRPr="006012C1">
              <w:rPr>
                <w:rFonts w:ascii="Arial" w:hAnsi="Arial" w:cs="Arial"/>
                <w:b/>
                <w:sz w:val="16"/>
                <w:szCs w:val="16"/>
                <w:lang w:eastAsia="cs-CZ"/>
              </w:rPr>
              <w:t>Km</w:t>
            </w:r>
          </w:p>
        </w:tc>
        <w:tc>
          <w:tcPr>
            <w:tcW w:w="478" w:type="dxa"/>
            <w:tcBorders>
              <w:top w:val="single" w:sz="12" w:space="0" w:color="000000"/>
              <w:bottom w:val="single" w:sz="12" w:space="0" w:color="000000"/>
            </w:tcBorders>
            <w:shd w:val="clear" w:color="auto" w:fill="D9D9D9" w:themeFill="background1" w:themeFillShade="D9"/>
            <w:noWrap/>
            <w:vAlign w:val="center"/>
          </w:tcPr>
          <w:p w:rsidR="001619D8" w:rsidRPr="006012C1" w:rsidRDefault="001619D8" w:rsidP="006C565C">
            <w:pPr>
              <w:suppressAutoHyphens w:val="0"/>
              <w:spacing w:before="0" w:after="0" w:line="240" w:lineRule="auto"/>
              <w:jc w:val="center"/>
              <w:rPr>
                <w:rFonts w:ascii="Arial" w:hAnsi="Arial" w:cs="Arial"/>
                <w:b/>
                <w:sz w:val="16"/>
                <w:szCs w:val="16"/>
                <w:lang w:eastAsia="cs-CZ"/>
              </w:rPr>
            </w:pPr>
            <w:r w:rsidRPr="006012C1">
              <w:rPr>
                <w:rFonts w:ascii="Arial" w:hAnsi="Arial" w:cs="Arial"/>
                <w:b/>
                <w:sz w:val="16"/>
                <w:szCs w:val="16"/>
                <w:lang w:eastAsia="cs-CZ"/>
              </w:rPr>
              <w:t>Stav</w:t>
            </w:r>
          </w:p>
        </w:tc>
        <w:tc>
          <w:tcPr>
            <w:tcW w:w="567" w:type="dxa"/>
            <w:tcBorders>
              <w:top w:val="single" w:sz="12" w:space="0" w:color="000000"/>
              <w:bottom w:val="single" w:sz="12" w:space="0" w:color="000000"/>
            </w:tcBorders>
            <w:shd w:val="clear" w:color="auto" w:fill="D9D9D9" w:themeFill="background1" w:themeFillShade="D9"/>
            <w:vAlign w:val="center"/>
          </w:tcPr>
          <w:p w:rsidR="001619D8" w:rsidRPr="006012C1" w:rsidRDefault="001619D8" w:rsidP="006C565C">
            <w:pPr>
              <w:suppressAutoHyphens w:val="0"/>
              <w:spacing w:before="0" w:after="0" w:line="240" w:lineRule="auto"/>
              <w:jc w:val="center"/>
              <w:rPr>
                <w:rFonts w:ascii="Arial" w:hAnsi="Arial" w:cs="Arial"/>
                <w:b/>
                <w:sz w:val="16"/>
                <w:szCs w:val="16"/>
                <w:lang w:eastAsia="cs-CZ"/>
              </w:rPr>
            </w:pPr>
            <w:r w:rsidRPr="006012C1">
              <w:rPr>
                <w:rFonts w:ascii="Arial" w:hAnsi="Arial" w:cs="Arial"/>
                <w:b/>
                <w:sz w:val="16"/>
                <w:szCs w:val="16"/>
                <w:lang w:eastAsia="cs-CZ"/>
              </w:rPr>
              <w:t>Šířka</w:t>
            </w:r>
          </w:p>
        </w:tc>
        <w:tc>
          <w:tcPr>
            <w:tcW w:w="603" w:type="dxa"/>
            <w:tcBorders>
              <w:top w:val="single" w:sz="12" w:space="0" w:color="000000"/>
              <w:bottom w:val="single" w:sz="12" w:space="0" w:color="000000"/>
            </w:tcBorders>
            <w:shd w:val="clear" w:color="auto" w:fill="D9D9D9" w:themeFill="background1" w:themeFillShade="D9"/>
            <w:noWrap/>
            <w:vAlign w:val="center"/>
          </w:tcPr>
          <w:p w:rsidR="001619D8" w:rsidRPr="006012C1" w:rsidRDefault="001619D8" w:rsidP="006C565C">
            <w:pPr>
              <w:suppressAutoHyphens w:val="0"/>
              <w:spacing w:before="0" w:after="0" w:line="240" w:lineRule="auto"/>
              <w:jc w:val="center"/>
              <w:rPr>
                <w:rFonts w:ascii="Arial" w:hAnsi="Arial" w:cs="Arial"/>
                <w:b/>
                <w:sz w:val="16"/>
                <w:szCs w:val="16"/>
                <w:lang w:eastAsia="cs-CZ"/>
              </w:rPr>
            </w:pPr>
            <w:r w:rsidRPr="006012C1">
              <w:rPr>
                <w:rFonts w:ascii="Arial" w:hAnsi="Arial" w:cs="Arial"/>
                <w:b/>
                <w:sz w:val="16"/>
                <w:szCs w:val="16"/>
                <w:lang w:eastAsia="cs-CZ"/>
              </w:rPr>
              <w:t>Výška</w:t>
            </w:r>
          </w:p>
        </w:tc>
        <w:tc>
          <w:tcPr>
            <w:tcW w:w="851" w:type="dxa"/>
            <w:tcBorders>
              <w:top w:val="single" w:sz="12" w:space="0" w:color="000000"/>
              <w:bottom w:val="single" w:sz="12" w:space="0" w:color="000000"/>
            </w:tcBorders>
            <w:shd w:val="clear" w:color="auto" w:fill="D9D9D9" w:themeFill="background1" w:themeFillShade="D9"/>
            <w:vAlign w:val="center"/>
          </w:tcPr>
          <w:p w:rsidR="001619D8" w:rsidRPr="006012C1" w:rsidRDefault="001619D8" w:rsidP="006C565C">
            <w:pPr>
              <w:suppressAutoHyphens w:val="0"/>
              <w:spacing w:before="0" w:after="0" w:line="240" w:lineRule="auto"/>
              <w:jc w:val="center"/>
              <w:rPr>
                <w:rFonts w:ascii="Arial" w:hAnsi="Arial" w:cs="Arial"/>
                <w:b/>
                <w:sz w:val="16"/>
                <w:szCs w:val="16"/>
                <w:lang w:eastAsia="cs-CZ"/>
              </w:rPr>
            </w:pPr>
            <w:r w:rsidRPr="006012C1">
              <w:rPr>
                <w:rFonts w:ascii="Arial" w:hAnsi="Arial" w:cs="Arial"/>
                <w:b/>
                <w:sz w:val="16"/>
                <w:szCs w:val="16"/>
                <w:lang w:eastAsia="cs-CZ"/>
              </w:rPr>
              <w:t>Poloha</w:t>
            </w:r>
          </w:p>
        </w:tc>
        <w:tc>
          <w:tcPr>
            <w:tcW w:w="2126" w:type="dxa"/>
            <w:tcBorders>
              <w:top w:val="single" w:sz="12" w:space="0" w:color="000000"/>
              <w:bottom w:val="single" w:sz="12" w:space="0" w:color="000000"/>
            </w:tcBorders>
            <w:shd w:val="clear" w:color="auto" w:fill="D9D9D9" w:themeFill="background1" w:themeFillShade="D9"/>
            <w:vAlign w:val="center"/>
          </w:tcPr>
          <w:p w:rsidR="001619D8" w:rsidRPr="006012C1" w:rsidRDefault="001619D8" w:rsidP="006C565C">
            <w:pPr>
              <w:suppressAutoHyphens w:val="0"/>
              <w:spacing w:before="0" w:after="0" w:line="240" w:lineRule="auto"/>
              <w:jc w:val="center"/>
              <w:rPr>
                <w:rFonts w:ascii="Arial" w:hAnsi="Arial" w:cs="Arial"/>
                <w:b/>
                <w:sz w:val="16"/>
                <w:szCs w:val="16"/>
                <w:lang w:eastAsia="cs-CZ"/>
              </w:rPr>
            </w:pPr>
            <w:r w:rsidRPr="006012C1">
              <w:rPr>
                <w:rFonts w:ascii="Arial" w:hAnsi="Arial" w:cs="Arial"/>
                <w:b/>
                <w:sz w:val="16"/>
                <w:szCs w:val="16"/>
                <w:lang w:eastAsia="cs-CZ"/>
              </w:rPr>
              <w:t>Spodní stavba</w:t>
            </w:r>
          </w:p>
        </w:tc>
        <w:tc>
          <w:tcPr>
            <w:tcW w:w="1134" w:type="dxa"/>
            <w:tcBorders>
              <w:top w:val="single" w:sz="12" w:space="0" w:color="000000"/>
              <w:bottom w:val="single" w:sz="12" w:space="0" w:color="000000"/>
            </w:tcBorders>
            <w:shd w:val="clear" w:color="auto" w:fill="D9D9D9" w:themeFill="background1" w:themeFillShade="D9"/>
            <w:vAlign w:val="center"/>
          </w:tcPr>
          <w:p w:rsidR="001619D8" w:rsidRPr="006012C1" w:rsidRDefault="001619D8" w:rsidP="006C565C">
            <w:pPr>
              <w:suppressAutoHyphens w:val="0"/>
              <w:spacing w:before="0" w:after="0" w:line="240" w:lineRule="auto"/>
              <w:jc w:val="center"/>
              <w:rPr>
                <w:rFonts w:ascii="Arial" w:hAnsi="Arial" w:cs="Arial"/>
                <w:b/>
                <w:sz w:val="16"/>
                <w:szCs w:val="16"/>
                <w:lang w:eastAsia="cs-CZ"/>
              </w:rPr>
            </w:pPr>
            <w:r w:rsidRPr="006012C1">
              <w:rPr>
                <w:rFonts w:ascii="Arial" w:hAnsi="Arial" w:cs="Arial"/>
                <w:b/>
                <w:sz w:val="16"/>
                <w:szCs w:val="16"/>
                <w:lang w:eastAsia="cs-CZ"/>
              </w:rPr>
              <w:t>Výstavba</w:t>
            </w:r>
          </w:p>
        </w:tc>
        <w:tc>
          <w:tcPr>
            <w:tcW w:w="1134" w:type="dxa"/>
            <w:tcBorders>
              <w:top w:val="single" w:sz="12" w:space="0" w:color="000000"/>
              <w:bottom w:val="single" w:sz="12" w:space="0" w:color="000000"/>
            </w:tcBorders>
            <w:shd w:val="clear" w:color="auto" w:fill="D9D9D9" w:themeFill="background1" w:themeFillShade="D9"/>
            <w:noWrap/>
            <w:vAlign w:val="center"/>
          </w:tcPr>
          <w:p w:rsidR="001619D8" w:rsidRPr="006012C1" w:rsidRDefault="001619D8" w:rsidP="006C565C">
            <w:pPr>
              <w:suppressAutoHyphens w:val="0"/>
              <w:spacing w:before="0" w:after="0" w:line="240" w:lineRule="auto"/>
              <w:jc w:val="center"/>
              <w:rPr>
                <w:rFonts w:ascii="Arial" w:hAnsi="Arial" w:cs="Arial"/>
                <w:b/>
                <w:sz w:val="16"/>
                <w:szCs w:val="16"/>
                <w:lang w:eastAsia="cs-CZ"/>
              </w:rPr>
            </w:pPr>
            <w:r w:rsidRPr="006012C1">
              <w:rPr>
                <w:rFonts w:ascii="Arial" w:hAnsi="Arial" w:cs="Arial"/>
                <w:b/>
                <w:sz w:val="16"/>
                <w:szCs w:val="16"/>
                <w:lang w:eastAsia="cs-CZ"/>
              </w:rPr>
              <w:t>Konst. [NK]</w:t>
            </w:r>
          </w:p>
        </w:tc>
        <w:tc>
          <w:tcPr>
            <w:tcW w:w="1984" w:type="dxa"/>
            <w:tcBorders>
              <w:top w:val="single" w:sz="12" w:space="0" w:color="000000"/>
              <w:bottom w:val="single" w:sz="12" w:space="0" w:color="000000"/>
            </w:tcBorders>
            <w:shd w:val="clear" w:color="auto" w:fill="D9D9D9" w:themeFill="background1" w:themeFillShade="D9"/>
            <w:noWrap/>
            <w:vAlign w:val="center"/>
          </w:tcPr>
          <w:p w:rsidR="001619D8" w:rsidRPr="006012C1" w:rsidRDefault="001619D8" w:rsidP="006C565C">
            <w:pPr>
              <w:suppressAutoHyphens w:val="0"/>
              <w:spacing w:before="0" w:after="0" w:line="240" w:lineRule="auto"/>
              <w:jc w:val="center"/>
              <w:rPr>
                <w:rFonts w:ascii="Arial" w:hAnsi="Arial" w:cs="Arial"/>
                <w:b/>
                <w:sz w:val="16"/>
                <w:szCs w:val="16"/>
                <w:lang w:eastAsia="cs-CZ"/>
              </w:rPr>
            </w:pPr>
            <w:r w:rsidRPr="006012C1">
              <w:rPr>
                <w:rFonts w:ascii="Arial" w:hAnsi="Arial" w:cs="Arial"/>
                <w:b/>
                <w:sz w:val="16"/>
                <w:szCs w:val="16"/>
                <w:lang w:eastAsia="cs-CZ"/>
              </w:rPr>
              <w:t>Materiál NK</w:t>
            </w:r>
          </w:p>
        </w:tc>
        <w:tc>
          <w:tcPr>
            <w:tcW w:w="1843" w:type="dxa"/>
            <w:tcBorders>
              <w:top w:val="single" w:sz="12" w:space="0" w:color="000000"/>
              <w:bottom w:val="single" w:sz="12" w:space="0" w:color="000000"/>
            </w:tcBorders>
            <w:shd w:val="clear" w:color="auto" w:fill="D9D9D9" w:themeFill="background1" w:themeFillShade="D9"/>
            <w:noWrap/>
            <w:vAlign w:val="center"/>
          </w:tcPr>
          <w:p w:rsidR="001619D8" w:rsidRPr="006012C1" w:rsidRDefault="001619D8" w:rsidP="006C565C">
            <w:pPr>
              <w:suppressAutoHyphens w:val="0"/>
              <w:spacing w:before="0" w:after="0" w:line="240" w:lineRule="auto"/>
              <w:jc w:val="center"/>
              <w:rPr>
                <w:rFonts w:ascii="Arial" w:hAnsi="Arial" w:cs="Arial"/>
                <w:b/>
                <w:sz w:val="16"/>
                <w:szCs w:val="16"/>
                <w:lang w:eastAsia="cs-CZ"/>
              </w:rPr>
            </w:pPr>
            <w:r w:rsidRPr="006012C1">
              <w:rPr>
                <w:rFonts w:ascii="Arial" w:hAnsi="Arial" w:cs="Arial"/>
                <w:b/>
                <w:sz w:val="16"/>
                <w:szCs w:val="16"/>
                <w:lang w:eastAsia="cs-CZ"/>
              </w:rPr>
              <w:t>Popis NK</w:t>
            </w:r>
          </w:p>
        </w:tc>
        <w:tc>
          <w:tcPr>
            <w:tcW w:w="1276" w:type="dxa"/>
            <w:tcBorders>
              <w:top w:val="single" w:sz="12" w:space="0" w:color="000000"/>
              <w:bottom w:val="single" w:sz="12" w:space="0" w:color="000000"/>
            </w:tcBorders>
            <w:shd w:val="clear" w:color="auto" w:fill="D9D9D9" w:themeFill="background1" w:themeFillShade="D9"/>
            <w:noWrap/>
            <w:vAlign w:val="center"/>
          </w:tcPr>
          <w:p w:rsidR="001619D8" w:rsidRPr="006012C1" w:rsidRDefault="001619D8" w:rsidP="006C565C">
            <w:pPr>
              <w:suppressAutoHyphens w:val="0"/>
              <w:spacing w:before="0" w:after="0" w:line="240" w:lineRule="auto"/>
              <w:jc w:val="center"/>
              <w:rPr>
                <w:rFonts w:ascii="Arial" w:hAnsi="Arial" w:cs="Arial"/>
                <w:b/>
                <w:sz w:val="16"/>
                <w:szCs w:val="16"/>
                <w:lang w:eastAsia="cs-CZ"/>
              </w:rPr>
            </w:pPr>
            <w:r w:rsidRPr="006012C1">
              <w:rPr>
                <w:rFonts w:ascii="Arial" w:hAnsi="Arial" w:cs="Arial"/>
                <w:b/>
                <w:sz w:val="16"/>
                <w:szCs w:val="16"/>
                <w:lang w:eastAsia="cs-CZ"/>
              </w:rPr>
              <w:t>Rozpětí</w:t>
            </w:r>
          </w:p>
        </w:tc>
        <w:tc>
          <w:tcPr>
            <w:tcW w:w="1328" w:type="dxa"/>
            <w:tcBorders>
              <w:top w:val="single" w:sz="12" w:space="0" w:color="000000"/>
              <w:bottom w:val="single" w:sz="12" w:space="0" w:color="000000"/>
              <w:right w:val="single" w:sz="4" w:space="0" w:color="auto"/>
            </w:tcBorders>
            <w:shd w:val="clear" w:color="auto" w:fill="D9D9D9" w:themeFill="background1" w:themeFillShade="D9"/>
            <w:noWrap/>
            <w:vAlign w:val="center"/>
          </w:tcPr>
          <w:p w:rsidR="001619D8" w:rsidRPr="006012C1" w:rsidRDefault="001619D8" w:rsidP="006C565C">
            <w:pPr>
              <w:suppressAutoHyphens w:val="0"/>
              <w:spacing w:before="0" w:after="0" w:line="240" w:lineRule="auto"/>
              <w:jc w:val="center"/>
              <w:rPr>
                <w:rFonts w:ascii="Arial" w:hAnsi="Arial" w:cs="Arial"/>
                <w:b/>
                <w:sz w:val="16"/>
                <w:szCs w:val="16"/>
                <w:lang w:eastAsia="cs-CZ"/>
              </w:rPr>
            </w:pPr>
            <w:r w:rsidRPr="006012C1">
              <w:rPr>
                <w:rFonts w:ascii="Arial" w:hAnsi="Arial" w:cs="Arial"/>
                <w:b/>
                <w:sz w:val="16"/>
                <w:szCs w:val="16"/>
                <w:lang w:eastAsia="cs-CZ"/>
              </w:rPr>
              <w:t>Výroba</w:t>
            </w:r>
          </w:p>
        </w:tc>
      </w:tr>
      <w:tr w:rsidR="0059693F" w:rsidRPr="006012C1" w:rsidTr="009855A1">
        <w:trPr>
          <w:trHeight w:val="255"/>
        </w:trPr>
        <w:tc>
          <w:tcPr>
            <w:tcW w:w="866" w:type="dxa"/>
            <w:tcBorders>
              <w:top w:val="single" w:sz="12" w:space="0" w:color="000000"/>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4,578</w:t>
            </w:r>
          </w:p>
        </w:tc>
        <w:tc>
          <w:tcPr>
            <w:tcW w:w="478" w:type="dxa"/>
            <w:tcBorders>
              <w:top w:val="single" w:sz="12"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99</w:t>
            </w:r>
          </w:p>
        </w:tc>
        <w:tc>
          <w:tcPr>
            <w:tcW w:w="567" w:type="dxa"/>
            <w:tcBorders>
              <w:top w:val="single" w:sz="12"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15</w:t>
            </w:r>
          </w:p>
        </w:tc>
        <w:tc>
          <w:tcPr>
            <w:tcW w:w="603" w:type="dxa"/>
            <w:tcBorders>
              <w:top w:val="single" w:sz="12"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3</w:t>
            </w:r>
          </w:p>
        </w:tc>
        <w:tc>
          <w:tcPr>
            <w:tcW w:w="851" w:type="dxa"/>
            <w:tcBorders>
              <w:top w:val="single" w:sz="12"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širá trať</w:t>
            </w:r>
          </w:p>
        </w:tc>
        <w:tc>
          <w:tcPr>
            <w:tcW w:w="2126" w:type="dxa"/>
            <w:tcBorders>
              <w:top w:val="single" w:sz="12"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různý např. jiný materiál</w:t>
            </w:r>
          </w:p>
        </w:tc>
        <w:tc>
          <w:tcPr>
            <w:tcW w:w="1134" w:type="dxa"/>
            <w:tcBorders>
              <w:top w:val="single" w:sz="12"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1134" w:type="dxa"/>
            <w:tcBorders>
              <w:top w:val="single" w:sz="12"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12"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prostý beton</w:t>
            </w:r>
          </w:p>
        </w:tc>
        <w:tc>
          <w:tcPr>
            <w:tcW w:w="1843" w:type="dxa"/>
            <w:tcBorders>
              <w:top w:val="single" w:sz="12"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trubní (kruhová)</w:t>
            </w:r>
          </w:p>
        </w:tc>
        <w:tc>
          <w:tcPr>
            <w:tcW w:w="1276" w:type="dxa"/>
            <w:tcBorders>
              <w:top w:val="single" w:sz="12"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0,9</w:t>
            </w:r>
          </w:p>
        </w:tc>
        <w:tc>
          <w:tcPr>
            <w:tcW w:w="1328" w:type="dxa"/>
            <w:tcBorders>
              <w:top w:val="single" w:sz="12" w:space="0" w:color="000000"/>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1951</w:t>
            </w:r>
          </w:p>
        </w:tc>
      </w:tr>
      <w:tr w:rsidR="0059693F" w:rsidRPr="006012C1" w:rsidTr="009855A1">
        <w:trPr>
          <w:trHeight w:val="255"/>
        </w:trPr>
        <w:tc>
          <w:tcPr>
            <w:tcW w:w="866" w:type="dxa"/>
            <w:tcBorders>
              <w:top w:val="single" w:sz="4" w:space="0" w:color="auto"/>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5,375</w:t>
            </w:r>
          </w:p>
        </w:tc>
        <w:tc>
          <w:tcPr>
            <w:tcW w:w="478"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w:t>
            </w:r>
          </w:p>
        </w:tc>
        <w:tc>
          <w:tcPr>
            <w:tcW w:w="567"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5</w:t>
            </w:r>
          </w:p>
        </w:tc>
        <w:tc>
          <w:tcPr>
            <w:tcW w:w="60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3,4</w:t>
            </w:r>
          </w:p>
        </w:tc>
        <w:tc>
          <w:tcPr>
            <w:tcW w:w="851"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širá trať</w:t>
            </w:r>
          </w:p>
        </w:tc>
        <w:tc>
          <w:tcPr>
            <w:tcW w:w="212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kamenné zdivo</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1922</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zabetonované kolejnice</w:t>
            </w:r>
          </w:p>
        </w:tc>
        <w:tc>
          <w:tcPr>
            <w:tcW w:w="184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desková</w:t>
            </w:r>
          </w:p>
        </w:tc>
        <w:tc>
          <w:tcPr>
            <w:tcW w:w="127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2,3</w:t>
            </w:r>
          </w:p>
        </w:tc>
        <w:tc>
          <w:tcPr>
            <w:tcW w:w="1328" w:type="dxa"/>
            <w:tcBorders>
              <w:top w:val="single" w:sz="4" w:space="0" w:color="auto"/>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1922</w:t>
            </w:r>
          </w:p>
        </w:tc>
      </w:tr>
      <w:tr w:rsidR="0059693F" w:rsidRPr="006012C1" w:rsidTr="009855A1">
        <w:trPr>
          <w:trHeight w:val="255"/>
        </w:trPr>
        <w:tc>
          <w:tcPr>
            <w:tcW w:w="866" w:type="dxa"/>
            <w:tcBorders>
              <w:top w:val="single" w:sz="4" w:space="0" w:color="auto"/>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6,215</w:t>
            </w:r>
          </w:p>
        </w:tc>
        <w:tc>
          <w:tcPr>
            <w:tcW w:w="478"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w:t>
            </w:r>
          </w:p>
        </w:tc>
        <w:tc>
          <w:tcPr>
            <w:tcW w:w="567"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10</w:t>
            </w:r>
          </w:p>
        </w:tc>
        <w:tc>
          <w:tcPr>
            <w:tcW w:w="60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3</w:t>
            </w:r>
          </w:p>
        </w:tc>
        <w:tc>
          <w:tcPr>
            <w:tcW w:w="851"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širá trať</w:t>
            </w:r>
          </w:p>
        </w:tc>
        <w:tc>
          <w:tcPr>
            <w:tcW w:w="212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různý např. jiný materiál</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železobeton</w:t>
            </w:r>
          </w:p>
        </w:tc>
        <w:tc>
          <w:tcPr>
            <w:tcW w:w="184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trubní (kruhová)</w:t>
            </w:r>
          </w:p>
        </w:tc>
        <w:tc>
          <w:tcPr>
            <w:tcW w:w="127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1,1</w:t>
            </w:r>
          </w:p>
        </w:tc>
        <w:tc>
          <w:tcPr>
            <w:tcW w:w="1328" w:type="dxa"/>
            <w:tcBorders>
              <w:top w:val="single" w:sz="4" w:space="0" w:color="auto"/>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1950</w:t>
            </w:r>
          </w:p>
        </w:tc>
      </w:tr>
      <w:tr w:rsidR="0059693F" w:rsidRPr="006012C1" w:rsidTr="009855A1">
        <w:trPr>
          <w:trHeight w:val="255"/>
        </w:trPr>
        <w:tc>
          <w:tcPr>
            <w:tcW w:w="866" w:type="dxa"/>
            <w:tcBorders>
              <w:top w:val="single" w:sz="4" w:space="0" w:color="auto"/>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7,254</w:t>
            </w:r>
          </w:p>
        </w:tc>
        <w:tc>
          <w:tcPr>
            <w:tcW w:w="478"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w:t>
            </w:r>
          </w:p>
        </w:tc>
        <w:tc>
          <w:tcPr>
            <w:tcW w:w="567"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7</w:t>
            </w:r>
          </w:p>
        </w:tc>
        <w:tc>
          <w:tcPr>
            <w:tcW w:w="60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2,05</w:t>
            </w:r>
          </w:p>
        </w:tc>
        <w:tc>
          <w:tcPr>
            <w:tcW w:w="851"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širá trať</w:t>
            </w:r>
          </w:p>
        </w:tc>
        <w:tc>
          <w:tcPr>
            <w:tcW w:w="212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různý např. jiný materiál</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železobeton</w:t>
            </w:r>
          </w:p>
        </w:tc>
        <w:tc>
          <w:tcPr>
            <w:tcW w:w="184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trubní (kruhová)</w:t>
            </w:r>
          </w:p>
        </w:tc>
        <w:tc>
          <w:tcPr>
            <w:tcW w:w="127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1,12</w:t>
            </w:r>
          </w:p>
        </w:tc>
        <w:tc>
          <w:tcPr>
            <w:tcW w:w="1328" w:type="dxa"/>
            <w:tcBorders>
              <w:top w:val="single" w:sz="4" w:space="0" w:color="auto"/>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1979</w:t>
            </w:r>
          </w:p>
        </w:tc>
      </w:tr>
      <w:tr w:rsidR="0059693F" w:rsidRPr="006012C1" w:rsidTr="009855A1">
        <w:trPr>
          <w:trHeight w:val="255"/>
        </w:trPr>
        <w:tc>
          <w:tcPr>
            <w:tcW w:w="866" w:type="dxa"/>
            <w:tcBorders>
              <w:top w:val="single" w:sz="4" w:space="0" w:color="auto"/>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7,857</w:t>
            </w:r>
          </w:p>
        </w:tc>
        <w:tc>
          <w:tcPr>
            <w:tcW w:w="478"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w:t>
            </w:r>
          </w:p>
        </w:tc>
        <w:tc>
          <w:tcPr>
            <w:tcW w:w="567"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6</w:t>
            </w:r>
          </w:p>
        </w:tc>
        <w:tc>
          <w:tcPr>
            <w:tcW w:w="60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1,31</w:t>
            </w:r>
          </w:p>
        </w:tc>
        <w:tc>
          <w:tcPr>
            <w:tcW w:w="851"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širá trať</w:t>
            </w:r>
          </w:p>
        </w:tc>
        <w:tc>
          <w:tcPr>
            <w:tcW w:w="212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různý např. jiný materiál</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železobeton</w:t>
            </w:r>
          </w:p>
        </w:tc>
        <w:tc>
          <w:tcPr>
            <w:tcW w:w="184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trubní (kruhová)</w:t>
            </w:r>
          </w:p>
        </w:tc>
        <w:tc>
          <w:tcPr>
            <w:tcW w:w="127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0,68</w:t>
            </w:r>
          </w:p>
        </w:tc>
        <w:tc>
          <w:tcPr>
            <w:tcW w:w="1328" w:type="dxa"/>
            <w:tcBorders>
              <w:top w:val="single" w:sz="4" w:space="0" w:color="auto"/>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1980</w:t>
            </w:r>
          </w:p>
        </w:tc>
      </w:tr>
      <w:tr w:rsidR="0059693F" w:rsidRPr="006012C1" w:rsidTr="009855A1">
        <w:trPr>
          <w:trHeight w:val="255"/>
        </w:trPr>
        <w:tc>
          <w:tcPr>
            <w:tcW w:w="866" w:type="dxa"/>
            <w:tcBorders>
              <w:top w:val="single" w:sz="4" w:space="0" w:color="auto"/>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8,505</w:t>
            </w:r>
          </w:p>
        </w:tc>
        <w:tc>
          <w:tcPr>
            <w:tcW w:w="478"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w:t>
            </w:r>
          </w:p>
        </w:tc>
        <w:tc>
          <w:tcPr>
            <w:tcW w:w="567"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w:t>
            </w:r>
          </w:p>
        </w:tc>
        <w:tc>
          <w:tcPr>
            <w:tcW w:w="60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2,8</w:t>
            </w:r>
          </w:p>
        </w:tc>
        <w:tc>
          <w:tcPr>
            <w:tcW w:w="851"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širá trať</w:t>
            </w:r>
          </w:p>
        </w:tc>
        <w:tc>
          <w:tcPr>
            <w:tcW w:w="212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různý např. jiný materiál</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železobeton</w:t>
            </w:r>
          </w:p>
        </w:tc>
        <w:tc>
          <w:tcPr>
            <w:tcW w:w="184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trubní (kruhová)</w:t>
            </w:r>
          </w:p>
        </w:tc>
        <w:tc>
          <w:tcPr>
            <w:tcW w:w="127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0,9</w:t>
            </w:r>
          </w:p>
        </w:tc>
        <w:tc>
          <w:tcPr>
            <w:tcW w:w="1328" w:type="dxa"/>
            <w:tcBorders>
              <w:top w:val="single" w:sz="4" w:space="0" w:color="auto"/>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1980</w:t>
            </w:r>
          </w:p>
        </w:tc>
      </w:tr>
      <w:tr w:rsidR="0059693F" w:rsidRPr="006012C1" w:rsidTr="009855A1">
        <w:trPr>
          <w:trHeight w:val="255"/>
        </w:trPr>
        <w:tc>
          <w:tcPr>
            <w:tcW w:w="866" w:type="dxa"/>
            <w:tcBorders>
              <w:top w:val="single" w:sz="4" w:space="0" w:color="auto"/>
              <w:left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9,384</w:t>
            </w:r>
          </w:p>
        </w:tc>
        <w:tc>
          <w:tcPr>
            <w:tcW w:w="478"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3</w:t>
            </w:r>
          </w:p>
        </w:tc>
        <w:tc>
          <w:tcPr>
            <w:tcW w:w="567"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25</w:t>
            </w:r>
          </w:p>
        </w:tc>
        <w:tc>
          <w:tcPr>
            <w:tcW w:w="603"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2,1</w:t>
            </w:r>
          </w:p>
        </w:tc>
        <w:tc>
          <w:tcPr>
            <w:tcW w:w="851"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stanice</w:t>
            </w:r>
          </w:p>
        </w:tc>
        <w:tc>
          <w:tcPr>
            <w:tcW w:w="2126"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kamenné zdivo</w:t>
            </w:r>
          </w:p>
        </w:tc>
        <w:tc>
          <w:tcPr>
            <w:tcW w:w="1134"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1927</w:t>
            </w:r>
          </w:p>
        </w:tc>
        <w:tc>
          <w:tcPr>
            <w:tcW w:w="1134"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zabetonované kolejnice</w:t>
            </w:r>
          </w:p>
        </w:tc>
        <w:tc>
          <w:tcPr>
            <w:tcW w:w="1843"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desková</w:t>
            </w:r>
          </w:p>
        </w:tc>
        <w:tc>
          <w:tcPr>
            <w:tcW w:w="1276"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2,1</w:t>
            </w:r>
          </w:p>
        </w:tc>
        <w:tc>
          <w:tcPr>
            <w:tcW w:w="1328" w:type="dxa"/>
            <w:tcBorders>
              <w:top w:val="single" w:sz="4" w:space="0" w:color="auto"/>
              <w:bottom w:val="single" w:sz="6" w:space="0" w:color="000000"/>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1927</w:t>
            </w:r>
          </w:p>
        </w:tc>
      </w:tr>
      <w:tr w:rsidR="0059693F" w:rsidRPr="006012C1" w:rsidTr="009855A1">
        <w:trPr>
          <w:trHeight w:val="255"/>
        </w:trPr>
        <w:tc>
          <w:tcPr>
            <w:tcW w:w="866" w:type="dxa"/>
            <w:tcBorders>
              <w:top w:val="single" w:sz="6" w:space="0" w:color="000000"/>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478"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567"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603"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851"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2126"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1134"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1134"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02</w:t>
            </w:r>
          </w:p>
        </w:tc>
        <w:tc>
          <w:tcPr>
            <w:tcW w:w="1984"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železobeton</w:t>
            </w:r>
          </w:p>
        </w:tc>
        <w:tc>
          <w:tcPr>
            <w:tcW w:w="1843"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trubní (kruhová)</w:t>
            </w:r>
          </w:p>
        </w:tc>
        <w:tc>
          <w:tcPr>
            <w:tcW w:w="1276"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1,1</w:t>
            </w:r>
          </w:p>
        </w:tc>
        <w:tc>
          <w:tcPr>
            <w:tcW w:w="1328" w:type="dxa"/>
            <w:tcBorders>
              <w:top w:val="single" w:sz="6" w:space="0" w:color="000000"/>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1927</w:t>
            </w:r>
          </w:p>
        </w:tc>
      </w:tr>
      <w:tr w:rsidR="0059693F" w:rsidRPr="006012C1" w:rsidTr="009855A1">
        <w:trPr>
          <w:trHeight w:val="255"/>
        </w:trPr>
        <w:tc>
          <w:tcPr>
            <w:tcW w:w="866" w:type="dxa"/>
            <w:tcBorders>
              <w:top w:val="single" w:sz="4" w:space="0" w:color="auto"/>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11,829</w:t>
            </w:r>
          </w:p>
        </w:tc>
        <w:tc>
          <w:tcPr>
            <w:tcW w:w="478"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w:t>
            </w:r>
          </w:p>
        </w:tc>
        <w:tc>
          <w:tcPr>
            <w:tcW w:w="567"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8</w:t>
            </w:r>
          </w:p>
        </w:tc>
        <w:tc>
          <w:tcPr>
            <w:tcW w:w="60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2,5</w:t>
            </w:r>
          </w:p>
        </w:tc>
        <w:tc>
          <w:tcPr>
            <w:tcW w:w="851"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širá trať</w:t>
            </w:r>
          </w:p>
        </w:tc>
        <w:tc>
          <w:tcPr>
            <w:tcW w:w="212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různý např. jiný materiál</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železobeton</w:t>
            </w:r>
          </w:p>
        </w:tc>
        <w:tc>
          <w:tcPr>
            <w:tcW w:w="184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trubní (kruhová)</w:t>
            </w:r>
          </w:p>
        </w:tc>
        <w:tc>
          <w:tcPr>
            <w:tcW w:w="127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1,4</w:t>
            </w:r>
          </w:p>
        </w:tc>
        <w:tc>
          <w:tcPr>
            <w:tcW w:w="1328" w:type="dxa"/>
            <w:tcBorders>
              <w:top w:val="single" w:sz="4" w:space="0" w:color="auto"/>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1960</w:t>
            </w:r>
          </w:p>
        </w:tc>
      </w:tr>
      <w:tr w:rsidR="0059693F" w:rsidRPr="006012C1" w:rsidTr="009855A1">
        <w:trPr>
          <w:trHeight w:val="255"/>
        </w:trPr>
        <w:tc>
          <w:tcPr>
            <w:tcW w:w="866" w:type="dxa"/>
            <w:tcBorders>
              <w:top w:val="single" w:sz="4" w:space="0" w:color="auto"/>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13,421</w:t>
            </w:r>
          </w:p>
        </w:tc>
        <w:tc>
          <w:tcPr>
            <w:tcW w:w="478"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w:t>
            </w:r>
          </w:p>
        </w:tc>
        <w:tc>
          <w:tcPr>
            <w:tcW w:w="567"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5</w:t>
            </w:r>
          </w:p>
        </w:tc>
        <w:tc>
          <w:tcPr>
            <w:tcW w:w="60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2,15</w:t>
            </w:r>
          </w:p>
        </w:tc>
        <w:tc>
          <w:tcPr>
            <w:tcW w:w="851"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širá trať</w:t>
            </w:r>
          </w:p>
        </w:tc>
        <w:tc>
          <w:tcPr>
            <w:tcW w:w="212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beton</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1933</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zabetonované kolejnice</w:t>
            </w:r>
          </w:p>
        </w:tc>
        <w:tc>
          <w:tcPr>
            <w:tcW w:w="184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desková</w:t>
            </w:r>
          </w:p>
        </w:tc>
        <w:tc>
          <w:tcPr>
            <w:tcW w:w="127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2,3</w:t>
            </w:r>
          </w:p>
        </w:tc>
        <w:tc>
          <w:tcPr>
            <w:tcW w:w="1328" w:type="dxa"/>
            <w:tcBorders>
              <w:top w:val="single" w:sz="4" w:space="0" w:color="auto"/>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1933</w:t>
            </w:r>
          </w:p>
        </w:tc>
      </w:tr>
      <w:tr w:rsidR="0059693F" w:rsidRPr="006012C1" w:rsidTr="009855A1">
        <w:trPr>
          <w:trHeight w:val="255"/>
        </w:trPr>
        <w:tc>
          <w:tcPr>
            <w:tcW w:w="866" w:type="dxa"/>
            <w:tcBorders>
              <w:top w:val="single" w:sz="4" w:space="0" w:color="auto"/>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14,194</w:t>
            </w:r>
          </w:p>
        </w:tc>
        <w:tc>
          <w:tcPr>
            <w:tcW w:w="478"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w:t>
            </w:r>
          </w:p>
        </w:tc>
        <w:tc>
          <w:tcPr>
            <w:tcW w:w="567"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4</w:t>
            </w:r>
          </w:p>
        </w:tc>
        <w:tc>
          <w:tcPr>
            <w:tcW w:w="60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1,6</w:t>
            </w:r>
          </w:p>
        </w:tc>
        <w:tc>
          <w:tcPr>
            <w:tcW w:w="851"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širá trať</w:t>
            </w:r>
          </w:p>
        </w:tc>
        <w:tc>
          <w:tcPr>
            <w:tcW w:w="212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kamenné zdivo</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1928</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zabetonované kolejnice</w:t>
            </w:r>
          </w:p>
        </w:tc>
        <w:tc>
          <w:tcPr>
            <w:tcW w:w="184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desková</w:t>
            </w:r>
          </w:p>
        </w:tc>
        <w:tc>
          <w:tcPr>
            <w:tcW w:w="127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1,4</w:t>
            </w:r>
          </w:p>
        </w:tc>
        <w:tc>
          <w:tcPr>
            <w:tcW w:w="1328" w:type="dxa"/>
            <w:tcBorders>
              <w:top w:val="single" w:sz="4" w:space="0" w:color="auto"/>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1928</w:t>
            </w:r>
          </w:p>
        </w:tc>
      </w:tr>
      <w:tr w:rsidR="0059693F" w:rsidRPr="006012C1" w:rsidTr="009855A1">
        <w:trPr>
          <w:trHeight w:val="255"/>
        </w:trPr>
        <w:tc>
          <w:tcPr>
            <w:tcW w:w="866" w:type="dxa"/>
            <w:tcBorders>
              <w:top w:val="single" w:sz="4" w:space="0" w:color="auto"/>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14,658</w:t>
            </w:r>
          </w:p>
        </w:tc>
        <w:tc>
          <w:tcPr>
            <w:tcW w:w="478"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w:t>
            </w:r>
          </w:p>
        </w:tc>
        <w:tc>
          <w:tcPr>
            <w:tcW w:w="567"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5</w:t>
            </w:r>
          </w:p>
        </w:tc>
        <w:tc>
          <w:tcPr>
            <w:tcW w:w="60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1,7</w:t>
            </w:r>
          </w:p>
        </w:tc>
        <w:tc>
          <w:tcPr>
            <w:tcW w:w="851"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širá trať</w:t>
            </w:r>
          </w:p>
        </w:tc>
        <w:tc>
          <w:tcPr>
            <w:tcW w:w="212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kamenné zdivo</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1929</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zabetonované kolejnice</w:t>
            </w:r>
          </w:p>
        </w:tc>
        <w:tc>
          <w:tcPr>
            <w:tcW w:w="184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desková</w:t>
            </w:r>
          </w:p>
        </w:tc>
        <w:tc>
          <w:tcPr>
            <w:tcW w:w="127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2,3</w:t>
            </w:r>
          </w:p>
        </w:tc>
        <w:tc>
          <w:tcPr>
            <w:tcW w:w="1328" w:type="dxa"/>
            <w:tcBorders>
              <w:top w:val="single" w:sz="4" w:space="0" w:color="auto"/>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1929</w:t>
            </w:r>
          </w:p>
        </w:tc>
      </w:tr>
      <w:tr w:rsidR="0059693F" w:rsidRPr="006012C1" w:rsidTr="009855A1">
        <w:trPr>
          <w:trHeight w:val="255"/>
        </w:trPr>
        <w:tc>
          <w:tcPr>
            <w:tcW w:w="866" w:type="dxa"/>
            <w:tcBorders>
              <w:top w:val="single" w:sz="4" w:space="0" w:color="auto"/>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15,036</w:t>
            </w:r>
          </w:p>
        </w:tc>
        <w:tc>
          <w:tcPr>
            <w:tcW w:w="478"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w:t>
            </w:r>
          </w:p>
        </w:tc>
        <w:tc>
          <w:tcPr>
            <w:tcW w:w="567"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5</w:t>
            </w:r>
          </w:p>
        </w:tc>
        <w:tc>
          <w:tcPr>
            <w:tcW w:w="60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1,6</w:t>
            </w:r>
          </w:p>
        </w:tc>
        <w:tc>
          <w:tcPr>
            <w:tcW w:w="851"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širá trať</w:t>
            </w:r>
          </w:p>
        </w:tc>
        <w:tc>
          <w:tcPr>
            <w:tcW w:w="212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beton</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1929</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zabetonované kolejnice</w:t>
            </w:r>
          </w:p>
        </w:tc>
        <w:tc>
          <w:tcPr>
            <w:tcW w:w="184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desková</w:t>
            </w:r>
          </w:p>
        </w:tc>
        <w:tc>
          <w:tcPr>
            <w:tcW w:w="127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1,4</w:t>
            </w:r>
          </w:p>
        </w:tc>
        <w:tc>
          <w:tcPr>
            <w:tcW w:w="1328" w:type="dxa"/>
            <w:tcBorders>
              <w:top w:val="single" w:sz="4" w:space="0" w:color="auto"/>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1929</w:t>
            </w:r>
          </w:p>
        </w:tc>
      </w:tr>
      <w:tr w:rsidR="0059693F" w:rsidRPr="006012C1" w:rsidTr="009855A1">
        <w:trPr>
          <w:trHeight w:val="255"/>
        </w:trPr>
        <w:tc>
          <w:tcPr>
            <w:tcW w:w="866" w:type="dxa"/>
            <w:tcBorders>
              <w:top w:val="single" w:sz="4" w:space="0" w:color="auto"/>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15,817</w:t>
            </w:r>
          </w:p>
        </w:tc>
        <w:tc>
          <w:tcPr>
            <w:tcW w:w="478"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w:t>
            </w:r>
          </w:p>
        </w:tc>
        <w:tc>
          <w:tcPr>
            <w:tcW w:w="567"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31</w:t>
            </w:r>
          </w:p>
        </w:tc>
        <w:tc>
          <w:tcPr>
            <w:tcW w:w="60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w:t>
            </w:r>
          </w:p>
        </w:tc>
        <w:tc>
          <w:tcPr>
            <w:tcW w:w="851"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širá trať</w:t>
            </w:r>
          </w:p>
        </w:tc>
        <w:tc>
          <w:tcPr>
            <w:tcW w:w="212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kamenné zdivo</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1950</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zabetonované kolejnice</w:t>
            </w:r>
          </w:p>
        </w:tc>
        <w:tc>
          <w:tcPr>
            <w:tcW w:w="184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desková</w:t>
            </w:r>
          </w:p>
        </w:tc>
        <w:tc>
          <w:tcPr>
            <w:tcW w:w="127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1,4</w:t>
            </w:r>
          </w:p>
        </w:tc>
        <w:tc>
          <w:tcPr>
            <w:tcW w:w="1328" w:type="dxa"/>
            <w:tcBorders>
              <w:top w:val="single" w:sz="4" w:space="0" w:color="auto"/>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1950</w:t>
            </w:r>
          </w:p>
        </w:tc>
      </w:tr>
      <w:tr w:rsidR="0059693F" w:rsidRPr="006012C1" w:rsidTr="009855A1">
        <w:trPr>
          <w:trHeight w:val="255"/>
        </w:trPr>
        <w:tc>
          <w:tcPr>
            <w:tcW w:w="866" w:type="dxa"/>
            <w:tcBorders>
              <w:top w:val="single" w:sz="4" w:space="0" w:color="auto"/>
              <w:left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16,649</w:t>
            </w:r>
          </w:p>
        </w:tc>
        <w:tc>
          <w:tcPr>
            <w:tcW w:w="478"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3</w:t>
            </w:r>
          </w:p>
        </w:tc>
        <w:tc>
          <w:tcPr>
            <w:tcW w:w="567"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53</w:t>
            </w:r>
          </w:p>
        </w:tc>
        <w:tc>
          <w:tcPr>
            <w:tcW w:w="603"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2,2</w:t>
            </w:r>
          </w:p>
        </w:tc>
        <w:tc>
          <w:tcPr>
            <w:tcW w:w="851"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stanice</w:t>
            </w:r>
          </w:p>
        </w:tc>
        <w:tc>
          <w:tcPr>
            <w:tcW w:w="2126"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různý např. kamenné zdivo</w:t>
            </w:r>
          </w:p>
        </w:tc>
        <w:tc>
          <w:tcPr>
            <w:tcW w:w="1134"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1871</w:t>
            </w:r>
          </w:p>
        </w:tc>
        <w:tc>
          <w:tcPr>
            <w:tcW w:w="1134"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železobeton</w:t>
            </w:r>
          </w:p>
        </w:tc>
        <w:tc>
          <w:tcPr>
            <w:tcW w:w="1843"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desková</w:t>
            </w:r>
          </w:p>
        </w:tc>
        <w:tc>
          <w:tcPr>
            <w:tcW w:w="1276" w:type="dxa"/>
            <w:tcBorders>
              <w:top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2,3</w:t>
            </w:r>
          </w:p>
        </w:tc>
        <w:tc>
          <w:tcPr>
            <w:tcW w:w="1328" w:type="dxa"/>
            <w:tcBorders>
              <w:top w:val="single" w:sz="4" w:space="0" w:color="auto"/>
              <w:bottom w:val="single" w:sz="6" w:space="0" w:color="000000"/>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1960</w:t>
            </w:r>
          </w:p>
        </w:tc>
      </w:tr>
      <w:tr w:rsidR="0059693F" w:rsidRPr="006012C1" w:rsidTr="009855A1">
        <w:trPr>
          <w:trHeight w:val="255"/>
        </w:trPr>
        <w:tc>
          <w:tcPr>
            <w:tcW w:w="866" w:type="dxa"/>
            <w:tcBorders>
              <w:top w:val="single" w:sz="6" w:space="0" w:color="000000"/>
              <w:left w:val="single" w:sz="4" w:space="0" w:color="auto"/>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478" w:type="dxa"/>
            <w:tcBorders>
              <w:top w:val="single" w:sz="6" w:space="0" w:color="000000"/>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567" w:type="dxa"/>
            <w:tcBorders>
              <w:top w:val="single" w:sz="6" w:space="0" w:color="000000"/>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603" w:type="dxa"/>
            <w:tcBorders>
              <w:top w:val="single" w:sz="6" w:space="0" w:color="000000"/>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851" w:type="dxa"/>
            <w:tcBorders>
              <w:top w:val="single" w:sz="6" w:space="0" w:color="000000"/>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2126" w:type="dxa"/>
            <w:tcBorders>
              <w:top w:val="single" w:sz="6" w:space="0" w:color="000000"/>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1134" w:type="dxa"/>
            <w:tcBorders>
              <w:top w:val="single" w:sz="6" w:space="0" w:color="000000"/>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1134" w:type="dxa"/>
            <w:tcBorders>
              <w:top w:val="single" w:sz="6" w:space="0" w:color="000000"/>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02</w:t>
            </w:r>
          </w:p>
        </w:tc>
        <w:tc>
          <w:tcPr>
            <w:tcW w:w="1984" w:type="dxa"/>
            <w:tcBorders>
              <w:top w:val="single" w:sz="6" w:space="0" w:color="000000"/>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zabetonované kolejnice</w:t>
            </w:r>
          </w:p>
        </w:tc>
        <w:tc>
          <w:tcPr>
            <w:tcW w:w="1843" w:type="dxa"/>
            <w:tcBorders>
              <w:top w:val="single" w:sz="6" w:space="0" w:color="000000"/>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desková</w:t>
            </w:r>
          </w:p>
        </w:tc>
        <w:tc>
          <w:tcPr>
            <w:tcW w:w="1276" w:type="dxa"/>
            <w:tcBorders>
              <w:top w:val="single" w:sz="6" w:space="0" w:color="000000"/>
              <w:bottom w:val="single" w:sz="6" w:space="0" w:color="000000"/>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2,2</w:t>
            </w:r>
          </w:p>
        </w:tc>
        <w:tc>
          <w:tcPr>
            <w:tcW w:w="1328" w:type="dxa"/>
            <w:tcBorders>
              <w:top w:val="single" w:sz="6" w:space="0" w:color="000000"/>
              <w:bottom w:val="single" w:sz="6" w:space="0" w:color="000000"/>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1937</w:t>
            </w:r>
          </w:p>
        </w:tc>
      </w:tr>
      <w:tr w:rsidR="0059693F" w:rsidRPr="006012C1" w:rsidTr="009855A1">
        <w:trPr>
          <w:trHeight w:val="255"/>
        </w:trPr>
        <w:tc>
          <w:tcPr>
            <w:tcW w:w="866" w:type="dxa"/>
            <w:tcBorders>
              <w:top w:val="single" w:sz="6" w:space="0" w:color="000000"/>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478"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567"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603"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851"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2126"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1134"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1134"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03</w:t>
            </w:r>
          </w:p>
        </w:tc>
        <w:tc>
          <w:tcPr>
            <w:tcW w:w="1984"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cihelné zdivo</w:t>
            </w:r>
          </w:p>
        </w:tc>
        <w:tc>
          <w:tcPr>
            <w:tcW w:w="1843"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klenbová</w:t>
            </w:r>
          </w:p>
        </w:tc>
        <w:tc>
          <w:tcPr>
            <w:tcW w:w="1276" w:type="dxa"/>
            <w:tcBorders>
              <w:top w:val="single" w:sz="6" w:space="0" w:color="000000"/>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2,2</w:t>
            </w:r>
          </w:p>
        </w:tc>
        <w:tc>
          <w:tcPr>
            <w:tcW w:w="1328" w:type="dxa"/>
            <w:tcBorders>
              <w:top w:val="single" w:sz="6" w:space="0" w:color="000000"/>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1871</w:t>
            </w:r>
          </w:p>
        </w:tc>
      </w:tr>
      <w:tr w:rsidR="0059693F" w:rsidRPr="006012C1" w:rsidTr="009855A1">
        <w:trPr>
          <w:trHeight w:val="255"/>
        </w:trPr>
        <w:tc>
          <w:tcPr>
            <w:tcW w:w="866" w:type="dxa"/>
            <w:tcBorders>
              <w:top w:val="single" w:sz="4" w:space="0" w:color="auto"/>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18,847</w:t>
            </w:r>
          </w:p>
        </w:tc>
        <w:tc>
          <w:tcPr>
            <w:tcW w:w="478"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w:t>
            </w:r>
          </w:p>
        </w:tc>
        <w:tc>
          <w:tcPr>
            <w:tcW w:w="567"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15</w:t>
            </w:r>
          </w:p>
        </w:tc>
        <w:tc>
          <w:tcPr>
            <w:tcW w:w="60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2,7</w:t>
            </w:r>
          </w:p>
        </w:tc>
        <w:tc>
          <w:tcPr>
            <w:tcW w:w="851"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širá trať</w:t>
            </w:r>
          </w:p>
        </w:tc>
        <w:tc>
          <w:tcPr>
            <w:tcW w:w="212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kamenné zdivo</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1857</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kamenné zdivo</w:t>
            </w:r>
          </w:p>
        </w:tc>
        <w:tc>
          <w:tcPr>
            <w:tcW w:w="184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desková</w:t>
            </w:r>
          </w:p>
        </w:tc>
        <w:tc>
          <w:tcPr>
            <w:tcW w:w="127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0,9</w:t>
            </w:r>
          </w:p>
        </w:tc>
        <w:tc>
          <w:tcPr>
            <w:tcW w:w="1328" w:type="dxa"/>
            <w:tcBorders>
              <w:top w:val="single" w:sz="4" w:space="0" w:color="auto"/>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1857</w:t>
            </w:r>
          </w:p>
        </w:tc>
      </w:tr>
      <w:tr w:rsidR="0059693F" w:rsidRPr="006012C1" w:rsidTr="009855A1">
        <w:trPr>
          <w:trHeight w:val="255"/>
        </w:trPr>
        <w:tc>
          <w:tcPr>
            <w:tcW w:w="866" w:type="dxa"/>
            <w:tcBorders>
              <w:top w:val="single" w:sz="4" w:space="0" w:color="auto"/>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19,039</w:t>
            </w:r>
          </w:p>
        </w:tc>
        <w:tc>
          <w:tcPr>
            <w:tcW w:w="478"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w:t>
            </w:r>
          </w:p>
        </w:tc>
        <w:tc>
          <w:tcPr>
            <w:tcW w:w="567"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9</w:t>
            </w:r>
          </w:p>
        </w:tc>
        <w:tc>
          <w:tcPr>
            <w:tcW w:w="60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2,75</w:t>
            </w:r>
          </w:p>
        </w:tc>
        <w:tc>
          <w:tcPr>
            <w:tcW w:w="851"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širá trať</w:t>
            </w:r>
          </w:p>
        </w:tc>
        <w:tc>
          <w:tcPr>
            <w:tcW w:w="212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různý např. jiný materiál</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 </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železobeton</w:t>
            </w:r>
          </w:p>
        </w:tc>
        <w:tc>
          <w:tcPr>
            <w:tcW w:w="184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trubní (kruhová)</w:t>
            </w:r>
          </w:p>
        </w:tc>
        <w:tc>
          <w:tcPr>
            <w:tcW w:w="127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1,1</w:t>
            </w:r>
          </w:p>
        </w:tc>
        <w:tc>
          <w:tcPr>
            <w:tcW w:w="1328" w:type="dxa"/>
            <w:tcBorders>
              <w:top w:val="single" w:sz="4" w:space="0" w:color="auto"/>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1956</w:t>
            </w:r>
          </w:p>
        </w:tc>
      </w:tr>
      <w:tr w:rsidR="0059693F" w:rsidRPr="006012C1" w:rsidTr="009855A1">
        <w:trPr>
          <w:trHeight w:val="255"/>
        </w:trPr>
        <w:tc>
          <w:tcPr>
            <w:tcW w:w="866" w:type="dxa"/>
            <w:tcBorders>
              <w:top w:val="single" w:sz="4" w:space="0" w:color="auto"/>
              <w:left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19,513</w:t>
            </w:r>
          </w:p>
        </w:tc>
        <w:tc>
          <w:tcPr>
            <w:tcW w:w="478"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w:t>
            </w:r>
          </w:p>
        </w:tc>
        <w:tc>
          <w:tcPr>
            <w:tcW w:w="567"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6</w:t>
            </w:r>
          </w:p>
        </w:tc>
        <w:tc>
          <w:tcPr>
            <w:tcW w:w="60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2,8</w:t>
            </w:r>
          </w:p>
        </w:tc>
        <w:tc>
          <w:tcPr>
            <w:tcW w:w="851"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širá trať</w:t>
            </w:r>
          </w:p>
        </w:tc>
        <w:tc>
          <w:tcPr>
            <w:tcW w:w="212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beton</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1930</w:t>
            </w:r>
          </w:p>
        </w:tc>
        <w:tc>
          <w:tcPr>
            <w:tcW w:w="113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 01</w:t>
            </w:r>
          </w:p>
        </w:tc>
        <w:tc>
          <w:tcPr>
            <w:tcW w:w="1984"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prostý beton</w:t>
            </w:r>
          </w:p>
        </w:tc>
        <w:tc>
          <w:tcPr>
            <w:tcW w:w="1843"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klenbová</w:t>
            </w:r>
          </w:p>
        </w:tc>
        <w:tc>
          <w:tcPr>
            <w:tcW w:w="1276" w:type="dxa"/>
            <w:tcBorders>
              <w:top w:val="single" w:sz="4" w:space="0" w:color="auto"/>
              <w:bottom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2,3</w:t>
            </w:r>
          </w:p>
        </w:tc>
        <w:tc>
          <w:tcPr>
            <w:tcW w:w="1328" w:type="dxa"/>
            <w:tcBorders>
              <w:top w:val="single" w:sz="4" w:space="0" w:color="auto"/>
              <w:bottom w:val="single" w:sz="4" w:space="0" w:color="auto"/>
              <w:right w:val="single" w:sz="4" w:space="0" w:color="auto"/>
            </w:tcBorders>
            <w:shd w:val="clear" w:color="auto" w:fill="auto"/>
            <w:noWrap/>
            <w:vAlign w:val="center"/>
          </w:tcPr>
          <w:p w:rsidR="001619D8" w:rsidRPr="009855A1" w:rsidRDefault="001619D8" w:rsidP="009855A1">
            <w:pPr>
              <w:suppressAutoHyphens w:val="0"/>
              <w:spacing w:before="0" w:after="0" w:line="240" w:lineRule="auto"/>
              <w:jc w:val="left"/>
              <w:rPr>
                <w:rFonts w:ascii="Arial" w:hAnsi="Arial" w:cs="Arial"/>
                <w:sz w:val="16"/>
                <w:szCs w:val="18"/>
                <w:lang w:eastAsia="cs-CZ"/>
              </w:rPr>
            </w:pPr>
            <w:r w:rsidRPr="009855A1">
              <w:rPr>
                <w:rFonts w:ascii="Arial" w:hAnsi="Arial" w:cs="Arial"/>
                <w:sz w:val="16"/>
                <w:szCs w:val="18"/>
                <w:lang w:eastAsia="cs-CZ"/>
              </w:rPr>
              <w:t>1930</w:t>
            </w:r>
          </w:p>
        </w:tc>
      </w:tr>
    </w:tbl>
    <w:p w:rsidR="006012C1" w:rsidRDefault="006012C1" w:rsidP="00317581">
      <w:pPr>
        <w:sectPr w:rsidR="006012C1" w:rsidSect="006012C1">
          <w:headerReference w:type="default" r:id="rId26"/>
          <w:footerReference w:type="default" r:id="rId27"/>
          <w:footnotePr>
            <w:pos w:val="beneathText"/>
          </w:footnotePr>
          <w:pgSz w:w="16837" w:h="11905" w:orient="landscape" w:code="9"/>
          <w:pgMar w:top="1418" w:right="1491" w:bottom="1134" w:left="1134" w:header="709" w:footer="198" w:gutter="0"/>
          <w:cols w:space="708"/>
          <w:docGrid w:linePitch="360"/>
        </w:sectPr>
      </w:pPr>
    </w:p>
    <w:p w:rsidR="00CB1F22" w:rsidRDefault="002E3738" w:rsidP="00CB1F22">
      <w:pPr>
        <w:pStyle w:val="Nadpis2"/>
      </w:pPr>
      <w:bookmarkStart w:id="48" w:name="_Toc183270747"/>
      <w:bookmarkStart w:id="49" w:name="_Toc222625054"/>
      <w:bookmarkStart w:id="50" w:name="_Toc280085779"/>
      <w:bookmarkStart w:id="51" w:name="_Ref323192774"/>
      <w:bookmarkStart w:id="52" w:name="_Ref323192777"/>
      <w:bookmarkStart w:id="53" w:name="_Ref323206920"/>
      <w:bookmarkStart w:id="54" w:name="_Ref323206925"/>
      <w:bookmarkStart w:id="55" w:name="_Toc390958693"/>
      <w:r>
        <w:t>Varianta B</w:t>
      </w:r>
      <w:r w:rsidR="00CB1F22">
        <w:t>ez projektu</w:t>
      </w:r>
      <w:bookmarkEnd w:id="48"/>
      <w:bookmarkEnd w:id="49"/>
      <w:bookmarkEnd w:id="50"/>
      <w:bookmarkEnd w:id="51"/>
      <w:bookmarkEnd w:id="52"/>
      <w:bookmarkEnd w:id="53"/>
      <w:bookmarkEnd w:id="54"/>
      <w:bookmarkEnd w:id="55"/>
    </w:p>
    <w:p w:rsidR="00CB1F22" w:rsidRDefault="00CB1F22" w:rsidP="00D13FB3">
      <w:pPr>
        <w:pStyle w:val="Nadpis3"/>
        <w:ind w:hanging="8234"/>
      </w:pPr>
      <w:bookmarkStart w:id="56" w:name="_Toc183270748"/>
      <w:r>
        <w:t>Souhrnná specifikace varianty</w:t>
      </w:r>
      <w:bookmarkEnd w:id="56"/>
    </w:p>
    <w:p w:rsidR="00F34125" w:rsidRDefault="00F34125" w:rsidP="00F34125">
      <w:r>
        <w:t xml:space="preserve">Jedná se o variantu v celém úseku bez jakýchkoliv rozvojových opatření, vyžadujících investice. Jediné náklady na udržení provozuschopnosti trati budou vloženy do běžných oprav a údržby. </w:t>
      </w:r>
      <w:r>
        <w:rPr>
          <w:rFonts w:cs="Tahoma"/>
        </w:rPr>
        <w:t xml:space="preserve">Varianta </w:t>
      </w:r>
      <w:r w:rsidRPr="00644930">
        <w:rPr>
          <w:rFonts w:cs="Tahoma"/>
          <w:szCs w:val="20"/>
        </w:rPr>
        <w:t xml:space="preserve">nepředpokládá žádná opatření na modernizaci a zlepšení provozu. Zahrnuje proto pouze opatření nezbytná k udržení současného stavu a zachování provozu na trati. </w:t>
      </w:r>
    </w:p>
    <w:p w:rsidR="00F34125" w:rsidRPr="00644930" w:rsidRDefault="00F34125" w:rsidP="00F34125">
      <w:r>
        <w:rPr>
          <w:rFonts w:cs="Tahoma"/>
          <w:szCs w:val="20"/>
        </w:rPr>
        <w:t>Vyčíslení</w:t>
      </w:r>
      <w:r w:rsidRPr="00644930">
        <w:rPr>
          <w:rFonts w:cs="Tahoma"/>
          <w:szCs w:val="20"/>
        </w:rPr>
        <w:t xml:space="preserve"> nákladů </w:t>
      </w:r>
      <w:r>
        <w:rPr>
          <w:rFonts w:cs="Tahoma"/>
          <w:szCs w:val="20"/>
        </w:rPr>
        <w:t>na variantu bez projektu vychází z následujících předpokladů:</w:t>
      </w:r>
    </w:p>
    <w:p w:rsidR="00F34125" w:rsidRPr="00644930" w:rsidRDefault="00F34125" w:rsidP="00F34125">
      <w:pPr>
        <w:outlineLvl w:val="0"/>
        <w:rPr>
          <w:rFonts w:cs="Tahoma"/>
          <w:b/>
          <w:bCs/>
          <w:iCs/>
          <w:szCs w:val="20"/>
        </w:rPr>
      </w:pPr>
      <w:r w:rsidRPr="00644930">
        <w:rPr>
          <w:rFonts w:cs="Tahoma"/>
          <w:b/>
          <w:bCs/>
          <w:iCs/>
          <w:szCs w:val="20"/>
        </w:rPr>
        <w:t>Železniční stanice i zastávky zůstanou ponechány ve stávajícím stavu</w:t>
      </w:r>
    </w:p>
    <w:p w:rsidR="00631EAB" w:rsidRDefault="00F34125" w:rsidP="00D20948">
      <w:pPr>
        <w:numPr>
          <w:ilvl w:val="0"/>
          <w:numId w:val="4"/>
        </w:numPr>
        <w:spacing w:before="120" w:after="120"/>
        <w:rPr>
          <w:rFonts w:cs="Tahoma"/>
          <w:szCs w:val="20"/>
        </w:rPr>
      </w:pPr>
      <w:r>
        <w:rPr>
          <w:rFonts w:cs="Tahoma"/>
          <w:szCs w:val="20"/>
        </w:rPr>
        <w:t>k</w:t>
      </w:r>
      <w:r w:rsidRPr="00644930">
        <w:rPr>
          <w:rFonts w:cs="Tahoma"/>
          <w:szCs w:val="20"/>
        </w:rPr>
        <w:t xml:space="preserve">onfigurace kolejiště </w:t>
      </w:r>
      <w:r w:rsidR="001B5D92">
        <w:rPr>
          <w:rFonts w:cs="Tahoma"/>
          <w:szCs w:val="20"/>
        </w:rPr>
        <w:t xml:space="preserve">(počty kolejí, výměn, užitné délky, rychlosti) </w:t>
      </w:r>
      <w:r w:rsidRPr="00644930">
        <w:rPr>
          <w:rFonts w:cs="Tahoma"/>
          <w:szCs w:val="20"/>
        </w:rPr>
        <w:t>zůstává beze změn;</w:t>
      </w:r>
    </w:p>
    <w:p w:rsidR="00631EAB" w:rsidRDefault="00F34125" w:rsidP="00D20948">
      <w:pPr>
        <w:numPr>
          <w:ilvl w:val="0"/>
          <w:numId w:val="4"/>
        </w:numPr>
        <w:spacing w:before="120" w:after="120"/>
        <w:rPr>
          <w:rFonts w:cs="Tahoma"/>
          <w:szCs w:val="20"/>
        </w:rPr>
      </w:pPr>
      <w:r w:rsidRPr="00644930">
        <w:rPr>
          <w:rFonts w:cs="Tahoma"/>
          <w:szCs w:val="20"/>
        </w:rPr>
        <w:t xml:space="preserve">zařízení pro cestující </w:t>
      </w:r>
      <w:r>
        <w:rPr>
          <w:rFonts w:cs="Tahoma"/>
          <w:szCs w:val="20"/>
        </w:rPr>
        <w:t xml:space="preserve">bude ponecháno rovněž </w:t>
      </w:r>
      <w:r w:rsidRPr="00644930">
        <w:rPr>
          <w:rFonts w:cs="Tahoma"/>
          <w:szCs w:val="20"/>
        </w:rPr>
        <w:t>beze změn.</w:t>
      </w:r>
    </w:p>
    <w:p w:rsidR="00F34125" w:rsidRPr="00B56AC9" w:rsidRDefault="00F34125" w:rsidP="00F34125">
      <w:pPr>
        <w:outlineLvl w:val="0"/>
        <w:rPr>
          <w:rFonts w:cs="Tahoma"/>
          <w:b/>
          <w:bCs/>
          <w:iCs/>
          <w:szCs w:val="20"/>
        </w:rPr>
      </w:pPr>
      <w:r w:rsidRPr="00B56AC9">
        <w:rPr>
          <w:rFonts w:cs="Tahoma"/>
          <w:b/>
          <w:bCs/>
          <w:iCs/>
          <w:szCs w:val="20"/>
        </w:rPr>
        <w:t>Železniční svršek</w:t>
      </w:r>
    </w:p>
    <w:p w:rsidR="00631EAB" w:rsidRDefault="00F34125" w:rsidP="00D20948">
      <w:pPr>
        <w:numPr>
          <w:ilvl w:val="0"/>
          <w:numId w:val="5"/>
        </w:numPr>
        <w:spacing w:before="120" w:after="120"/>
        <w:rPr>
          <w:rFonts w:cs="Tahoma"/>
          <w:szCs w:val="20"/>
        </w:rPr>
      </w:pPr>
      <w:r w:rsidRPr="00644930">
        <w:rPr>
          <w:rFonts w:cs="Tahoma"/>
          <w:szCs w:val="20"/>
        </w:rPr>
        <w:t xml:space="preserve">traťová kolej a hlavní </w:t>
      </w:r>
      <w:r>
        <w:rPr>
          <w:rFonts w:cs="Tahoma"/>
          <w:szCs w:val="20"/>
        </w:rPr>
        <w:t xml:space="preserve">staniční </w:t>
      </w:r>
      <w:r w:rsidRPr="00644930">
        <w:rPr>
          <w:rFonts w:cs="Tahoma"/>
          <w:szCs w:val="20"/>
        </w:rPr>
        <w:t xml:space="preserve">kolej </w:t>
      </w:r>
      <w:r>
        <w:rPr>
          <w:rFonts w:cs="Tahoma"/>
          <w:szCs w:val="20"/>
        </w:rPr>
        <w:t>a výhybky v dopravních kolejích ve stanici budou postupně rekonstruovány;</w:t>
      </w:r>
    </w:p>
    <w:p w:rsidR="00631EAB" w:rsidRDefault="00F34125" w:rsidP="00D20948">
      <w:pPr>
        <w:numPr>
          <w:ilvl w:val="0"/>
          <w:numId w:val="5"/>
        </w:numPr>
        <w:spacing w:before="120" w:after="120"/>
        <w:rPr>
          <w:rFonts w:cs="Tahoma"/>
          <w:szCs w:val="20"/>
        </w:rPr>
      </w:pPr>
      <w:r>
        <w:rPr>
          <w:rFonts w:cs="Tahoma"/>
          <w:szCs w:val="20"/>
        </w:rPr>
        <w:t xml:space="preserve">ostatní staniční koleje a příslušné </w:t>
      </w:r>
      <w:r w:rsidRPr="00644930">
        <w:rPr>
          <w:rFonts w:cs="Tahoma"/>
          <w:szCs w:val="20"/>
        </w:rPr>
        <w:t xml:space="preserve">výhybky </w:t>
      </w:r>
      <w:r>
        <w:rPr>
          <w:rFonts w:cs="Tahoma"/>
          <w:szCs w:val="20"/>
        </w:rPr>
        <w:t>zůstanou ponechány beze změn.</w:t>
      </w:r>
    </w:p>
    <w:p w:rsidR="00F34125" w:rsidRPr="00644930" w:rsidRDefault="00F34125" w:rsidP="00F34125">
      <w:pPr>
        <w:rPr>
          <w:rFonts w:cs="Tahoma"/>
          <w:szCs w:val="20"/>
        </w:rPr>
      </w:pPr>
      <w:r>
        <w:rPr>
          <w:rFonts w:cs="Tahoma"/>
          <w:szCs w:val="20"/>
        </w:rPr>
        <w:t>K výměně dochází p</w:t>
      </w:r>
      <w:r w:rsidRPr="00644930">
        <w:rPr>
          <w:rFonts w:cs="Tahoma"/>
          <w:szCs w:val="20"/>
        </w:rPr>
        <w:t>ři vyč</w:t>
      </w:r>
      <w:r>
        <w:rPr>
          <w:rFonts w:cs="Tahoma"/>
          <w:szCs w:val="20"/>
        </w:rPr>
        <w:t xml:space="preserve">erpání uvažované životnosti železničního svršku (více než 30 let). </w:t>
      </w:r>
      <w:r w:rsidRPr="00644930">
        <w:rPr>
          <w:rFonts w:cs="Tahoma"/>
          <w:szCs w:val="20"/>
        </w:rPr>
        <w:t>Stávaj</w:t>
      </w:r>
      <w:r>
        <w:rPr>
          <w:rFonts w:cs="Tahoma"/>
          <w:szCs w:val="20"/>
        </w:rPr>
        <w:t xml:space="preserve">ící železniční </w:t>
      </w:r>
      <w:r w:rsidRPr="00644930">
        <w:rPr>
          <w:rFonts w:cs="Tahoma"/>
          <w:szCs w:val="20"/>
        </w:rPr>
        <w:t xml:space="preserve">svršek </w:t>
      </w:r>
      <w:r w:rsidR="00A763A0">
        <w:rPr>
          <w:rFonts w:cs="Tahoma"/>
          <w:szCs w:val="20"/>
        </w:rPr>
        <w:t>pochází převážně z let 1984-</w:t>
      </w:r>
      <w:smartTag w:uri="urn:schemas-microsoft-com:office:smarttags" w:element="metricconverter">
        <w:smartTagPr>
          <w:attr w:name="ProductID" w:val="1990 a"/>
        </w:smartTagPr>
        <w:r w:rsidR="00A763A0">
          <w:rPr>
            <w:rFonts w:cs="Tahoma"/>
            <w:szCs w:val="20"/>
          </w:rPr>
          <w:t>1990 a</w:t>
        </w:r>
      </w:smartTag>
      <w:r w:rsidR="00A763A0">
        <w:rPr>
          <w:rFonts w:cs="Tahoma"/>
          <w:szCs w:val="20"/>
        </w:rPr>
        <w:t xml:space="preserve"> přelomu let 2000/2001.</w:t>
      </w:r>
    </w:p>
    <w:p w:rsidR="00F34125" w:rsidRPr="004677AE" w:rsidRDefault="00F34125" w:rsidP="00F34125">
      <w:pPr>
        <w:outlineLvl w:val="0"/>
        <w:rPr>
          <w:rFonts w:cs="Tahoma"/>
          <w:b/>
          <w:bCs/>
          <w:iCs/>
          <w:szCs w:val="20"/>
        </w:rPr>
      </w:pPr>
      <w:r w:rsidRPr="004677AE">
        <w:rPr>
          <w:rFonts w:cs="Tahoma"/>
          <w:b/>
          <w:bCs/>
          <w:iCs/>
          <w:szCs w:val="20"/>
        </w:rPr>
        <w:t>Železniční spodek</w:t>
      </w:r>
    </w:p>
    <w:p w:rsidR="00F34125" w:rsidRPr="004677AE" w:rsidRDefault="00F34125" w:rsidP="00F34125">
      <w:pPr>
        <w:rPr>
          <w:rFonts w:cs="Tahoma"/>
          <w:szCs w:val="20"/>
        </w:rPr>
      </w:pPr>
      <w:r w:rsidRPr="004677AE">
        <w:rPr>
          <w:rFonts w:cs="Tahoma"/>
          <w:szCs w:val="20"/>
        </w:rPr>
        <w:t>Zůstává zacho</w:t>
      </w:r>
      <w:r w:rsidR="00A763A0">
        <w:rPr>
          <w:rFonts w:cs="Tahoma"/>
          <w:szCs w:val="20"/>
        </w:rPr>
        <w:t>vána traťová třída zatížení D4. Vyjma náhlých defektů nelze předpokládat systematickou stabilizaci a výměnu či přidávání konstrukčních vrstev železničního spodku.</w:t>
      </w:r>
    </w:p>
    <w:p w:rsidR="00F34125" w:rsidRPr="004677AE" w:rsidRDefault="00F34125" w:rsidP="00F34125">
      <w:pPr>
        <w:outlineLvl w:val="0"/>
        <w:rPr>
          <w:rFonts w:cs="Tahoma"/>
          <w:b/>
          <w:bCs/>
          <w:iCs/>
          <w:szCs w:val="20"/>
        </w:rPr>
      </w:pPr>
      <w:r w:rsidRPr="004677AE">
        <w:rPr>
          <w:rFonts w:cs="Tahoma"/>
          <w:b/>
          <w:bCs/>
          <w:iCs/>
          <w:szCs w:val="20"/>
        </w:rPr>
        <w:t>Železniční mosty, propustky a tunely</w:t>
      </w:r>
    </w:p>
    <w:p w:rsidR="00F34125" w:rsidRPr="004677AE" w:rsidRDefault="00F34125" w:rsidP="00F34125">
      <w:pPr>
        <w:rPr>
          <w:rFonts w:cs="Tahoma"/>
          <w:szCs w:val="20"/>
        </w:rPr>
      </w:pPr>
      <w:r w:rsidRPr="004677AE">
        <w:rPr>
          <w:rFonts w:cs="Tahoma"/>
          <w:szCs w:val="20"/>
        </w:rPr>
        <w:t xml:space="preserve">Navržena </w:t>
      </w:r>
      <w:r>
        <w:rPr>
          <w:rFonts w:cs="Tahoma"/>
          <w:szCs w:val="20"/>
        </w:rPr>
        <w:t xml:space="preserve">je </w:t>
      </w:r>
      <w:r w:rsidR="00A763A0">
        <w:rPr>
          <w:rFonts w:cs="Tahoma"/>
          <w:szCs w:val="20"/>
        </w:rPr>
        <w:t xml:space="preserve">postupná </w:t>
      </w:r>
      <w:r w:rsidRPr="004677AE">
        <w:rPr>
          <w:rFonts w:cs="Tahoma"/>
          <w:szCs w:val="20"/>
        </w:rPr>
        <w:t xml:space="preserve">obnova </w:t>
      </w:r>
      <w:r>
        <w:rPr>
          <w:rFonts w:cs="Tahoma"/>
          <w:szCs w:val="20"/>
        </w:rPr>
        <w:t xml:space="preserve">mostních </w:t>
      </w:r>
      <w:r w:rsidR="00A763A0">
        <w:rPr>
          <w:rFonts w:cs="Tahoma"/>
          <w:szCs w:val="20"/>
        </w:rPr>
        <w:t>objektů klasifikace 2</w:t>
      </w:r>
      <w:r w:rsidRPr="004677AE">
        <w:rPr>
          <w:rFonts w:cs="Tahoma"/>
          <w:szCs w:val="20"/>
        </w:rPr>
        <w:t>/2</w:t>
      </w:r>
      <w:r w:rsidR="00A763A0">
        <w:rPr>
          <w:rFonts w:cs="Tahoma"/>
          <w:szCs w:val="20"/>
        </w:rPr>
        <w:t xml:space="preserve"> a horší</w:t>
      </w:r>
      <w:r w:rsidRPr="004677AE">
        <w:rPr>
          <w:rFonts w:cs="Tahoma"/>
          <w:szCs w:val="20"/>
        </w:rPr>
        <w:t>.</w:t>
      </w:r>
      <w:r>
        <w:rPr>
          <w:rFonts w:cs="Tahoma"/>
          <w:szCs w:val="20"/>
        </w:rPr>
        <w:t xml:space="preserve"> Tunely se na železničním spojení Hradec Krá</w:t>
      </w:r>
      <w:r w:rsidR="00A763A0">
        <w:rPr>
          <w:rFonts w:cs="Tahoma"/>
          <w:szCs w:val="20"/>
        </w:rPr>
        <w:t xml:space="preserve">lové – Pardubice </w:t>
      </w:r>
      <w:r>
        <w:rPr>
          <w:rFonts w:cs="Tahoma"/>
          <w:szCs w:val="20"/>
        </w:rPr>
        <w:t>nenalézají.</w:t>
      </w:r>
    </w:p>
    <w:p w:rsidR="00F34125" w:rsidRPr="004677AE" w:rsidRDefault="00F34125" w:rsidP="00F34125">
      <w:pPr>
        <w:rPr>
          <w:rFonts w:cs="Tahoma"/>
          <w:b/>
          <w:szCs w:val="20"/>
        </w:rPr>
      </w:pPr>
      <w:r w:rsidRPr="004677AE">
        <w:rPr>
          <w:rFonts w:cs="Tahoma"/>
          <w:b/>
          <w:szCs w:val="20"/>
        </w:rPr>
        <w:t>Trakční zařízení</w:t>
      </w:r>
    </w:p>
    <w:p w:rsidR="00F34125" w:rsidRPr="00B56AC9" w:rsidRDefault="00F34125" w:rsidP="00F34125">
      <w:pPr>
        <w:rPr>
          <w:rFonts w:cs="Tahoma"/>
          <w:szCs w:val="20"/>
        </w:rPr>
      </w:pPr>
      <w:r>
        <w:rPr>
          <w:rFonts w:cs="Tahoma"/>
          <w:szCs w:val="20"/>
        </w:rPr>
        <w:t xml:space="preserve">Trakční </w:t>
      </w:r>
      <w:r w:rsidR="001B5D92">
        <w:rPr>
          <w:rFonts w:cs="Tahoma"/>
          <w:szCs w:val="20"/>
        </w:rPr>
        <w:t>vedení v</w:t>
      </w:r>
      <w:r>
        <w:rPr>
          <w:rFonts w:cs="Tahoma"/>
          <w:szCs w:val="20"/>
        </w:rPr>
        <w:t xml:space="preserve"> úseku Hr</w:t>
      </w:r>
      <w:r w:rsidR="001B5D92">
        <w:rPr>
          <w:rFonts w:cs="Tahoma"/>
          <w:szCs w:val="20"/>
        </w:rPr>
        <w:t>adec Králové hl. n. – Pardubice hl. n. pochází z roku 1965. Úpravy ve variantě B</w:t>
      </w:r>
      <w:r>
        <w:rPr>
          <w:rFonts w:cs="Tahoma"/>
          <w:szCs w:val="20"/>
        </w:rPr>
        <w:t>ez projektu spočívají v</w:t>
      </w:r>
      <w:r w:rsidR="001B5D92">
        <w:rPr>
          <w:rFonts w:cs="Tahoma"/>
          <w:szCs w:val="20"/>
        </w:rPr>
        <w:t xml:space="preserve"> postupné</w:t>
      </w:r>
      <w:r>
        <w:rPr>
          <w:rFonts w:cs="Tahoma"/>
          <w:szCs w:val="20"/>
        </w:rPr>
        <w:t xml:space="preserve"> demontáži stávajících a montáži nových zařízení stejnosměrné trakční soustavy o napětí 3 kV ve stávající poloze. </w:t>
      </w:r>
    </w:p>
    <w:p w:rsidR="00F34125" w:rsidRPr="004677AE" w:rsidRDefault="00F34125" w:rsidP="00F34125">
      <w:pPr>
        <w:rPr>
          <w:rFonts w:cs="Tahoma"/>
          <w:b/>
          <w:bCs/>
          <w:iCs/>
          <w:szCs w:val="20"/>
        </w:rPr>
      </w:pPr>
      <w:r w:rsidRPr="004677AE">
        <w:rPr>
          <w:rFonts w:cs="Tahoma"/>
          <w:b/>
          <w:bCs/>
          <w:iCs/>
          <w:szCs w:val="20"/>
        </w:rPr>
        <w:t>Zabezpečovací zařízení</w:t>
      </w:r>
    </w:p>
    <w:p w:rsidR="00F34125" w:rsidRPr="004677AE" w:rsidRDefault="00F34125" w:rsidP="00F34125">
      <w:pPr>
        <w:rPr>
          <w:rFonts w:cs="Tahoma"/>
          <w:szCs w:val="20"/>
        </w:rPr>
      </w:pPr>
      <w:r w:rsidRPr="004677AE">
        <w:rPr>
          <w:rFonts w:cs="Tahoma"/>
          <w:szCs w:val="20"/>
        </w:rPr>
        <w:t xml:space="preserve">Zahrnuty </w:t>
      </w:r>
      <w:r>
        <w:rPr>
          <w:rFonts w:cs="Tahoma"/>
          <w:szCs w:val="20"/>
        </w:rPr>
        <w:t xml:space="preserve">jsou </w:t>
      </w:r>
      <w:r w:rsidR="001B5D92">
        <w:rPr>
          <w:rFonts w:cs="Tahoma"/>
          <w:szCs w:val="20"/>
        </w:rPr>
        <w:t>náklady na údržbu stávajícího</w:t>
      </w:r>
      <w:r w:rsidRPr="004677AE">
        <w:rPr>
          <w:rFonts w:cs="Tahoma"/>
          <w:szCs w:val="20"/>
        </w:rPr>
        <w:t xml:space="preserve"> </w:t>
      </w:r>
      <w:r>
        <w:rPr>
          <w:rFonts w:cs="Tahoma"/>
          <w:szCs w:val="20"/>
        </w:rPr>
        <w:t>traťového zabezpečovacího zařízení</w:t>
      </w:r>
      <w:r w:rsidR="001B5D92">
        <w:rPr>
          <w:rFonts w:cs="Tahoma"/>
          <w:szCs w:val="20"/>
        </w:rPr>
        <w:t xml:space="preserve"> 3. kategorie (automatické hradlo bez návěstního bodu) v úsecích Pardubice hl. n. – Pardubice-Rosice nad Labem a Opatovice nad Labem</w:t>
      </w:r>
      <w:r>
        <w:rPr>
          <w:rFonts w:cs="Tahoma"/>
          <w:szCs w:val="20"/>
        </w:rPr>
        <w:t xml:space="preserve"> – Hradec Kr</w:t>
      </w:r>
      <w:r w:rsidR="001B5D92">
        <w:rPr>
          <w:rFonts w:cs="Tahoma"/>
          <w:szCs w:val="20"/>
        </w:rPr>
        <w:t>álové hl.n.</w:t>
      </w:r>
      <w:r>
        <w:rPr>
          <w:rFonts w:cs="Tahoma"/>
          <w:szCs w:val="20"/>
        </w:rPr>
        <w:t xml:space="preserve">, dále </w:t>
      </w:r>
      <w:r w:rsidRPr="004677AE">
        <w:rPr>
          <w:rFonts w:cs="Tahoma"/>
          <w:szCs w:val="20"/>
        </w:rPr>
        <w:t xml:space="preserve">náklady na </w:t>
      </w:r>
      <w:r w:rsidR="001B5D92">
        <w:rPr>
          <w:rFonts w:cs="Tahoma"/>
          <w:szCs w:val="20"/>
        </w:rPr>
        <w:t xml:space="preserve">postupné zabezpečení zbývajícího úseku Pardubice-Rosice nad Labem – Opatovice nad Labem rovněž automatickým hradlem bez návěstního bodu a postupné zabezpečení železničních stanic novým SZZ (nikoliv udržováním stávajícího). Předpokládá se dále instalace nového světelného PZZ na železničních přejezdech zabezpečených ve stávajícím stavu pouze kříži </w:t>
      </w:r>
      <w:r w:rsidR="002A0E3A">
        <w:rPr>
          <w:rFonts w:cs="Tahoma"/>
          <w:szCs w:val="20"/>
        </w:rPr>
        <w:t xml:space="preserve">(z důvodu eliminace snižování traťové rychlosti na </w:t>
      </w:r>
      <w:smartTag w:uri="urn:schemas-microsoft-com:office:smarttags" w:element="metricconverter">
        <w:smartTagPr>
          <w:attr w:name="ProductID" w:val="60 km/h"/>
        </w:smartTagPr>
        <w:r w:rsidR="002A0E3A">
          <w:rPr>
            <w:rFonts w:cs="Tahoma"/>
            <w:szCs w:val="20"/>
          </w:rPr>
          <w:t>60 km/h</w:t>
        </w:r>
      </w:smartTag>
      <w:r w:rsidR="002A0E3A">
        <w:rPr>
          <w:rFonts w:cs="Tahoma"/>
          <w:szCs w:val="20"/>
        </w:rPr>
        <w:t xml:space="preserve">) </w:t>
      </w:r>
      <w:r w:rsidR="001B5D92">
        <w:rPr>
          <w:rFonts w:cs="Tahoma"/>
          <w:szCs w:val="20"/>
        </w:rPr>
        <w:t>a po</w:t>
      </w:r>
      <w:r w:rsidR="002A0E3A">
        <w:rPr>
          <w:rFonts w:cs="Tahoma"/>
          <w:szCs w:val="20"/>
        </w:rPr>
        <w:t>s</w:t>
      </w:r>
      <w:r w:rsidR="001B5D92">
        <w:rPr>
          <w:rFonts w:cs="Tahoma"/>
          <w:szCs w:val="20"/>
        </w:rPr>
        <w:t>tupná výměna stávajících P</w:t>
      </w:r>
      <w:r w:rsidR="00B82A07">
        <w:rPr>
          <w:rFonts w:cs="Tahoma"/>
          <w:szCs w:val="20"/>
        </w:rPr>
        <w:t>ZM a PZS</w:t>
      </w:r>
      <w:r w:rsidR="001B5D92">
        <w:rPr>
          <w:rFonts w:cs="Tahoma"/>
          <w:szCs w:val="20"/>
        </w:rPr>
        <w:t>.</w:t>
      </w:r>
    </w:p>
    <w:p w:rsidR="00CB1F22" w:rsidRDefault="00B82A07" w:rsidP="00D13FB3">
      <w:pPr>
        <w:pStyle w:val="Nadpis3"/>
        <w:ind w:hanging="8234"/>
      </w:pPr>
      <w:r>
        <w:t>Technický p</w:t>
      </w:r>
      <w:r w:rsidR="00F34125">
        <w:t>opis úseku</w:t>
      </w:r>
    </w:p>
    <w:p w:rsidR="00E32708" w:rsidRDefault="00F34125" w:rsidP="00E32708">
      <w:r>
        <w:t>V úseku se neuva</w:t>
      </w:r>
      <w:r w:rsidR="00B82A07">
        <w:t>žuje s žádnými kolejovými změna</w:t>
      </w:r>
      <w:r>
        <w:t xml:space="preserve">mi z hlediska </w:t>
      </w:r>
      <w:r w:rsidR="00B82A07">
        <w:t xml:space="preserve">úprav směrových či </w:t>
      </w:r>
      <w:r>
        <w:t xml:space="preserve">výškových poměrů a rovněž nedojde k žádným změnám v počtu </w:t>
      </w:r>
      <w:r w:rsidR="00B82A07">
        <w:t>traťových či staničních kolejí.</w:t>
      </w:r>
      <w:bookmarkStart w:id="57" w:name="_Toc183270749"/>
      <w:r w:rsidR="00D672CA">
        <w:t xml:space="preserve"> </w:t>
      </w:r>
      <w:r w:rsidR="00001316">
        <w:t>Šedá</w:t>
      </w:r>
      <w:r w:rsidR="00D672CA">
        <w:t xml:space="preserve"> barva ve schématech označuje opravovanou infrastrukturu.</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9855A1" w:rsidTr="00637E16">
        <w:tc>
          <w:tcPr>
            <w:tcW w:w="9356" w:type="dxa"/>
          </w:tcPr>
          <w:p w:rsidR="009855A1" w:rsidRDefault="009855A1" w:rsidP="009855A1">
            <w:pPr>
              <w:pStyle w:val="Titulek"/>
              <w:rPr>
                <w:noProof/>
                <w:lang w:eastAsia="cs-CZ"/>
              </w:rPr>
            </w:pPr>
            <w:bookmarkStart w:id="58" w:name="_Toc390958808"/>
            <w:r w:rsidRPr="0061341E">
              <w:t xml:space="preserve">Obr. </w:t>
            </w:r>
            <w:r w:rsidRPr="0061341E">
              <w:fldChar w:fldCharType="begin"/>
            </w:r>
            <w:r w:rsidRPr="0061341E">
              <w:instrText xml:space="preserve"> STYLEREF 1 \s </w:instrText>
            </w:r>
            <w:r w:rsidRPr="0061341E">
              <w:fldChar w:fldCharType="separate"/>
            </w:r>
            <w:r w:rsidR="003843F3">
              <w:rPr>
                <w:noProof/>
              </w:rPr>
              <w:t>3</w:t>
            </w:r>
            <w:r w:rsidRPr="0061341E">
              <w:fldChar w:fldCharType="end"/>
            </w:r>
            <w:r w:rsidRPr="0061341E">
              <w:noBreakHyphen/>
            </w:r>
            <w:r w:rsidRPr="0061341E">
              <w:fldChar w:fldCharType="begin"/>
            </w:r>
            <w:r w:rsidRPr="0061341E">
              <w:instrText xml:space="preserve"> SEQ Obr. \* ARABIC \s 1 </w:instrText>
            </w:r>
            <w:r w:rsidRPr="0061341E">
              <w:fldChar w:fldCharType="separate"/>
            </w:r>
            <w:r w:rsidR="003843F3">
              <w:rPr>
                <w:noProof/>
              </w:rPr>
              <w:t>2</w:t>
            </w:r>
            <w:r w:rsidRPr="0061341E">
              <w:fldChar w:fldCharType="end"/>
            </w:r>
            <w:r w:rsidRPr="0061341E">
              <w:t>: Schéma úseku Pardubice hl. n. – Pardubice-Rosice nad Labem (var. BP)</w:t>
            </w:r>
            <w:bookmarkEnd w:id="58"/>
          </w:p>
        </w:tc>
      </w:tr>
      <w:tr w:rsidR="004B76FE" w:rsidTr="00637E16">
        <w:tc>
          <w:tcPr>
            <w:tcW w:w="9356" w:type="dxa"/>
          </w:tcPr>
          <w:p w:rsidR="004B76FE" w:rsidRDefault="00F9023E" w:rsidP="00F9023E">
            <w:pPr>
              <w:jc w:val="center"/>
            </w:pPr>
            <w:r>
              <w:rPr>
                <w:noProof/>
                <w:lang w:eastAsia="cs-CZ"/>
              </w:rPr>
              <w:drawing>
                <wp:inline distT="0" distB="0" distL="0" distR="0" wp14:anchorId="5E968EA6" wp14:editId="50EB662C">
                  <wp:extent cx="4666891" cy="2053087"/>
                  <wp:effectExtent l="0" t="0" r="0" b="0"/>
                  <wp:docPr id="249" name="Obráze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print"/>
                          <a:srcRect l="10843" t="24335" r="10939" b="26994"/>
                          <a:stretch/>
                        </pic:blipFill>
                        <pic:spPr bwMode="auto">
                          <a:xfrm>
                            <a:off x="0" y="0"/>
                            <a:ext cx="4671794" cy="2055244"/>
                          </a:xfrm>
                          <a:prstGeom prst="rect">
                            <a:avLst/>
                          </a:prstGeom>
                          <a:ln>
                            <a:noFill/>
                          </a:ln>
                          <a:extLst>
                            <a:ext uri="{53640926-AAD7-44D8-BBD7-CCE9431645EC}">
                              <a14:shadowObscured xmlns:a14="http://schemas.microsoft.com/office/drawing/2010/main"/>
                            </a:ext>
                          </a:extLst>
                        </pic:spPr>
                      </pic:pic>
                    </a:graphicData>
                  </a:graphic>
                </wp:inline>
              </w:drawing>
            </w:r>
          </w:p>
        </w:tc>
      </w:tr>
    </w:tbl>
    <w:p w:rsidR="004B76FE" w:rsidRDefault="004B76FE" w:rsidP="00E32708"/>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9855A1" w:rsidTr="00637E16">
        <w:tc>
          <w:tcPr>
            <w:tcW w:w="9356" w:type="dxa"/>
          </w:tcPr>
          <w:p w:rsidR="009855A1" w:rsidRDefault="009855A1" w:rsidP="009855A1">
            <w:pPr>
              <w:pStyle w:val="Titulek"/>
              <w:rPr>
                <w:noProof/>
                <w:lang w:eastAsia="cs-CZ"/>
              </w:rPr>
            </w:pPr>
            <w:bookmarkStart w:id="59" w:name="_Toc390958809"/>
            <w:r w:rsidRPr="0061341E">
              <w:t xml:space="preserve">Obr. </w:t>
            </w:r>
            <w:r w:rsidRPr="0061341E">
              <w:fldChar w:fldCharType="begin"/>
            </w:r>
            <w:r w:rsidRPr="0061341E">
              <w:instrText xml:space="preserve"> STYLEREF 1 \s </w:instrText>
            </w:r>
            <w:r w:rsidRPr="0061341E">
              <w:fldChar w:fldCharType="separate"/>
            </w:r>
            <w:r w:rsidR="003843F3">
              <w:rPr>
                <w:noProof/>
              </w:rPr>
              <w:t>3</w:t>
            </w:r>
            <w:r w:rsidRPr="0061341E">
              <w:fldChar w:fldCharType="end"/>
            </w:r>
            <w:r w:rsidRPr="0061341E">
              <w:noBreakHyphen/>
            </w:r>
            <w:r w:rsidRPr="0061341E">
              <w:fldChar w:fldCharType="begin"/>
            </w:r>
            <w:r w:rsidRPr="0061341E">
              <w:instrText xml:space="preserve"> SEQ Obr. \* ARABIC \s 1 </w:instrText>
            </w:r>
            <w:r w:rsidRPr="0061341E">
              <w:fldChar w:fldCharType="separate"/>
            </w:r>
            <w:r w:rsidR="003843F3">
              <w:rPr>
                <w:noProof/>
              </w:rPr>
              <w:t>3</w:t>
            </w:r>
            <w:r w:rsidRPr="0061341E">
              <w:fldChar w:fldCharType="end"/>
            </w:r>
            <w:r w:rsidRPr="0061341E">
              <w:t>: Schéma žst. Stéblová (var. BP)</w:t>
            </w:r>
            <w:bookmarkEnd w:id="59"/>
          </w:p>
        </w:tc>
      </w:tr>
      <w:tr w:rsidR="00D672CA" w:rsidTr="00637E16">
        <w:tc>
          <w:tcPr>
            <w:tcW w:w="9356" w:type="dxa"/>
          </w:tcPr>
          <w:p w:rsidR="00D672CA" w:rsidRDefault="00F9023E" w:rsidP="00F9023E">
            <w:pPr>
              <w:jc w:val="center"/>
            </w:pPr>
            <w:r>
              <w:rPr>
                <w:noProof/>
                <w:lang w:eastAsia="cs-CZ"/>
              </w:rPr>
              <w:drawing>
                <wp:inline distT="0" distB="0" distL="0" distR="0" wp14:anchorId="71BB8717" wp14:editId="423A66C8">
                  <wp:extent cx="2794959" cy="1940943"/>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cstate="print"/>
                          <a:srcRect l="26313" t="26994" r="26843" b="26993"/>
                          <a:stretch/>
                        </pic:blipFill>
                        <pic:spPr bwMode="auto">
                          <a:xfrm>
                            <a:off x="0" y="0"/>
                            <a:ext cx="2797897" cy="1942983"/>
                          </a:xfrm>
                          <a:prstGeom prst="rect">
                            <a:avLst/>
                          </a:prstGeom>
                          <a:ln>
                            <a:noFill/>
                          </a:ln>
                          <a:extLst>
                            <a:ext uri="{53640926-AAD7-44D8-BBD7-CCE9431645EC}">
                              <a14:shadowObscured xmlns:a14="http://schemas.microsoft.com/office/drawing/2010/main"/>
                            </a:ext>
                          </a:extLst>
                        </pic:spPr>
                      </pic:pic>
                    </a:graphicData>
                  </a:graphic>
                </wp:inline>
              </w:drawing>
            </w:r>
          </w:p>
        </w:tc>
      </w:tr>
    </w:tbl>
    <w:p w:rsidR="00637E16" w:rsidRDefault="00637E16" w:rsidP="00E32708"/>
    <w:p w:rsidR="00637E16" w:rsidRDefault="00637E16" w:rsidP="00637E16">
      <w: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7073CD" w:rsidTr="00637E16">
        <w:tc>
          <w:tcPr>
            <w:tcW w:w="9356" w:type="dxa"/>
          </w:tcPr>
          <w:p w:rsidR="007073CD" w:rsidRDefault="007073CD" w:rsidP="007073CD">
            <w:pPr>
              <w:pStyle w:val="Titulek"/>
              <w:rPr>
                <w:noProof/>
                <w:lang w:eastAsia="cs-CZ"/>
              </w:rPr>
            </w:pPr>
            <w:bookmarkStart w:id="60" w:name="_Toc390958810"/>
            <w:r w:rsidRPr="0061341E">
              <w:t xml:space="preserve">Obr. </w:t>
            </w:r>
            <w:r w:rsidRPr="0061341E">
              <w:fldChar w:fldCharType="begin"/>
            </w:r>
            <w:r w:rsidRPr="0061341E">
              <w:instrText xml:space="preserve"> STYLEREF 1 \s </w:instrText>
            </w:r>
            <w:r w:rsidRPr="0061341E">
              <w:fldChar w:fldCharType="separate"/>
            </w:r>
            <w:r w:rsidR="003843F3">
              <w:rPr>
                <w:noProof/>
              </w:rPr>
              <w:t>3</w:t>
            </w:r>
            <w:r w:rsidRPr="0061341E">
              <w:fldChar w:fldCharType="end"/>
            </w:r>
            <w:r w:rsidRPr="0061341E">
              <w:noBreakHyphen/>
            </w:r>
            <w:r w:rsidRPr="0061341E">
              <w:fldChar w:fldCharType="begin"/>
            </w:r>
            <w:r w:rsidRPr="0061341E">
              <w:instrText xml:space="preserve"> SEQ Obr. \* ARABIC \s 1 </w:instrText>
            </w:r>
            <w:r w:rsidRPr="0061341E">
              <w:fldChar w:fldCharType="separate"/>
            </w:r>
            <w:r w:rsidR="003843F3">
              <w:rPr>
                <w:noProof/>
              </w:rPr>
              <w:t>4</w:t>
            </w:r>
            <w:r w:rsidRPr="0061341E">
              <w:fldChar w:fldCharType="end"/>
            </w:r>
            <w:r w:rsidRPr="0061341E">
              <w:t>: Schéma žst. Opatovice nad Labem (var. BP)</w:t>
            </w:r>
            <w:bookmarkEnd w:id="60"/>
          </w:p>
        </w:tc>
      </w:tr>
      <w:tr w:rsidR="00D672CA" w:rsidTr="00637E16">
        <w:tc>
          <w:tcPr>
            <w:tcW w:w="9356" w:type="dxa"/>
          </w:tcPr>
          <w:p w:rsidR="00D672CA" w:rsidRDefault="00F9023E" w:rsidP="00F9023E">
            <w:pPr>
              <w:jc w:val="center"/>
            </w:pPr>
            <w:r>
              <w:rPr>
                <w:noProof/>
                <w:lang w:eastAsia="cs-CZ"/>
              </w:rPr>
              <w:drawing>
                <wp:inline distT="0" distB="0" distL="0" distR="0" wp14:anchorId="5585D003" wp14:editId="0989D644">
                  <wp:extent cx="5167223" cy="1923691"/>
                  <wp:effectExtent l="0" t="0" r="0" b="0"/>
                  <wp:docPr id="251" name="Obráze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srcRect l="6650" t="26995" r="6746" b="27402"/>
                          <a:stretch/>
                        </pic:blipFill>
                        <pic:spPr bwMode="auto">
                          <a:xfrm>
                            <a:off x="0" y="0"/>
                            <a:ext cx="5172652" cy="1925712"/>
                          </a:xfrm>
                          <a:prstGeom prst="rect">
                            <a:avLst/>
                          </a:prstGeom>
                          <a:ln>
                            <a:noFill/>
                          </a:ln>
                          <a:extLst>
                            <a:ext uri="{53640926-AAD7-44D8-BBD7-CCE9431645EC}">
                              <a14:shadowObscured xmlns:a14="http://schemas.microsoft.com/office/drawing/2010/main"/>
                            </a:ext>
                          </a:extLst>
                        </pic:spPr>
                      </pic:pic>
                    </a:graphicData>
                  </a:graphic>
                </wp:inline>
              </w:drawing>
            </w:r>
          </w:p>
        </w:tc>
      </w:tr>
    </w:tbl>
    <w:p w:rsidR="00D672CA" w:rsidRDefault="00D672CA" w:rsidP="00E32708"/>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7073CD" w:rsidTr="00637E16">
        <w:tc>
          <w:tcPr>
            <w:tcW w:w="9356" w:type="dxa"/>
          </w:tcPr>
          <w:p w:rsidR="007073CD" w:rsidRDefault="007073CD" w:rsidP="007073CD">
            <w:pPr>
              <w:pStyle w:val="Titulek"/>
              <w:rPr>
                <w:noProof/>
                <w:lang w:eastAsia="cs-CZ"/>
              </w:rPr>
            </w:pPr>
            <w:bookmarkStart w:id="61" w:name="_Toc390958811"/>
            <w:r w:rsidRPr="0061341E">
              <w:t xml:space="preserve">Obr. </w:t>
            </w:r>
            <w:r w:rsidRPr="0061341E">
              <w:fldChar w:fldCharType="begin"/>
            </w:r>
            <w:r w:rsidRPr="0061341E">
              <w:instrText xml:space="preserve"> STYLEREF 1 \s </w:instrText>
            </w:r>
            <w:r w:rsidRPr="0061341E">
              <w:fldChar w:fldCharType="separate"/>
            </w:r>
            <w:r w:rsidR="003843F3">
              <w:rPr>
                <w:noProof/>
              </w:rPr>
              <w:t>3</w:t>
            </w:r>
            <w:r w:rsidRPr="0061341E">
              <w:fldChar w:fldCharType="end"/>
            </w:r>
            <w:r w:rsidRPr="0061341E">
              <w:noBreakHyphen/>
            </w:r>
            <w:r w:rsidRPr="0061341E">
              <w:fldChar w:fldCharType="begin"/>
            </w:r>
            <w:r w:rsidRPr="0061341E">
              <w:instrText xml:space="preserve"> SEQ Obr. \* ARABIC \s 1 </w:instrText>
            </w:r>
            <w:r w:rsidRPr="0061341E">
              <w:fldChar w:fldCharType="separate"/>
            </w:r>
            <w:r w:rsidR="003843F3">
              <w:rPr>
                <w:noProof/>
              </w:rPr>
              <w:t>5</w:t>
            </w:r>
            <w:r w:rsidRPr="0061341E">
              <w:fldChar w:fldCharType="end"/>
            </w:r>
            <w:r w:rsidRPr="0061341E">
              <w:t>: Schéma žst. Hradec Králové (var. BP)</w:t>
            </w:r>
            <w:bookmarkEnd w:id="61"/>
          </w:p>
        </w:tc>
      </w:tr>
      <w:tr w:rsidR="00D672CA" w:rsidTr="00637E16">
        <w:tc>
          <w:tcPr>
            <w:tcW w:w="9356" w:type="dxa"/>
          </w:tcPr>
          <w:p w:rsidR="00D672CA" w:rsidRDefault="00F9023E" w:rsidP="00F9023E">
            <w:pPr>
              <w:jc w:val="center"/>
            </w:pPr>
            <w:r>
              <w:rPr>
                <w:noProof/>
                <w:lang w:eastAsia="cs-CZ"/>
              </w:rPr>
              <w:drawing>
                <wp:inline distT="0" distB="0" distL="0" distR="0" wp14:anchorId="07ED93A6" wp14:editId="4045E979">
                  <wp:extent cx="3459193" cy="2113472"/>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srcRect l="21108" t="24540" r="20915" b="25358"/>
                          <a:stretch/>
                        </pic:blipFill>
                        <pic:spPr bwMode="auto">
                          <a:xfrm>
                            <a:off x="0" y="0"/>
                            <a:ext cx="3462827" cy="2115692"/>
                          </a:xfrm>
                          <a:prstGeom prst="rect">
                            <a:avLst/>
                          </a:prstGeom>
                          <a:ln>
                            <a:noFill/>
                          </a:ln>
                          <a:extLst>
                            <a:ext uri="{53640926-AAD7-44D8-BBD7-CCE9431645EC}">
                              <a14:shadowObscured xmlns:a14="http://schemas.microsoft.com/office/drawing/2010/main"/>
                            </a:ext>
                          </a:extLst>
                        </pic:spPr>
                      </pic:pic>
                    </a:graphicData>
                  </a:graphic>
                </wp:inline>
              </w:drawing>
            </w:r>
          </w:p>
        </w:tc>
      </w:tr>
    </w:tbl>
    <w:p w:rsidR="00D672CA" w:rsidRDefault="00D672CA" w:rsidP="00E32708"/>
    <w:p w:rsidR="00637E16" w:rsidRDefault="00637E16">
      <w:pPr>
        <w:suppressAutoHyphens w:val="0"/>
        <w:spacing w:before="0" w:after="0" w:line="240" w:lineRule="auto"/>
        <w:jc w:val="left"/>
        <w:rPr>
          <w:b/>
          <w:bCs/>
          <w:sz w:val="24"/>
        </w:rPr>
      </w:pPr>
      <w:r>
        <w:br w:type="page"/>
      </w:r>
    </w:p>
    <w:p w:rsidR="00E32708" w:rsidRDefault="0011654E" w:rsidP="00F5279A">
      <w:pPr>
        <w:pStyle w:val="Nadpis3"/>
        <w:tabs>
          <w:tab w:val="clear" w:pos="8234"/>
          <w:tab w:val="num" w:pos="851"/>
        </w:tabs>
        <w:ind w:left="851" w:hanging="851"/>
      </w:pPr>
      <w:r>
        <w:t>Harmonogram obnovy dosluhujících zařízení a s</w:t>
      </w:r>
      <w:r w:rsidR="00E32708">
        <w:t>tanovení nákladů n</w:t>
      </w:r>
      <w:r w:rsidR="0059693F">
        <w:t xml:space="preserve">a </w:t>
      </w:r>
      <w:r w:rsidR="00E32708">
        <w:t>údržbu a opravy</w:t>
      </w:r>
    </w:p>
    <w:p w:rsidR="0011654E" w:rsidRPr="006012C1" w:rsidRDefault="0011654E" w:rsidP="0011654E">
      <w:pPr>
        <w:rPr>
          <w:rFonts w:cs="Tahoma"/>
          <w:szCs w:val="20"/>
        </w:rPr>
      </w:pPr>
      <w:r w:rsidRPr="006012C1">
        <w:rPr>
          <w:rFonts w:cs="Tahoma"/>
          <w:szCs w:val="20"/>
        </w:rPr>
        <w:t>Způsob stanovení nákladů na variantu Bez projektu vychází ze skutečného stavu příslušných technických zařízení a jejich životností. Bylo uvažováno s následující životností a rozmezím náhrad dosluhujících zařízení:</w:t>
      </w:r>
    </w:p>
    <w:p w:rsidR="0011654E" w:rsidRPr="006012C1" w:rsidRDefault="0011654E" w:rsidP="0011654E">
      <w:pPr>
        <w:rPr>
          <w:rFonts w:cs="Tahoma"/>
          <w:szCs w:val="20"/>
          <w:u w:val="single"/>
        </w:rPr>
      </w:pPr>
      <w:r w:rsidRPr="006012C1">
        <w:rPr>
          <w:rFonts w:cs="Tahoma"/>
          <w:szCs w:val="20"/>
          <w:u w:val="single"/>
        </w:rPr>
        <w:t>položka</w:t>
      </w:r>
      <w:r w:rsidRPr="006012C1">
        <w:rPr>
          <w:rFonts w:cs="Tahoma"/>
          <w:szCs w:val="20"/>
          <w:u w:val="single"/>
        </w:rPr>
        <w:tab/>
      </w:r>
      <w:r w:rsidRPr="006012C1">
        <w:rPr>
          <w:rFonts w:cs="Tahoma"/>
          <w:szCs w:val="20"/>
          <w:u w:val="single"/>
        </w:rPr>
        <w:tab/>
      </w:r>
      <w:r w:rsidRPr="006012C1">
        <w:rPr>
          <w:rFonts w:cs="Tahoma"/>
          <w:szCs w:val="20"/>
          <w:u w:val="single"/>
        </w:rPr>
        <w:tab/>
      </w:r>
      <w:r w:rsidRPr="006012C1">
        <w:rPr>
          <w:rFonts w:cs="Tahoma"/>
          <w:szCs w:val="20"/>
          <w:u w:val="single"/>
        </w:rPr>
        <w:tab/>
        <w:t>vložení</w:t>
      </w:r>
      <w:r w:rsidRPr="006012C1">
        <w:rPr>
          <w:rFonts w:cs="Tahoma"/>
          <w:szCs w:val="20"/>
          <w:u w:val="single"/>
        </w:rPr>
        <w:tab/>
      </w:r>
      <w:r w:rsidRPr="006012C1">
        <w:rPr>
          <w:rFonts w:cs="Tahoma"/>
          <w:szCs w:val="20"/>
          <w:u w:val="single"/>
        </w:rPr>
        <w:tab/>
      </w:r>
      <w:r w:rsidRPr="006012C1">
        <w:rPr>
          <w:rFonts w:cs="Tahoma"/>
          <w:szCs w:val="20"/>
          <w:u w:val="single"/>
        </w:rPr>
        <w:tab/>
        <w:t>běžná životnost</w:t>
      </w:r>
      <w:r w:rsidRPr="006012C1">
        <w:rPr>
          <w:rFonts w:cs="Tahoma"/>
          <w:szCs w:val="20"/>
          <w:u w:val="single"/>
        </w:rPr>
        <w:tab/>
      </w:r>
      <w:r w:rsidRPr="006012C1">
        <w:rPr>
          <w:rFonts w:cs="Tahoma"/>
          <w:szCs w:val="20"/>
          <w:u w:val="single"/>
        </w:rPr>
        <w:tab/>
      </w:r>
      <w:r w:rsidRPr="006012C1">
        <w:rPr>
          <w:rFonts w:cs="Tahoma"/>
          <w:szCs w:val="20"/>
          <w:u w:val="single"/>
        </w:rPr>
        <w:tab/>
        <w:t>výměna</w:t>
      </w:r>
    </w:p>
    <w:p w:rsidR="0011654E" w:rsidRPr="006012C1" w:rsidRDefault="0011654E" w:rsidP="0011654E">
      <w:pPr>
        <w:rPr>
          <w:rFonts w:cs="Tahoma"/>
          <w:szCs w:val="20"/>
        </w:rPr>
      </w:pPr>
      <w:r w:rsidRPr="006012C1">
        <w:rPr>
          <w:rFonts w:cs="Tahoma"/>
          <w:szCs w:val="20"/>
        </w:rPr>
        <w:t>železniční svršek a spodek</w:t>
      </w:r>
      <w:r w:rsidRPr="006012C1">
        <w:rPr>
          <w:rFonts w:cs="Tahoma"/>
          <w:szCs w:val="20"/>
        </w:rPr>
        <w:tab/>
        <w:t>1984 – 2009</w:t>
      </w:r>
      <w:r w:rsidRPr="006012C1">
        <w:rPr>
          <w:rFonts w:cs="Tahoma"/>
          <w:szCs w:val="20"/>
        </w:rPr>
        <w:tab/>
      </w:r>
      <w:r w:rsidRPr="006012C1">
        <w:rPr>
          <w:rFonts w:cs="Tahoma"/>
          <w:szCs w:val="20"/>
        </w:rPr>
        <w:tab/>
        <w:t>30 let</w:t>
      </w:r>
      <w:r w:rsidRPr="006012C1">
        <w:rPr>
          <w:rFonts w:cs="Tahoma"/>
          <w:szCs w:val="20"/>
        </w:rPr>
        <w:tab/>
      </w:r>
      <w:r w:rsidRPr="006012C1">
        <w:rPr>
          <w:rFonts w:cs="Tahoma"/>
          <w:szCs w:val="20"/>
        </w:rPr>
        <w:tab/>
      </w:r>
      <w:r w:rsidRPr="006012C1">
        <w:rPr>
          <w:rFonts w:cs="Tahoma"/>
          <w:szCs w:val="20"/>
        </w:rPr>
        <w:tab/>
      </w:r>
      <w:r w:rsidRPr="006012C1">
        <w:rPr>
          <w:rFonts w:cs="Tahoma"/>
          <w:szCs w:val="20"/>
        </w:rPr>
        <w:tab/>
        <w:t>2014 – 2039</w:t>
      </w:r>
    </w:p>
    <w:p w:rsidR="0011654E" w:rsidRPr="006012C1" w:rsidRDefault="0011654E" w:rsidP="0011654E">
      <w:pPr>
        <w:rPr>
          <w:rFonts w:cs="Tahoma"/>
          <w:szCs w:val="20"/>
        </w:rPr>
      </w:pPr>
      <w:r w:rsidRPr="006012C1">
        <w:rPr>
          <w:rFonts w:cs="Tahoma"/>
          <w:szCs w:val="20"/>
        </w:rPr>
        <w:t>mostní objekty</w:t>
      </w:r>
      <w:r w:rsidRPr="006012C1">
        <w:rPr>
          <w:rFonts w:cs="Tahoma"/>
          <w:szCs w:val="20"/>
        </w:rPr>
        <w:tab/>
      </w:r>
      <w:r w:rsidRPr="006012C1">
        <w:rPr>
          <w:rFonts w:cs="Tahoma"/>
          <w:szCs w:val="20"/>
        </w:rPr>
        <w:tab/>
      </w:r>
      <w:r w:rsidRPr="006012C1">
        <w:rPr>
          <w:rFonts w:cs="Tahoma"/>
          <w:szCs w:val="20"/>
        </w:rPr>
        <w:tab/>
        <w:t>1857 – 2005</w:t>
      </w:r>
      <w:r w:rsidRPr="006012C1">
        <w:rPr>
          <w:rFonts w:cs="Tahoma"/>
          <w:szCs w:val="20"/>
        </w:rPr>
        <w:tab/>
      </w:r>
      <w:r w:rsidRPr="006012C1">
        <w:rPr>
          <w:rFonts w:cs="Tahoma"/>
          <w:szCs w:val="20"/>
        </w:rPr>
        <w:tab/>
        <w:t>35 - 50 let</w:t>
      </w:r>
      <w:r w:rsidRPr="006012C1">
        <w:rPr>
          <w:rFonts w:cs="Tahoma"/>
          <w:szCs w:val="20"/>
        </w:rPr>
        <w:tab/>
      </w:r>
      <w:r w:rsidRPr="006012C1">
        <w:rPr>
          <w:rFonts w:cs="Tahoma"/>
          <w:szCs w:val="20"/>
        </w:rPr>
        <w:tab/>
      </w:r>
      <w:r w:rsidRPr="006012C1">
        <w:rPr>
          <w:rFonts w:cs="Tahoma"/>
          <w:szCs w:val="20"/>
        </w:rPr>
        <w:tab/>
        <w:t>2015 – 2040</w:t>
      </w:r>
    </w:p>
    <w:p w:rsidR="0011654E" w:rsidRPr="006012C1" w:rsidRDefault="0011654E" w:rsidP="0011654E">
      <w:pPr>
        <w:rPr>
          <w:rFonts w:cs="Tahoma"/>
          <w:szCs w:val="20"/>
        </w:rPr>
      </w:pPr>
      <w:r w:rsidRPr="006012C1">
        <w:rPr>
          <w:rFonts w:cs="Tahoma"/>
          <w:szCs w:val="20"/>
        </w:rPr>
        <w:t>zab. a sděl. zařízení</w:t>
      </w:r>
      <w:r w:rsidRPr="006012C1">
        <w:rPr>
          <w:rFonts w:cs="Tahoma"/>
          <w:szCs w:val="20"/>
        </w:rPr>
        <w:tab/>
      </w:r>
      <w:r w:rsidRPr="006012C1">
        <w:rPr>
          <w:rFonts w:cs="Tahoma"/>
          <w:szCs w:val="20"/>
        </w:rPr>
        <w:tab/>
        <w:t>1964 – 2004</w:t>
      </w:r>
      <w:r w:rsidRPr="006012C1">
        <w:rPr>
          <w:rFonts w:cs="Tahoma"/>
          <w:szCs w:val="20"/>
        </w:rPr>
        <w:tab/>
      </w:r>
      <w:r w:rsidRPr="006012C1">
        <w:rPr>
          <w:rFonts w:cs="Tahoma"/>
          <w:szCs w:val="20"/>
        </w:rPr>
        <w:tab/>
        <w:t>30 – 50 let</w:t>
      </w:r>
      <w:r w:rsidRPr="006012C1">
        <w:rPr>
          <w:rFonts w:cs="Tahoma"/>
          <w:szCs w:val="20"/>
        </w:rPr>
        <w:tab/>
      </w:r>
      <w:r w:rsidRPr="006012C1">
        <w:rPr>
          <w:rFonts w:cs="Tahoma"/>
          <w:szCs w:val="20"/>
        </w:rPr>
        <w:tab/>
      </w:r>
      <w:r w:rsidRPr="006012C1">
        <w:rPr>
          <w:rFonts w:cs="Tahoma"/>
          <w:szCs w:val="20"/>
        </w:rPr>
        <w:tab/>
        <w:t>2015 – 2040</w:t>
      </w:r>
    </w:p>
    <w:p w:rsidR="0011654E" w:rsidRPr="006012C1" w:rsidRDefault="0011654E" w:rsidP="0011654E">
      <w:pPr>
        <w:rPr>
          <w:rFonts w:cs="Tahoma"/>
          <w:szCs w:val="20"/>
        </w:rPr>
      </w:pPr>
      <w:r w:rsidRPr="006012C1">
        <w:rPr>
          <w:rFonts w:cs="Tahoma"/>
          <w:szCs w:val="20"/>
        </w:rPr>
        <w:t>trakce</w:t>
      </w:r>
      <w:r w:rsidRPr="006012C1">
        <w:rPr>
          <w:rFonts w:cs="Tahoma"/>
          <w:szCs w:val="20"/>
        </w:rPr>
        <w:tab/>
      </w:r>
      <w:r w:rsidRPr="006012C1">
        <w:rPr>
          <w:rFonts w:cs="Tahoma"/>
          <w:szCs w:val="20"/>
        </w:rPr>
        <w:tab/>
      </w:r>
      <w:r w:rsidRPr="006012C1">
        <w:rPr>
          <w:rFonts w:cs="Tahoma"/>
          <w:szCs w:val="20"/>
        </w:rPr>
        <w:tab/>
      </w:r>
      <w:r w:rsidRPr="006012C1">
        <w:rPr>
          <w:rFonts w:cs="Tahoma"/>
          <w:szCs w:val="20"/>
        </w:rPr>
        <w:tab/>
        <w:t>1965</w:t>
      </w:r>
      <w:r w:rsidRPr="006012C1">
        <w:rPr>
          <w:rFonts w:cs="Tahoma"/>
          <w:szCs w:val="20"/>
        </w:rPr>
        <w:tab/>
      </w:r>
      <w:r w:rsidRPr="006012C1">
        <w:rPr>
          <w:rFonts w:cs="Tahoma"/>
          <w:szCs w:val="20"/>
        </w:rPr>
        <w:tab/>
      </w:r>
      <w:r w:rsidRPr="006012C1">
        <w:rPr>
          <w:rFonts w:cs="Tahoma"/>
          <w:szCs w:val="20"/>
        </w:rPr>
        <w:tab/>
        <w:t>30 let</w:t>
      </w:r>
      <w:r w:rsidRPr="006012C1">
        <w:rPr>
          <w:rFonts w:cs="Tahoma"/>
          <w:szCs w:val="20"/>
        </w:rPr>
        <w:tab/>
      </w:r>
      <w:r w:rsidRPr="006012C1">
        <w:rPr>
          <w:rFonts w:cs="Tahoma"/>
          <w:szCs w:val="20"/>
        </w:rPr>
        <w:tab/>
      </w:r>
      <w:r w:rsidRPr="006012C1">
        <w:rPr>
          <w:rFonts w:cs="Tahoma"/>
          <w:szCs w:val="20"/>
        </w:rPr>
        <w:tab/>
      </w:r>
      <w:r w:rsidRPr="006012C1">
        <w:rPr>
          <w:rFonts w:cs="Tahoma"/>
          <w:szCs w:val="20"/>
        </w:rPr>
        <w:tab/>
        <w:t>2015 – 2018</w:t>
      </w:r>
    </w:p>
    <w:p w:rsidR="0011654E" w:rsidRPr="006012C1" w:rsidRDefault="0011654E" w:rsidP="0011654E">
      <w:pPr>
        <w:rPr>
          <w:rFonts w:cs="Tahoma"/>
          <w:szCs w:val="20"/>
        </w:rPr>
      </w:pPr>
      <w:r w:rsidRPr="006012C1">
        <w:rPr>
          <w:rFonts w:cs="Tahoma"/>
          <w:szCs w:val="20"/>
        </w:rPr>
        <w:t>silnoproudá zařízení</w:t>
      </w:r>
      <w:r w:rsidRPr="006012C1">
        <w:rPr>
          <w:rFonts w:cs="Tahoma"/>
          <w:szCs w:val="20"/>
        </w:rPr>
        <w:tab/>
      </w:r>
      <w:r w:rsidRPr="006012C1">
        <w:rPr>
          <w:rFonts w:cs="Tahoma"/>
          <w:szCs w:val="20"/>
        </w:rPr>
        <w:tab/>
        <w:t>1965 – 2003</w:t>
      </w:r>
      <w:r w:rsidRPr="006012C1">
        <w:rPr>
          <w:rFonts w:cs="Tahoma"/>
          <w:szCs w:val="20"/>
        </w:rPr>
        <w:tab/>
      </w:r>
      <w:r w:rsidRPr="006012C1">
        <w:rPr>
          <w:rFonts w:cs="Tahoma"/>
          <w:szCs w:val="20"/>
        </w:rPr>
        <w:tab/>
        <w:t>20 – 30 let</w:t>
      </w:r>
      <w:r w:rsidRPr="006012C1">
        <w:rPr>
          <w:rFonts w:cs="Tahoma"/>
          <w:szCs w:val="20"/>
        </w:rPr>
        <w:tab/>
      </w:r>
      <w:r w:rsidRPr="006012C1">
        <w:rPr>
          <w:rFonts w:cs="Tahoma"/>
          <w:szCs w:val="20"/>
        </w:rPr>
        <w:tab/>
      </w:r>
      <w:r w:rsidRPr="006012C1">
        <w:rPr>
          <w:rFonts w:cs="Tahoma"/>
          <w:szCs w:val="20"/>
        </w:rPr>
        <w:tab/>
        <w:t>2016 – 2023.</w:t>
      </w:r>
    </w:p>
    <w:p w:rsidR="0011654E" w:rsidRPr="006012C1" w:rsidRDefault="0011654E" w:rsidP="0011654E">
      <w:pPr>
        <w:rPr>
          <w:rFonts w:cs="Tahoma"/>
          <w:szCs w:val="20"/>
        </w:rPr>
      </w:pPr>
      <w:r w:rsidRPr="006012C1">
        <w:rPr>
          <w:rFonts w:cs="Tahoma"/>
          <w:szCs w:val="20"/>
        </w:rPr>
        <w:t>Rozdíl oproti údržbě v projektových variantách je v rozsahu opravovaných zařízení, neboť projektové varianty řeší již v průběhu své výstavby eliminaci nevyhovujících či dosluhujících zařízení, zatímco ve variantě Bez projektu se tato zařízení nahrazují postupně a navíc bez efektu jakéhokoli zlepšení stávajícího stavu.</w:t>
      </w:r>
    </w:p>
    <w:p w:rsidR="009C7F1C" w:rsidRPr="006012C1" w:rsidRDefault="009C7F1C" w:rsidP="009C7F1C">
      <w:pPr>
        <w:rPr>
          <w:rFonts w:cs="Tahoma"/>
          <w:b/>
          <w:szCs w:val="20"/>
        </w:rPr>
      </w:pPr>
      <w:r w:rsidRPr="006012C1">
        <w:rPr>
          <w:rFonts w:cs="Tahoma"/>
          <w:b/>
          <w:szCs w:val="20"/>
        </w:rPr>
        <w:t>Součásti infrastruktury, určené k</w:t>
      </w:r>
      <w:r w:rsidR="006853BC" w:rsidRPr="006012C1">
        <w:rPr>
          <w:rFonts w:cs="Tahoma"/>
          <w:b/>
          <w:szCs w:val="20"/>
        </w:rPr>
        <w:t xml:space="preserve"> postupným </w:t>
      </w:r>
      <w:r w:rsidRPr="006012C1">
        <w:rPr>
          <w:rFonts w:cs="Tahoma"/>
          <w:b/>
          <w:szCs w:val="20"/>
        </w:rPr>
        <w:t>opravám, jsou dle úseků následující:</w:t>
      </w:r>
    </w:p>
    <w:p w:rsidR="009C7F1C" w:rsidRPr="006012C1" w:rsidRDefault="009C7F1C" w:rsidP="009C7F1C">
      <w:pPr>
        <w:rPr>
          <w:rFonts w:cs="Tahoma"/>
          <w:i/>
          <w:szCs w:val="20"/>
        </w:rPr>
      </w:pPr>
      <w:r w:rsidRPr="006012C1">
        <w:rPr>
          <w:rFonts w:cs="Tahoma"/>
          <w:i/>
          <w:szCs w:val="20"/>
        </w:rPr>
        <w:t>Traťový úsek Pardubice hl. n. (mimo) – Pardubice-Rosice nad Labem</w:t>
      </w:r>
      <w:r w:rsidR="00886895" w:rsidRPr="006012C1">
        <w:rPr>
          <w:rFonts w:cs="Tahoma"/>
          <w:i/>
          <w:szCs w:val="20"/>
        </w:rPr>
        <w:t xml:space="preserve"> (mimo)</w:t>
      </w:r>
    </w:p>
    <w:p w:rsidR="00631EAB" w:rsidRDefault="009C7F1C" w:rsidP="00D20948">
      <w:pPr>
        <w:numPr>
          <w:ilvl w:val="0"/>
          <w:numId w:val="40"/>
        </w:numPr>
        <w:rPr>
          <w:rFonts w:cs="Tahoma"/>
          <w:szCs w:val="20"/>
        </w:rPr>
      </w:pPr>
      <w:r w:rsidRPr="006012C1">
        <w:rPr>
          <w:rFonts w:cs="Tahoma"/>
          <w:szCs w:val="20"/>
        </w:rPr>
        <w:t xml:space="preserve">výměna koleje včetně regenerace kolejového lože v délce </w:t>
      </w:r>
      <w:smartTag w:uri="urn:schemas-microsoft-com:office:smarttags" w:element="metricconverter">
        <w:smartTagPr>
          <w:attr w:name="ProductID" w:val="570 m"/>
        </w:smartTagPr>
        <w:r w:rsidRPr="006012C1">
          <w:rPr>
            <w:rFonts w:cs="Tahoma"/>
            <w:szCs w:val="20"/>
          </w:rPr>
          <w:t>570 m</w:t>
        </w:r>
      </w:smartTag>
      <w:r w:rsidR="00E6746C" w:rsidRPr="006012C1">
        <w:rPr>
          <w:rFonts w:cs="Tahoma"/>
          <w:szCs w:val="20"/>
        </w:rPr>
        <w:t>,</w:t>
      </w:r>
    </w:p>
    <w:p w:rsidR="00631EAB" w:rsidRDefault="006853BC" w:rsidP="00D20948">
      <w:pPr>
        <w:numPr>
          <w:ilvl w:val="0"/>
          <w:numId w:val="40"/>
        </w:numPr>
        <w:rPr>
          <w:rFonts w:cs="Tahoma"/>
          <w:szCs w:val="20"/>
        </w:rPr>
      </w:pPr>
      <w:r w:rsidRPr="006012C1">
        <w:rPr>
          <w:rFonts w:cs="Tahoma"/>
          <w:szCs w:val="20"/>
        </w:rPr>
        <w:t>oprava</w:t>
      </w:r>
      <w:r w:rsidR="009C7F1C" w:rsidRPr="006012C1">
        <w:rPr>
          <w:rFonts w:cs="Tahoma"/>
          <w:szCs w:val="20"/>
        </w:rPr>
        <w:t xml:space="preserve"> </w:t>
      </w:r>
      <w:r w:rsidR="00886895" w:rsidRPr="006012C1">
        <w:rPr>
          <w:rFonts w:cs="Tahoma"/>
          <w:szCs w:val="20"/>
        </w:rPr>
        <w:t xml:space="preserve">1 </w:t>
      </w:r>
      <w:r w:rsidR="009C7F1C" w:rsidRPr="006012C1">
        <w:rPr>
          <w:rFonts w:cs="Tahoma"/>
          <w:szCs w:val="20"/>
        </w:rPr>
        <w:t xml:space="preserve">železničního mostu délky </w:t>
      </w:r>
      <w:smartTag w:uri="urn:schemas-microsoft-com:office:smarttags" w:element="metricconverter">
        <w:smartTagPr>
          <w:attr w:name="ProductID" w:val="148,75 m"/>
        </w:smartTagPr>
        <w:r w:rsidR="00886895" w:rsidRPr="006012C1">
          <w:rPr>
            <w:rFonts w:cs="Tahoma"/>
            <w:szCs w:val="20"/>
          </w:rPr>
          <w:t>148,75</w:t>
        </w:r>
        <w:r w:rsidR="009C7F1C" w:rsidRPr="006012C1">
          <w:rPr>
            <w:rFonts w:cs="Tahoma"/>
            <w:szCs w:val="20"/>
          </w:rPr>
          <w:t xml:space="preserve"> m</w:t>
        </w:r>
      </w:smartTag>
      <w:r w:rsidR="00E6746C" w:rsidRPr="006012C1">
        <w:rPr>
          <w:rFonts w:cs="Tahoma"/>
          <w:szCs w:val="20"/>
        </w:rPr>
        <w:t>,</w:t>
      </w:r>
    </w:p>
    <w:p w:rsidR="00631EAB" w:rsidRDefault="009C7F1C" w:rsidP="00D20948">
      <w:pPr>
        <w:numPr>
          <w:ilvl w:val="0"/>
          <w:numId w:val="40"/>
        </w:numPr>
        <w:rPr>
          <w:rFonts w:cs="Tahoma"/>
          <w:szCs w:val="20"/>
        </w:rPr>
      </w:pPr>
      <w:r w:rsidRPr="006012C1">
        <w:rPr>
          <w:rFonts w:cs="Tahoma"/>
          <w:szCs w:val="20"/>
        </w:rPr>
        <w:t xml:space="preserve">demontáž </w:t>
      </w:r>
      <w:r w:rsidR="00886895" w:rsidRPr="006012C1">
        <w:rPr>
          <w:rFonts w:cs="Tahoma"/>
          <w:szCs w:val="20"/>
        </w:rPr>
        <w:t xml:space="preserve">starého </w:t>
      </w:r>
      <w:r w:rsidRPr="006012C1">
        <w:rPr>
          <w:rFonts w:cs="Tahoma"/>
          <w:szCs w:val="20"/>
        </w:rPr>
        <w:t>a montáž</w:t>
      </w:r>
      <w:r w:rsidR="00886895" w:rsidRPr="006012C1">
        <w:rPr>
          <w:rFonts w:cs="Tahoma"/>
          <w:szCs w:val="20"/>
        </w:rPr>
        <w:t xml:space="preserve"> nového</w:t>
      </w:r>
      <w:r w:rsidRPr="006012C1">
        <w:rPr>
          <w:rFonts w:cs="Tahoma"/>
          <w:szCs w:val="20"/>
        </w:rPr>
        <w:t xml:space="preserve"> trakčního vedení v délce </w:t>
      </w:r>
      <w:smartTag w:uri="urn:schemas-microsoft-com:office:smarttags" w:element="metricconverter">
        <w:smartTagPr>
          <w:attr w:name="ProductID" w:val="600 m"/>
        </w:smartTagPr>
        <w:r w:rsidRPr="006012C1">
          <w:rPr>
            <w:rFonts w:cs="Tahoma"/>
            <w:szCs w:val="20"/>
          </w:rPr>
          <w:t>600 m</w:t>
        </w:r>
      </w:smartTag>
      <w:r w:rsidR="00E6746C" w:rsidRPr="006012C1">
        <w:rPr>
          <w:rFonts w:cs="Tahoma"/>
          <w:szCs w:val="20"/>
        </w:rPr>
        <w:t>,</w:t>
      </w:r>
    </w:p>
    <w:p w:rsidR="00631EAB" w:rsidRDefault="009C7F1C" w:rsidP="00D20948">
      <w:pPr>
        <w:numPr>
          <w:ilvl w:val="0"/>
          <w:numId w:val="40"/>
        </w:numPr>
        <w:rPr>
          <w:rFonts w:cs="Tahoma"/>
          <w:szCs w:val="20"/>
        </w:rPr>
      </w:pPr>
      <w:r w:rsidRPr="006012C1">
        <w:rPr>
          <w:rFonts w:cs="Tahoma"/>
          <w:szCs w:val="20"/>
        </w:rPr>
        <w:t>rekonstrukce traťového zabezpečovacího zařízení 3. kategorie, typu automatické hradlo</w:t>
      </w:r>
      <w:r w:rsidR="00E6746C" w:rsidRPr="006012C1">
        <w:rPr>
          <w:rFonts w:cs="Tahoma"/>
          <w:szCs w:val="20"/>
        </w:rPr>
        <w:t>.</w:t>
      </w:r>
    </w:p>
    <w:p w:rsidR="009C7F1C" w:rsidRPr="006012C1" w:rsidRDefault="009C7F1C" w:rsidP="009C7F1C">
      <w:pPr>
        <w:rPr>
          <w:rFonts w:cs="Tahoma"/>
          <w:i/>
          <w:szCs w:val="20"/>
        </w:rPr>
      </w:pPr>
      <w:r w:rsidRPr="006012C1">
        <w:rPr>
          <w:rFonts w:cs="Tahoma"/>
          <w:i/>
          <w:szCs w:val="20"/>
        </w:rPr>
        <w:t>Žst. Pardubice-Rosice nad Labem</w:t>
      </w:r>
    </w:p>
    <w:p w:rsidR="00631EAB" w:rsidRDefault="009C7F1C" w:rsidP="00D20948">
      <w:pPr>
        <w:numPr>
          <w:ilvl w:val="0"/>
          <w:numId w:val="40"/>
        </w:numPr>
        <w:rPr>
          <w:rFonts w:cs="Tahoma"/>
          <w:szCs w:val="20"/>
        </w:rPr>
      </w:pPr>
      <w:r w:rsidRPr="006012C1">
        <w:rPr>
          <w:rFonts w:cs="Tahoma"/>
          <w:szCs w:val="20"/>
        </w:rPr>
        <w:t xml:space="preserve">výměna koleje včetně regenerace kolejového lože v délce </w:t>
      </w:r>
      <w:smartTag w:uri="urn:schemas-microsoft-com:office:smarttags" w:element="metricconverter">
        <w:smartTagPr>
          <w:attr w:name="ProductID" w:val="2700 m"/>
        </w:smartTagPr>
        <w:r w:rsidRPr="006012C1">
          <w:rPr>
            <w:rFonts w:cs="Tahoma"/>
            <w:szCs w:val="20"/>
          </w:rPr>
          <w:t>2700 m</w:t>
        </w:r>
      </w:smartTag>
      <w:r w:rsidR="00E6746C" w:rsidRPr="006012C1">
        <w:rPr>
          <w:rFonts w:cs="Tahoma"/>
          <w:szCs w:val="20"/>
        </w:rPr>
        <w:t>,</w:t>
      </w:r>
    </w:p>
    <w:p w:rsidR="00631EAB" w:rsidRDefault="009C7F1C" w:rsidP="00D20948">
      <w:pPr>
        <w:numPr>
          <w:ilvl w:val="0"/>
          <w:numId w:val="40"/>
        </w:numPr>
        <w:rPr>
          <w:rFonts w:cs="Tahoma"/>
          <w:szCs w:val="20"/>
        </w:rPr>
      </w:pPr>
      <w:r w:rsidRPr="006012C1">
        <w:rPr>
          <w:rFonts w:cs="Tahoma"/>
          <w:szCs w:val="20"/>
        </w:rPr>
        <w:t>výměna 12 výhybkových konstrukcí</w:t>
      </w:r>
      <w:r w:rsidR="00E6746C" w:rsidRPr="006012C1">
        <w:rPr>
          <w:rFonts w:cs="Tahoma"/>
          <w:szCs w:val="20"/>
        </w:rPr>
        <w:t>,</w:t>
      </w:r>
    </w:p>
    <w:p w:rsidR="00631EAB" w:rsidRDefault="00886895" w:rsidP="00D20948">
      <w:pPr>
        <w:numPr>
          <w:ilvl w:val="0"/>
          <w:numId w:val="40"/>
        </w:numPr>
        <w:rPr>
          <w:rFonts w:cs="Tahoma"/>
          <w:szCs w:val="20"/>
        </w:rPr>
      </w:pPr>
      <w:r w:rsidRPr="006012C1">
        <w:rPr>
          <w:rFonts w:cs="Tahoma"/>
          <w:szCs w:val="20"/>
        </w:rPr>
        <w:t xml:space="preserve">oprava 1 železničního mostu délky </w:t>
      </w:r>
      <w:smartTag w:uri="urn:schemas-microsoft-com:office:smarttags" w:element="metricconverter">
        <w:smartTagPr>
          <w:attr w:name="ProductID" w:val="13,10 m"/>
        </w:smartTagPr>
        <w:r w:rsidRPr="006012C1">
          <w:rPr>
            <w:rFonts w:cs="Tahoma"/>
            <w:szCs w:val="20"/>
          </w:rPr>
          <w:t>13,10 m</w:t>
        </w:r>
      </w:smartTag>
      <w:r w:rsidRPr="006012C1">
        <w:rPr>
          <w:rFonts w:cs="Tahoma"/>
          <w:szCs w:val="20"/>
        </w:rPr>
        <w:t>,</w:t>
      </w:r>
    </w:p>
    <w:p w:rsidR="00631EAB" w:rsidRDefault="00E6746C" w:rsidP="00D20948">
      <w:pPr>
        <w:numPr>
          <w:ilvl w:val="0"/>
          <w:numId w:val="40"/>
        </w:numPr>
        <w:rPr>
          <w:rFonts w:cs="Tahoma"/>
          <w:szCs w:val="20"/>
        </w:rPr>
      </w:pPr>
      <w:r w:rsidRPr="006012C1">
        <w:rPr>
          <w:rFonts w:cs="Tahoma"/>
          <w:szCs w:val="20"/>
        </w:rPr>
        <w:t xml:space="preserve">demontáž </w:t>
      </w:r>
      <w:r w:rsidR="00886895" w:rsidRPr="006012C1">
        <w:rPr>
          <w:rFonts w:cs="Tahoma"/>
          <w:szCs w:val="20"/>
        </w:rPr>
        <w:t xml:space="preserve">starého </w:t>
      </w:r>
      <w:r w:rsidRPr="006012C1">
        <w:rPr>
          <w:rFonts w:cs="Tahoma"/>
          <w:szCs w:val="20"/>
        </w:rPr>
        <w:t xml:space="preserve">a montáž </w:t>
      </w:r>
      <w:r w:rsidR="00886895" w:rsidRPr="006012C1">
        <w:rPr>
          <w:rFonts w:cs="Tahoma"/>
          <w:szCs w:val="20"/>
        </w:rPr>
        <w:t xml:space="preserve">nového </w:t>
      </w:r>
      <w:r w:rsidRPr="006012C1">
        <w:rPr>
          <w:rFonts w:cs="Tahoma"/>
          <w:szCs w:val="20"/>
        </w:rPr>
        <w:t xml:space="preserve">trakčního vedení v délce </w:t>
      </w:r>
      <w:smartTag w:uri="urn:schemas-microsoft-com:office:smarttags" w:element="metricconverter">
        <w:smartTagPr>
          <w:attr w:name="ProductID" w:val="2900 m"/>
        </w:smartTagPr>
        <w:r w:rsidRPr="006012C1">
          <w:rPr>
            <w:rFonts w:cs="Tahoma"/>
            <w:szCs w:val="20"/>
          </w:rPr>
          <w:t>2900 m</w:t>
        </w:r>
      </w:smartTag>
      <w:r w:rsidRPr="006012C1">
        <w:rPr>
          <w:rFonts w:cs="Tahoma"/>
          <w:szCs w:val="20"/>
        </w:rPr>
        <w:t>,</w:t>
      </w:r>
    </w:p>
    <w:p w:rsidR="00631EAB" w:rsidRDefault="00E6746C" w:rsidP="00D20948">
      <w:pPr>
        <w:numPr>
          <w:ilvl w:val="0"/>
          <w:numId w:val="40"/>
        </w:numPr>
        <w:rPr>
          <w:rFonts w:cs="Tahoma"/>
          <w:szCs w:val="20"/>
        </w:rPr>
      </w:pPr>
      <w:r w:rsidRPr="006012C1">
        <w:rPr>
          <w:rFonts w:cs="Tahoma"/>
          <w:szCs w:val="20"/>
        </w:rPr>
        <w:t>rekonstrukce osvětlení a výměna rozvodů nízkého napětí,</w:t>
      </w:r>
    </w:p>
    <w:p w:rsidR="00631EAB" w:rsidRDefault="00E6746C" w:rsidP="00D20948">
      <w:pPr>
        <w:numPr>
          <w:ilvl w:val="0"/>
          <w:numId w:val="40"/>
        </w:numPr>
        <w:rPr>
          <w:rFonts w:cs="Tahoma"/>
          <w:szCs w:val="20"/>
        </w:rPr>
      </w:pPr>
      <w:r w:rsidRPr="006012C1">
        <w:rPr>
          <w:rFonts w:cs="Tahoma"/>
          <w:szCs w:val="20"/>
        </w:rPr>
        <w:t>rekonstrukce přejezdového zabezpečovacího zařízení (1 ks),</w:t>
      </w:r>
    </w:p>
    <w:p w:rsidR="00631EAB" w:rsidRDefault="00E6746C" w:rsidP="00D20948">
      <w:pPr>
        <w:numPr>
          <w:ilvl w:val="0"/>
          <w:numId w:val="40"/>
        </w:numPr>
        <w:rPr>
          <w:rFonts w:cs="Tahoma"/>
          <w:szCs w:val="20"/>
        </w:rPr>
      </w:pPr>
      <w:r w:rsidRPr="006012C1">
        <w:rPr>
          <w:rFonts w:cs="Tahoma"/>
          <w:szCs w:val="20"/>
        </w:rPr>
        <w:t>náhrada staničního zabezpečovacího zařízení 2. kategorie (elektromechanické</w:t>
      </w:r>
      <w:r w:rsidR="00886895" w:rsidRPr="006012C1">
        <w:rPr>
          <w:rFonts w:cs="Tahoma"/>
          <w:szCs w:val="20"/>
        </w:rPr>
        <w:t xml:space="preserve">) </w:t>
      </w:r>
      <w:r w:rsidRPr="006012C1">
        <w:rPr>
          <w:rFonts w:cs="Tahoma"/>
          <w:szCs w:val="20"/>
        </w:rPr>
        <w:t>zařízení</w:t>
      </w:r>
      <w:r w:rsidR="00886895" w:rsidRPr="006012C1">
        <w:rPr>
          <w:rFonts w:cs="Tahoma"/>
          <w:szCs w:val="20"/>
        </w:rPr>
        <w:t>m</w:t>
      </w:r>
      <w:r w:rsidRPr="006012C1">
        <w:rPr>
          <w:rFonts w:cs="Tahoma"/>
          <w:szCs w:val="20"/>
        </w:rPr>
        <w:t xml:space="preserve"> 3.</w:t>
      </w:r>
      <w:r w:rsidR="00886895" w:rsidRPr="006012C1">
        <w:rPr>
          <w:rFonts w:cs="Tahoma"/>
          <w:szCs w:val="20"/>
        </w:rPr>
        <w:t> </w:t>
      </w:r>
      <w:r w:rsidRPr="006012C1">
        <w:rPr>
          <w:rFonts w:cs="Tahoma"/>
          <w:szCs w:val="20"/>
        </w:rPr>
        <w:t>kategorie (elektronické stavědlo).</w:t>
      </w:r>
    </w:p>
    <w:p w:rsidR="00FC1012" w:rsidRDefault="00FC1012">
      <w:pPr>
        <w:suppressAutoHyphens w:val="0"/>
        <w:spacing w:before="0" w:after="0" w:line="240" w:lineRule="auto"/>
        <w:jc w:val="left"/>
        <w:rPr>
          <w:rFonts w:cs="Tahoma"/>
          <w:i/>
          <w:szCs w:val="20"/>
        </w:rPr>
      </w:pPr>
      <w:r>
        <w:rPr>
          <w:rFonts w:cs="Tahoma"/>
          <w:i/>
          <w:szCs w:val="20"/>
        </w:rPr>
        <w:br w:type="page"/>
      </w:r>
    </w:p>
    <w:p w:rsidR="00886895" w:rsidRPr="006012C1" w:rsidRDefault="00886895" w:rsidP="00886895">
      <w:pPr>
        <w:rPr>
          <w:rFonts w:cs="Tahoma"/>
          <w:i/>
          <w:szCs w:val="20"/>
        </w:rPr>
      </w:pPr>
      <w:r w:rsidRPr="006012C1">
        <w:rPr>
          <w:rFonts w:cs="Tahoma"/>
          <w:i/>
          <w:szCs w:val="20"/>
        </w:rPr>
        <w:t>Traťový úsek Pardubice-Rosice nad Labem (mimo) – Stéblová (mimo)</w:t>
      </w:r>
    </w:p>
    <w:p w:rsidR="00631EAB" w:rsidRDefault="00886895" w:rsidP="00D20948">
      <w:pPr>
        <w:numPr>
          <w:ilvl w:val="0"/>
          <w:numId w:val="40"/>
        </w:numPr>
        <w:rPr>
          <w:rFonts w:cs="Tahoma"/>
          <w:szCs w:val="20"/>
        </w:rPr>
      </w:pPr>
      <w:r w:rsidRPr="006012C1">
        <w:rPr>
          <w:rFonts w:cs="Tahoma"/>
          <w:szCs w:val="20"/>
        </w:rPr>
        <w:t xml:space="preserve">výměna koleje včetně regenerace kolejového lože v délce </w:t>
      </w:r>
      <w:smartTag w:uri="urn:schemas-microsoft-com:office:smarttags" w:element="metricconverter">
        <w:smartTagPr>
          <w:attr w:name="ProductID" w:val="4160 m"/>
        </w:smartTagPr>
        <w:r w:rsidRPr="006012C1">
          <w:rPr>
            <w:rFonts w:cs="Tahoma"/>
            <w:szCs w:val="20"/>
          </w:rPr>
          <w:t>4160 m</w:t>
        </w:r>
      </w:smartTag>
      <w:r w:rsidRPr="006012C1">
        <w:rPr>
          <w:rFonts w:cs="Tahoma"/>
          <w:szCs w:val="20"/>
        </w:rPr>
        <w:t>,</w:t>
      </w:r>
    </w:p>
    <w:p w:rsidR="00631EAB" w:rsidRDefault="00886895" w:rsidP="00D20948">
      <w:pPr>
        <w:numPr>
          <w:ilvl w:val="0"/>
          <w:numId w:val="40"/>
        </w:numPr>
        <w:rPr>
          <w:rFonts w:cs="Tahoma"/>
          <w:szCs w:val="20"/>
        </w:rPr>
      </w:pPr>
      <w:r w:rsidRPr="006012C1">
        <w:rPr>
          <w:rFonts w:cs="Tahoma"/>
          <w:szCs w:val="20"/>
        </w:rPr>
        <w:t>oprava propust</w:t>
      </w:r>
      <w:r w:rsidR="006E61CA">
        <w:rPr>
          <w:rFonts w:cs="Tahoma"/>
          <w:szCs w:val="20"/>
        </w:rPr>
        <w:t>k</w:t>
      </w:r>
      <w:r w:rsidRPr="006012C1">
        <w:rPr>
          <w:rFonts w:cs="Tahoma"/>
          <w:szCs w:val="20"/>
        </w:rPr>
        <w:t>ů (5 ks),</w:t>
      </w:r>
    </w:p>
    <w:p w:rsidR="00631EAB" w:rsidRDefault="00886895" w:rsidP="00D20948">
      <w:pPr>
        <w:numPr>
          <w:ilvl w:val="0"/>
          <w:numId w:val="40"/>
        </w:numPr>
        <w:rPr>
          <w:rFonts w:cs="Tahoma"/>
          <w:szCs w:val="20"/>
        </w:rPr>
      </w:pPr>
      <w:r w:rsidRPr="006012C1">
        <w:rPr>
          <w:rFonts w:cs="Tahoma"/>
          <w:szCs w:val="20"/>
        </w:rPr>
        <w:t xml:space="preserve">demontáž starého a montáž nového trakčního vedení v délce </w:t>
      </w:r>
      <w:smartTag w:uri="urn:schemas-microsoft-com:office:smarttags" w:element="metricconverter">
        <w:smartTagPr>
          <w:attr w:name="ProductID" w:val="4200 m"/>
        </w:smartTagPr>
        <w:r w:rsidRPr="006012C1">
          <w:rPr>
            <w:rFonts w:cs="Tahoma"/>
            <w:szCs w:val="20"/>
          </w:rPr>
          <w:t>4200 m</w:t>
        </w:r>
      </w:smartTag>
      <w:r w:rsidRPr="006012C1">
        <w:rPr>
          <w:rFonts w:cs="Tahoma"/>
          <w:szCs w:val="20"/>
        </w:rPr>
        <w:t>,</w:t>
      </w:r>
    </w:p>
    <w:p w:rsidR="00631EAB" w:rsidRDefault="00886895" w:rsidP="00D20948">
      <w:pPr>
        <w:numPr>
          <w:ilvl w:val="0"/>
          <w:numId w:val="40"/>
        </w:numPr>
        <w:rPr>
          <w:rFonts w:cs="Tahoma"/>
          <w:szCs w:val="20"/>
        </w:rPr>
      </w:pPr>
      <w:r w:rsidRPr="006012C1">
        <w:rPr>
          <w:rFonts w:cs="Tahoma"/>
          <w:szCs w:val="20"/>
        </w:rPr>
        <w:t xml:space="preserve">rekonstrukce osvětlení v zast. </w:t>
      </w:r>
      <w:r w:rsidR="006853BC" w:rsidRPr="006012C1">
        <w:rPr>
          <w:rFonts w:cs="Tahoma"/>
          <w:szCs w:val="20"/>
        </w:rPr>
        <w:t>Pardubice-Semtín,</w:t>
      </w:r>
    </w:p>
    <w:p w:rsidR="00631EAB" w:rsidRDefault="006853BC" w:rsidP="00D20948">
      <w:pPr>
        <w:numPr>
          <w:ilvl w:val="0"/>
          <w:numId w:val="40"/>
        </w:numPr>
        <w:rPr>
          <w:rFonts w:cs="Tahoma"/>
          <w:szCs w:val="20"/>
        </w:rPr>
      </w:pPr>
      <w:r w:rsidRPr="006012C1">
        <w:rPr>
          <w:rFonts w:cs="Tahoma"/>
          <w:szCs w:val="20"/>
        </w:rPr>
        <w:t>rekonstrukce přejezdového zabezpečovacího zařízení (4 ks)</w:t>
      </w:r>
    </w:p>
    <w:p w:rsidR="00631EAB" w:rsidRDefault="00886895" w:rsidP="00D20948">
      <w:pPr>
        <w:numPr>
          <w:ilvl w:val="0"/>
          <w:numId w:val="40"/>
        </w:numPr>
        <w:rPr>
          <w:rFonts w:cs="Tahoma"/>
          <w:szCs w:val="20"/>
        </w:rPr>
      </w:pPr>
      <w:r w:rsidRPr="006012C1">
        <w:rPr>
          <w:rFonts w:cs="Tahoma"/>
          <w:szCs w:val="20"/>
        </w:rPr>
        <w:t>rekonstrukce traťového zabezpečovacího zařízení 3. kategorie, typu automatické hradlo.</w:t>
      </w:r>
    </w:p>
    <w:p w:rsidR="006853BC" w:rsidRPr="006012C1" w:rsidRDefault="006853BC" w:rsidP="006853BC">
      <w:pPr>
        <w:rPr>
          <w:rFonts w:cs="Tahoma"/>
          <w:i/>
          <w:szCs w:val="20"/>
        </w:rPr>
      </w:pPr>
      <w:r w:rsidRPr="006012C1">
        <w:rPr>
          <w:rFonts w:cs="Tahoma"/>
          <w:i/>
          <w:szCs w:val="20"/>
        </w:rPr>
        <w:t>Žst. Stéblová</w:t>
      </w:r>
    </w:p>
    <w:p w:rsidR="00631EAB" w:rsidRDefault="006853BC" w:rsidP="00D20948">
      <w:pPr>
        <w:numPr>
          <w:ilvl w:val="0"/>
          <w:numId w:val="40"/>
        </w:numPr>
        <w:rPr>
          <w:rFonts w:cs="Tahoma"/>
          <w:szCs w:val="20"/>
        </w:rPr>
      </w:pPr>
      <w:r w:rsidRPr="006012C1">
        <w:rPr>
          <w:rFonts w:cs="Tahoma"/>
          <w:szCs w:val="20"/>
        </w:rPr>
        <w:t xml:space="preserve">výměna koleje včetně regenerace kolejového lože v délce </w:t>
      </w:r>
      <w:smartTag w:uri="urn:schemas-microsoft-com:office:smarttags" w:element="metricconverter">
        <w:smartTagPr>
          <w:attr w:name="ProductID" w:val="2700 m"/>
        </w:smartTagPr>
        <w:r w:rsidRPr="006012C1">
          <w:rPr>
            <w:rFonts w:cs="Tahoma"/>
            <w:szCs w:val="20"/>
          </w:rPr>
          <w:t>2700 m</w:t>
        </w:r>
      </w:smartTag>
      <w:r w:rsidRPr="006012C1">
        <w:rPr>
          <w:rFonts w:cs="Tahoma"/>
          <w:szCs w:val="20"/>
        </w:rPr>
        <w:t>,</w:t>
      </w:r>
    </w:p>
    <w:p w:rsidR="00631EAB" w:rsidRDefault="006853BC" w:rsidP="00D20948">
      <w:pPr>
        <w:numPr>
          <w:ilvl w:val="0"/>
          <w:numId w:val="40"/>
        </w:numPr>
        <w:rPr>
          <w:rFonts w:cs="Tahoma"/>
          <w:szCs w:val="20"/>
        </w:rPr>
      </w:pPr>
      <w:r w:rsidRPr="006012C1">
        <w:rPr>
          <w:rFonts w:cs="Tahoma"/>
          <w:szCs w:val="20"/>
        </w:rPr>
        <w:t>výměna 5 výhybkových konstrukcí,</w:t>
      </w:r>
    </w:p>
    <w:p w:rsidR="00631EAB" w:rsidRDefault="006853BC" w:rsidP="00D20948">
      <w:pPr>
        <w:numPr>
          <w:ilvl w:val="0"/>
          <w:numId w:val="40"/>
        </w:numPr>
        <w:rPr>
          <w:rFonts w:cs="Tahoma"/>
          <w:szCs w:val="20"/>
        </w:rPr>
      </w:pPr>
      <w:r w:rsidRPr="006012C1">
        <w:rPr>
          <w:rFonts w:cs="Tahoma"/>
          <w:szCs w:val="20"/>
        </w:rPr>
        <w:t xml:space="preserve">oprava 1 železničního mostu délky </w:t>
      </w:r>
      <w:smartTag w:uri="urn:schemas-microsoft-com:office:smarttags" w:element="metricconverter">
        <w:smartTagPr>
          <w:attr w:name="ProductID" w:val="13,15 m"/>
        </w:smartTagPr>
        <w:r w:rsidRPr="006012C1">
          <w:rPr>
            <w:rFonts w:cs="Tahoma"/>
            <w:szCs w:val="20"/>
          </w:rPr>
          <w:t>13,15 m</w:t>
        </w:r>
      </w:smartTag>
      <w:r w:rsidRPr="006012C1">
        <w:rPr>
          <w:rFonts w:cs="Tahoma"/>
          <w:szCs w:val="20"/>
        </w:rPr>
        <w:t>,</w:t>
      </w:r>
    </w:p>
    <w:p w:rsidR="00631EAB" w:rsidRDefault="006853BC" w:rsidP="00D20948">
      <w:pPr>
        <w:numPr>
          <w:ilvl w:val="0"/>
          <w:numId w:val="40"/>
        </w:numPr>
        <w:rPr>
          <w:rFonts w:cs="Tahoma"/>
          <w:szCs w:val="20"/>
        </w:rPr>
      </w:pPr>
      <w:r w:rsidRPr="006012C1">
        <w:rPr>
          <w:rFonts w:cs="Tahoma"/>
          <w:szCs w:val="20"/>
        </w:rPr>
        <w:t>oprava propust</w:t>
      </w:r>
      <w:r w:rsidR="006E61CA">
        <w:rPr>
          <w:rFonts w:cs="Tahoma"/>
          <w:szCs w:val="20"/>
        </w:rPr>
        <w:t>k</w:t>
      </w:r>
      <w:r w:rsidRPr="006012C1">
        <w:rPr>
          <w:rFonts w:cs="Tahoma"/>
          <w:szCs w:val="20"/>
        </w:rPr>
        <w:t>ů (2 ks),</w:t>
      </w:r>
    </w:p>
    <w:p w:rsidR="00631EAB" w:rsidRDefault="006853BC" w:rsidP="00D20948">
      <w:pPr>
        <w:numPr>
          <w:ilvl w:val="0"/>
          <w:numId w:val="40"/>
        </w:numPr>
        <w:rPr>
          <w:rFonts w:cs="Tahoma"/>
          <w:szCs w:val="20"/>
        </w:rPr>
      </w:pPr>
      <w:r w:rsidRPr="006012C1">
        <w:rPr>
          <w:rFonts w:cs="Tahoma"/>
          <w:szCs w:val="20"/>
        </w:rPr>
        <w:t xml:space="preserve">demontáž starého a montáž nového trakčního vedení v délce </w:t>
      </w:r>
      <w:smartTag w:uri="urn:schemas-microsoft-com:office:smarttags" w:element="metricconverter">
        <w:smartTagPr>
          <w:attr w:name="ProductID" w:val="3300 m"/>
        </w:smartTagPr>
        <w:r w:rsidRPr="006012C1">
          <w:rPr>
            <w:rFonts w:cs="Tahoma"/>
            <w:szCs w:val="20"/>
          </w:rPr>
          <w:t>3300 m</w:t>
        </w:r>
      </w:smartTag>
      <w:r w:rsidRPr="006012C1">
        <w:rPr>
          <w:rFonts w:cs="Tahoma"/>
          <w:szCs w:val="20"/>
        </w:rPr>
        <w:t>,</w:t>
      </w:r>
    </w:p>
    <w:p w:rsidR="00631EAB" w:rsidRDefault="006853BC" w:rsidP="00D20948">
      <w:pPr>
        <w:numPr>
          <w:ilvl w:val="0"/>
          <w:numId w:val="40"/>
        </w:numPr>
        <w:rPr>
          <w:rFonts w:cs="Tahoma"/>
          <w:szCs w:val="20"/>
        </w:rPr>
      </w:pPr>
      <w:r w:rsidRPr="006012C1">
        <w:rPr>
          <w:rFonts w:cs="Tahoma"/>
          <w:szCs w:val="20"/>
        </w:rPr>
        <w:t>rekonstrukce osvětlení a výměna rozvodů nízkého napětí,</w:t>
      </w:r>
    </w:p>
    <w:p w:rsidR="00631EAB" w:rsidRDefault="006853BC" w:rsidP="00D20948">
      <w:pPr>
        <w:numPr>
          <w:ilvl w:val="0"/>
          <w:numId w:val="40"/>
        </w:numPr>
        <w:rPr>
          <w:rFonts w:cs="Tahoma"/>
          <w:szCs w:val="20"/>
        </w:rPr>
      </w:pPr>
      <w:r w:rsidRPr="006012C1">
        <w:rPr>
          <w:rFonts w:cs="Tahoma"/>
          <w:szCs w:val="20"/>
        </w:rPr>
        <w:t>rekonstrukce přejezdového zabezpečovacího zařízení (3 ks),</w:t>
      </w:r>
    </w:p>
    <w:p w:rsidR="00631EAB" w:rsidRDefault="006853BC" w:rsidP="00D20948">
      <w:pPr>
        <w:numPr>
          <w:ilvl w:val="0"/>
          <w:numId w:val="40"/>
        </w:numPr>
        <w:rPr>
          <w:rFonts w:cs="Tahoma"/>
          <w:szCs w:val="20"/>
        </w:rPr>
      </w:pPr>
      <w:r w:rsidRPr="006012C1">
        <w:rPr>
          <w:rFonts w:cs="Tahoma"/>
          <w:szCs w:val="20"/>
        </w:rPr>
        <w:t>náhrada staničního zabezpečovacího zařízení 2. kategorie (elektromechanické) zařízením 3. kategorie (elektronické stavědlo).</w:t>
      </w:r>
    </w:p>
    <w:p w:rsidR="006853BC" w:rsidRPr="006012C1" w:rsidRDefault="006853BC" w:rsidP="006853BC">
      <w:pPr>
        <w:rPr>
          <w:rFonts w:cs="Tahoma"/>
          <w:i/>
          <w:szCs w:val="20"/>
        </w:rPr>
      </w:pPr>
      <w:r w:rsidRPr="006012C1">
        <w:rPr>
          <w:rFonts w:cs="Tahoma"/>
          <w:i/>
          <w:szCs w:val="20"/>
        </w:rPr>
        <w:t>Traťový úsek Stéblová (mimo) – Opatovice nad Labem (mimo)</w:t>
      </w:r>
    </w:p>
    <w:p w:rsidR="00631EAB" w:rsidRDefault="006853BC" w:rsidP="00D20948">
      <w:pPr>
        <w:numPr>
          <w:ilvl w:val="0"/>
          <w:numId w:val="40"/>
        </w:numPr>
        <w:rPr>
          <w:rFonts w:cs="Tahoma"/>
          <w:szCs w:val="20"/>
        </w:rPr>
      </w:pPr>
      <w:r w:rsidRPr="006012C1">
        <w:rPr>
          <w:rFonts w:cs="Tahoma"/>
          <w:szCs w:val="20"/>
        </w:rPr>
        <w:t xml:space="preserve">výměna koleje včetně regenerace kolejového lože v délce </w:t>
      </w:r>
      <w:smartTag w:uri="urn:schemas-microsoft-com:office:smarttags" w:element="metricconverter">
        <w:smartTagPr>
          <w:attr w:name="ProductID" w:val="4735 m"/>
        </w:smartTagPr>
        <w:r w:rsidRPr="006012C1">
          <w:rPr>
            <w:rFonts w:cs="Tahoma"/>
            <w:szCs w:val="20"/>
          </w:rPr>
          <w:t>4735 m</w:t>
        </w:r>
      </w:smartTag>
      <w:r w:rsidRPr="006012C1">
        <w:rPr>
          <w:rFonts w:cs="Tahoma"/>
          <w:szCs w:val="20"/>
        </w:rPr>
        <w:t>,</w:t>
      </w:r>
    </w:p>
    <w:p w:rsidR="00631EAB" w:rsidRDefault="006853BC" w:rsidP="00D20948">
      <w:pPr>
        <w:numPr>
          <w:ilvl w:val="0"/>
          <w:numId w:val="40"/>
        </w:numPr>
        <w:rPr>
          <w:rFonts w:cs="Tahoma"/>
          <w:szCs w:val="20"/>
        </w:rPr>
      </w:pPr>
      <w:r w:rsidRPr="006012C1">
        <w:rPr>
          <w:rFonts w:cs="Tahoma"/>
          <w:szCs w:val="20"/>
        </w:rPr>
        <w:t xml:space="preserve">oprava 1 železničního mostu délky </w:t>
      </w:r>
      <w:smartTag w:uri="urn:schemas-microsoft-com:office:smarttags" w:element="metricconverter">
        <w:smartTagPr>
          <w:attr w:name="ProductID" w:val="15,30 m"/>
        </w:smartTagPr>
        <w:r w:rsidRPr="006012C1">
          <w:rPr>
            <w:rFonts w:cs="Tahoma"/>
            <w:szCs w:val="20"/>
          </w:rPr>
          <w:t>15,30 m</w:t>
        </w:r>
      </w:smartTag>
      <w:r w:rsidRPr="006012C1">
        <w:rPr>
          <w:rFonts w:cs="Tahoma"/>
          <w:szCs w:val="20"/>
        </w:rPr>
        <w:t>,</w:t>
      </w:r>
    </w:p>
    <w:p w:rsidR="00631EAB" w:rsidRDefault="006853BC" w:rsidP="00D20948">
      <w:pPr>
        <w:numPr>
          <w:ilvl w:val="0"/>
          <w:numId w:val="40"/>
        </w:numPr>
        <w:rPr>
          <w:rFonts w:cs="Tahoma"/>
          <w:szCs w:val="20"/>
        </w:rPr>
      </w:pPr>
      <w:r w:rsidRPr="006012C1">
        <w:rPr>
          <w:rFonts w:cs="Tahoma"/>
          <w:szCs w:val="20"/>
        </w:rPr>
        <w:t>oprava propust</w:t>
      </w:r>
      <w:r w:rsidR="006E61CA">
        <w:rPr>
          <w:rFonts w:cs="Tahoma"/>
          <w:szCs w:val="20"/>
        </w:rPr>
        <w:t>k</w:t>
      </w:r>
      <w:r w:rsidRPr="006012C1">
        <w:rPr>
          <w:rFonts w:cs="Tahoma"/>
          <w:szCs w:val="20"/>
        </w:rPr>
        <w:t>ů (4 ks),</w:t>
      </w:r>
    </w:p>
    <w:p w:rsidR="00631EAB" w:rsidRDefault="006853BC" w:rsidP="00D20948">
      <w:pPr>
        <w:numPr>
          <w:ilvl w:val="0"/>
          <w:numId w:val="40"/>
        </w:numPr>
        <w:rPr>
          <w:rFonts w:cs="Tahoma"/>
          <w:szCs w:val="20"/>
        </w:rPr>
      </w:pPr>
      <w:r w:rsidRPr="006012C1">
        <w:rPr>
          <w:rFonts w:cs="Tahoma"/>
          <w:szCs w:val="20"/>
        </w:rPr>
        <w:t xml:space="preserve">demontáž starého a montáž nového trakčního vedení v délce </w:t>
      </w:r>
      <w:smartTag w:uri="urn:schemas-microsoft-com:office:smarttags" w:element="metricconverter">
        <w:smartTagPr>
          <w:attr w:name="ProductID" w:val="4800 m"/>
        </w:smartTagPr>
        <w:r w:rsidRPr="006012C1">
          <w:rPr>
            <w:rFonts w:cs="Tahoma"/>
            <w:szCs w:val="20"/>
          </w:rPr>
          <w:t>4800 m</w:t>
        </w:r>
      </w:smartTag>
      <w:r w:rsidRPr="006012C1">
        <w:rPr>
          <w:rFonts w:cs="Tahoma"/>
          <w:szCs w:val="20"/>
        </w:rPr>
        <w:t>,</w:t>
      </w:r>
    </w:p>
    <w:p w:rsidR="00631EAB" w:rsidRDefault="006853BC" w:rsidP="00D20948">
      <w:pPr>
        <w:numPr>
          <w:ilvl w:val="0"/>
          <w:numId w:val="40"/>
        </w:numPr>
        <w:rPr>
          <w:rFonts w:cs="Tahoma"/>
          <w:szCs w:val="20"/>
        </w:rPr>
      </w:pPr>
      <w:r w:rsidRPr="006012C1">
        <w:rPr>
          <w:rFonts w:cs="Tahoma"/>
          <w:szCs w:val="20"/>
        </w:rPr>
        <w:t xml:space="preserve">rekonstrukce osvětlení v zast. </w:t>
      </w:r>
      <w:r w:rsidR="00A50480" w:rsidRPr="006012C1">
        <w:rPr>
          <w:rFonts w:cs="Tahoma"/>
          <w:szCs w:val="20"/>
        </w:rPr>
        <w:t>Čeperka</w:t>
      </w:r>
      <w:r w:rsidRPr="006012C1">
        <w:rPr>
          <w:rFonts w:cs="Tahoma"/>
          <w:szCs w:val="20"/>
        </w:rPr>
        <w:t>,</w:t>
      </w:r>
    </w:p>
    <w:p w:rsidR="00631EAB" w:rsidRDefault="006853BC" w:rsidP="00D20948">
      <w:pPr>
        <w:numPr>
          <w:ilvl w:val="0"/>
          <w:numId w:val="40"/>
        </w:numPr>
        <w:rPr>
          <w:rFonts w:cs="Tahoma"/>
          <w:szCs w:val="20"/>
        </w:rPr>
      </w:pPr>
      <w:r w:rsidRPr="006012C1">
        <w:rPr>
          <w:rFonts w:cs="Tahoma"/>
          <w:szCs w:val="20"/>
        </w:rPr>
        <w:t>rekonstrukce přejezdo</w:t>
      </w:r>
      <w:r w:rsidR="00A50480" w:rsidRPr="006012C1">
        <w:rPr>
          <w:rFonts w:cs="Tahoma"/>
          <w:szCs w:val="20"/>
        </w:rPr>
        <w:t>vého zabezpečovacího zařízení (3</w:t>
      </w:r>
      <w:r w:rsidRPr="006012C1">
        <w:rPr>
          <w:rFonts w:cs="Tahoma"/>
          <w:szCs w:val="20"/>
        </w:rPr>
        <w:t xml:space="preserve"> ks)</w:t>
      </w:r>
    </w:p>
    <w:p w:rsidR="00631EAB" w:rsidRDefault="006853BC" w:rsidP="00D20948">
      <w:pPr>
        <w:numPr>
          <w:ilvl w:val="0"/>
          <w:numId w:val="40"/>
        </w:numPr>
        <w:rPr>
          <w:rFonts w:cs="Tahoma"/>
          <w:szCs w:val="20"/>
        </w:rPr>
      </w:pPr>
      <w:r w:rsidRPr="006012C1">
        <w:rPr>
          <w:rFonts w:cs="Tahoma"/>
          <w:szCs w:val="20"/>
        </w:rPr>
        <w:t>rekonstrukce traťového zabezpečovacího zařízení 3. kategorie, typu automatické hradlo.</w:t>
      </w:r>
    </w:p>
    <w:p w:rsidR="00A50480" w:rsidRPr="006012C1" w:rsidRDefault="00A50480" w:rsidP="00A50480">
      <w:pPr>
        <w:rPr>
          <w:rFonts w:cs="Tahoma"/>
          <w:i/>
          <w:szCs w:val="20"/>
        </w:rPr>
      </w:pPr>
      <w:r w:rsidRPr="006012C1">
        <w:rPr>
          <w:rFonts w:cs="Tahoma"/>
          <w:i/>
          <w:szCs w:val="20"/>
        </w:rPr>
        <w:t>Žst. Opatovice nad Labem</w:t>
      </w:r>
    </w:p>
    <w:p w:rsidR="00631EAB" w:rsidRDefault="00A50480" w:rsidP="00D20948">
      <w:pPr>
        <w:numPr>
          <w:ilvl w:val="0"/>
          <w:numId w:val="40"/>
        </w:numPr>
        <w:rPr>
          <w:rFonts w:cs="Tahoma"/>
          <w:szCs w:val="20"/>
        </w:rPr>
      </w:pPr>
      <w:r w:rsidRPr="006012C1">
        <w:rPr>
          <w:rFonts w:cs="Tahoma"/>
          <w:szCs w:val="20"/>
        </w:rPr>
        <w:t xml:space="preserve">výměna koleje včetně regenerace kolejového lože v délce </w:t>
      </w:r>
      <w:smartTag w:uri="urn:schemas-microsoft-com:office:smarttags" w:element="metricconverter">
        <w:smartTagPr>
          <w:attr w:name="ProductID" w:val="3546 m"/>
        </w:smartTagPr>
        <w:r w:rsidRPr="006012C1">
          <w:rPr>
            <w:rFonts w:cs="Tahoma"/>
            <w:szCs w:val="20"/>
          </w:rPr>
          <w:t>3546 m</w:t>
        </w:r>
      </w:smartTag>
      <w:r w:rsidRPr="006012C1">
        <w:rPr>
          <w:rFonts w:cs="Tahoma"/>
          <w:szCs w:val="20"/>
        </w:rPr>
        <w:t>,</w:t>
      </w:r>
    </w:p>
    <w:p w:rsidR="00631EAB" w:rsidRDefault="00A50480" w:rsidP="00D20948">
      <w:pPr>
        <w:numPr>
          <w:ilvl w:val="0"/>
          <w:numId w:val="40"/>
        </w:numPr>
        <w:rPr>
          <w:rFonts w:cs="Tahoma"/>
          <w:szCs w:val="20"/>
        </w:rPr>
      </w:pPr>
      <w:r w:rsidRPr="006012C1">
        <w:rPr>
          <w:rFonts w:cs="Tahoma"/>
          <w:szCs w:val="20"/>
        </w:rPr>
        <w:t>výměna 11 výhybkových konstrukcí,</w:t>
      </w:r>
    </w:p>
    <w:p w:rsidR="00631EAB" w:rsidRDefault="00A50480" w:rsidP="00D20948">
      <w:pPr>
        <w:numPr>
          <w:ilvl w:val="0"/>
          <w:numId w:val="40"/>
        </w:numPr>
        <w:rPr>
          <w:rFonts w:cs="Tahoma"/>
          <w:szCs w:val="20"/>
        </w:rPr>
      </w:pPr>
      <w:r w:rsidRPr="006012C1">
        <w:rPr>
          <w:rFonts w:cs="Tahoma"/>
          <w:szCs w:val="20"/>
        </w:rPr>
        <w:t xml:space="preserve">oprava 2 železničních mostů délek </w:t>
      </w:r>
      <w:smartTag w:uri="urn:schemas-microsoft-com:office:smarttags" w:element="metricconverter">
        <w:smartTagPr>
          <w:attr w:name="ProductID" w:val="11,00 a"/>
        </w:smartTagPr>
        <w:r w:rsidRPr="006012C1">
          <w:rPr>
            <w:rFonts w:cs="Tahoma"/>
            <w:szCs w:val="20"/>
          </w:rPr>
          <w:t>11,00 a</w:t>
        </w:r>
      </w:smartTag>
      <w:r w:rsidRPr="006012C1">
        <w:rPr>
          <w:rFonts w:cs="Tahoma"/>
          <w:szCs w:val="20"/>
        </w:rPr>
        <w:t xml:space="preserve"> </w:t>
      </w:r>
      <w:smartTag w:uri="urn:schemas-microsoft-com:office:smarttags" w:element="metricconverter">
        <w:smartTagPr>
          <w:attr w:name="ProductID" w:val="10,86 m"/>
        </w:smartTagPr>
        <w:r w:rsidRPr="006012C1">
          <w:rPr>
            <w:rFonts w:cs="Tahoma"/>
            <w:szCs w:val="20"/>
          </w:rPr>
          <w:t>10,86 m</w:t>
        </w:r>
      </w:smartTag>
      <w:r w:rsidRPr="006012C1">
        <w:rPr>
          <w:rFonts w:cs="Tahoma"/>
          <w:szCs w:val="20"/>
        </w:rPr>
        <w:t>,</w:t>
      </w:r>
    </w:p>
    <w:p w:rsidR="00631EAB" w:rsidRDefault="00A50480" w:rsidP="00D20948">
      <w:pPr>
        <w:numPr>
          <w:ilvl w:val="0"/>
          <w:numId w:val="40"/>
        </w:numPr>
        <w:rPr>
          <w:rFonts w:cs="Tahoma"/>
          <w:szCs w:val="20"/>
        </w:rPr>
      </w:pPr>
      <w:r w:rsidRPr="006012C1">
        <w:rPr>
          <w:rFonts w:cs="Tahoma"/>
          <w:szCs w:val="20"/>
        </w:rPr>
        <w:t>oprava propust</w:t>
      </w:r>
      <w:r w:rsidR="006E61CA">
        <w:rPr>
          <w:rFonts w:cs="Tahoma"/>
          <w:szCs w:val="20"/>
        </w:rPr>
        <w:t>k</w:t>
      </w:r>
      <w:r w:rsidRPr="006012C1">
        <w:rPr>
          <w:rFonts w:cs="Tahoma"/>
          <w:szCs w:val="20"/>
        </w:rPr>
        <w:t>ů (3 ks),</w:t>
      </w:r>
    </w:p>
    <w:p w:rsidR="00631EAB" w:rsidRDefault="00A50480" w:rsidP="00D20948">
      <w:pPr>
        <w:numPr>
          <w:ilvl w:val="0"/>
          <w:numId w:val="40"/>
        </w:numPr>
        <w:rPr>
          <w:rFonts w:cs="Tahoma"/>
          <w:szCs w:val="20"/>
        </w:rPr>
      </w:pPr>
      <w:r w:rsidRPr="006012C1">
        <w:rPr>
          <w:rFonts w:cs="Tahoma"/>
          <w:szCs w:val="20"/>
        </w:rPr>
        <w:t xml:space="preserve">demontáž starého a montáž nového trakčního vedení v délce </w:t>
      </w:r>
      <w:smartTag w:uri="urn:schemas-microsoft-com:office:smarttags" w:element="metricconverter">
        <w:smartTagPr>
          <w:attr w:name="ProductID" w:val="3800 m"/>
        </w:smartTagPr>
        <w:r w:rsidRPr="006012C1">
          <w:rPr>
            <w:rFonts w:cs="Tahoma"/>
            <w:szCs w:val="20"/>
          </w:rPr>
          <w:t>3800 m</w:t>
        </w:r>
      </w:smartTag>
      <w:r w:rsidRPr="006012C1">
        <w:rPr>
          <w:rFonts w:cs="Tahoma"/>
          <w:szCs w:val="20"/>
        </w:rPr>
        <w:t>,</w:t>
      </w:r>
    </w:p>
    <w:p w:rsidR="00631EAB" w:rsidRDefault="00A50480" w:rsidP="00D20948">
      <w:pPr>
        <w:numPr>
          <w:ilvl w:val="0"/>
          <w:numId w:val="40"/>
        </w:numPr>
        <w:rPr>
          <w:rFonts w:cs="Tahoma"/>
          <w:szCs w:val="20"/>
        </w:rPr>
      </w:pPr>
      <w:r w:rsidRPr="006012C1">
        <w:rPr>
          <w:rFonts w:cs="Tahoma"/>
          <w:szCs w:val="20"/>
        </w:rPr>
        <w:t>rekonstrukce osvětlení a výměna rozvodů nízkého napětí,</w:t>
      </w:r>
    </w:p>
    <w:p w:rsidR="00631EAB" w:rsidRDefault="00A50480" w:rsidP="00D20948">
      <w:pPr>
        <w:numPr>
          <w:ilvl w:val="0"/>
          <w:numId w:val="40"/>
        </w:numPr>
        <w:rPr>
          <w:rFonts w:cs="Tahoma"/>
          <w:szCs w:val="20"/>
        </w:rPr>
      </w:pPr>
      <w:r w:rsidRPr="006012C1">
        <w:rPr>
          <w:rFonts w:cs="Tahoma"/>
          <w:szCs w:val="20"/>
        </w:rPr>
        <w:t>rekonstrukce přejezdového zabezpečovacího zařízení (6 ks),</w:t>
      </w:r>
    </w:p>
    <w:p w:rsidR="00631EAB" w:rsidRDefault="00A50480" w:rsidP="00D20948">
      <w:pPr>
        <w:numPr>
          <w:ilvl w:val="0"/>
          <w:numId w:val="40"/>
        </w:numPr>
        <w:rPr>
          <w:rFonts w:cs="Tahoma"/>
          <w:szCs w:val="20"/>
        </w:rPr>
      </w:pPr>
      <w:r w:rsidRPr="006012C1">
        <w:rPr>
          <w:rFonts w:cs="Tahoma"/>
          <w:szCs w:val="20"/>
        </w:rPr>
        <w:t>náhrada staničního zabezpečovacího zařízení 3. kategorie (reléové) zařízením 3. kategorie (elektronické stavědlo).</w:t>
      </w:r>
    </w:p>
    <w:p w:rsidR="00A50480" w:rsidRPr="006012C1" w:rsidRDefault="00A50480" w:rsidP="00A50480">
      <w:pPr>
        <w:rPr>
          <w:rFonts w:cs="Tahoma"/>
          <w:i/>
          <w:szCs w:val="20"/>
        </w:rPr>
      </w:pPr>
      <w:r w:rsidRPr="006012C1">
        <w:rPr>
          <w:rFonts w:cs="Tahoma"/>
          <w:i/>
          <w:szCs w:val="20"/>
        </w:rPr>
        <w:t>Traťový úsek Opatovice nad Labem (mimo) – Hradec Králové hl. n. (mimo)</w:t>
      </w:r>
    </w:p>
    <w:p w:rsidR="00631EAB" w:rsidRDefault="00A50480" w:rsidP="00D20948">
      <w:pPr>
        <w:numPr>
          <w:ilvl w:val="0"/>
          <w:numId w:val="40"/>
        </w:numPr>
        <w:rPr>
          <w:rFonts w:cs="Tahoma"/>
          <w:szCs w:val="20"/>
        </w:rPr>
      </w:pPr>
      <w:r w:rsidRPr="006012C1">
        <w:rPr>
          <w:rFonts w:cs="Tahoma"/>
          <w:szCs w:val="20"/>
        </w:rPr>
        <w:t xml:space="preserve">výměna koleje včetně regenerace kolejového lože v délce </w:t>
      </w:r>
      <w:smartTag w:uri="urn:schemas-microsoft-com:office:smarttags" w:element="metricconverter">
        <w:smartTagPr>
          <w:attr w:name="ProductID" w:val="3605 m"/>
        </w:smartTagPr>
        <w:r w:rsidRPr="006012C1">
          <w:rPr>
            <w:rFonts w:cs="Tahoma"/>
            <w:szCs w:val="20"/>
          </w:rPr>
          <w:t>3605 m</w:t>
        </w:r>
      </w:smartTag>
      <w:r w:rsidRPr="006012C1">
        <w:rPr>
          <w:rFonts w:cs="Tahoma"/>
          <w:szCs w:val="20"/>
        </w:rPr>
        <w:t>,</w:t>
      </w:r>
    </w:p>
    <w:p w:rsidR="00631EAB" w:rsidRDefault="00A50480" w:rsidP="00D20948">
      <w:pPr>
        <w:numPr>
          <w:ilvl w:val="0"/>
          <w:numId w:val="40"/>
        </w:numPr>
        <w:rPr>
          <w:rFonts w:cs="Tahoma"/>
          <w:szCs w:val="20"/>
        </w:rPr>
      </w:pPr>
      <w:r w:rsidRPr="006012C1">
        <w:rPr>
          <w:rFonts w:cs="Tahoma"/>
          <w:szCs w:val="20"/>
        </w:rPr>
        <w:t>opra</w:t>
      </w:r>
      <w:r w:rsidR="007A5A64" w:rsidRPr="006012C1">
        <w:rPr>
          <w:rFonts w:cs="Tahoma"/>
          <w:szCs w:val="20"/>
        </w:rPr>
        <w:t xml:space="preserve">va 1 železničního mostu délky </w:t>
      </w:r>
      <w:smartTag w:uri="urn:schemas-microsoft-com:office:smarttags" w:element="metricconverter">
        <w:smartTagPr>
          <w:attr w:name="ProductID" w:val="11,50 m"/>
        </w:smartTagPr>
        <w:r w:rsidR="007A5A64" w:rsidRPr="006012C1">
          <w:rPr>
            <w:rFonts w:cs="Tahoma"/>
            <w:szCs w:val="20"/>
          </w:rPr>
          <w:t>11,5</w:t>
        </w:r>
        <w:r w:rsidRPr="006012C1">
          <w:rPr>
            <w:rFonts w:cs="Tahoma"/>
            <w:szCs w:val="20"/>
          </w:rPr>
          <w:t>0 m</w:t>
        </w:r>
      </w:smartTag>
      <w:r w:rsidRPr="006012C1">
        <w:rPr>
          <w:rFonts w:cs="Tahoma"/>
          <w:szCs w:val="20"/>
        </w:rPr>
        <w:t>,</w:t>
      </w:r>
    </w:p>
    <w:p w:rsidR="00631EAB" w:rsidRDefault="00A50480" w:rsidP="00D20948">
      <w:pPr>
        <w:numPr>
          <w:ilvl w:val="0"/>
          <w:numId w:val="40"/>
        </w:numPr>
        <w:rPr>
          <w:rFonts w:cs="Tahoma"/>
          <w:szCs w:val="20"/>
        </w:rPr>
      </w:pPr>
      <w:r w:rsidRPr="006012C1">
        <w:rPr>
          <w:rFonts w:cs="Tahoma"/>
          <w:szCs w:val="20"/>
        </w:rPr>
        <w:t>oprava propust</w:t>
      </w:r>
      <w:r w:rsidR="006E61CA">
        <w:rPr>
          <w:rFonts w:cs="Tahoma"/>
          <w:szCs w:val="20"/>
        </w:rPr>
        <w:t>k</w:t>
      </w:r>
      <w:r w:rsidRPr="006012C1">
        <w:rPr>
          <w:rFonts w:cs="Tahoma"/>
          <w:szCs w:val="20"/>
        </w:rPr>
        <w:t>ů (</w:t>
      </w:r>
      <w:r w:rsidR="007A5A64" w:rsidRPr="006012C1">
        <w:rPr>
          <w:rFonts w:cs="Tahoma"/>
          <w:szCs w:val="20"/>
        </w:rPr>
        <w:t>3</w:t>
      </w:r>
      <w:r w:rsidRPr="006012C1">
        <w:rPr>
          <w:rFonts w:cs="Tahoma"/>
          <w:szCs w:val="20"/>
        </w:rPr>
        <w:t xml:space="preserve"> ks),</w:t>
      </w:r>
    </w:p>
    <w:p w:rsidR="00631EAB" w:rsidRDefault="00A50480" w:rsidP="00D20948">
      <w:pPr>
        <w:numPr>
          <w:ilvl w:val="0"/>
          <w:numId w:val="40"/>
        </w:numPr>
        <w:rPr>
          <w:rFonts w:cs="Tahoma"/>
          <w:szCs w:val="20"/>
        </w:rPr>
      </w:pPr>
      <w:r w:rsidRPr="006012C1">
        <w:rPr>
          <w:rFonts w:cs="Tahoma"/>
          <w:szCs w:val="20"/>
        </w:rPr>
        <w:t xml:space="preserve">demontáž starého a montáž nového trakčního vedení v délce </w:t>
      </w:r>
      <w:smartTag w:uri="urn:schemas-microsoft-com:office:smarttags" w:element="metricconverter">
        <w:smartTagPr>
          <w:attr w:name="ProductID" w:val="3600 m"/>
        </w:smartTagPr>
        <w:r w:rsidR="007A5A64" w:rsidRPr="006012C1">
          <w:rPr>
            <w:rFonts w:cs="Tahoma"/>
            <w:szCs w:val="20"/>
          </w:rPr>
          <w:t>36</w:t>
        </w:r>
        <w:r w:rsidRPr="006012C1">
          <w:rPr>
            <w:rFonts w:cs="Tahoma"/>
            <w:szCs w:val="20"/>
          </w:rPr>
          <w:t>00 m</w:t>
        </w:r>
      </w:smartTag>
      <w:r w:rsidRPr="006012C1">
        <w:rPr>
          <w:rFonts w:cs="Tahoma"/>
          <w:szCs w:val="20"/>
        </w:rPr>
        <w:t>,</w:t>
      </w:r>
    </w:p>
    <w:p w:rsidR="00631EAB" w:rsidRDefault="00A50480" w:rsidP="00D20948">
      <w:pPr>
        <w:numPr>
          <w:ilvl w:val="0"/>
          <w:numId w:val="40"/>
        </w:numPr>
        <w:rPr>
          <w:rFonts w:cs="Tahoma"/>
          <w:szCs w:val="20"/>
        </w:rPr>
      </w:pPr>
      <w:r w:rsidRPr="006012C1">
        <w:rPr>
          <w:rFonts w:cs="Tahoma"/>
          <w:szCs w:val="20"/>
        </w:rPr>
        <w:t>rekonstrukce přejezdového zabezpečovacího zařízení (</w:t>
      </w:r>
      <w:r w:rsidR="007A5A64" w:rsidRPr="006012C1">
        <w:rPr>
          <w:rFonts w:cs="Tahoma"/>
          <w:szCs w:val="20"/>
        </w:rPr>
        <w:t>4</w:t>
      </w:r>
      <w:r w:rsidRPr="006012C1">
        <w:rPr>
          <w:rFonts w:cs="Tahoma"/>
          <w:szCs w:val="20"/>
        </w:rPr>
        <w:t xml:space="preserve"> ks)</w:t>
      </w:r>
    </w:p>
    <w:p w:rsidR="00631EAB" w:rsidRDefault="00A50480" w:rsidP="00D20948">
      <w:pPr>
        <w:numPr>
          <w:ilvl w:val="0"/>
          <w:numId w:val="40"/>
        </w:numPr>
        <w:rPr>
          <w:rFonts w:cs="Tahoma"/>
          <w:szCs w:val="20"/>
        </w:rPr>
      </w:pPr>
      <w:r w:rsidRPr="006012C1">
        <w:rPr>
          <w:rFonts w:cs="Tahoma"/>
          <w:szCs w:val="20"/>
        </w:rPr>
        <w:t>rekonstrukce traťového zabezpečovacího zařízení 3. kategorie, typu automatické hradlo.</w:t>
      </w:r>
    </w:p>
    <w:p w:rsidR="007A5A64" w:rsidRPr="006012C1" w:rsidRDefault="007A5A64" w:rsidP="007A5A64">
      <w:pPr>
        <w:rPr>
          <w:rFonts w:cs="Tahoma"/>
          <w:i/>
          <w:szCs w:val="20"/>
        </w:rPr>
      </w:pPr>
      <w:r w:rsidRPr="006012C1">
        <w:rPr>
          <w:rFonts w:cs="Tahoma"/>
          <w:i/>
          <w:szCs w:val="20"/>
        </w:rPr>
        <w:t>Žst. Hradec Králové hl. n.</w:t>
      </w:r>
    </w:p>
    <w:p w:rsidR="00631EAB" w:rsidRDefault="007A5A64" w:rsidP="00D20948">
      <w:pPr>
        <w:numPr>
          <w:ilvl w:val="0"/>
          <w:numId w:val="40"/>
        </w:numPr>
        <w:rPr>
          <w:rFonts w:cs="Tahoma"/>
          <w:szCs w:val="20"/>
        </w:rPr>
      </w:pPr>
      <w:r w:rsidRPr="006012C1">
        <w:rPr>
          <w:rFonts w:cs="Tahoma"/>
          <w:szCs w:val="20"/>
        </w:rPr>
        <w:t xml:space="preserve">demontáž koleje v délce </w:t>
      </w:r>
      <w:smartTag w:uri="urn:schemas-microsoft-com:office:smarttags" w:element="metricconverter">
        <w:smartTagPr>
          <w:attr w:name="ProductID" w:val="1489 m"/>
        </w:smartTagPr>
        <w:r w:rsidRPr="006012C1">
          <w:rPr>
            <w:rFonts w:cs="Tahoma"/>
            <w:szCs w:val="20"/>
          </w:rPr>
          <w:t>1489 m</w:t>
        </w:r>
      </w:smartTag>
      <w:r w:rsidRPr="006012C1">
        <w:rPr>
          <w:rFonts w:cs="Tahoma"/>
          <w:szCs w:val="20"/>
        </w:rPr>
        <w:t>,</w:t>
      </w:r>
    </w:p>
    <w:p w:rsidR="00631EAB" w:rsidRDefault="007A5A64" w:rsidP="00D20948">
      <w:pPr>
        <w:numPr>
          <w:ilvl w:val="0"/>
          <w:numId w:val="40"/>
        </w:numPr>
        <w:rPr>
          <w:rFonts w:cs="Tahoma"/>
          <w:szCs w:val="20"/>
        </w:rPr>
      </w:pPr>
      <w:r w:rsidRPr="006012C1">
        <w:rPr>
          <w:rFonts w:cs="Tahoma"/>
          <w:szCs w:val="20"/>
        </w:rPr>
        <w:t xml:space="preserve">nová kolej včetně regenerace kolejového lože v délce </w:t>
      </w:r>
      <w:smartTag w:uri="urn:schemas-microsoft-com:office:smarttags" w:element="metricconverter">
        <w:smartTagPr>
          <w:attr w:name="ProductID" w:val="735 m"/>
        </w:smartTagPr>
        <w:r w:rsidRPr="006012C1">
          <w:rPr>
            <w:rFonts w:cs="Tahoma"/>
            <w:szCs w:val="20"/>
          </w:rPr>
          <w:t>735 m</w:t>
        </w:r>
      </w:smartTag>
      <w:r w:rsidRPr="006012C1">
        <w:rPr>
          <w:rFonts w:cs="Tahoma"/>
          <w:szCs w:val="20"/>
        </w:rPr>
        <w:t>,</w:t>
      </w:r>
    </w:p>
    <w:p w:rsidR="00631EAB" w:rsidRDefault="007A5A64" w:rsidP="00D20948">
      <w:pPr>
        <w:numPr>
          <w:ilvl w:val="0"/>
          <w:numId w:val="40"/>
        </w:numPr>
        <w:rPr>
          <w:rFonts w:cs="Tahoma"/>
          <w:szCs w:val="20"/>
        </w:rPr>
      </w:pPr>
      <w:r w:rsidRPr="006012C1">
        <w:rPr>
          <w:rFonts w:cs="Tahoma"/>
          <w:szCs w:val="20"/>
        </w:rPr>
        <w:t>výměna 6 výhybkových konstrukcí,</w:t>
      </w:r>
    </w:p>
    <w:p w:rsidR="00631EAB" w:rsidRDefault="007A5A64" w:rsidP="00D20948">
      <w:pPr>
        <w:numPr>
          <w:ilvl w:val="0"/>
          <w:numId w:val="40"/>
        </w:numPr>
        <w:rPr>
          <w:rFonts w:cs="Tahoma"/>
          <w:szCs w:val="20"/>
        </w:rPr>
      </w:pPr>
      <w:r w:rsidRPr="006012C1">
        <w:rPr>
          <w:rFonts w:cs="Tahoma"/>
          <w:szCs w:val="20"/>
        </w:rPr>
        <w:t xml:space="preserve">demontáž starého a montáž nového trakčního vedení v délce </w:t>
      </w:r>
      <w:smartTag w:uri="urn:schemas-microsoft-com:office:smarttags" w:element="metricconverter">
        <w:smartTagPr>
          <w:attr w:name="ProductID" w:val="3500 m"/>
        </w:smartTagPr>
        <w:r w:rsidRPr="006012C1">
          <w:rPr>
            <w:rFonts w:cs="Tahoma"/>
            <w:szCs w:val="20"/>
          </w:rPr>
          <w:t>3500 m</w:t>
        </w:r>
      </w:smartTag>
      <w:r w:rsidRPr="006012C1">
        <w:rPr>
          <w:rFonts w:cs="Tahoma"/>
          <w:szCs w:val="20"/>
        </w:rPr>
        <w:t>,</w:t>
      </w:r>
    </w:p>
    <w:p w:rsidR="00631EAB" w:rsidRDefault="007A5A64" w:rsidP="00D20948">
      <w:pPr>
        <w:numPr>
          <w:ilvl w:val="0"/>
          <w:numId w:val="40"/>
        </w:numPr>
        <w:rPr>
          <w:rFonts w:cs="Tahoma"/>
          <w:szCs w:val="20"/>
        </w:rPr>
      </w:pPr>
      <w:r w:rsidRPr="006012C1">
        <w:rPr>
          <w:rFonts w:cs="Tahoma"/>
          <w:szCs w:val="20"/>
        </w:rPr>
        <w:t>rekonstrukce osvětlení a výměna rozvodů nízkého napětí,</w:t>
      </w:r>
    </w:p>
    <w:p w:rsidR="00631EAB" w:rsidRDefault="007A5A64" w:rsidP="00D20948">
      <w:pPr>
        <w:numPr>
          <w:ilvl w:val="0"/>
          <w:numId w:val="40"/>
        </w:numPr>
        <w:rPr>
          <w:rFonts w:cs="Tahoma"/>
          <w:szCs w:val="20"/>
        </w:rPr>
      </w:pPr>
      <w:r w:rsidRPr="006012C1">
        <w:rPr>
          <w:rFonts w:cs="Tahoma"/>
          <w:szCs w:val="20"/>
        </w:rPr>
        <w:t>rekonstrukce přejezdového zabezpečovacího zařízení (1 ks),</w:t>
      </w:r>
    </w:p>
    <w:p w:rsidR="00631EAB" w:rsidRDefault="007A5A64" w:rsidP="00D20948">
      <w:pPr>
        <w:numPr>
          <w:ilvl w:val="0"/>
          <w:numId w:val="40"/>
        </w:numPr>
        <w:rPr>
          <w:rFonts w:cs="Tahoma"/>
          <w:szCs w:val="20"/>
        </w:rPr>
      </w:pPr>
      <w:r w:rsidRPr="006012C1">
        <w:rPr>
          <w:rFonts w:cs="Tahoma"/>
          <w:szCs w:val="20"/>
        </w:rPr>
        <w:t>náhrada staničního zabezpečovacího zařízení 2. kategorie (elektromechanické) zařízením 3. kategorie (elektronické stavědlo) v celé stanici.</w:t>
      </w:r>
    </w:p>
    <w:p w:rsidR="00C90180" w:rsidRDefault="00C90180" w:rsidP="0059693F">
      <w:pPr>
        <w:ind w:left="720"/>
        <w:sectPr w:rsidR="00C90180" w:rsidSect="006012C1">
          <w:headerReference w:type="default" r:id="rId32"/>
          <w:footerReference w:type="default" r:id="rId33"/>
          <w:footnotePr>
            <w:pos w:val="beneathText"/>
          </w:footnotePr>
          <w:pgSz w:w="11905" w:h="16837" w:code="9"/>
          <w:pgMar w:top="1492" w:right="1134" w:bottom="1134" w:left="1418" w:header="709" w:footer="215" w:gutter="0"/>
          <w:cols w:space="708"/>
          <w:docGrid w:linePitch="360"/>
        </w:sectPr>
      </w:pPr>
    </w:p>
    <w:p w:rsidR="007A5A64" w:rsidRPr="0059693F" w:rsidRDefault="007A5A64" w:rsidP="0059693F">
      <w:pPr>
        <w:rPr>
          <w:b/>
        </w:rPr>
      </w:pPr>
      <w:r w:rsidRPr="0059693F">
        <w:rPr>
          <w:b/>
        </w:rPr>
        <w:t xml:space="preserve">V tabulkách následuje rozdělení </w:t>
      </w:r>
      <w:r w:rsidR="00D920D3">
        <w:rPr>
          <w:b/>
        </w:rPr>
        <w:t xml:space="preserve">nákladů na opravy za celý úsek </w:t>
      </w:r>
      <w:r w:rsidRPr="0059693F">
        <w:rPr>
          <w:b/>
        </w:rPr>
        <w:t>do let podle jednotlivých profesí:</w:t>
      </w:r>
    </w:p>
    <w:tbl>
      <w:tblPr>
        <w:tblW w:w="14034"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694"/>
        <w:gridCol w:w="1134"/>
        <w:gridCol w:w="1134"/>
        <w:gridCol w:w="1134"/>
        <w:gridCol w:w="1134"/>
        <w:gridCol w:w="1134"/>
        <w:gridCol w:w="1134"/>
        <w:gridCol w:w="1134"/>
        <w:gridCol w:w="1134"/>
        <w:gridCol w:w="1134"/>
        <w:gridCol w:w="1134"/>
      </w:tblGrid>
      <w:tr w:rsidR="001619D8" w:rsidTr="007073CD">
        <w:tc>
          <w:tcPr>
            <w:tcW w:w="14034" w:type="dxa"/>
            <w:gridSpan w:val="11"/>
            <w:tcBorders>
              <w:top w:val="single" w:sz="4" w:space="0" w:color="auto"/>
              <w:left w:val="single" w:sz="4" w:space="0" w:color="auto"/>
              <w:bottom w:val="single" w:sz="4" w:space="0" w:color="auto"/>
              <w:right w:val="single" w:sz="4" w:space="0" w:color="auto"/>
            </w:tcBorders>
            <w:shd w:val="clear" w:color="auto" w:fill="auto"/>
          </w:tcPr>
          <w:p w:rsidR="001619D8" w:rsidRDefault="001619D8" w:rsidP="00FC1012">
            <w:pPr>
              <w:pStyle w:val="Titulek"/>
            </w:pPr>
            <w:bookmarkStart w:id="62" w:name="_Toc390958741"/>
            <w:bookmarkStart w:id="63" w:name="_Toc391034545"/>
            <w:r w:rsidRPr="005D7F87">
              <w:t xml:space="preserve">Tab. </w:t>
            </w:r>
            <w:r w:rsidR="000E79AE">
              <w:fldChar w:fldCharType="begin"/>
            </w:r>
            <w:r w:rsidR="000E79AE">
              <w:instrText xml:space="preserve"> STYLEREF 1 \s </w:instrText>
            </w:r>
            <w:r w:rsidR="000E79AE">
              <w:fldChar w:fldCharType="separate"/>
            </w:r>
            <w:r w:rsidR="003843F3">
              <w:rPr>
                <w:noProof/>
              </w:rPr>
              <w:t>3</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6</w:t>
            </w:r>
            <w:r w:rsidR="000E79AE">
              <w:fldChar w:fldCharType="end"/>
            </w:r>
            <w:r w:rsidRPr="005D7F87">
              <w:t xml:space="preserve">: </w:t>
            </w:r>
            <w:r>
              <w:t>Rozdělení nákladů na opravy v letech 2014 – 2023 (varianta Bez projektu)</w:t>
            </w:r>
            <w:bookmarkEnd w:id="62"/>
            <w:bookmarkEnd w:id="63"/>
          </w:p>
        </w:tc>
      </w:tr>
      <w:tr w:rsidR="00BD70C0" w:rsidTr="007073CD">
        <w:tc>
          <w:tcPr>
            <w:tcW w:w="2694" w:type="dxa"/>
            <w:tcBorders>
              <w:top w:val="single" w:sz="4" w:space="0" w:color="auto"/>
              <w:left w:val="single" w:sz="4" w:space="0" w:color="auto"/>
              <w:bottom w:val="single" w:sz="12" w:space="0" w:color="000000"/>
            </w:tcBorders>
            <w:shd w:val="clear" w:color="auto" w:fill="D9D9D9"/>
          </w:tcPr>
          <w:p w:rsidR="0011654E" w:rsidRPr="007073CD" w:rsidRDefault="00BD70C0" w:rsidP="00490463">
            <w:pPr>
              <w:pStyle w:val="Bezmezer"/>
              <w:rPr>
                <w:sz w:val="18"/>
                <w:szCs w:val="18"/>
              </w:rPr>
            </w:pPr>
            <w:r w:rsidRPr="007073CD">
              <w:rPr>
                <w:sz w:val="18"/>
                <w:szCs w:val="18"/>
              </w:rPr>
              <w:t>Položka/Rok</w:t>
            </w:r>
          </w:p>
        </w:tc>
        <w:tc>
          <w:tcPr>
            <w:tcW w:w="1134" w:type="dxa"/>
            <w:tcBorders>
              <w:top w:val="single" w:sz="4" w:space="0" w:color="auto"/>
              <w:bottom w:val="single" w:sz="12" w:space="0" w:color="000000"/>
            </w:tcBorders>
            <w:shd w:val="clear" w:color="auto" w:fill="D9D9D9"/>
          </w:tcPr>
          <w:p w:rsidR="0011654E" w:rsidRPr="007073CD" w:rsidRDefault="00BD70C0" w:rsidP="00637E16">
            <w:pPr>
              <w:pStyle w:val="Bezmezer"/>
              <w:ind w:right="5"/>
              <w:jc w:val="right"/>
              <w:rPr>
                <w:sz w:val="18"/>
                <w:szCs w:val="18"/>
              </w:rPr>
            </w:pPr>
            <w:r w:rsidRPr="007073CD">
              <w:rPr>
                <w:sz w:val="18"/>
                <w:szCs w:val="18"/>
              </w:rPr>
              <w:t>2014</w:t>
            </w:r>
          </w:p>
        </w:tc>
        <w:tc>
          <w:tcPr>
            <w:tcW w:w="1134" w:type="dxa"/>
            <w:tcBorders>
              <w:top w:val="single" w:sz="4" w:space="0" w:color="auto"/>
              <w:bottom w:val="single" w:sz="12" w:space="0" w:color="000000"/>
            </w:tcBorders>
            <w:shd w:val="clear" w:color="auto" w:fill="D9D9D9"/>
          </w:tcPr>
          <w:p w:rsidR="0011654E" w:rsidRPr="007073CD" w:rsidRDefault="00BD70C0" w:rsidP="00637E16">
            <w:pPr>
              <w:pStyle w:val="Bezmezer"/>
              <w:ind w:right="5"/>
              <w:jc w:val="right"/>
              <w:rPr>
                <w:sz w:val="18"/>
                <w:szCs w:val="18"/>
              </w:rPr>
            </w:pPr>
            <w:r w:rsidRPr="007073CD">
              <w:rPr>
                <w:sz w:val="18"/>
                <w:szCs w:val="18"/>
              </w:rPr>
              <w:t>2015</w:t>
            </w:r>
          </w:p>
        </w:tc>
        <w:tc>
          <w:tcPr>
            <w:tcW w:w="1134" w:type="dxa"/>
            <w:tcBorders>
              <w:top w:val="single" w:sz="4" w:space="0" w:color="auto"/>
              <w:bottom w:val="single" w:sz="12" w:space="0" w:color="000000"/>
            </w:tcBorders>
            <w:shd w:val="clear" w:color="auto" w:fill="D9D9D9"/>
          </w:tcPr>
          <w:p w:rsidR="0011654E" w:rsidRPr="007073CD" w:rsidRDefault="00BD70C0" w:rsidP="00637E16">
            <w:pPr>
              <w:pStyle w:val="Bezmezer"/>
              <w:ind w:right="5"/>
              <w:jc w:val="right"/>
              <w:rPr>
                <w:sz w:val="18"/>
                <w:szCs w:val="18"/>
              </w:rPr>
            </w:pPr>
            <w:r w:rsidRPr="007073CD">
              <w:rPr>
                <w:sz w:val="18"/>
                <w:szCs w:val="18"/>
              </w:rPr>
              <w:t>2016</w:t>
            </w:r>
          </w:p>
        </w:tc>
        <w:tc>
          <w:tcPr>
            <w:tcW w:w="1134" w:type="dxa"/>
            <w:tcBorders>
              <w:top w:val="single" w:sz="4" w:space="0" w:color="auto"/>
              <w:bottom w:val="single" w:sz="12" w:space="0" w:color="000000"/>
            </w:tcBorders>
            <w:shd w:val="clear" w:color="auto" w:fill="D9D9D9"/>
          </w:tcPr>
          <w:p w:rsidR="0011654E" w:rsidRPr="007073CD" w:rsidRDefault="00BD70C0" w:rsidP="00637E16">
            <w:pPr>
              <w:pStyle w:val="Bezmezer"/>
              <w:ind w:right="5"/>
              <w:jc w:val="right"/>
              <w:rPr>
                <w:sz w:val="18"/>
                <w:szCs w:val="18"/>
              </w:rPr>
            </w:pPr>
            <w:r w:rsidRPr="007073CD">
              <w:rPr>
                <w:sz w:val="18"/>
                <w:szCs w:val="18"/>
              </w:rPr>
              <w:t>2017</w:t>
            </w:r>
          </w:p>
        </w:tc>
        <w:tc>
          <w:tcPr>
            <w:tcW w:w="1134" w:type="dxa"/>
            <w:tcBorders>
              <w:top w:val="single" w:sz="4" w:space="0" w:color="auto"/>
              <w:bottom w:val="single" w:sz="12" w:space="0" w:color="000000"/>
            </w:tcBorders>
            <w:shd w:val="clear" w:color="auto" w:fill="D9D9D9"/>
          </w:tcPr>
          <w:p w:rsidR="0011654E" w:rsidRPr="007073CD" w:rsidRDefault="00BD70C0" w:rsidP="00637E16">
            <w:pPr>
              <w:pStyle w:val="Bezmezer"/>
              <w:ind w:right="5"/>
              <w:jc w:val="right"/>
              <w:rPr>
                <w:sz w:val="18"/>
                <w:szCs w:val="18"/>
              </w:rPr>
            </w:pPr>
            <w:r w:rsidRPr="007073CD">
              <w:rPr>
                <w:sz w:val="18"/>
                <w:szCs w:val="18"/>
              </w:rPr>
              <w:t>2018</w:t>
            </w:r>
          </w:p>
        </w:tc>
        <w:tc>
          <w:tcPr>
            <w:tcW w:w="1134" w:type="dxa"/>
            <w:tcBorders>
              <w:top w:val="single" w:sz="4" w:space="0" w:color="auto"/>
              <w:bottom w:val="single" w:sz="12" w:space="0" w:color="000000"/>
            </w:tcBorders>
            <w:shd w:val="clear" w:color="auto" w:fill="D9D9D9"/>
          </w:tcPr>
          <w:p w:rsidR="0011654E" w:rsidRPr="007073CD" w:rsidRDefault="00BD70C0" w:rsidP="00637E16">
            <w:pPr>
              <w:pStyle w:val="Bezmezer"/>
              <w:ind w:right="5"/>
              <w:jc w:val="right"/>
              <w:rPr>
                <w:sz w:val="18"/>
                <w:szCs w:val="18"/>
              </w:rPr>
            </w:pPr>
            <w:r w:rsidRPr="007073CD">
              <w:rPr>
                <w:sz w:val="18"/>
                <w:szCs w:val="18"/>
              </w:rPr>
              <w:t>2019</w:t>
            </w:r>
          </w:p>
        </w:tc>
        <w:tc>
          <w:tcPr>
            <w:tcW w:w="1134" w:type="dxa"/>
            <w:tcBorders>
              <w:top w:val="single" w:sz="4" w:space="0" w:color="auto"/>
              <w:bottom w:val="single" w:sz="12" w:space="0" w:color="000000"/>
            </w:tcBorders>
            <w:shd w:val="clear" w:color="auto" w:fill="D9D9D9"/>
          </w:tcPr>
          <w:p w:rsidR="0011654E" w:rsidRPr="007073CD" w:rsidRDefault="00BD70C0" w:rsidP="00637E16">
            <w:pPr>
              <w:pStyle w:val="Bezmezer"/>
              <w:ind w:right="5"/>
              <w:jc w:val="right"/>
              <w:rPr>
                <w:sz w:val="18"/>
                <w:szCs w:val="18"/>
              </w:rPr>
            </w:pPr>
            <w:r w:rsidRPr="007073CD">
              <w:rPr>
                <w:sz w:val="18"/>
                <w:szCs w:val="18"/>
              </w:rPr>
              <w:t>2020</w:t>
            </w:r>
          </w:p>
        </w:tc>
        <w:tc>
          <w:tcPr>
            <w:tcW w:w="1134" w:type="dxa"/>
            <w:tcBorders>
              <w:top w:val="single" w:sz="4" w:space="0" w:color="auto"/>
              <w:bottom w:val="single" w:sz="12" w:space="0" w:color="000000"/>
            </w:tcBorders>
            <w:shd w:val="clear" w:color="auto" w:fill="D9D9D9"/>
          </w:tcPr>
          <w:p w:rsidR="0011654E" w:rsidRPr="007073CD" w:rsidRDefault="00BD70C0" w:rsidP="00637E16">
            <w:pPr>
              <w:pStyle w:val="Bezmezer"/>
              <w:ind w:right="5"/>
              <w:jc w:val="right"/>
              <w:rPr>
                <w:sz w:val="18"/>
                <w:szCs w:val="18"/>
              </w:rPr>
            </w:pPr>
            <w:r w:rsidRPr="007073CD">
              <w:rPr>
                <w:sz w:val="18"/>
                <w:szCs w:val="18"/>
              </w:rPr>
              <w:t>2021</w:t>
            </w:r>
          </w:p>
        </w:tc>
        <w:tc>
          <w:tcPr>
            <w:tcW w:w="1134" w:type="dxa"/>
            <w:tcBorders>
              <w:top w:val="single" w:sz="4" w:space="0" w:color="auto"/>
              <w:bottom w:val="single" w:sz="12" w:space="0" w:color="000000"/>
            </w:tcBorders>
            <w:shd w:val="clear" w:color="auto" w:fill="D9D9D9"/>
          </w:tcPr>
          <w:p w:rsidR="0011654E" w:rsidRPr="007073CD" w:rsidRDefault="00BD70C0" w:rsidP="00637E16">
            <w:pPr>
              <w:pStyle w:val="Bezmezer"/>
              <w:ind w:right="5"/>
              <w:jc w:val="right"/>
              <w:rPr>
                <w:sz w:val="18"/>
                <w:szCs w:val="18"/>
              </w:rPr>
            </w:pPr>
            <w:r w:rsidRPr="007073CD">
              <w:rPr>
                <w:sz w:val="18"/>
                <w:szCs w:val="18"/>
              </w:rPr>
              <w:t>2022</w:t>
            </w:r>
          </w:p>
        </w:tc>
        <w:tc>
          <w:tcPr>
            <w:tcW w:w="1134" w:type="dxa"/>
            <w:tcBorders>
              <w:top w:val="single" w:sz="4" w:space="0" w:color="auto"/>
              <w:bottom w:val="single" w:sz="12" w:space="0" w:color="000000"/>
              <w:right w:val="single" w:sz="4" w:space="0" w:color="auto"/>
            </w:tcBorders>
            <w:shd w:val="clear" w:color="auto" w:fill="D9D9D9"/>
          </w:tcPr>
          <w:p w:rsidR="0011654E" w:rsidRPr="007073CD" w:rsidRDefault="00BD70C0" w:rsidP="00637E16">
            <w:pPr>
              <w:pStyle w:val="Bezmezer"/>
              <w:ind w:right="5"/>
              <w:jc w:val="right"/>
              <w:rPr>
                <w:sz w:val="18"/>
                <w:szCs w:val="18"/>
              </w:rPr>
            </w:pPr>
            <w:r w:rsidRPr="007073CD">
              <w:rPr>
                <w:sz w:val="18"/>
                <w:szCs w:val="18"/>
              </w:rPr>
              <w:t>2023</w:t>
            </w:r>
          </w:p>
        </w:tc>
      </w:tr>
      <w:tr w:rsidR="00AE05C0" w:rsidTr="007073CD">
        <w:tc>
          <w:tcPr>
            <w:tcW w:w="2694" w:type="dxa"/>
            <w:tcBorders>
              <w:top w:val="single" w:sz="12" w:space="0" w:color="000000"/>
              <w:left w:val="single" w:sz="4" w:space="0" w:color="auto"/>
            </w:tcBorders>
            <w:shd w:val="clear" w:color="auto" w:fill="auto"/>
          </w:tcPr>
          <w:p w:rsidR="00AE05C0" w:rsidRPr="007073CD" w:rsidRDefault="00AE05C0" w:rsidP="00637E16">
            <w:pPr>
              <w:pStyle w:val="Bezmezer"/>
              <w:jc w:val="left"/>
              <w:rPr>
                <w:sz w:val="18"/>
                <w:szCs w:val="18"/>
              </w:rPr>
            </w:pPr>
            <w:r w:rsidRPr="007073CD">
              <w:rPr>
                <w:sz w:val="18"/>
                <w:szCs w:val="18"/>
              </w:rPr>
              <w:t>Svršek + spodek</w:t>
            </w:r>
          </w:p>
        </w:tc>
        <w:tc>
          <w:tcPr>
            <w:tcW w:w="1134" w:type="dxa"/>
            <w:tcBorders>
              <w:top w:val="single" w:sz="12"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149,474</w:t>
            </w:r>
          </w:p>
        </w:tc>
        <w:tc>
          <w:tcPr>
            <w:tcW w:w="1134" w:type="dxa"/>
            <w:tcBorders>
              <w:top w:val="single" w:sz="12"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2,954</w:t>
            </w:r>
          </w:p>
        </w:tc>
        <w:tc>
          <w:tcPr>
            <w:tcW w:w="1134" w:type="dxa"/>
            <w:tcBorders>
              <w:top w:val="single" w:sz="12"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82,122</w:t>
            </w:r>
          </w:p>
        </w:tc>
        <w:tc>
          <w:tcPr>
            <w:tcW w:w="1134" w:type="dxa"/>
            <w:tcBorders>
              <w:top w:val="single" w:sz="12"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30,131</w:t>
            </w:r>
          </w:p>
        </w:tc>
        <w:tc>
          <w:tcPr>
            <w:tcW w:w="1134" w:type="dxa"/>
            <w:tcBorders>
              <w:top w:val="single" w:sz="12"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tcBorders>
              <w:top w:val="single" w:sz="12"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tcBorders>
              <w:top w:val="single" w:sz="12"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177,833</w:t>
            </w:r>
          </w:p>
        </w:tc>
        <w:tc>
          <w:tcPr>
            <w:tcW w:w="1134" w:type="dxa"/>
            <w:tcBorders>
              <w:top w:val="single" w:sz="12"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tcBorders>
              <w:top w:val="single" w:sz="12"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tcBorders>
              <w:top w:val="single" w:sz="12" w:space="0" w:color="000000"/>
              <w:right w:val="single" w:sz="4" w:space="0" w:color="auto"/>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r>
      <w:tr w:rsidR="00AE05C0" w:rsidTr="007073CD">
        <w:tc>
          <w:tcPr>
            <w:tcW w:w="2694" w:type="dxa"/>
            <w:tcBorders>
              <w:left w:val="single" w:sz="4" w:space="0" w:color="auto"/>
            </w:tcBorders>
            <w:shd w:val="clear" w:color="auto" w:fill="auto"/>
          </w:tcPr>
          <w:p w:rsidR="00AE05C0" w:rsidRPr="007073CD" w:rsidRDefault="00AE05C0" w:rsidP="00637E16">
            <w:pPr>
              <w:pStyle w:val="Bezmezer"/>
              <w:jc w:val="left"/>
              <w:rPr>
                <w:sz w:val="18"/>
                <w:szCs w:val="18"/>
              </w:rPr>
            </w:pPr>
            <w:r w:rsidRPr="007073CD">
              <w:rPr>
                <w:sz w:val="18"/>
                <w:szCs w:val="18"/>
              </w:rPr>
              <w:t>Mosty</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58,225</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58,033</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64,566</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tcBorders>
              <w:right w:val="single" w:sz="4" w:space="0" w:color="auto"/>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r>
      <w:tr w:rsidR="00AE05C0" w:rsidTr="007073CD">
        <w:tc>
          <w:tcPr>
            <w:tcW w:w="2694" w:type="dxa"/>
            <w:tcBorders>
              <w:left w:val="single" w:sz="4" w:space="0" w:color="auto"/>
            </w:tcBorders>
            <w:shd w:val="clear" w:color="auto" w:fill="auto"/>
          </w:tcPr>
          <w:p w:rsidR="00AE05C0" w:rsidRPr="007073CD" w:rsidRDefault="00AE05C0" w:rsidP="00637E16">
            <w:pPr>
              <w:pStyle w:val="Bezmezer"/>
              <w:jc w:val="left"/>
              <w:rPr>
                <w:sz w:val="18"/>
                <w:szCs w:val="18"/>
              </w:rPr>
            </w:pPr>
            <w:r w:rsidRPr="007073CD">
              <w:rPr>
                <w:sz w:val="18"/>
                <w:szCs w:val="18"/>
              </w:rPr>
              <w:t>Trakce</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51,416</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51,416</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51,416</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51,416</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tcBorders>
              <w:right w:val="single" w:sz="4" w:space="0" w:color="auto"/>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r>
      <w:tr w:rsidR="00AE05C0" w:rsidTr="007073CD">
        <w:tc>
          <w:tcPr>
            <w:tcW w:w="2694" w:type="dxa"/>
            <w:tcBorders>
              <w:left w:val="single" w:sz="4" w:space="0" w:color="auto"/>
            </w:tcBorders>
            <w:shd w:val="clear" w:color="auto" w:fill="auto"/>
          </w:tcPr>
          <w:p w:rsidR="00AE05C0" w:rsidRPr="007073CD" w:rsidRDefault="00AE05C0" w:rsidP="00637E16">
            <w:pPr>
              <w:pStyle w:val="Bezmezer"/>
              <w:jc w:val="left"/>
              <w:rPr>
                <w:sz w:val="18"/>
                <w:szCs w:val="18"/>
              </w:rPr>
            </w:pPr>
            <w:r w:rsidRPr="007073CD">
              <w:rPr>
                <w:sz w:val="18"/>
                <w:szCs w:val="18"/>
              </w:rPr>
              <w:t>ZabZař + SdělZař</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shd w:val="clear" w:color="auto" w:fill="auto"/>
          </w:tcPr>
          <w:p w:rsidR="00AE05C0" w:rsidRPr="007073CD" w:rsidRDefault="00AE05C0" w:rsidP="00637E16">
            <w:pPr>
              <w:pStyle w:val="Bezmezer"/>
              <w:ind w:right="5"/>
              <w:jc w:val="right"/>
              <w:rPr>
                <w:b/>
                <w:bCs/>
                <w:kern w:val="28"/>
                <w:sz w:val="18"/>
                <w:szCs w:val="18"/>
              </w:rPr>
            </w:pPr>
            <w:r w:rsidRPr="007073CD">
              <w:rPr>
                <w:sz w:val="18"/>
                <w:szCs w:val="18"/>
              </w:rPr>
              <w:t>17</w:t>
            </w:r>
            <w:r w:rsidR="0020296B" w:rsidRPr="007073CD">
              <w:rPr>
                <w:sz w:val="18"/>
                <w:szCs w:val="18"/>
              </w:rPr>
              <w:t>8</w:t>
            </w:r>
            <w:r w:rsidRPr="007073CD">
              <w:rPr>
                <w:sz w:val="18"/>
                <w:szCs w:val="18"/>
              </w:rPr>
              <w:t>,</w:t>
            </w:r>
            <w:r w:rsidR="0020296B" w:rsidRPr="007073CD">
              <w:rPr>
                <w:sz w:val="18"/>
                <w:szCs w:val="18"/>
              </w:rPr>
              <w:t>280</w:t>
            </w:r>
          </w:p>
        </w:tc>
        <w:tc>
          <w:tcPr>
            <w:tcW w:w="1134" w:type="dxa"/>
            <w:shd w:val="clear" w:color="auto" w:fill="auto"/>
          </w:tcPr>
          <w:p w:rsidR="00AE05C0" w:rsidRPr="007073CD" w:rsidRDefault="00AE05C0" w:rsidP="00637E16">
            <w:pPr>
              <w:pStyle w:val="Bezmezer"/>
              <w:ind w:right="5"/>
              <w:jc w:val="right"/>
              <w:rPr>
                <w:b/>
                <w:bCs/>
                <w:kern w:val="28"/>
                <w:sz w:val="18"/>
                <w:szCs w:val="18"/>
              </w:rPr>
            </w:pPr>
            <w:r w:rsidRPr="007073CD">
              <w:rPr>
                <w:sz w:val="18"/>
                <w:szCs w:val="18"/>
              </w:rPr>
              <w:t>17</w:t>
            </w:r>
            <w:r w:rsidR="0020296B" w:rsidRPr="007073CD">
              <w:rPr>
                <w:sz w:val="18"/>
                <w:szCs w:val="18"/>
              </w:rPr>
              <w:t>8</w:t>
            </w:r>
            <w:r w:rsidRPr="007073CD">
              <w:rPr>
                <w:sz w:val="18"/>
                <w:szCs w:val="18"/>
              </w:rPr>
              <w:t>,</w:t>
            </w:r>
            <w:r w:rsidR="0020296B" w:rsidRPr="007073CD">
              <w:rPr>
                <w:sz w:val="18"/>
                <w:szCs w:val="18"/>
              </w:rPr>
              <w:t>280</w:t>
            </w:r>
          </w:p>
        </w:tc>
        <w:tc>
          <w:tcPr>
            <w:tcW w:w="1134" w:type="dxa"/>
            <w:shd w:val="clear" w:color="auto" w:fill="auto"/>
          </w:tcPr>
          <w:p w:rsidR="00AE05C0" w:rsidRPr="007073CD" w:rsidRDefault="00AE05C0" w:rsidP="00637E16">
            <w:pPr>
              <w:pStyle w:val="Bezmezer"/>
              <w:ind w:right="5"/>
              <w:jc w:val="right"/>
              <w:rPr>
                <w:b/>
                <w:bCs/>
                <w:kern w:val="28"/>
                <w:sz w:val="18"/>
                <w:szCs w:val="18"/>
              </w:rPr>
            </w:pPr>
            <w:r w:rsidRPr="007073CD">
              <w:rPr>
                <w:sz w:val="18"/>
                <w:szCs w:val="18"/>
              </w:rPr>
              <w:t>17</w:t>
            </w:r>
            <w:r w:rsidR="0020296B" w:rsidRPr="007073CD">
              <w:rPr>
                <w:sz w:val="18"/>
                <w:szCs w:val="18"/>
              </w:rPr>
              <w:t>8</w:t>
            </w:r>
            <w:r w:rsidRPr="007073CD">
              <w:rPr>
                <w:sz w:val="18"/>
                <w:szCs w:val="18"/>
              </w:rPr>
              <w:t>,</w:t>
            </w:r>
            <w:r w:rsidR="0020296B" w:rsidRPr="007073CD">
              <w:rPr>
                <w:sz w:val="18"/>
                <w:szCs w:val="18"/>
              </w:rPr>
              <w:t>280</w:t>
            </w:r>
          </w:p>
        </w:tc>
        <w:tc>
          <w:tcPr>
            <w:tcW w:w="1134" w:type="dxa"/>
            <w:shd w:val="clear" w:color="auto" w:fill="auto"/>
          </w:tcPr>
          <w:p w:rsidR="00AE05C0" w:rsidRPr="007073CD" w:rsidRDefault="00AE05C0" w:rsidP="00637E16">
            <w:pPr>
              <w:pStyle w:val="Bezmezer"/>
              <w:ind w:right="5"/>
              <w:jc w:val="right"/>
              <w:rPr>
                <w:b/>
                <w:bCs/>
                <w:kern w:val="28"/>
                <w:sz w:val="18"/>
                <w:szCs w:val="18"/>
              </w:rPr>
            </w:pPr>
            <w:r w:rsidRPr="007073CD">
              <w:rPr>
                <w:sz w:val="18"/>
                <w:szCs w:val="18"/>
              </w:rPr>
              <w:t>35,</w:t>
            </w:r>
            <w:r w:rsidR="0020296B" w:rsidRPr="007073CD">
              <w:rPr>
                <w:sz w:val="18"/>
                <w:szCs w:val="18"/>
              </w:rPr>
              <w:t>656</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tcBorders>
              <w:right w:val="single" w:sz="4" w:space="0" w:color="auto"/>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r>
      <w:tr w:rsidR="00AE05C0" w:rsidTr="007073CD">
        <w:tc>
          <w:tcPr>
            <w:tcW w:w="2694" w:type="dxa"/>
            <w:tcBorders>
              <w:left w:val="single" w:sz="4" w:space="0" w:color="auto"/>
              <w:bottom w:val="single" w:sz="6" w:space="0" w:color="000000"/>
            </w:tcBorders>
            <w:shd w:val="clear" w:color="auto" w:fill="auto"/>
          </w:tcPr>
          <w:p w:rsidR="00AE05C0" w:rsidRPr="007073CD" w:rsidRDefault="00AE05C0" w:rsidP="00637E16">
            <w:pPr>
              <w:pStyle w:val="Bezmezer"/>
              <w:jc w:val="left"/>
              <w:rPr>
                <w:sz w:val="18"/>
                <w:szCs w:val="18"/>
              </w:rPr>
            </w:pPr>
            <w:r w:rsidRPr="007073CD">
              <w:rPr>
                <w:sz w:val="18"/>
                <w:szCs w:val="18"/>
              </w:rPr>
              <w:t>Elektro</w:t>
            </w:r>
          </w:p>
        </w:tc>
        <w:tc>
          <w:tcPr>
            <w:tcW w:w="1134" w:type="dxa"/>
            <w:tcBorders>
              <w:bottom w:val="single" w:sz="6"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tcBorders>
              <w:bottom w:val="single" w:sz="6"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tcBorders>
              <w:bottom w:val="single" w:sz="6"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1,304</w:t>
            </w:r>
          </w:p>
        </w:tc>
        <w:tc>
          <w:tcPr>
            <w:tcW w:w="1134" w:type="dxa"/>
            <w:tcBorders>
              <w:bottom w:val="single" w:sz="6"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1,304</w:t>
            </w:r>
          </w:p>
        </w:tc>
        <w:tc>
          <w:tcPr>
            <w:tcW w:w="1134" w:type="dxa"/>
            <w:tcBorders>
              <w:bottom w:val="single" w:sz="6"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1,304</w:t>
            </w:r>
          </w:p>
        </w:tc>
        <w:tc>
          <w:tcPr>
            <w:tcW w:w="1134" w:type="dxa"/>
            <w:tcBorders>
              <w:bottom w:val="single" w:sz="6"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1,304</w:t>
            </w:r>
          </w:p>
        </w:tc>
        <w:tc>
          <w:tcPr>
            <w:tcW w:w="1134" w:type="dxa"/>
            <w:tcBorders>
              <w:bottom w:val="single" w:sz="6"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tcBorders>
              <w:bottom w:val="single" w:sz="6"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tcBorders>
              <w:bottom w:val="single" w:sz="6"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tcBorders>
              <w:bottom w:val="single" w:sz="6" w:space="0" w:color="000000"/>
              <w:right w:val="single" w:sz="4" w:space="0" w:color="auto"/>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r>
      <w:tr w:rsidR="00AE05C0" w:rsidTr="007073CD">
        <w:tc>
          <w:tcPr>
            <w:tcW w:w="2694" w:type="dxa"/>
            <w:tcBorders>
              <w:top w:val="single" w:sz="6" w:space="0" w:color="000000"/>
              <w:left w:val="single" w:sz="4" w:space="0" w:color="auto"/>
              <w:bottom w:val="single" w:sz="6" w:space="0" w:color="000000"/>
            </w:tcBorders>
            <w:shd w:val="clear" w:color="auto" w:fill="D9D9D9"/>
          </w:tcPr>
          <w:p w:rsidR="00AE05C0" w:rsidRPr="007073CD" w:rsidRDefault="00AE05C0" w:rsidP="00637E16">
            <w:pPr>
              <w:pStyle w:val="Bezmezer"/>
              <w:jc w:val="left"/>
              <w:rPr>
                <w:b/>
                <w:sz w:val="18"/>
                <w:szCs w:val="18"/>
              </w:rPr>
            </w:pPr>
            <w:r w:rsidRPr="007073CD">
              <w:rPr>
                <w:b/>
                <w:sz w:val="18"/>
                <w:szCs w:val="18"/>
              </w:rPr>
              <w:t>Celkem bez DPH</w:t>
            </w:r>
          </w:p>
        </w:tc>
        <w:tc>
          <w:tcPr>
            <w:tcW w:w="1134" w:type="dxa"/>
            <w:tcBorders>
              <w:top w:val="single" w:sz="6" w:space="0" w:color="000000"/>
              <w:bottom w:val="single" w:sz="6" w:space="0" w:color="000000"/>
            </w:tcBorders>
            <w:shd w:val="clear" w:color="auto" w:fill="D9D9D9"/>
          </w:tcPr>
          <w:p w:rsidR="00AE05C0" w:rsidRPr="007073CD" w:rsidRDefault="002032DF" w:rsidP="00637E16">
            <w:pPr>
              <w:pStyle w:val="Bezmezer"/>
              <w:ind w:right="5"/>
              <w:jc w:val="right"/>
              <w:rPr>
                <w:b/>
                <w:sz w:val="18"/>
                <w:szCs w:val="18"/>
              </w:rPr>
            </w:pPr>
            <w:r w:rsidRPr="007073CD">
              <w:rPr>
                <w:b/>
                <w:sz w:val="18"/>
                <w:szCs w:val="18"/>
              </w:rPr>
              <w:t>149,474</w:t>
            </w:r>
          </w:p>
        </w:tc>
        <w:tc>
          <w:tcPr>
            <w:tcW w:w="1134" w:type="dxa"/>
            <w:tcBorders>
              <w:top w:val="single" w:sz="6" w:space="0" w:color="000000"/>
              <w:bottom w:val="single" w:sz="6" w:space="0" w:color="000000"/>
            </w:tcBorders>
            <w:shd w:val="clear" w:color="auto" w:fill="D9D9D9"/>
          </w:tcPr>
          <w:p w:rsidR="00AE05C0" w:rsidRPr="007073CD" w:rsidRDefault="002032DF" w:rsidP="00637E16">
            <w:pPr>
              <w:pStyle w:val="Bezmezer"/>
              <w:ind w:right="5"/>
              <w:jc w:val="right"/>
              <w:rPr>
                <w:b/>
                <w:bCs/>
                <w:kern w:val="28"/>
                <w:sz w:val="18"/>
                <w:szCs w:val="18"/>
              </w:rPr>
            </w:pPr>
            <w:r w:rsidRPr="007073CD">
              <w:rPr>
                <w:b/>
                <w:sz w:val="18"/>
                <w:szCs w:val="18"/>
              </w:rPr>
              <w:t>29</w:t>
            </w:r>
            <w:r w:rsidR="0020296B" w:rsidRPr="007073CD">
              <w:rPr>
                <w:b/>
                <w:sz w:val="18"/>
                <w:szCs w:val="18"/>
              </w:rPr>
              <w:t>0</w:t>
            </w:r>
            <w:r w:rsidRPr="007073CD">
              <w:rPr>
                <w:b/>
                <w:sz w:val="18"/>
                <w:szCs w:val="18"/>
              </w:rPr>
              <w:t>,</w:t>
            </w:r>
            <w:r w:rsidR="0020296B" w:rsidRPr="007073CD">
              <w:rPr>
                <w:b/>
                <w:sz w:val="18"/>
                <w:szCs w:val="18"/>
              </w:rPr>
              <w:t>876</w:t>
            </w:r>
          </w:p>
        </w:tc>
        <w:tc>
          <w:tcPr>
            <w:tcW w:w="1134" w:type="dxa"/>
            <w:tcBorders>
              <w:top w:val="single" w:sz="6" w:space="0" w:color="000000"/>
              <w:bottom w:val="single" w:sz="6" w:space="0" w:color="000000"/>
            </w:tcBorders>
            <w:shd w:val="clear" w:color="auto" w:fill="D9D9D9"/>
          </w:tcPr>
          <w:p w:rsidR="00AE05C0" w:rsidRPr="007073CD" w:rsidRDefault="002032DF" w:rsidP="00637E16">
            <w:pPr>
              <w:pStyle w:val="Bezmezer"/>
              <w:ind w:right="5"/>
              <w:jc w:val="right"/>
              <w:rPr>
                <w:b/>
                <w:bCs/>
                <w:kern w:val="28"/>
                <w:sz w:val="18"/>
                <w:szCs w:val="18"/>
              </w:rPr>
            </w:pPr>
            <w:r w:rsidRPr="007073CD">
              <w:rPr>
                <w:b/>
                <w:sz w:val="18"/>
                <w:szCs w:val="18"/>
              </w:rPr>
              <w:t>37</w:t>
            </w:r>
            <w:r w:rsidR="0020296B" w:rsidRPr="007073CD">
              <w:rPr>
                <w:b/>
                <w:sz w:val="18"/>
                <w:szCs w:val="18"/>
              </w:rPr>
              <w:t>1</w:t>
            </w:r>
            <w:r w:rsidRPr="007073CD">
              <w:rPr>
                <w:b/>
                <w:sz w:val="18"/>
                <w:szCs w:val="18"/>
              </w:rPr>
              <w:t>,1</w:t>
            </w:r>
            <w:r w:rsidR="0020296B" w:rsidRPr="007073CD">
              <w:rPr>
                <w:b/>
                <w:sz w:val="18"/>
                <w:szCs w:val="18"/>
              </w:rPr>
              <w:t>56</w:t>
            </w:r>
          </w:p>
        </w:tc>
        <w:tc>
          <w:tcPr>
            <w:tcW w:w="1134" w:type="dxa"/>
            <w:tcBorders>
              <w:top w:val="single" w:sz="6" w:space="0" w:color="000000"/>
              <w:bottom w:val="single" w:sz="6" w:space="0" w:color="000000"/>
            </w:tcBorders>
            <w:shd w:val="clear" w:color="auto" w:fill="D9D9D9"/>
          </w:tcPr>
          <w:p w:rsidR="00AE05C0" w:rsidRPr="007073CD" w:rsidRDefault="002032DF" w:rsidP="00637E16">
            <w:pPr>
              <w:pStyle w:val="Bezmezer"/>
              <w:ind w:right="5"/>
              <w:jc w:val="right"/>
              <w:rPr>
                <w:b/>
                <w:bCs/>
                <w:kern w:val="28"/>
                <w:sz w:val="18"/>
                <w:szCs w:val="18"/>
              </w:rPr>
            </w:pPr>
            <w:r w:rsidRPr="007073CD">
              <w:rPr>
                <w:b/>
                <w:sz w:val="18"/>
                <w:szCs w:val="18"/>
              </w:rPr>
              <w:t>32</w:t>
            </w:r>
            <w:r w:rsidR="0020296B" w:rsidRPr="007073CD">
              <w:rPr>
                <w:b/>
                <w:sz w:val="18"/>
                <w:szCs w:val="18"/>
              </w:rPr>
              <w:t>5</w:t>
            </w:r>
            <w:r w:rsidRPr="007073CD">
              <w:rPr>
                <w:b/>
                <w:sz w:val="18"/>
                <w:szCs w:val="18"/>
              </w:rPr>
              <w:t>,</w:t>
            </w:r>
            <w:r w:rsidR="0020296B" w:rsidRPr="007073CD">
              <w:rPr>
                <w:b/>
                <w:sz w:val="18"/>
                <w:szCs w:val="18"/>
              </w:rPr>
              <w:t>698</w:t>
            </w:r>
          </w:p>
        </w:tc>
        <w:tc>
          <w:tcPr>
            <w:tcW w:w="1134" w:type="dxa"/>
            <w:tcBorders>
              <w:top w:val="single" w:sz="6" w:space="0" w:color="000000"/>
              <w:bottom w:val="single" w:sz="6" w:space="0" w:color="000000"/>
            </w:tcBorders>
            <w:shd w:val="clear" w:color="auto" w:fill="D9D9D9"/>
          </w:tcPr>
          <w:p w:rsidR="00AE05C0" w:rsidRPr="007073CD" w:rsidRDefault="002032DF" w:rsidP="00637E16">
            <w:pPr>
              <w:pStyle w:val="Bezmezer"/>
              <w:ind w:right="5"/>
              <w:jc w:val="right"/>
              <w:rPr>
                <w:b/>
                <w:bCs/>
                <w:kern w:val="28"/>
                <w:sz w:val="18"/>
                <w:szCs w:val="18"/>
              </w:rPr>
            </w:pPr>
            <w:r w:rsidRPr="007073CD">
              <w:rPr>
                <w:b/>
                <w:sz w:val="18"/>
                <w:szCs w:val="18"/>
              </w:rPr>
              <w:t>88,</w:t>
            </w:r>
            <w:r w:rsidR="0020296B" w:rsidRPr="007073CD">
              <w:rPr>
                <w:b/>
                <w:sz w:val="18"/>
                <w:szCs w:val="18"/>
              </w:rPr>
              <w:t>377</w:t>
            </w:r>
          </w:p>
        </w:tc>
        <w:tc>
          <w:tcPr>
            <w:tcW w:w="1134" w:type="dxa"/>
            <w:tcBorders>
              <w:top w:val="single" w:sz="6" w:space="0" w:color="000000"/>
              <w:bottom w:val="single" w:sz="6" w:space="0" w:color="000000"/>
            </w:tcBorders>
            <w:shd w:val="clear" w:color="auto" w:fill="D9D9D9"/>
          </w:tcPr>
          <w:p w:rsidR="00AE05C0" w:rsidRPr="007073CD" w:rsidRDefault="002032DF" w:rsidP="00637E16">
            <w:pPr>
              <w:pStyle w:val="Bezmezer"/>
              <w:ind w:right="5"/>
              <w:jc w:val="right"/>
              <w:rPr>
                <w:b/>
                <w:sz w:val="18"/>
                <w:szCs w:val="18"/>
              </w:rPr>
            </w:pPr>
            <w:r w:rsidRPr="007073CD">
              <w:rPr>
                <w:b/>
                <w:sz w:val="18"/>
                <w:szCs w:val="18"/>
              </w:rPr>
              <w:t>1,304</w:t>
            </w:r>
          </w:p>
        </w:tc>
        <w:tc>
          <w:tcPr>
            <w:tcW w:w="1134" w:type="dxa"/>
            <w:tcBorders>
              <w:top w:val="single" w:sz="6" w:space="0" w:color="000000"/>
              <w:bottom w:val="single" w:sz="6" w:space="0" w:color="000000"/>
            </w:tcBorders>
            <w:shd w:val="clear" w:color="auto" w:fill="D9D9D9"/>
          </w:tcPr>
          <w:p w:rsidR="00AE05C0" w:rsidRPr="007073CD" w:rsidRDefault="002032DF" w:rsidP="00637E16">
            <w:pPr>
              <w:pStyle w:val="Bezmezer"/>
              <w:ind w:right="5"/>
              <w:jc w:val="right"/>
              <w:rPr>
                <w:b/>
                <w:sz w:val="18"/>
                <w:szCs w:val="18"/>
              </w:rPr>
            </w:pPr>
            <w:r w:rsidRPr="007073CD">
              <w:rPr>
                <w:b/>
                <w:sz w:val="18"/>
                <w:szCs w:val="18"/>
              </w:rPr>
              <w:t>177,833</w:t>
            </w:r>
          </w:p>
        </w:tc>
        <w:tc>
          <w:tcPr>
            <w:tcW w:w="1134" w:type="dxa"/>
            <w:tcBorders>
              <w:top w:val="single" w:sz="6" w:space="0" w:color="000000"/>
              <w:bottom w:val="single" w:sz="6" w:space="0" w:color="000000"/>
            </w:tcBorders>
            <w:shd w:val="clear" w:color="auto" w:fill="D9D9D9"/>
          </w:tcPr>
          <w:p w:rsidR="00AE05C0" w:rsidRPr="007073CD" w:rsidRDefault="002032DF" w:rsidP="00637E16">
            <w:pPr>
              <w:pStyle w:val="Bezmezer"/>
              <w:ind w:right="5"/>
              <w:jc w:val="right"/>
              <w:rPr>
                <w:b/>
                <w:sz w:val="18"/>
                <w:szCs w:val="18"/>
              </w:rPr>
            </w:pPr>
            <w:r w:rsidRPr="007073CD">
              <w:rPr>
                <w:b/>
                <w:sz w:val="18"/>
                <w:szCs w:val="18"/>
              </w:rPr>
              <w:t>0,000</w:t>
            </w:r>
          </w:p>
        </w:tc>
        <w:tc>
          <w:tcPr>
            <w:tcW w:w="1134" w:type="dxa"/>
            <w:tcBorders>
              <w:top w:val="single" w:sz="6" w:space="0" w:color="000000"/>
              <w:bottom w:val="single" w:sz="6" w:space="0" w:color="000000"/>
            </w:tcBorders>
            <w:shd w:val="clear" w:color="auto" w:fill="D9D9D9"/>
          </w:tcPr>
          <w:p w:rsidR="00AE05C0" w:rsidRPr="007073CD" w:rsidRDefault="002032DF" w:rsidP="00637E16">
            <w:pPr>
              <w:pStyle w:val="Bezmezer"/>
              <w:ind w:right="5"/>
              <w:jc w:val="right"/>
              <w:rPr>
                <w:b/>
                <w:sz w:val="18"/>
                <w:szCs w:val="18"/>
              </w:rPr>
            </w:pPr>
            <w:r w:rsidRPr="007073CD">
              <w:rPr>
                <w:b/>
                <w:sz w:val="18"/>
                <w:szCs w:val="18"/>
              </w:rPr>
              <w:t>0,000</w:t>
            </w:r>
          </w:p>
        </w:tc>
        <w:tc>
          <w:tcPr>
            <w:tcW w:w="1134" w:type="dxa"/>
            <w:tcBorders>
              <w:top w:val="single" w:sz="6" w:space="0" w:color="000000"/>
              <w:bottom w:val="single" w:sz="6" w:space="0" w:color="000000"/>
              <w:right w:val="single" w:sz="4" w:space="0" w:color="auto"/>
            </w:tcBorders>
            <w:shd w:val="clear" w:color="auto" w:fill="D9D9D9"/>
          </w:tcPr>
          <w:p w:rsidR="00AE05C0" w:rsidRPr="007073CD" w:rsidRDefault="002032DF" w:rsidP="00637E16">
            <w:pPr>
              <w:pStyle w:val="Bezmezer"/>
              <w:ind w:right="5"/>
              <w:jc w:val="right"/>
              <w:rPr>
                <w:b/>
                <w:sz w:val="18"/>
                <w:szCs w:val="18"/>
              </w:rPr>
            </w:pPr>
            <w:r w:rsidRPr="007073CD">
              <w:rPr>
                <w:b/>
                <w:sz w:val="18"/>
                <w:szCs w:val="18"/>
              </w:rPr>
              <w:t>0,000</w:t>
            </w:r>
          </w:p>
        </w:tc>
      </w:tr>
      <w:tr w:rsidR="00AE05C0" w:rsidTr="007073CD">
        <w:tc>
          <w:tcPr>
            <w:tcW w:w="2694" w:type="dxa"/>
            <w:tcBorders>
              <w:top w:val="single" w:sz="6" w:space="0" w:color="000000"/>
              <w:left w:val="single" w:sz="4" w:space="0" w:color="auto"/>
              <w:bottom w:val="single" w:sz="6" w:space="0" w:color="000000"/>
            </w:tcBorders>
            <w:shd w:val="clear" w:color="auto" w:fill="auto"/>
          </w:tcPr>
          <w:p w:rsidR="00AE05C0" w:rsidRPr="007073CD" w:rsidRDefault="00AE05C0" w:rsidP="00637E16">
            <w:pPr>
              <w:pStyle w:val="Bezmezer"/>
              <w:jc w:val="left"/>
              <w:rPr>
                <w:sz w:val="18"/>
                <w:szCs w:val="18"/>
              </w:rPr>
            </w:pPr>
            <w:r w:rsidRPr="007073CD">
              <w:rPr>
                <w:sz w:val="18"/>
                <w:szCs w:val="18"/>
              </w:rPr>
              <w:t>DPH</w:t>
            </w:r>
          </w:p>
        </w:tc>
        <w:tc>
          <w:tcPr>
            <w:tcW w:w="1134" w:type="dxa"/>
            <w:tcBorders>
              <w:top w:val="single" w:sz="6" w:space="0" w:color="000000"/>
              <w:bottom w:val="single" w:sz="6" w:space="0" w:color="000000"/>
            </w:tcBorders>
            <w:shd w:val="clear" w:color="auto" w:fill="auto"/>
          </w:tcPr>
          <w:p w:rsidR="00AE05C0" w:rsidRPr="007073CD" w:rsidRDefault="0020296B" w:rsidP="00637E16">
            <w:pPr>
              <w:pStyle w:val="Bezmezer"/>
              <w:ind w:right="5"/>
              <w:jc w:val="right"/>
              <w:rPr>
                <w:sz w:val="18"/>
                <w:szCs w:val="18"/>
              </w:rPr>
            </w:pPr>
            <w:r w:rsidRPr="007073CD">
              <w:rPr>
                <w:sz w:val="18"/>
                <w:szCs w:val="18"/>
              </w:rPr>
              <w:t>32,390</w:t>
            </w:r>
          </w:p>
        </w:tc>
        <w:tc>
          <w:tcPr>
            <w:tcW w:w="1134" w:type="dxa"/>
            <w:tcBorders>
              <w:top w:val="single" w:sz="6" w:space="0" w:color="000000"/>
              <w:bottom w:val="single" w:sz="6" w:space="0" w:color="000000"/>
            </w:tcBorders>
            <w:shd w:val="clear" w:color="auto" w:fill="auto"/>
          </w:tcPr>
          <w:p w:rsidR="00AE05C0" w:rsidRPr="007073CD" w:rsidRDefault="0020296B" w:rsidP="00637E16">
            <w:pPr>
              <w:pStyle w:val="Bezmezer"/>
              <w:ind w:right="5"/>
              <w:jc w:val="right"/>
              <w:rPr>
                <w:b/>
                <w:bCs/>
                <w:kern w:val="28"/>
                <w:sz w:val="18"/>
                <w:szCs w:val="18"/>
              </w:rPr>
            </w:pPr>
            <w:r w:rsidRPr="007073CD">
              <w:rPr>
                <w:sz w:val="18"/>
                <w:szCs w:val="18"/>
              </w:rPr>
              <w:t>61,084</w:t>
            </w:r>
          </w:p>
        </w:tc>
        <w:tc>
          <w:tcPr>
            <w:tcW w:w="1134" w:type="dxa"/>
            <w:tcBorders>
              <w:top w:val="single" w:sz="6" w:space="0" w:color="000000"/>
              <w:bottom w:val="single" w:sz="6" w:space="0" w:color="000000"/>
            </w:tcBorders>
            <w:shd w:val="clear" w:color="auto" w:fill="auto"/>
          </w:tcPr>
          <w:p w:rsidR="00AE05C0" w:rsidRPr="007073CD" w:rsidRDefault="00AE05C0" w:rsidP="00637E16">
            <w:pPr>
              <w:pStyle w:val="Bezmezer"/>
              <w:ind w:right="5"/>
              <w:jc w:val="right"/>
              <w:rPr>
                <w:b/>
                <w:bCs/>
                <w:kern w:val="28"/>
                <w:sz w:val="18"/>
                <w:szCs w:val="18"/>
              </w:rPr>
            </w:pPr>
            <w:r w:rsidRPr="007073CD">
              <w:rPr>
                <w:sz w:val="18"/>
                <w:szCs w:val="18"/>
              </w:rPr>
              <w:t>7</w:t>
            </w:r>
            <w:r w:rsidR="0020296B" w:rsidRPr="007073CD">
              <w:rPr>
                <w:sz w:val="18"/>
                <w:szCs w:val="18"/>
              </w:rPr>
              <w:t>7</w:t>
            </w:r>
            <w:r w:rsidRPr="007073CD">
              <w:rPr>
                <w:sz w:val="18"/>
                <w:szCs w:val="18"/>
              </w:rPr>
              <w:t>,</w:t>
            </w:r>
            <w:r w:rsidR="0020296B" w:rsidRPr="007073CD">
              <w:rPr>
                <w:sz w:val="18"/>
                <w:szCs w:val="18"/>
              </w:rPr>
              <w:t>943</w:t>
            </w:r>
          </w:p>
        </w:tc>
        <w:tc>
          <w:tcPr>
            <w:tcW w:w="1134" w:type="dxa"/>
            <w:tcBorders>
              <w:top w:val="single" w:sz="6" w:space="0" w:color="000000"/>
              <w:bottom w:val="single" w:sz="6" w:space="0" w:color="000000"/>
            </w:tcBorders>
            <w:shd w:val="clear" w:color="auto" w:fill="auto"/>
          </w:tcPr>
          <w:p w:rsidR="00AE05C0" w:rsidRPr="007073CD" w:rsidRDefault="00AE05C0" w:rsidP="00637E16">
            <w:pPr>
              <w:pStyle w:val="Bezmezer"/>
              <w:ind w:right="5"/>
              <w:jc w:val="right"/>
              <w:rPr>
                <w:b/>
                <w:bCs/>
                <w:kern w:val="28"/>
                <w:sz w:val="18"/>
                <w:szCs w:val="18"/>
              </w:rPr>
            </w:pPr>
            <w:r w:rsidRPr="007073CD">
              <w:rPr>
                <w:sz w:val="18"/>
                <w:szCs w:val="18"/>
              </w:rPr>
              <w:t>6</w:t>
            </w:r>
            <w:r w:rsidR="0020296B" w:rsidRPr="007073CD">
              <w:rPr>
                <w:sz w:val="18"/>
                <w:szCs w:val="18"/>
              </w:rPr>
              <w:t>8</w:t>
            </w:r>
            <w:r w:rsidRPr="007073CD">
              <w:rPr>
                <w:sz w:val="18"/>
                <w:szCs w:val="18"/>
              </w:rPr>
              <w:t>,</w:t>
            </w:r>
            <w:r w:rsidR="0020296B" w:rsidRPr="007073CD">
              <w:rPr>
                <w:sz w:val="18"/>
                <w:szCs w:val="18"/>
              </w:rPr>
              <w:t>39</w:t>
            </w:r>
            <w:r w:rsidRPr="007073CD">
              <w:rPr>
                <w:sz w:val="18"/>
                <w:szCs w:val="18"/>
              </w:rPr>
              <w:t>7</w:t>
            </w:r>
          </w:p>
        </w:tc>
        <w:tc>
          <w:tcPr>
            <w:tcW w:w="1134" w:type="dxa"/>
            <w:tcBorders>
              <w:top w:val="single" w:sz="6" w:space="0" w:color="000000"/>
              <w:bottom w:val="single" w:sz="6" w:space="0" w:color="000000"/>
            </w:tcBorders>
            <w:shd w:val="clear" w:color="auto" w:fill="auto"/>
          </w:tcPr>
          <w:p w:rsidR="00AE05C0" w:rsidRPr="007073CD" w:rsidRDefault="00AE05C0" w:rsidP="00637E16">
            <w:pPr>
              <w:pStyle w:val="Bezmezer"/>
              <w:ind w:right="5"/>
              <w:jc w:val="right"/>
              <w:rPr>
                <w:b/>
                <w:bCs/>
                <w:kern w:val="28"/>
                <w:sz w:val="18"/>
                <w:szCs w:val="18"/>
              </w:rPr>
            </w:pPr>
            <w:r w:rsidRPr="007073CD">
              <w:rPr>
                <w:sz w:val="18"/>
                <w:szCs w:val="18"/>
              </w:rPr>
              <w:t>1</w:t>
            </w:r>
            <w:r w:rsidR="0020296B" w:rsidRPr="007073CD">
              <w:rPr>
                <w:sz w:val="18"/>
                <w:szCs w:val="18"/>
              </w:rPr>
              <w:t>8</w:t>
            </w:r>
            <w:r w:rsidRPr="007073CD">
              <w:rPr>
                <w:sz w:val="18"/>
                <w:szCs w:val="18"/>
              </w:rPr>
              <w:t>,</w:t>
            </w:r>
            <w:r w:rsidR="0020296B" w:rsidRPr="007073CD">
              <w:rPr>
                <w:sz w:val="18"/>
                <w:szCs w:val="18"/>
              </w:rPr>
              <w:t>559</w:t>
            </w:r>
          </w:p>
        </w:tc>
        <w:tc>
          <w:tcPr>
            <w:tcW w:w="1134" w:type="dxa"/>
            <w:tcBorders>
              <w:top w:val="single" w:sz="6" w:space="0" w:color="000000"/>
              <w:bottom w:val="single" w:sz="6" w:space="0" w:color="000000"/>
            </w:tcBorders>
            <w:shd w:val="clear" w:color="auto" w:fill="auto"/>
          </w:tcPr>
          <w:p w:rsidR="00AE05C0" w:rsidRPr="007073CD" w:rsidRDefault="00AE05C0" w:rsidP="00637E16">
            <w:pPr>
              <w:pStyle w:val="Bezmezer"/>
              <w:ind w:right="5"/>
              <w:jc w:val="right"/>
              <w:rPr>
                <w:b/>
                <w:bCs/>
                <w:kern w:val="28"/>
                <w:sz w:val="18"/>
                <w:szCs w:val="18"/>
              </w:rPr>
            </w:pPr>
            <w:r w:rsidRPr="007073CD">
              <w:rPr>
                <w:sz w:val="18"/>
                <w:szCs w:val="18"/>
              </w:rPr>
              <w:t>0,2</w:t>
            </w:r>
            <w:r w:rsidR="0020296B" w:rsidRPr="007073CD">
              <w:rPr>
                <w:sz w:val="18"/>
                <w:szCs w:val="18"/>
              </w:rPr>
              <w:t>74</w:t>
            </w:r>
          </w:p>
        </w:tc>
        <w:tc>
          <w:tcPr>
            <w:tcW w:w="1134" w:type="dxa"/>
            <w:tcBorders>
              <w:top w:val="single" w:sz="6" w:space="0" w:color="000000"/>
              <w:bottom w:val="single" w:sz="6" w:space="0" w:color="000000"/>
            </w:tcBorders>
            <w:shd w:val="clear" w:color="auto" w:fill="auto"/>
          </w:tcPr>
          <w:p w:rsidR="00AE05C0" w:rsidRPr="007073CD" w:rsidRDefault="00AE05C0" w:rsidP="00637E16">
            <w:pPr>
              <w:pStyle w:val="Bezmezer"/>
              <w:ind w:right="5"/>
              <w:jc w:val="right"/>
              <w:rPr>
                <w:b/>
                <w:bCs/>
                <w:kern w:val="28"/>
                <w:sz w:val="18"/>
                <w:szCs w:val="18"/>
              </w:rPr>
            </w:pPr>
            <w:r w:rsidRPr="007073CD">
              <w:rPr>
                <w:sz w:val="18"/>
                <w:szCs w:val="18"/>
              </w:rPr>
              <w:t>37</w:t>
            </w:r>
            <w:r w:rsidR="0020296B" w:rsidRPr="007073CD">
              <w:rPr>
                <w:sz w:val="18"/>
                <w:szCs w:val="18"/>
              </w:rPr>
              <w:t>,345</w:t>
            </w:r>
          </w:p>
        </w:tc>
        <w:tc>
          <w:tcPr>
            <w:tcW w:w="1134" w:type="dxa"/>
            <w:tcBorders>
              <w:top w:val="single" w:sz="6" w:space="0" w:color="000000"/>
              <w:bottom w:val="single" w:sz="6"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tcBorders>
              <w:top w:val="single" w:sz="6" w:space="0" w:color="000000"/>
              <w:bottom w:val="single" w:sz="6" w:space="0" w:color="000000"/>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c>
          <w:tcPr>
            <w:tcW w:w="1134" w:type="dxa"/>
            <w:tcBorders>
              <w:top w:val="single" w:sz="6" w:space="0" w:color="000000"/>
              <w:bottom w:val="single" w:sz="6" w:space="0" w:color="000000"/>
              <w:right w:val="single" w:sz="4" w:space="0" w:color="auto"/>
            </w:tcBorders>
            <w:shd w:val="clear" w:color="auto" w:fill="auto"/>
          </w:tcPr>
          <w:p w:rsidR="00AE05C0" w:rsidRPr="007073CD" w:rsidRDefault="00AE05C0" w:rsidP="00637E16">
            <w:pPr>
              <w:pStyle w:val="Bezmezer"/>
              <w:ind w:right="5"/>
              <w:jc w:val="right"/>
              <w:rPr>
                <w:sz w:val="18"/>
                <w:szCs w:val="18"/>
              </w:rPr>
            </w:pPr>
            <w:r w:rsidRPr="007073CD">
              <w:rPr>
                <w:sz w:val="18"/>
                <w:szCs w:val="18"/>
              </w:rPr>
              <w:t>0,000</w:t>
            </w:r>
          </w:p>
        </w:tc>
      </w:tr>
      <w:tr w:rsidR="00AE05C0" w:rsidTr="007073CD">
        <w:tc>
          <w:tcPr>
            <w:tcW w:w="2694" w:type="dxa"/>
            <w:tcBorders>
              <w:top w:val="single" w:sz="6" w:space="0" w:color="000000"/>
              <w:left w:val="single" w:sz="4" w:space="0" w:color="auto"/>
              <w:bottom w:val="single" w:sz="4" w:space="0" w:color="auto"/>
            </w:tcBorders>
            <w:shd w:val="clear" w:color="auto" w:fill="D9D9D9"/>
          </w:tcPr>
          <w:p w:rsidR="00AE05C0" w:rsidRPr="007073CD" w:rsidRDefault="00AE05C0" w:rsidP="00637E16">
            <w:pPr>
              <w:pStyle w:val="Bezmezer"/>
              <w:jc w:val="left"/>
              <w:rPr>
                <w:b/>
                <w:sz w:val="18"/>
                <w:szCs w:val="18"/>
              </w:rPr>
            </w:pPr>
            <w:r w:rsidRPr="007073CD">
              <w:rPr>
                <w:b/>
                <w:sz w:val="18"/>
                <w:szCs w:val="18"/>
              </w:rPr>
              <w:t>Celkem vč. DPH</w:t>
            </w:r>
          </w:p>
        </w:tc>
        <w:tc>
          <w:tcPr>
            <w:tcW w:w="1134" w:type="dxa"/>
            <w:tcBorders>
              <w:top w:val="single" w:sz="6" w:space="0" w:color="000000"/>
              <w:bottom w:val="single" w:sz="4" w:space="0" w:color="auto"/>
            </w:tcBorders>
            <w:shd w:val="clear" w:color="auto" w:fill="D9D9D9"/>
          </w:tcPr>
          <w:p w:rsidR="00AE05C0" w:rsidRPr="007073CD" w:rsidRDefault="0020296B" w:rsidP="00637E16">
            <w:pPr>
              <w:pStyle w:val="Bezmezer"/>
              <w:ind w:right="5"/>
              <w:jc w:val="right"/>
              <w:rPr>
                <w:b/>
                <w:sz w:val="18"/>
                <w:szCs w:val="18"/>
              </w:rPr>
            </w:pPr>
            <w:r w:rsidRPr="007073CD">
              <w:rPr>
                <w:b/>
                <w:sz w:val="18"/>
                <w:szCs w:val="18"/>
              </w:rPr>
              <w:t>180,864</w:t>
            </w:r>
          </w:p>
        </w:tc>
        <w:tc>
          <w:tcPr>
            <w:tcW w:w="1134" w:type="dxa"/>
            <w:tcBorders>
              <w:top w:val="single" w:sz="6" w:space="0" w:color="000000"/>
              <w:bottom w:val="single" w:sz="4" w:space="0" w:color="auto"/>
            </w:tcBorders>
            <w:shd w:val="clear" w:color="auto" w:fill="D9D9D9"/>
          </w:tcPr>
          <w:p w:rsidR="00AE05C0" w:rsidRPr="007073CD" w:rsidRDefault="002032DF" w:rsidP="00637E16">
            <w:pPr>
              <w:pStyle w:val="Bezmezer"/>
              <w:ind w:right="5"/>
              <w:jc w:val="right"/>
              <w:rPr>
                <w:b/>
                <w:bCs/>
                <w:kern w:val="28"/>
                <w:sz w:val="18"/>
                <w:szCs w:val="18"/>
              </w:rPr>
            </w:pPr>
            <w:r w:rsidRPr="007073CD">
              <w:rPr>
                <w:b/>
                <w:sz w:val="18"/>
                <w:szCs w:val="18"/>
              </w:rPr>
              <w:t>35</w:t>
            </w:r>
            <w:r w:rsidR="0020296B" w:rsidRPr="007073CD">
              <w:rPr>
                <w:b/>
                <w:sz w:val="18"/>
                <w:szCs w:val="18"/>
              </w:rPr>
              <w:t>1</w:t>
            </w:r>
            <w:r w:rsidRPr="007073CD">
              <w:rPr>
                <w:b/>
                <w:sz w:val="18"/>
                <w:szCs w:val="18"/>
              </w:rPr>
              <w:t>,</w:t>
            </w:r>
            <w:r w:rsidR="0020296B" w:rsidRPr="007073CD">
              <w:rPr>
                <w:b/>
                <w:sz w:val="18"/>
                <w:szCs w:val="18"/>
              </w:rPr>
              <w:t>960</w:t>
            </w:r>
          </w:p>
        </w:tc>
        <w:tc>
          <w:tcPr>
            <w:tcW w:w="1134" w:type="dxa"/>
            <w:tcBorders>
              <w:top w:val="single" w:sz="6" w:space="0" w:color="000000"/>
              <w:bottom w:val="single" w:sz="4" w:space="0" w:color="auto"/>
            </w:tcBorders>
            <w:shd w:val="clear" w:color="auto" w:fill="D9D9D9"/>
          </w:tcPr>
          <w:p w:rsidR="00AE05C0" w:rsidRPr="007073CD" w:rsidRDefault="002032DF" w:rsidP="00637E16">
            <w:pPr>
              <w:pStyle w:val="Bezmezer"/>
              <w:ind w:right="5"/>
              <w:jc w:val="right"/>
              <w:rPr>
                <w:b/>
                <w:bCs/>
                <w:kern w:val="28"/>
                <w:sz w:val="18"/>
                <w:szCs w:val="18"/>
              </w:rPr>
            </w:pPr>
            <w:r w:rsidRPr="007073CD">
              <w:rPr>
                <w:b/>
                <w:sz w:val="18"/>
                <w:szCs w:val="18"/>
              </w:rPr>
              <w:t>44</w:t>
            </w:r>
            <w:r w:rsidR="0020296B" w:rsidRPr="007073CD">
              <w:rPr>
                <w:b/>
                <w:sz w:val="18"/>
                <w:szCs w:val="18"/>
              </w:rPr>
              <w:t>9</w:t>
            </w:r>
            <w:r w:rsidRPr="007073CD">
              <w:rPr>
                <w:b/>
                <w:sz w:val="18"/>
                <w:szCs w:val="18"/>
              </w:rPr>
              <w:t>,</w:t>
            </w:r>
            <w:r w:rsidR="0020296B" w:rsidRPr="007073CD">
              <w:rPr>
                <w:b/>
                <w:sz w:val="18"/>
                <w:szCs w:val="18"/>
              </w:rPr>
              <w:t>098</w:t>
            </w:r>
          </w:p>
        </w:tc>
        <w:tc>
          <w:tcPr>
            <w:tcW w:w="1134" w:type="dxa"/>
            <w:tcBorders>
              <w:top w:val="single" w:sz="6" w:space="0" w:color="000000"/>
              <w:bottom w:val="single" w:sz="4" w:space="0" w:color="auto"/>
            </w:tcBorders>
            <w:shd w:val="clear" w:color="auto" w:fill="D9D9D9"/>
          </w:tcPr>
          <w:p w:rsidR="00AE05C0" w:rsidRPr="007073CD" w:rsidRDefault="002032DF" w:rsidP="00637E16">
            <w:pPr>
              <w:pStyle w:val="Bezmezer"/>
              <w:ind w:right="5"/>
              <w:jc w:val="right"/>
              <w:rPr>
                <w:b/>
                <w:bCs/>
                <w:kern w:val="28"/>
                <w:sz w:val="18"/>
                <w:szCs w:val="18"/>
              </w:rPr>
            </w:pPr>
            <w:r w:rsidRPr="007073CD">
              <w:rPr>
                <w:b/>
                <w:sz w:val="18"/>
                <w:szCs w:val="18"/>
              </w:rPr>
              <w:t>39</w:t>
            </w:r>
            <w:r w:rsidR="0020296B" w:rsidRPr="007073CD">
              <w:rPr>
                <w:b/>
                <w:sz w:val="18"/>
                <w:szCs w:val="18"/>
              </w:rPr>
              <w:t>4</w:t>
            </w:r>
            <w:r w:rsidRPr="007073CD">
              <w:rPr>
                <w:b/>
                <w:sz w:val="18"/>
                <w:szCs w:val="18"/>
              </w:rPr>
              <w:t>,0</w:t>
            </w:r>
            <w:r w:rsidR="0020296B" w:rsidRPr="007073CD">
              <w:rPr>
                <w:b/>
                <w:sz w:val="18"/>
                <w:szCs w:val="18"/>
              </w:rPr>
              <w:t>95</w:t>
            </w:r>
          </w:p>
        </w:tc>
        <w:tc>
          <w:tcPr>
            <w:tcW w:w="1134" w:type="dxa"/>
            <w:tcBorders>
              <w:top w:val="single" w:sz="6" w:space="0" w:color="000000"/>
              <w:bottom w:val="single" w:sz="4" w:space="0" w:color="auto"/>
            </w:tcBorders>
            <w:shd w:val="clear" w:color="auto" w:fill="D9D9D9"/>
          </w:tcPr>
          <w:p w:rsidR="00AE05C0" w:rsidRPr="007073CD" w:rsidRDefault="002032DF" w:rsidP="00637E16">
            <w:pPr>
              <w:pStyle w:val="Bezmezer"/>
              <w:ind w:right="5"/>
              <w:jc w:val="right"/>
              <w:rPr>
                <w:b/>
                <w:bCs/>
                <w:kern w:val="28"/>
                <w:sz w:val="18"/>
                <w:szCs w:val="18"/>
              </w:rPr>
            </w:pPr>
            <w:r w:rsidRPr="007073CD">
              <w:rPr>
                <w:b/>
                <w:sz w:val="18"/>
                <w:szCs w:val="18"/>
              </w:rPr>
              <w:t>106,</w:t>
            </w:r>
            <w:r w:rsidR="0020296B" w:rsidRPr="007073CD">
              <w:rPr>
                <w:b/>
                <w:sz w:val="18"/>
                <w:szCs w:val="18"/>
              </w:rPr>
              <w:t>936</w:t>
            </w:r>
          </w:p>
        </w:tc>
        <w:tc>
          <w:tcPr>
            <w:tcW w:w="1134" w:type="dxa"/>
            <w:tcBorders>
              <w:top w:val="single" w:sz="6" w:space="0" w:color="000000"/>
              <w:bottom w:val="single" w:sz="4" w:space="0" w:color="auto"/>
            </w:tcBorders>
            <w:shd w:val="clear" w:color="auto" w:fill="D9D9D9"/>
          </w:tcPr>
          <w:p w:rsidR="00AE05C0" w:rsidRPr="007073CD" w:rsidRDefault="002032DF" w:rsidP="00637E16">
            <w:pPr>
              <w:pStyle w:val="Bezmezer"/>
              <w:ind w:right="5"/>
              <w:jc w:val="right"/>
              <w:rPr>
                <w:b/>
                <w:bCs/>
                <w:kern w:val="28"/>
                <w:sz w:val="18"/>
                <w:szCs w:val="18"/>
              </w:rPr>
            </w:pPr>
            <w:r w:rsidRPr="007073CD">
              <w:rPr>
                <w:b/>
                <w:sz w:val="18"/>
                <w:szCs w:val="18"/>
              </w:rPr>
              <w:t>1,</w:t>
            </w:r>
            <w:r w:rsidR="0020296B" w:rsidRPr="007073CD">
              <w:rPr>
                <w:b/>
                <w:sz w:val="18"/>
                <w:szCs w:val="18"/>
              </w:rPr>
              <w:t>578</w:t>
            </w:r>
          </w:p>
        </w:tc>
        <w:tc>
          <w:tcPr>
            <w:tcW w:w="1134" w:type="dxa"/>
            <w:tcBorders>
              <w:top w:val="single" w:sz="6" w:space="0" w:color="000000"/>
              <w:bottom w:val="single" w:sz="4" w:space="0" w:color="auto"/>
            </w:tcBorders>
            <w:shd w:val="clear" w:color="auto" w:fill="D9D9D9"/>
          </w:tcPr>
          <w:p w:rsidR="00AE05C0" w:rsidRPr="007073CD" w:rsidRDefault="002032DF" w:rsidP="00637E16">
            <w:pPr>
              <w:pStyle w:val="Bezmezer"/>
              <w:ind w:right="5"/>
              <w:jc w:val="right"/>
              <w:rPr>
                <w:b/>
                <w:bCs/>
                <w:kern w:val="28"/>
                <w:sz w:val="18"/>
                <w:szCs w:val="18"/>
              </w:rPr>
            </w:pPr>
            <w:r w:rsidRPr="007073CD">
              <w:rPr>
                <w:b/>
                <w:sz w:val="18"/>
                <w:szCs w:val="18"/>
              </w:rPr>
              <w:t>21</w:t>
            </w:r>
            <w:r w:rsidR="0020296B" w:rsidRPr="007073CD">
              <w:rPr>
                <w:b/>
                <w:sz w:val="18"/>
                <w:szCs w:val="18"/>
              </w:rPr>
              <w:t>5</w:t>
            </w:r>
            <w:r w:rsidRPr="007073CD">
              <w:rPr>
                <w:b/>
                <w:sz w:val="18"/>
                <w:szCs w:val="18"/>
              </w:rPr>
              <w:t>,</w:t>
            </w:r>
            <w:r w:rsidR="0020296B" w:rsidRPr="007073CD">
              <w:rPr>
                <w:b/>
                <w:sz w:val="18"/>
                <w:szCs w:val="18"/>
              </w:rPr>
              <w:t>178</w:t>
            </w:r>
          </w:p>
        </w:tc>
        <w:tc>
          <w:tcPr>
            <w:tcW w:w="1134" w:type="dxa"/>
            <w:tcBorders>
              <w:top w:val="single" w:sz="6" w:space="0" w:color="000000"/>
              <w:bottom w:val="single" w:sz="4" w:space="0" w:color="auto"/>
            </w:tcBorders>
            <w:shd w:val="clear" w:color="auto" w:fill="D9D9D9"/>
          </w:tcPr>
          <w:p w:rsidR="00AE05C0" w:rsidRPr="007073CD" w:rsidRDefault="002032DF" w:rsidP="00637E16">
            <w:pPr>
              <w:pStyle w:val="Bezmezer"/>
              <w:ind w:right="5"/>
              <w:jc w:val="right"/>
              <w:rPr>
                <w:b/>
                <w:sz w:val="18"/>
                <w:szCs w:val="18"/>
              </w:rPr>
            </w:pPr>
            <w:r w:rsidRPr="007073CD">
              <w:rPr>
                <w:b/>
                <w:sz w:val="18"/>
                <w:szCs w:val="18"/>
              </w:rPr>
              <w:t>0,000</w:t>
            </w:r>
          </w:p>
        </w:tc>
        <w:tc>
          <w:tcPr>
            <w:tcW w:w="1134" w:type="dxa"/>
            <w:tcBorders>
              <w:top w:val="single" w:sz="6" w:space="0" w:color="000000"/>
              <w:bottom w:val="single" w:sz="4" w:space="0" w:color="auto"/>
            </w:tcBorders>
            <w:shd w:val="clear" w:color="auto" w:fill="D9D9D9"/>
          </w:tcPr>
          <w:p w:rsidR="00AE05C0" w:rsidRPr="007073CD" w:rsidRDefault="002032DF" w:rsidP="00637E16">
            <w:pPr>
              <w:pStyle w:val="Bezmezer"/>
              <w:ind w:right="5"/>
              <w:jc w:val="right"/>
              <w:rPr>
                <w:b/>
                <w:sz w:val="18"/>
                <w:szCs w:val="18"/>
              </w:rPr>
            </w:pPr>
            <w:r w:rsidRPr="007073CD">
              <w:rPr>
                <w:b/>
                <w:sz w:val="18"/>
                <w:szCs w:val="18"/>
              </w:rPr>
              <w:t>0,000</w:t>
            </w:r>
          </w:p>
        </w:tc>
        <w:tc>
          <w:tcPr>
            <w:tcW w:w="1134" w:type="dxa"/>
            <w:tcBorders>
              <w:top w:val="single" w:sz="6" w:space="0" w:color="000000"/>
              <w:bottom w:val="single" w:sz="4" w:space="0" w:color="auto"/>
              <w:right w:val="single" w:sz="4" w:space="0" w:color="auto"/>
            </w:tcBorders>
            <w:shd w:val="clear" w:color="auto" w:fill="D9D9D9"/>
          </w:tcPr>
          <w:p w:rsidR="00AE05C0" w:rsidRPr="007073CD" w:rsidRDefault="002032DF" w:rsidP="00637E16">
            <w:pPr>
              <w:pStyle w:val="Bezmezer"/>
              <w:ind w:right="5"/>
              <w:jc w:val="right"/>
              <w:rPr>
                <w:b/>
                <w:sz w:val="18"/>
                <w:szCs w:val="18"/>
              </w:rPr>
            </w:pPr>
            <w:r w:rsidRPr="007073CD">
              <w:rPr>
                <w:b/>
                <w:sz w:val="18"/>
                <w:szCs w:val="18"/>
              </w:rPr>
              <w:t>0,000</w:t>
            </w:r>
          </w:p>
        </w:tc>
      </w:tr>
    </w:tbl>
    <w:p w:rsidR="0011654E" w:rsidRDefault="0011654E" w:rsidP="00637E16">
      <w:pPr>
        <w:spacing w:before="0" w:after="0"/>
      </w:pPr>
    </w:p>
    <w:tbl>
      <w:tblPr>
        <w:tblW w:w="14034"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694"/>
        <w:gridCol w:w="1134"/>
        <w:gridCol w:w="1134"/>
        <w:gridCol w:w="1134"/>
        <w:gridCol w:w="1134"/>
        <w:gridCol w:w="1134"/>
        <w:gridCol w:w="1134"/>
        <w:gridCol w:w="1134"/>
        <w:gridCol w:w="1134"/>
        <w:gridCol w:w="1134"/>
        <w:gridCol w:w="1134"/>
      </w:tblGrid>
      <w:tr w:rsidR="001619D8" w:rsidTr="007073CD">
        <w:tc>
          <w:tcPr>
            <w:tcW w:w="14034" w:type="dxa"/>
            <w:gridSpan w:val="11"/>
            <w:tcBorders>
              <w:top w:val="single" w:sz="4" w:space="0" w:color="auto"/>
              <w:left w:val="single" w:sz="4" w:space="0" w:color="auto"/>
              <w:bottom w:val="single" w:sz="4" w:space="0" w:color="auto"/>
              <w:right w:val="single" w:sz="4" w:space="0" w:color="auto"/>
            </w:tcBorders>
            <w:shd w:val="clear" w:color="auto" w:fill="auto"/>
          </w:tcPr>
          <w:p w:rsidR="001619D8" w:rsidRDefault="001619D8" w:rsidP="00FC1012">
            <w:pPr>
              <w:pStyle w:val="Titulek"/>
            </w:pPr>
            <w:bookmarkStart w:id="64" w:name="_Toc390958742"/>
            <w:bookmarkStart w:id="65" w:name="_Toc391034546"/>
            <w:r w:rsidRPr="005D7F87">
              <w:t xml:space="preserve">Tab. </w:t>
            </w:r>
            <w:r w:rsidR="000E79AE">
              <w:fldChar w:fldCharType="begin"/>
            </w:r>
            <w:r w:rsidR="000E79AE">
              <w:instrText xml:space="preserve"> STYLEREF 1 \s </w:instrText>
            </w:r>
            <w:r w:rsidR="000E79AE">
              <w:fldChar w:fldCharType="separate"/>
            </w:r>
            <w:r w:rsidR="003843F3">
              <w:rPr>
                <w:noProof/>
              </w:rPr>
              <w:t>3</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7</w:t>
            </w:r>
            <w:r w:rsidR="000E79AE">
              <w:fldChar w:fldCharType="end"/>
            </w:r>
            <w:r w:rsidRPr="005D7F87">
              <w:t xml:space="preserve">: </w:t>
            </w:r>
            <w:r>
              <w:t>Rozdělení nákladů na opravy v letech 2024 – 2033 (varianta Bez projektu)</w:t>
            </w:r>
            <w:bookmarkEnd w:id="64"/>
            <w:bookmarkEnd w:id="65"/>
          </w:p>
        </w:tc>
      </w:tr>
      <w:tr w:rsidR="0020296B" w:rsidTr="007073CD">
        <w:tc>
          <w:tcPr>
            <w:tcW w:w="2694" w:type="dxa"/>
            <w:tcBorders>
              <w:top w:val="single" w:sz="4" w:space="0" w:color="auto"/>
              <w:left w:val="single" w:sz="4" w:space="0" w:color="auto"/>
              <w:bottom w:val="single" w:sz="12" w:space="0" w:color="000000"/>
            </w:tcBorders>
            <w:shd w:val="clear" w:color="auto" w:fill="D9D9D9"/>
          </w:tcPr>
          <w:p w:rsidR="00BD70C0" w:rsidRPr="007073CD" w:rsidRDefault="00BD70C0" w:rsidP="00490463">
            <w:pPr>
              <w:pStyle w:val="Bezmezer"/>
              <w:rPr>
                <w:sz w:val="18"/>
                <w:szCs w:val="18"/>
              </w:rPr>
            </w:pPr>
            <w:r w:rsidRPr="007073CD">
              <w:rPr>
                <w:sz w:val="18"/>
                <w:szCs w:val="18"/>
              </w:rPr>
              <w:t>Položka/Rok</w:t>
            </w:r>
          </w:p>
        </w:tc>
        <w:tc>
          <w:tcPr>
            <w:tcW w:w="1134" w:type="dxa"/>
            <w:tcBorders>
              <w:top w:val="single" w:sz="4" w:space="0" w:color="auto"/>
              <w:bottom w:val="single" w:sz="12" w:space="0" w:color="000000"/>
            </w:tcBorders>
            <w:shd w:val="clear" w:color="auto" w:fill="D9D9D9"/>
          </w:tcPr>
          <w:p w:rsidR="00BD70C0" w:rsidRPr="007073CD" w:rsidRDefault="00BD70C0" w:rsidP="00637E16">
            <w:pPr>
              <w:pStyle w:val="Bezmezer"/>
              <w:jc w:val="right"/>
              <w:rPr>
                <w:sz w:val="18"/>
                <w:szCs w:val="18"/>
              </w:rPr>
            </w:pPr>
            <w:r w:rsidRPr="007073CD">
              <w:rPr>
                <w:sz w:val="18"/>
                <w:szCs w:val="18"/>
              </w:rPr>
              <w:t>2024</w:t>
            </w:r>
          </w:p>
        </w:tc>
        <w:tc>
          <w:tcPr>
            <w:tcW w:w="1134" w:type="dxa"/>
            <w:tcBorders>
              <w:top w:val="single" w:sz="4" w:space="0" w:color="auto"/>
              <w:bottom w:val="single" w:sz="12" w:space="0" w:color="000000"/>
            </w:tcBorders>
            <w:shd w:val="clear" w:color="auto" w:fill="D9D9D9"/>
          </w:tcPr>
          <w:p w:rsidR="00BD70C0" w:rsidRPr="007073CD" w:rsidRDefault="00BD70C0" w:rsidP="00637E16">
            <w:pPr>
              <w:pStyle w:val="Bezmezer"/>
              <w:jc w:val="right"/>
              <w:rPr>
                <w:sz w:val="18"/>
                <w:szCs w:val="18"/>
              </w:rPr>
            </w:pPr>
            <w:r w:rsidRPr="007073CD">
              <w:rPr>
                <w:sz w:val="18"/>
                <w:szCs w:val="18"/>
              </w:rPr>
              <w:t>2025</w:t>
            </w:r>
          </w:p>
        </w:tc>
        <w:tc>
          <w:tcPr>
            <w:tcW w:w="1134" w:type="dxa"/>
            <w:tcBorders>
              <w:top w:val="single" w:sz="4" w:space="0" w:color="auto"/>
              <w:bottom w:val="single" w:sz="12" w:space="0" w:color="000000"/>
            </w:tcBorders>
            <w:shd w:val="clear" w:color="auto" w:fill="D9D9D9"/>
          </w:tcPr>
          <w:p w:rsidR="00BD70C0" w:rsidRPr="007073CD" w:rsidRDefault="00BD70C0" w:rsidP="00637E16">
            <w:pPr>
              <w:pStyle w:val="Bezmezer"/>
              <w:jc w:val="right"/>
              <w:rPr>
                <w:sz w:val="18"/>
                <w:szCs w:val="18"/>
              </w:rPr>
            </w:pPr>
            <w:r w:rsidRPr="007073CD">
              <w:rPr>
                <w:sz w:val="18"/>
                <w:szCs w:val="18"/>
              </w:rPr>
              <w:t>2026</w:t>
            </w:r>
          </w:p>
        </w:tc>
        <w:tc>
          <w:tcPr>
            <w:tcW w:w="1134" w:type="dxa"/>
            <w:tcBorders>
              <w:top w:val="single" w:sz="4" w:space="0" w:color="auto"/>
              <w:bottom w:val="single" w:sz="12" w:space="0" w:color="000000"/>
            </w:tcBorders>
            <w:shd w:val="clear" w:color="auto" w:fill="D9D9D9"/>
          </w:tcPr>
          <w:p w:rsidR="00BD70C0" w:rsidRPr="007073CD" w:rsidRDefault="00BD70C0" w:rsidP="00637E16">
            <w:pPr>
              <w:pStyle w:val="Bezmezer"/>
              <w:jc w:val="right"/>
              <w:rPr>
                <w:sz w:val="18"/>
                <w:szCs w:val="18"/>
              </w:rPr>
            </w:pPr>
            <w:r w:rsidRPr="007073CD">
              <w:rPr>
                <w:sz w:val="18"/>
                <w:szCs w:val="18"/>
              </w:rPr>
              <w:t>2027</w:t>
            </w:r>
          </w:p>
        </w:tc>
        <w:tc>
          <w:tcPr>
            <w:tcW w:w="1134" w:type="dxa"/>
            <w:tcBorders>
              <w:top w:val="single" w:sz="4" w:space="0" w:color="auto"/>
              <w:bottom w:val="single" w:sz="12" w:space="0" w:color="000000"/>
            </w:tcBorders>
            <w:shd w:val="clear" w:color="auto" w:fill="D9D9D9"/>
          </w:tcPr>
          <w:p w:rsidR="00BD70C0" w:rsidRPr="007073CD" w:rsidRDefault="00BD70C0" w:rsidP="00637E16">
            <w:pPr>
              <w:pStyle w:val="Bezmezer"/>
              <w:jc w:val="right"/>
              <w:rPr>
                <w:sz w:val="18"/>
                <w:szCs w:val="18"/>
              </w:rPr>
            </w:pPr>
            <w:r w:rsidRPr="007073CD">
              <w:rPr>
                <w:sz w:val="18"/>
                <w:szCs w:val="18"/>
              </w:rPr>
              <w:t>2028</w:t>
            </w:r>
          </w:p>
        </w:tc>
        <w:tc>
          <w:tcPr>
            <w:tcW w:w="1134" w:type="dxa"/>
            <w:tcBorders>
              <w:top w:val="single" w:sz="4" w:space="0" w:color="auto"/>
              <w:bottom w:val="single" w:sz="12" w:space="0" w:color="000000"/>
            </w:tcBorders>
            <w:shd w:val="clear" w:color="auto" w:fill="D9D9D9"/>
          </w:tcPr>
          <w:p w:rsidR="00BD70C0" w:rsidRPr="007073CD" w:rsidRDefault="00BD70C0" w:rsidP="00637E16">
            <w:pPr>
              <w:pStyle w:val="Bezmezer"/>
              <w:jc w:val="right"/>
              <w:rPr>
                <w:sz w:val="18"/>
                <w:szCs w:val="18"/>
              </w:rPr>
            </w:pPr>
            <w:r w:rsidRPr="007073CD">
              <w:rPr>
                <w:sz w:val="18"/>
                <w:szCs w:val="18"/>
              </w:rPr>
              <w:t>2029</w:t>
            </w:r>
          </w:p>
        </w:tc>
        <w:tc>
          <w:tcPr>
            <w:tcW w:w="1134" w:type="dxa"/>
            <w:tcBorders>
              <w:top w:val="single" w:sz="4" w:space="0" w:color="auto"/>
              <w:bottom w:val="single" w:sz="12" w:space="0" w:color="000000"/>
            </w:tcBorders>
            <w:shd w:val="clear" w:color="auto" w:fill="D9D9D9"/>
          </w:tcPr>
          <w:p w:rsidR="00BD70C0" w:rsidRPr="007073CD" w:rsidRDefault="00BD70C0" w:rsidP="00637E16">
            <w:pPr>
              <w:pStyle w:val="Bezmezer"/>
              <w:jc w:val="right"/>
              <w:rPr>
                <w:sz w:val="18"/>
                <w:szCs w:val="18"/>
              </w:rPr>
            </w:pPr>
            <w:r w:rsidRPr="007073CD">
              <w:rPr>
                <w:sz w:val="18"/>
                <w:szCs w:val="18"/>
              </w:rPr>
              <w:t>2030</w:t>
            </w:r>
          </w:p>
        </w:tc>
        <w:tc>
          <w:tcPr>
            <w:tcW w:w="1134" w:type="dxa"/>
            <w:tcBorders>
              <w:top w:val="single" w:sz="4" w:space="0" w:color="auto"/>
              <w:bottom w:val="single" w:sz="12" w:space="0" w:color="000000"/>
            </w:tcBorders>
            <w:shd w:val="clear" w:color="auto" w:fill="D9D9D9"/>
          </w:tcPr>
          <w:p w:rsidR="00BD70C0" w:rsidRPr="007073CD" w:rsidRDefault="00BD70C0" w:rsidP="00637E16">
            <w:pPr>
              <w:pStyle w:val="Bezmezer"/>
              <w:jc w:val="right"/>
              <w:rPr>
                <w:sz w:val="18"/>
                <w:szCs w:val="18"/>
              </w:rPr>
            </w:pPr>
            <w:r w:rsidRPr="007073CD">
              <w:rPr>
                <w:sz w:val="18"/>
                <w:szCs w:val="18"/>
              </w:rPr>
              <w:t>2031</w:t>
            </w:r>
          </w:p>
        </w:tc>
        <w:tc>
          <w:tcPr>
            <w:tcW w:w="1134" w:type="dxa"/>
            <w:tcBorders>
              <w:top w:val="single" w:sz="4" w:space="0" w:color="auto"/>
              <w:bottom w:val="single" w:sz="12" w:space="0" w:color="000000"/>
            </w:tcBorders>
            <w:shd w:val="clear" w:color="auto" w:fill="D9D9D9"/>
          </w:tcPr>
          <w:p w:rsidR="00BD70C0" w:rsidRPr="007073CD" w:rsidRDefault="00BD70C0" w:rsidP="00637E16">
            <w:pPr>
              <w:pStyle w:val="Bezmezer"/>
              <w:jc w:val="right"/>
              <w:rPr>
                <w:sz w:val="18"/>
                <w:szCs w:val="18"/>
              </w:rPr>
            </w:pPr>
            <w:r w:rsidRPr="007073CD">
              <w:rPr>
                <w:sz w:val="18"/>
                <w:szCs w:val="18"/>
              </w:rPr>
              <w:t>2032</w:t>
            </w:r>
          </w:p>
        </w:tc>
        <w:tc>
          <w:tcPr>
            <w:tcW w:w="1134" w:type="dxa"/>
            <w:tcBorders>
              <w:top w:val="single" w:sz="4" w:space="0" w:color="auto"/>
              <w:bottom w:val="single" w:sz="12" w:space="0" w:color="000000"/>
              <w:right w:val="single" w:sz="4" w:space="0" w:color="auto"/>
            </w:tcBorders>
            <w:shd w:val="clear" w:color="auto" w:fill="D9D9D9"/>
          </w:tcPr>
          <w:p w:rsidR="00BD70C0" w:rsidRPr="007073CD" w:rsidRDefault="00BD70C0" w:rsidP="00637E16">
            <w:pPr>
              <w:pStyle w:val="Bezmezer"/>
              <w:jc w:val="right"/>
              <w:rPr>
                <w:sz w:val="18"/>
                <w:szCs w:val="18"/>
              </w:rPr>
            </w:pPr>
            <w:r w:rsidRPr="007073CD">
              <w:rPr>
                <w:sz w:val="18"/>
                <w:szCs w:val="18"/>
              </w:rPr>
              <w:t>2033</w:t>
            </w:r>
          </w:p>
        </w:tc>
      </w:tr>
      <w:tr w:rsidR="0020296B" w:rsidTr="007073CD">
        <w:tc>
          <w:tcPr>
            <w:tcW w:w="2694" w:type="dxa"/>
            <w:tcBorders>
              <w:top w:val="single" w:sz="12" w:space="0" w:color="000000"/>
              <w:left w:val="single" w:sz="4" w:space="0" w:color="auto"/>
            </w:tcBorders>
            <w:shd w:val="clear" w:color="auto" w:fill="auto"/>
          </w:tcPr>
          <w:p w:rsidR="00334BAD" w:rsidRPr="007073CD" w:rsidRDefault="00334BAD" w:rsidP="00490463">
            <w:pPr>
              <w:pStyle w:val="Bezmezer"/>
              <w:jc w:val="left"/>
              <w:rPr>
                <w:sz w:val="18"/>
                <w:szCs w:val="18"/>
              </w:rPr>
            </w:pPr>
            <w:r w:rsidRPr="007073CD">
              <w:rPr>
                <w:sz w:val="18"/>
                <w:szCs w:val="18"/>
              </w:rPr>
              <w:t>Svršek + spodek</w:t>
            </w:r>
          </w:p>
        </w:tc>
        <w:tc>
          <w:tcPr>
            <w:tcW w:w="1134" w:type="dxa"/>
            <w:tcBorders>
              <w:top w:val="single" w:sz="12"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top w:val="single" w:sz="12"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top w:val="single" w:sz="12"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top w:val="single" w:sz="12"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top w:val="single" w:sz="12"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top w:val="single" w:sz="12"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5,317</w:t>
            </w:r>
          </w:p>
        </w:tc>
        <w:tc>
          <w:tcPr>
            <w:tcW w:w="1134" w:type="dxa"/>
            <w:tcBorders>
              <w:top w:val="single" w:sz="12"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81,531</w:t>
            </w:r>
          </w:p>
        </w:tc>
        <w:tc>
          <w:tcPr>
            <w:tcW w:w="1134" w:type="dxa"/>
            <w:tcBorders>
              <w:top w:val="single" w:sz="12"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41,356</w:t>
            </w:r>
          </w:p>
        </w:tc>
        <w:tc>
          <w:tcPr>
            <w:tcW w:w="1134" w:type="dxa"/>
            <w:tcBorders>
              <w:top w:val="single" w:sz="12"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4,136</w:t>
            </w:r>
          </w:p>
        </w:tc>
        <w:tc>
          <w:tcPr>
            <w:tcW w:w="1134" w:type="dxa"/>
            <w:tcBorders>
              <w:top w:val="single" w:sz="12" w:space="0" w:color="000000"/>
              <w:right w:val="single" w:sz="4" w:space="0" w:color="auto"/>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10,044</w:t>
            </w:r>
          </w:p>
        </w:tc>
      </w:tr>
      <w:tr w:rsidR="0020296B" w:rsidTr="007073CD">
        <w:tc>
          <w:tcPr>
            <w:tcW w:w="2694" w:type="dxa"/>
            <w:tcBorders>
              <w:left w:val="single" w:sz="4" w:space="0" w:color="auto"/>
            </w:tcBorders>
            <w:shd w:val="clear" w:color="auto" w:fill="auto"/>
          </w:tcPr>
          <w:p w:rsidR="00334BAD" w:rsidRPr="007073CD" w:rsidRDefault="00334BAD" w:rsidP="00490463">
            <w:pPr>
              <w:pStyle w:val="Bezmezer"/>
              <w:jc w:val="left"/>
              <w:rPr>
                <w:sz w:val="18"/>
                <w:szCs w:val="18"/>
              </w:rPr>
            </w:pPr>
            <w:r w:rsidRPr="007073CD">
              <w:rPr>
                <w:sz w:val="18"/>
                <w:szCs w:val="18"/>
              </w:rPr>
              <w:t>Mosty</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0,576</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1,345</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right w:val="single" w:sz="4" w:space="0" w:color="auto"/>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r>
      <w:tr w:rsidR="0020296B" w:rsidTr="007073CD">
        <w:tc>
          <w:tcPr>
            <w:tcW w:w="2694" w:type="dxa"/>
            <w:tcBorders>
              <w:left w:val="single" w:sz="4" w:space="0" w:color="auto"/>
            </w:tcBorders>
            <w:shd w:val="clear" w:color="auto" w:fill="auto"/>
          </w:tcPr>
          <w:p w:rsidR="00334BAD" w:rsidRPr="007073CD" w:rsidRDefault="00334BAD" w:rsidP="00490463">
            <w:pPr>
              <w:pStyle w:val="Bezmezer"/>
              <w:jc w:val="left"/>
              <w:rPr>
                <w:sz w:val="18"/>
                <w:szCs w:val="18"/>
              </w:rPr>
            </w:pPr>
            <w:r w:rsidRPr="007073CD">
              <w:rPr>
                <w:sz w:val="18"/>
                <w:szCs w:val="18"/>
              </w:rPr>
              <w:t>Trakce</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right w:val="single" w:sz="4" w:space="0" w:color="auto"/>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r>
      <w:tr w:rsidR="0020296B" w:rsidTr="007073CD">
        <w:tc>
          <w:tcPr>
            <w:tcW w:w="2694" w:type="dxa"/>
            <w:tcBorders>
              <w:left w:val="single" w:sz="4" w:space="0" w:color="auto"/>
            </w:tcBorders>
            <w:shd w:val="clear" w:color="auto" w:fill="auto"/>
          </w:tcPr>
          <w:p w:rsidR="00334BAD" w:rsidRPr="007073CD" w:rsidRDefault="00334BAD" w:rsidP="00490463">
            <w:pPr>
              <w:pStyle w:val="Bezmezer"/>
              <w:jc w:val="left"/>
              <w:rPr>
                <w:sz w:val="18"/>
                <w:szCs w:val="18"/>
              </w:rPr>
            </w:pPr>
            <w:r w:rsidRPr="007073CD">
              <w:rPr>
                <w:sz w:val="18"/>
                <w:szCs w:val="18"/>
              </w:rPr>
              <w:t>ZabZař + SdělZař</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right w:val="single" w:sz="4" w:space="0" w:color="auto"/>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r>
      <w:tr w:rsidR="0020296B" w:rsidTr="007073CD">
        <w:tc>
          <w:tcPr>
            <w:tcW w:w="2694" w:type="dxa"/>
            <w:tcBorders>
              <w:left w:val="single" w:sz="4" w:space="0" w:color="auto"/>
              <w:bottom w:val="single" w:sz="6" w:space="0" w:color="000000"/>
            </w:tcBorders>
            <w:shd w:val="clear" w:color="auto" w:fill="auto"/>
          </w:tcPr>
          <w:p w:rsidR="00334BAD" w:rsidRPr="007073CD" w:rsidRDefault="00334BAD" w:rsidP="00490463">
            <w:pPr>
              <w:pStyle w:val="Bezmezer"/>
              <w:jc w:val="left"/>
              <w:rPr>
                <w:sz w:val="18"/>
                <w:szCs w:val="18"/>
              </w:rPr>
            </w:pPr>
            <w:r w:rsidRPr="007073CD">
              <w:rPr>
                <w:sz w:val="18"/>
                <w:szCs w:val="18"/>
              </w:rPr>
              <w:t>Elektro</w:t>
            </w:r>
          </w:p>
        </w:tc>
        <w:tc>
          <w:tcPr>
            <w:tcW w:w="1134" w:type="dxa"/>
            <w:tcBorders>
              <w:bottom w:val="single" w:sz="6"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bottom w:val="single" w:sz="6"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bottom w:val="single" w:sz="6"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bottom w:val="single" w:sz="6"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bottom w:val="single" w:sz="6"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bottom w:val="single" w:sz="6"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bottom w:val="single" w:sz="6"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bottom w:val="single" w:sz="6"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bottom w:val="single" w:sz="6"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bottom w:val="single" w:sz="6" w:space="0" w:color="000000"/>
              <w:right w:val="single" w:sz="4" w:space="0" w:color="auto"/>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r>
      <w:tr w:rsidR="0020296B" w:rsidTr="007073CD">
        <w:tc>
          <w:tcPr>
            <w:tcW w:w="2694" w:type="dxa"/>
            <w:tcBorders>
              <w:top w:val="single" w:sz="6" w:space="0" w:color="000000"/>
              <w:left w:val="single" w:sz="4" w:space="0" w:color="auto"/>
              <w:bottom w:val="single" w:sz="6" w:space="0" w:color="000000"/>
            </w:tcBorders>
            <w:shd w:val="clear" w:color="auto" w:fill="D9D9D9"/>
          </w:tcPr>
          <w:p w:rsidR="00334BAD" w:rsidRPr="007073CD" w:rsidRDefault="00334BAD" w:rsidP="00490463">
            <w:pPr>
              <w:pStyle w:val="Bezmezer"/>
              <w:jc w:val="left"/>
              <w:rPr>
                <w:b/>
                <w:sz w:val="18"/>
                <w:szCs w:val="18"/>
              </w:rPr>
            </w:pPr>
            <w:r w:rsidRPr="007073CD">
              <w:rPr>
                <w:b/>
                <w:sz w:val="18"/>
                <w:szCs w:val="18"/>
              </w:rPr>
              <w:t>Celkem bez DPH</w:t>
            </w:r>
          </w:p>
        </w:tc>
        <w:tc>
          <w:tcPr>
            <w:tcW w:w="1134" w:type="dxa"/>
            <w:tcBorders>
              <w:top w:val="single" w:sz="6" w:space="0" w:color="000000"/>
              <w:bottom w:val="single" w:sz="6" w:space="0" w:color="000000"/>
            </w:tcBorders>
            <w:shd w:val="clear" w:color="auto" w:fill="D9D9D9"/>
          </w:tcPr>
          <w:p w:rsidR="00334BAD" w:rsidRPr="007073CD" w:rsidRDefault="002032DF" w:rsidP="00637E16">
            <w:pPr>
              <w:pStyle w:val="Bezmezer"/>
              <w:jc w:val="right"/>
              <w:rPr>
                <w:rFonts w:cs="Tahoma"/>
                <w:b/>
                <w:sz w:val="18"/>
                <w:szCs w:val="18"/>
              </w:rPr>
            </w:pPr>
            <w:r w:rsidRPr="007073CD">
              <w:rPr>
                <w:rFonts w:cs="Tahoma"/>
                <w:b/>
                <w:sz w:val="18"/>
                <w:szCs w:val="18"/>
              </w:rPr>
              <w:t>0,000</w:t>
            </w:r>
          </w:p>
        </w:tc>
        <w:tc>
          <w:tcPr>
            <w:tcW w:w="1134" w:type="dxa"/>
            <w:tcBorders>
              <w:top w:val="single" w:sz="6" w:space="0" w:color="000000"/>
              <w:bottom w:val="single" w:sz="6" w:space="0" w:color="000000"/>
            </w:tcBorders>
            <w:shd w:val="clear" w:color="auto" w:fill="D9D9D9"/>
          </w:tcPr>
          <w:p w:rsidR="00334BAD" w:rsidRPr="007073CD" w:rsidRDefault="002032DF" w:rsidP="00637E16">
            <w:pPr>
              <w:pStyle w:val="Bezmezer"/>
              <w:jc w:val="right"/>
              <w:rPr>
                <w:rFonts w:cs="Tahoma"/>
                <w:b/>
                <w:sz w:val="18"/>
                <w:szCs w:val="18"/>
              </w:rPr>
            </w:pPr>
            <w:r w:rsidRPr="007073CD">
              <w:rPr>
                <w:rFonts w:cs="Tahoma"/>
                <w:b/>
                <w:sz w:val="18"/>
                <w:szCs w:val="18"/>
              </w:rPr>
              <w:t>0,000</w:t>
            </w:r>
          </w:p>
        </w:tc>
        <w:tc>
          <w:tcPr>
            <w:tcW w:w="1134" w:type="dxa"/>
            <w:tcBorders>
              <w:top w:val="single" w:sz="6" w:space="0" w:color="000000"/>
              <w:bottom w:val="single" w:sz="6" w:space="0" w:color="000000"/>
            </w:tcBorders>
            <w:shd w:val="clear" w:color="auto" w:fill="D9D9D9"/>
          </w:tcPr>
          <w:p w:rsidR="00334BAD" w:rsidRPr="007073CD" w:rsidRDefault="002032DF" w:rsidP="00637E16">
            <w:pPr>
              <w:pStyle w:val="Bezmezer"/>
              <w:jc w:val="right"/>
              <w:rPr>
                <w:rFonts w:cs="Tahoma"/>
                <w:b/>
                <w:sz w:val="18"/>
                <w:szCs w:val="18"/>
              </w:rPr>
            </w:pPr>
            <w:r w:rsidRPr="007073CD">
              <w:rPr>
                <w:rFonts w:cs="Tahoma"/>
                <w:b/>
                <w:sz w:val="18"/>
                <w:szCs w:val="18"/>
              </w:rPr>
              <w:t>0,000</w:t>
            </w:r>
          </w:p>
        </w:tc>
        <w:tc>
          <w:tcPr>
            <w:tcW w:w="1134" w:type="dxa"/>
            <w:tcBorders>
              <w:top w:val="single" w:sz="6" w:space="0" w:color="000000"/>
              <w:bottom w:val="single" w:sz="6" w:space="0" w:color="000000"/>
            </w:tcBorders>
            <w:shd w:val="clear" w:color="auto" w:fill="D9D9D9"/>
          </w:tcPr>
          <w:p w:rsidR="00334BAD" w:rsidRPr="007073CD" w:rsidRDefault="002032DF" w:rsidP="00637E16">
            <w:pPr>
              <w:pStyle w:val="Bezmezer"/>
              <w:jc w:val="right"/>
              <w:rPr>
                <w:rFonts w:cs="Tahoma"/>
                <w:b/>
                <w:sz w:val="18"/>
                <w:szCs w:val="18"/>
              </w:rPr>
            </w:pPr>
            <w:r w:rsidRPr="007073CD">
              <w:rPr>
                <w:rFonts w:cs="Tahoma"/>
                <w:b/>
                <w:sz w:val="18"/>
                <w:szCs w:val="18"/>
              </w:rPr>
              <w:t>0,000</w:t>
            </w:r>
          </w:p>
        </w:tc>
        <w:tc>
          <w:tcPr>
            <w:tcW w:w="1134" w:type="dxa"/>
            <w:tcBorders>
              <w:top w:val="single" w:sz="6" w:space="0" w:color="000000"/>
              <w:bottom w:val="single" w:sz="6" w:space="0" w:color="000000"/>
            </w:tcBorders>
            <w:shd w:val="clear" w:color="auto" w:fill="D9D9D9"/>
          </w:tcPr>
          <w:p w:rsidR="00334BAD" w:rsidRPr="007073CD" w:rsidRDefault="002032DF" w:rsidP="00637E16">
            <w:pPr>
              <w:pStyle w:val="Bezmezer"/>
              <w:jc w:val="right"/>
              <w:rPr>
                <w:rFonts w:cs="Tahoma"/>
                <w:b/>
                <w:sz w:val="18"/>
                <w:szCs w:val="18"/>
              </w:rPr>
            </w:pPr>
            <w:r w:rsidRPr="007073CD">
              <w:rPr>
                <w:rFonts w:cs="Tahoma"/>
                <w:b/>
                <w:sz w:val="18"/>
                <w:szCs w:val="18"/>
              </w:rPr>
              <w:t>0,000</w:t>
            </w:r>
          </w:p>
        </w:tc>
        <w:tc>
          <w:tcPr>
            <w:tcW w:w="1134" w:type="dxa"/>
            <w:tcBorders>
              <w:top w:val="single" w:sz="6" w:space="0" w:color="000000"/>
              <w:bottom w:val="single" w:sz="6" w:space="0" w:color="000000"/>
            </w:tcBorders>
            <w:shd w:val="clear" w:color="auto" w:fill="D9D9D9"/>
          </w:tcPr>
          <w:p w:rsidR="00334BAD" w:rsidRPr="007073CD" w:rsidRDefault="002032DF" w:rsidP="00637E16">
            <w:pPr>
              <w:pStyle w:val="Bezmezer"/>
              <w:jc w:val="right"/>
              <w:rPr>
                <w:rFonts w:cs="Tahoma"/>
                <w:b/>
                <w:sz w:val="18"/>
                <w:szCs w:val="18"/>
              </w:rPr>
            </w:pPr>
            <w:r w:rsidRPr="007073CD">
              <w:rPr>
                <w:rFonts w:cs="Tahoma"/>
                <w:b/>
                <w:sz w:val="18"/>
                <w:szCs w:val="18"/>
              </w:rPr>
              <w:t>5,894</w:t>
            </w:r>
          </w:p>
        </w:tc>
        <w:tc>
          <w:tcPr>
            <w:tcW w:w="1134" w:type="dxa"/>
            <w:tcBorders>
              <w:top w:val="single" w:sz="6" w:space="0" w:color="000000"/>
              <w:bottom w:val="single" w:sz="6" w:space="0" w:color="000000"/>
            </w:tcBorders>
            <w:shd w:val="clear" w:color="auto" w:fill="D9D9D9"/>
          </w:tcPr>
          <w:p w:rsidR="00334BAD" w:rsidRPr="007073CD" w:rsidRDefault="002032DF" w:rsidP="00637E16">
            <w:pPr>
              <w:pStyle w:val="Bezmezer"/>
              <w:jc w:val="right"/>
              <w:rPr>
                <w:rFonts w:cs="Tahoma"/>
                <w:b/>
                <w:sz w:val="18"/>
                <w:szCs w:val="18"/>
              </w:rPr>
            </w:pPr>
            <w:r w:rsidRPr="007073CD">
              <w:rPr>
                <w:rFonts w:cs="Tahoma"/>
                <w:b/>
                <w:sz w:val="18"/>
                <w:szCs w:val="18"/>
              </w:rPr>
              <w:t>82,877</w:t>
            </w:r>
          </w:p>
        </w:tc>
        <w:tc>
          <w:tcPr>
            <w:tcW w:w="1134" w:type="dxa"/>
            <w:tcBorders>
              <w:top w:val="single" w:sz="6" w:space="0" w:color="000000"/>
              <w:bottom w:val="single" w:sz="6" w:space="0" w:color="000000"/>
            </w:tcBorders>
            <w:shd w:val="clear" w:color="auto" w:fill="D9D9D9"/>
          </w:tcPr>
          <w:p w:rsidR="00334BAD" w:rsidRPr="007073CD" w:rsidRDefault="002032DF" w:rsidP="00637E16">
            <w:pPr>
              <w:pStyle w:val="Bezmezer"/>
              <w:jc w:val="right"/>
              <w:rPr>
                <w:rFonts w:cs="Tahoma"/>
                <w:b/>
                <w:sz w:val="18"/>
                <w:szCs w:val="18"/>
              </w:rPr>
            </w:pPr>
            <w:r w:rsidRPr="007073CD">
              <w:rPr>
                <w:rFonts w:cs="Tahoma"/>
                <w:b/>
                <w:sz w:val="18"/>
                <w:szCs w:val="18"/>
              </w:rPr>
              <w:t>41,356</w:t>
            </w:r>
          </w:p>
        </w:tc>
        <w:tc>
          <w:tcPr>
            <w:tcW w:w="1134" w:type="dxa"/>
            <w:tcBorders>
              <w:top w:val="single" w:sz="6" w:space="0" w:color="000000"/>
              <w:bottom w:val="single" w:sz="6" w:space="0" w:color="000000"/>
            </w:tcBorders>
            <w:shd w:val="clear" w:color="auto" w:fill="D9D9D9"/>
          </w:tcPr>
          <w:p w:rsidR="00334BAD" w:rsidRPr="007073CD" w:rsidRDefault="002032DF" w:rsidP="00637E16">
            <w:pPr>
              <w:pStyle w:val="Bezmezer"/>
              <w:jc w:val="right"/>
              <w:rPr>
                <w:rFonts w:cs="Tahoma"/>
                <w:b/>
                <w:sz w:val="18"/>
                <w:szCs w:val="18"/>
              </w:rPr>
            </w:pPr>
            <w:r w:rsidRPr="007073CD">
              <w:rPr>
                <w:rFonts w:cs="Tahoma"/>
                <w:b/>
                <w:sz w:val="18"/>
                <w:szCs w:val="18"/>
              </w:rPr>
              <w:t>4,136</w:t>
            </w:r>
          </w:p>
        </w:tc>
        <w:tc>
          <w:tcPr>
            <w:tcW w:w="1134" w:type="dxa"/>
            <w:tcBorders>
              <w:top w:val="single" w:sz="6" w:space="0" w:color="000000"/>
              <w:bottom w:val="single" w:sz="6" w:space="0" w:color="000000"/>
              <w:right w:val="single" w:sz="4" w:space="0" w:color="auto"/>
            </w:tcBorders>
            <w:shd w:val="clear" w:color="auto" w:fill="D9D9D9"/>
          </w:tcPr>
          <w:p w:rsidR="00334BAD" w:rsidRPr="007073CD" w:rsidRDefault="002032DF" w:rsidP="00637E16">
            <w:pPr>
              <w:pStyle w:val="Bezmezer"/>
              <w:jc w:val="right"/>
              <w:rPr>
                <w:rFonts w:cs="Tahoma"/>
                <w:b/>
                <w:sz w:val="18"/>
                <w:szCs w:val="18"/>
              </w:rPr>
            </w:pPr>
            <w:r w:rsidRPr="007073CD">
              <w:rPr>
                <w:rFonts w:cs="Tahoma"/>
                <w:b/>
                <w:sz w:val="18"/>
                <w:szCs w:val="18"/>
              </w:rPr>
              <w:t>10,044</w:t>
            </w:r>
          </w:p>
        </w:tc>
      </w:tr>
      <w:tr w:rsidR="0020296B" w:rsidTr="007073CD">
        <w:tc>
          <w:tcPr>
            <w:tcW w:w="2694" w:type="dxa"/>
            <w:tcBorders>
              <w:top w:val="single" w:sz="6" w:space="0" w:color="000000"/>
              <w:left w:val="single" w:sz="4" w:space="0" w:color="auto"/>
              <w:bottom w:val="single" w:sz="6" w:space="0" w:color="000000"/>
            </w:tcBorders>
            <w:shd w:val="clear" w:color="auto" w:fill="auto"/>
          </w:tcPr>
          <w:p w:rsidR="00334BAD" w:rsidRPr="007073CD" w:rsidRDefault="00334BAD" w:rsidP="00490463">
            <w:pPr>
              <w:pStyle w:val="Bezmezer"/>
              <w:jc w:val="left"/>
              <w:rPr>
                <w:sz w:val="18"/>
                <w:szCs w:val="18"/>
              </w:rPr>
            </w:pPr>
            <w:r w:rsidRPr="007073CD">
              <w:rPr>
                <w:sz w:val="18"/>
                <w:szCs w:val="18"/>
              </w:rPr>
              <w:t>DPH</w:t>
            </w:r>
          </w:p>
        </w:tc>
        <w:tc>
          <w:tcPr>
            <w:tcW w:w="1134" w:type="dxa"/>
            <w:tcBorders>
              <w:top w:val="single" w:sz="6" w:space="0" w:color="000000"/>
              <w:bottom w:val="single" w:sz="6"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top w:val="single" w:sz="6" w:space="0" w:color="000000"/>
              <w:bottom w:val="single" w:sz="6"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top w:val="single" w:sz="6" w:space="0" w:color="000000"/>
              <w:bottom w:val="single" w:sz="6"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top w:val="single" w:sz="6" w:space="0" w:color="000000"/>
              <w:bottom w:val="single" w:sz="6"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top w:val="single" w:sz="6" w:space="0" w:color="000000"/>
              <w:bottom w:val="single" w:sz="6" w:space="0" w:color="000000"/>
            </w:tcBorders>
            <w:shd w:val="clear" w:color="auto" w:fill="auto"/>
          </w:tcPr>
          <w:p w:rsidR="00334BAD" w:rsidRPr="007073CD" w:rsidRDefault="00334BAD" w:rsidP="00637E16">
            <w:pPr>
              <w:pStyle w:val="Bezmezer"/>
              <w:jc w:val="right"/>
              <w:rPr>
                <w:rFonts w:cs="Tahoma"/>
                <w:sz w:val="18"/>
                <w:szCs w:val="18"/>
              </w:rPr>
            </w:pPr>
            <w:r w:rsidRPr="007073CD">
              <w:rPr>
                <w:rFonts w:cs="Tahoma"/>
                <w:sz w:val="18"/>
                <w:szCs w:val="18"/>
              </w:rPr>
              <w:t>0,000</w:t>
            </w:r>
          </w:p>
        </w:tc>
        <w:tc>
          <w:tcPr>
            <w:tcW w:w="1134" w:type="dxa"/>
            <w:tcBorders>
              <w:top w:val="single" w:sz="6" w:space="0" w:color="000000"/>
              <w:bottom w:val="single" w:sz="6" w:space="0" w:color="000000"/>
            </w:tcBorders>
            <w:shd w:val="clear" w:color="auto" w:fill="auto"/>
          </w:tcPr>
          <w:p w:rsidR="00334BAD" w:rsidRPr="007073CD" w:rsidRDefault="00334BAD" w:rsidP="00637E16">
            <w:pPr>
              <w:pStyle w:val="Bezmezer"/>
              <w:jc w:val="right"/>
              <w:rPr>
                <w:rFonts w:cs="Tahoma"/>
                <w:b/>
                <w:bCs/>
                <w:kern w:val="28"/>
                <w:sz w:val="18"/>
                <w:szCs w:val="18"/>
              </w:rPr>
            </w:pPr>
            <w:r w:rsidRPr="007073CD">
              <w:rPr>
                <w:rFonts w:cs="Tahoma"/>
                <w:sz w:val="18"/>
                <w:szCs w:val="18"/>
              </w:rPr>
              <w:t>1,</w:t>
            </w:r>
            <w:r w:rsidR="0020296B" w:rsidRPr="007073CD">
              <w:rPr>
                <w:rFonts w:cs="Tahoma"/>
                <w:sz w:val="18"/>
                <w:szCs w:val="18"/>
              </w:rPr>
              <w:t>238</w:t>
            </w:r>
          </w:p>
        </w:tc>
        <w:tc>
          <w:tcPr>
            <w:tcW w:w="1134" w:type="dxa"/>
            <w:tcBorders>
              <w:top w:val="single" w:sz="6" w:space="0" w:color="000000"/>
              <w:bottom w:val="single" w:sz="6" w:space="0" w:color="000000"/>
            </w:tcBorders>
            <w:shd w:val="clear" w:color="auto" w:fill="auto"/>
          </w:tcPr>
          <w:p w:rsidR="00334BAD" w:rsidRPr="007073CD" w:rsidRDefault="0020296B" w:rsidP="00637E16">
            <w:pPr>
              <w:pStyle w:val="Bezmezer"/>
              <w:jc w:val="right"/>
              <w:rPr>
                <w:rFonts w:cs="Tahoma"/>
                <w:sz w:val="18"/>
                <w:szCs w:val="18"/>
              </w:rPr>
            </w:pPr>
            <w:r w:rsidRPr="007073CD">
              <w:rPr>
                <w:rFonts w:cs="Tahoma"/>
                <w:sz w:val="18"/>
                <w:szCs w:val="18"/>
              </w:rPr>
              <w:t>17,404</w:t>
            </w:r>
          </w:p>
        </w:tc>
        <w:tc>
          <w:tcPr>
            <w:tcW w:w="1134" w:type="dxa"/>
            <w:tcBorders>
              <w:top w:val="single" w:sz="6" w:space="0" w:color="000000"/>
              <w:bottom w:val="single" w:sz="6" w:space="0" w:color="000000"/>
            </w:tcBorders>
            <w:shd w:val="clear" w:color="auto" w:fill="auto"/>
          </w:tcPr>
          <w:p w:rsidR="00334BAD" w:rsidRPr="007073CD" w:rsidRDefault="00334BAD" w:rsidP="00637E16">
            <w:pPr>
              <w:pStyle w:val="Bezmezer"/>
              <w:jc w:val="right"/>
              <w:rPr>
                <w:rFonts w:cs="Tahoma"/>
                <w:b/>
                <w:bCs/>
                <w:kern w:val="28"/>
                <w:sz w:val="18"/>
                <w:szCs w:val="18"/>
              </w:rPr>
            </w:pPr>
            <w:r w:rsidRPr="007073CD">
              <w:rPr>
                <w:rFonts w:cs="Tahoma"/>
                <w:sz w:val="18"/>
                <w:szCs w:val="18"/>
              </w:rPr>
              <w:t>8,</w:t>
            </w:r>
            <w:r w:rsidR="0020296B" w:rsidRPr="007073CD">
              <w:rPr>
                <w:rFonts w:cs="Tahoma"/>
                <w:sz w:val="18"/>
                <w:szCs w:val="18"/>
              </w:rPr>
              <w:t>685</w:t>
            </w:r>
          </w:p>
        </w:tc>
        <w:tc>
          <w:tcPr>
            <w:tcW w:w="1134" w:type="dxa"/>
            <w:tcBorders>
              <w:top w:val="single" w:sz="6" w:space="0" w:color="000000"/>
              <w:bottom w:val="single" w:sz="6" w:space="0" w:color="000000"/>
            </w:tcBorders>
            <w:shd w:val="clear" w:color="auto" w:fill="auto"/>
          </w:tcPr>
          <w:p w:rsidR="00334BAD" w:rsidRPr="007073CD" w:rsidRDefault="00334BAD" w:rsidP="00637E16">
            <w:pPr>
              <w:pStyle w:val="Bezmezer"/>
              <w:jc w:val="right"/>
              <w:rPr>
                <w:rFonts w:cs="Tahoma"/>
                <w:b/>
                <w:bCs/>
                <w:kern w:val="28"/>
                <w:sz w:val="18"/>
                <w:szCs w:val="18"/>
              </w:rPr>
            </w:pPr>
            <w:r w:rsidRPr="007073CD">
              <w:rPr>
                <w:rFonts w:cs="Tahoma"/>
                <w:sz w:val="18"/>
                <w:szCs w:val="18"/>
              </w:rPr>
              <w:t>0,8</w:t>
            </w:r>
            <w:r w:rsidR="0020296B" w:rsidRPr="007073CD">
              <w:rPr>
                <w:rFonts w:cs="Tahoma"/>
                <w:sz w:val="18"/>
                <w:szCs w:val="18"/>
              </w:rPr>
              <w:t>68</w:t>
            </w:r>
          </w:p>
        </w:tc>
        <w:tc>
          <w:tcPr>
            <w:tcW w:w="1134" w:type="dxa"/>
            <w:tcBorders>
              <w:top w:val="single" w:sz="6" w:space="0" w:color="000000"/>
              <w:bottom w:val="single" w:sz="6" w:space="0" w:color="000000"/>
              <w:right w:val="single" w:sz="4" w:space="0" w:color="auto"/>
            </w:tcBorders>
            <w:shd w:val="clear" w:color="auto" w:fill="auto"/>
          </w:tcPr>
          <w:p w:rsidR="00334BAD" w:rsidRPr="007073CD" w:rsidRDefault="00334BAD" w:rsidP="00637E16">
            <w:pPr>
              <w:pStyle w:val="Bezmezer"/>
              <w:jc w:val="right"/>
              <w:rPr>
                <w:rFonts w:cs="Tahoma"/>
                <w:b/>
                <w:bCs/>
                <w:kern w:val="28"/>
                <w:sz w:val="18"/>
                <w:szCs w:val="18"/>
              </w:rPr>
            </w:pPr>
            <w:r w:rsidRPr="007073CD">
              <w:rPr>
                <w:rFonts w:cs="Tahoma"/>
                <w:sz w:val="18"/>
                <w:szCs w:val="18"/>
              </w:rPr>
              <w:t>2,</w:t>
            </w:r>
            <w:r w:rsidR="0020296B" w:rsidRPr="007073CD">
              <w:rPr>
                <w:rFonts w:cs="Tahoma"/>
                <w:sz w:val="18"/>
                <w:szCs w:val="18"/>
              </w:rPr>
              <w:t>1</w:t>
            </w:r>
            <w:r w:rsidRPr="007073CD">
              <w:rPr>
                <w:rFonts w:cs="Tahoma"/>
                <w:sz w:val="18"/>
                <w:szCs w:val="18"/>
              </w:rPr>
              <w:t>09</w:t>
            </w:r>
          </w:p>
        </w:tc>
      </w:tr>
      <w:tr w:rsidR="0020296B" w:rsidTr="007073CD">
        <w:tc>
          <w:tcPr>
            <w:tcW w:w="2694" w:type="dxa"/>
            <w:tcBorders>
              <w:top w:val="single" w:sz="6" w:space="0" w:color="000000"/>
              <w:left w:val="single" w:sz="4" w:space="0" w:color="auto"/>
              <w:bottom w:val="single" w:sz="4" w:space="0" w:color="auto"/>
            </w:tcBorders>
            <w:shd w:val="clear" w:color="auto" w:fill="D9D9D9"/>
          </w:tcPr>
          <w:p w:rsidR="00334BAD" w:rsidRPr="007073CD" w:rsidRDefault="00334BAD" w:rsidP="00490463">
            <w:pPr>
              <w:pStyle w:val="Bezmezer"/>
              <w:jc w:val="left"/>
              <w:rPr>
                <w:b/>
                <w:sz w:val="18"/>
                <w:szCs w:val="18"/>
              </w:rPr>
            </w:pPr>
            <w:r w:rsidRPr="007073CD">
              <w:rPr>
                <w:b/>
                <w:sz w:val="18"/>
                <w:szCs w:val="18"/>
              </w:rPr>
              <w:t>Celkem vč. DPH</w:t>
            </w:r>
          </w:p>
        </w:tc>
        <w:tc>
          <w:tcPr>
            <w:tcW w:w="1134" w:type="dxa"/>
            <w:tcBorders>
              <w:top w:val="single" w:sz="6" w:space="0" w:color="000000"/>
              <w:bottom w:val="single" w:sz="4" w:space="0" w:color="auto"/>
            </w:tcBorders>
            <w:shd w:val="clear" w:color="auto" w:fill="D9D9D9"/>
          </w:tcPr>
          <w:p w:rsidR="00334BAD" w:rsidRPr="007073CD" w:rsidRDefault="002032DF" w:rsidP="00637E16">
            <w:pPr>
              <w:pStyle w:val="Bezmezer"/>
              <w:jc w:val="right"/>
              <w:rPr>
                <w:rFonts w:cs="Tahoma"/>
                <w:b/>
                <w:sz w:val="18"/>
                <w:szCs w:val="18"/>
              </w:rPr>
            </w:pPr>
            <w:r w:rsidRPr="007073CD">
              <w:rPr>
                <w:rFonts w:cs="Tahoma"/>
                <w:b/>
                <w:sz w:val="18"/>
                <w:szCs w:val="18"/>
              </w:rPr>
              <w:t>0,000</w:t>
            </w:r>
          </w:p>
        </w:tc>
        <w:tc>
          <w:tcPr>
            <w:tcW w:w="1134" w:type="dxa"/>
            <w:tcBorders>
              <w:top w:val="single" w:sz="6" w:space="0" w:color="000000"/>
              <w:bottom w:val="single" w:sz="4" w:space="0" w:color="auto"/>
            </w:tcBorders>
            <w:shd w:val="clear" w:color="auto" w:fill="D9D9D9"/>
          </w:tcPr>
          <w:p w:rsidR="00334BAD" w:rsidRPr="007073CD" w:rsidRDefault="002032DF" w:rsidP="00637E16">
            <w:pPr>
              <w:pStyle w:val="Bezmezer"/>
              <w:jc w:val="right"/>
              <w:rPr>
                <w:rFonts w:cs="Tahoma"/>
                <w:b/>
                <w:sz w:val="18"/>
                <w:szCs w:val="18"/>
              </w:rPr>
            </w:pPr>
            <w:r w:rsidRPr="007073CD">
              <w:rPr>
                <w:rFonts w:cs="Tahoma"/>
                <w:b/>
                <w:sz w:val="18"/>
                <w:szCs w:val="18"/>
              </w:rPr>
              <w:t>0,000</w:t>
            </w:r>
          </w:p>
        </w:tc>
        <w:tc>
          <w:tcPr>
            <w:tcW w:w="1134" w:type="dxa"/>
            <w:tcBorders>
              <w:top w:val="single" w:sz="6" w:space="0" w:color="000000"/>
              <w:bottom w:val="single" w:sz="4" w:space="0" w:color="auto"/>
            </w:tcBorders>
            <w:shd w:val="clear" w:color="auto" w:fill="D9D9D9"/>
          </w:tcPr>
          <w:p w:rsidR="00334BAD" w:rsidRPr="007073CD" w:rsidRDefault="002032DF" w:rsidP="00637E16">
            <w:pPr>
              <w:pStyle w:val="Bezmezer"/>
              <w:jc w:val="right"/>
              <w:rPr>
                <w:rFonts w:cs="Tahoma"/>
                <w:b/>
                <w:sz w:val="18"/>
                <w:szCs w:val="18"/>
              </w:rPr>
            </w:pPr>
            <w:r w:rsidRPr="007073CD">
              <w:rPr>
                <w:rFonts w:cs="Tahoma"/>
                <w:b/>
                <w:sz w:val="18"/>
                <w:szCs w:val="18"/>
              </w:rPr>
              <w:t>0,000</w:t>
            </w:r>
          </w:p>
        </w:tc>
        <w:tc>
          <w:tcPr>
            <w:tcW w:w="1134" w:type="dxa"/>
            <w:tcBorders>
              <w:top w:val="single" w:sz="6" w:space="0" w:color="000000"/>
              <w:bottom w:val="single" w:sz="4" w:space="0" w:color="auto"/>
            </w:tcBorders>
            <w:shd w:val="clear" w:color="auto" w:fill="D9D9D9"/>
          </w:tcPr>
          <w:p w:rsidR="00334BAD" w:rsidRPr="007073CD" w:rsidRDefault="002032DF" w:rsidP="00637E16">
            <w:pPr>
              <w:pStyle w:val="Bezmezer"/>
              <w:jc w:val="right"/>
              <w:rPr>
                <w:rFonts w:cs="Tahoma"/>
                <w:b/>
                <w:sz w:val="18"/>
                <w:szCs w:val="18"/>
              </w:rPr>
            </w:pPr>
            <w:r w:rsidRPr="007073CD">
              <w:rPr>
                <w:rFonts w:cs="Tahoma"/>
                <w:b/>
                <w:sz w:val="18"/>
                <w:szCs w:val="18"/>
              </w:rPr>
              <w:t>0,000</w:t>
            </w:r>
          </w:p>
        </w:tc>
        <w:tc>
          <w:tcPr>
            <w:tcW w:w="1134" w:type="dxa"/>
            <w:tcBorders>
              <w:top w:val="single" w:sz="6" w:space="0" w:color="000000"/>
              <w:bottom w:val="single" w:sz="4" w:space="0" w:color="auto"/>
            </w:tcBorders>
            <w:shd w:val="clear" w:color="auto" w:fill="D9D9D9"/>
          </w:tcPr>
          <w:p w:rsidR="00334BAD" w:rsidRPr="007073CD" w:rsidRDefault="002032DF" w:rsidP="00637E16">
            <w:pPr>
              <w:pStyle w:val="Bezmezer"/>
              <w:jc w:val="right"/>
              <w:rPr>
                <w:rFonts w:cs="Tahoma"/>
                <w:b/>
                <w:sz w:val="18"/>
                <w:szCs w:val="18"/>
              </w:rPr>
            </w:pPr>
            <w:r w:rsidRPr="007073CD">
              <w:rPr>
                <w:rFonts w:cs="Tahoma"/>
                <w:b/>
                <w:sz w:val="18"/>
                <w:szCs w:val="18"/>
              </w:rPr>
              <w:t>0,000</w:t>
            </w:r>
          </w:p>
        </w:tc>
        <w:tc>
          <w:tcPr>
            <w:tcW w:w="1134" w:type="dxa"/>
            <w:tcBorders>
              <w:top w:val="single" w:sz="6" w:space="0" w:color="000000"/>
              <w:bottom w:val="single" w:sz="4" w:space="0" w:color="auto"/>
            </w:tcBorders>
            <w:shd w:val="clear" w:color="auto" w:fill="D9D9D9"/>
          </w:tcPr>
          <w:p w:rsidR="00334BAD" w:rsidRPr="007073CD" w:rsidRDefault="002032DF" w:rsidP="00637E16">
            <w:pPr>
              <w:pStyle w:val="Bezmezer"/>
              <w:jc w:val="right"/>
              <w:rPr>
                <w:rFonts w:cs="Tahoma"/>
                <w:b/>
                <w:bCs/>
                <w:kern w:val="28"/>
                <w:sz w:val="18"/>
                <w:szCs w:val="18"/>
              </w:rPr>
            </w:pPr>
            <w:r w:rsidRPr="007073CD">
              <w:rPr>
                <w:rFonts w:cs="Tahoma"/>
                <w:b/>
                <w:sz w:val="18"/>
                <w:szCs w:val="18"/>
              </w:rPr>
              <w:t>7,</w:t>
            </w:r>
            <w:r w:rsidR="0020296B" w:rsidRPr="007073CD">
              <w:rPr>
                <w:rFonts w:cs="Tahoma"/>
                <w:b/>
                <w:sz w:val="18"/>
                <w:szCs w:val="18"/>
              </w:rPr>
              <w:t>131</w:t>
            </w:r>
          </w:p>
        </w:tc>
        <w:tc>
          <w:tcPr>
            <w:tcW w:w="1134" w:type="dxa"/>
            <w:tcBorders>
              <w:top w:val="single" w:sz="6" w:space="0" w:color="000000"/>
              <w:bottom w:val="single" w:sz="4" w:space="0" w:color="auto"/>
            </w:tcBorders>
            <w:shd w:val="clear" w:color="auto" w:fill="D9D9D9"/>
          </w:tcPr>
          <w:p w:rsidR="00334BAD" w:rsidRPr="007073CD" w:rsidRDefault="0020296B" w:rsidP="00637E16">
            <w:pPr>
              <w:pStyle w:val="Bezmezer"/>
              <w:jc w:val="right"/>
              <w:rPr>
                <w:rFonts w:cs="Tahoma"/>
                <w:b/>
                <w:bCs/>
                <w:kern w:val="28"/>
                <w:sz w:val="18"/>
                <w:szCs w:val="18"/>
              </w:rPr>
            </w:pPr>
            <w:r w:rsidRPr="007073CD">
              <w:rPr>
                <w:rFonts w:cs="Tahoma"/>
                <w:b/>
                <w:sz w:val="18"/>
                <w:szCs w:val="18"/>
              </w:rPr>
              <w:t>100</w:t>
            </w:r>
            <w:r w:rsidR="002032DF" w:rsidRPr="007073CD">
              <w:rPr>
                <w:rFonts w:cs="Tahoma"/>
                <w:b/>
                <w:sz w:val="18"/>
                <w:szCs w:val="18"/>
              </w:rPr>
              <w:t>,2</w:t>
            </w:r>
            <w:r w:rsidRPr="007073CD">
              <w:rPr>
                <w:rFonts w:cs="Tahoma"/>
                <w:b/>
                <w:sz w:val="18"/>
                <w:szCs w:val="18"/>
              </w:rPr>
              <w:t>81</w:t>
            </w:r>
          </w:p>
        </w:tc>
        <w:tc>
          <w:tcPr>
            <w:tcW w:w="1134" w:type="dxa"/>
            <w:tcBorders>
              <w:top w:val="single" w:sz="6" w:space="0" w:color="000000"/>
              <w:bottom w:val="single" w:sz="4" w:space="0" w:color="auto"/>
            </w:tcBorders>
            <w:shd w:val="clear" w:color="auto" w:fill="D9D9D9"/>
          </w:tcPr>
          <w:p w:rsidR="00334BAD" w:rsidRPr="007073CD" w:rsidRDefault="0020296B" w:rsidP="00637E16">
            <w:pPr>
              <w:pStyle w:val="Bezmezer"/>
              <w:jc w:val="right"/>
              <w:rPr>
                <w:rFonts w:cs="Tahoma"/>
                <w:b/>
                <w:bCs/>
                <w:kern w:val="28"/>
                <w:sz w:val="18"/>
                <w:szCs w:val="18"/>
              </w:rPr>
            </w:pPr>
            <w:r w:rsidRPr="007073CD">
              <w:rPr>
                <w:rFonts w:cs="Tahoma"/>
                <w:b/>
                <w:sz w:val="18"/>
                <w:szCs w:val="18"/>
              </w:rPr>
              <w:t>50</w:t>
            </w:r>
            <w:r w:rsidR="002032DF" w:rsidRPr="007073CD">
              <w:rPr>
                <w:rFonts w:cs="Tahoma"/>
                <w:b/>
                <w:sz w:val="18"/>
                <w:szCs w:val="18"/>
              </w:rPr>
              <w:t>,</w:t>
            </w:r>
            <w:r w:rsidRPr="007073CD">
              <w:rPr>
                <w:rFonts w:cs="Tahoma"/>
                <w:b/>
                <w:sz w:val="18"/>
                <w:szCs w:val="18"/>
              </w:rPr>
              <w:t>041</w:t>
            </w:r>
          </w:p>
        </w:tc>
        <w:tc>
          <w:tcPr>
            <w:tcW w:w="1134" w:type="dxa"/>
            <w:tcBorders>
              <w:top w:val="single" w:sz="6" w:space="0" w:color="000000"/>
              <w:bottom w:val="single" w:sz="4" w:space="0" w:color="auto"/>
            </w:tcBorders>
            <w:shd w:val="clear" w:color="auto" w:fill="D9D9D9"/>
          </w:tcPr>
          <w:p w:rsidR="00334BAD" w:rsidRPr="007073CD" w:rsidRDefault="0020296B" w:rsidP="00637E16">
            <w:pPr>
              <w:pStyle w:val="Bezmezer"/>
              <w:jc w:val="right"/>
              <w:rPr>
                <w:rFonts w:cs="Tahoma"/>
                <w:b/>
                <w:sz w:val="18"/>
                <w:szCs w:val="18"/>
              </w:rPr>
            </w:pPr>
            <w:r w:rsidRPr="007073CD">
              <w:rPr>
                <w:rFonts w:cs="Tahoma"/>
                <w:b/>
                <w:sz w:val="18"/>
                <w:szCs w:val="18"/>
              </w:rPr>
              <w:t>5,004</w:t>
            </w:r>
          </w:p>
        </w:tc>
        <w:tc>
          <w:tcPr>
            <w:tcW w:w="1134" w:type="dxa"/>
            <w:tcBorders>
              <w:top w:val="single" w:sz="6" w:space="0" w:color="000000"/>
              <w:bottom w:val="single" w:sz="4" w:space="0" w:color="auto"/>
              <w:right w:val="single" w:sz="4" w:space="0" w:color="auto"/>
            </w:tcBorders>
            <w:shd w:val="clear" w:color="auto" w:fill="D9D9D9"/>
          </w:tcPr>
          <w:p w:rsidR="00334BAD" w:rsidRPr="007073CD" w:rsidRDefault="002032DF" w:rsidP="00637E16">
            <w:pPr>
              <w:pStyle w:val="Bezmezer"/>
              <w:jc w:val="right"/>
              <w:rPr>
                <w:rFonts w:cs="Tahoma"/>
                <w:b/>
                <w:bCs/>
                <w:kern w:val="28"/>
                <w:sz w:val="18"/>
                <w:szCs w:val="18"/>
              </w:rPr>
            </w:pPr>
            <w:r w:rsidRPr="007073CD">
              <w:rPr>
                <w:rFonts w:cs="Tahoma"/>
                <w:b/>
                <w:sz w:val="18"/>
                <w:szCs w:val="18"/>
              </w:rPr>
              <w:t>12,</w:t>
            </w:r>
            <w:r w:rsidR="0020296B" w:rsidRPr="007073CD">
              <w:rPr>
                <w:rFonts w:cs="Tahoma"/>
                <w:b/>
                <w:sz w:val="18"/>
                <w:szCs w:val="18"/>
              </w:rPr>
              <w:t>153</w:t>
            </w:r>
          </w:p>
        </w:tc>
      </w:tr>
    </w:tbl>
    <w:p w:rsidR="00BD70C0" w:rsidRDefault="00BD70C0" w:rsidP="00637E16">
      <w:pPr>
        <w:spacing w:before="0" w:after="0"/>
      </w:pPr>
    </w:p>
    <w:tbl>
      <w:tblPr>
        <w:tblW w:w="14034"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694"/>
        <w:gridCol w:w="1134"/>
        <w:gridCol w:w="1134"/>
        <w:gridCol w:w="1134"/>
        <w:gridCol w:w="1134"/>
        <w:gridCol w:w="1134"/>
        <w:gridCol w:w="1134"/>
        <w:gridCol w:w="1134"/>
        <w:gridCol w:w="1134"/>
        <w:gridCol w:w="1134"/>
        <w:gridCol w:w="1134"/>
      </w:tblGrid>
      <w:tr w:rsidR="001619D8" w:rsidTr="007073CD">
        <w:tc>
          <w:tcPr>
            <w:tcW w:w="14034" w:type="dxa"/>
            <w:gridSpan w:val="11"/>
            <w:tcBorders>
              <w:top w:val="single" w:sz="4" w:space="0" w:color="auto"/>
              <w:left w:val="single" w:sz="4" w:space="0" w:color="auto"/>
              <w:bottom w:val="single" w:sz="4" w:space="0" w:color="auto"/>
              <w:right w:val="single" w:sz="4" w:space="0" w:color="auto"/>
            </w:tcBorders>
            <w:shd w:val="clear" w:color="auto" w:fill="auto"/>
          </w:tcPr>
          <w:p w:rsidR="006819BA" w:rsidRPr="00930685" w:rsidRDefault="001619D8" w:rsidP="00FC1012">
            <w:pPr>
              <w:pStyle w:val="Titulek"/>
              <w:rPr>
                <w:bCs/>
                <w:kern w:val="28"/>
                <w:sz w:val="32"/>
                <w:szCs w:val="32"/>
              </w:rPr>
            </w:pPr>
            <w:bookmarkStart w:id="66" w:name="_Toc390958743"/>
            <w:bookmarkStart w:id="67" w:name="_Toc391034547"/>
            <w:r w:rsidRPr="00930685">
              <w:t xml:space="preserve">Tab. </w:t>
            </w:r>
            <w:r w:rsidR="000E79AE">
              <w:fldChar w:fldCharType="begin"/>
            </w:r>
            <w:r w:rsidR="000E79AE">
              <w:instrText xml:space="preserve"> STYLEREF 1 \s </w:instrText>
            </w:r>
            <w:r w:rsidR="000E79AE">
              <w:fldChar w:fldCharType="separate"/>
            </w:r>
            <w:r w:rsidR="003843F3">
              <w:rPr>
                <w:noProof/>
              </w:rPr>
              <w:t>3</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8</w:t>
            </w:r>
            <w:r w:rsidR="000E79AE">
              <w:fldChar w:fldCharType="end"/>
            </w:r>
            <w:r w:rsidRPr="00930685">
              <w:t>: Rozdělení nákladů na opravy v letech 2034 – 2043 (varianta Bez projektu)</w:t>
            </w:r>
            <w:bookmarkEnd w:id="66"/>
            <w:bookmarkEnd w:id="67"/>
          </w:p>
        </w:tc>
      </w:tr>
      <w:tr w:rsidR="00BD70C0" w:rsidTr="007073CD">
        <w:tc>
          <w:tcPr>
            <w:tcW w:w="2694" w:type="dxa"/>
            <w:tcBorders>
              <w:top w:val="single" w:sz="4" w:space="0" w:color="auto"/>
              <w:left w:val="single" w:sz="4" w:space="0" w:color="auto"/>
              <w:bottom w:val="single" w:sz="12" w:space="0" w:color="000000"/>
            </w:tcBorders>
            <w:shd w:val="clear" w:color="auto" w:fill="D9D9D9"/>
          </w:tcPr>
          <w:p w:rsidR="006819BA" w:rsidRPr="007073CD" w:rsidRDefault="00BD70C0" w:rsidP="00637E16">
            <w:pPr>
              <w:spacing w:before="100" w:beforeAutospacing="1" w:after="100" w:afterAutospacing="1" w:line="240" w:lineRule="auto"/>
              <w:rPr>
                <w:sz w:val="18"/>
                <w:szCs w:val="18"/>
              </w:rPr>
            </w:pPr>
            <w:r w:rsidRPr="007073CD">
              <w:rPr>
                <w:sz w:val="18"/>
                <w:szCs w:val="18"/>
              </w:rPr>
              <w:t>Položka/Rok</w:t>
            </w:r>
          </w:p>
        </w:tc>
        <w:tc>
          <w:tcPr>
            <w:tcW w:w="1134" w:type="dxa"/>
            <w:tcBorders>
              <w:top w:val="single" w:sz="4" w:space="0" w:color="auto"/>
              <w:bottom w:val="single" w:sz="12" w:space="0" w:color="000000"/>
            </w:tcBorders>
            <w:shd w:val="clear" w:color="auto" w:fill="D9D9D9"/>
            <w:vAlign w:val="bottom"/>
          </w:tcPr>
          <w:p w:rsidR="00631EAB" w:rsidRPr="007073CD" w:rsidRDefault="00BD70C0" w:rsidP="00637E16">
            <w:pPr>
              <w:spacing w:before="100" w:beforeAutospacing="1" w:after="100" w:afterAutospacing="1" w:line="240" w:lineRule="auto"/>
              <w:jc w:val="right"/>
              <w:rPr>
                <w:rFonts w:cs="Tahoma"/>
                <w:b/>
                <w:bCs/>
                <w:kern w:val="28"/>
                <w:sz w:val="18"/>
                <w:szCs w:val="18"/>
              </w:rPr>
            </w:pPr>
            <w:r w:rsidRPr="007073CD">
              <w:rPr>
                <w:rFonts w:cs="Tahoma"/>
                <w:sz w:val="18"/>
                <w:szCs w:val="18"/>
              </w:rPr>
              <w:t>2034</w:t>
            </w:r>
          </w:p>
        </w:tc>
        <w:tc>
          <w:tcPr>
            <w:tcW w:w="1134" w:type="dxa"/>
            <w:tcBorders>
              <w:top w:val="single" w:sz="4" w:space="0" w:color="auto"/>
              <w:bottom w:val="single" w:sz="12" w:space="0" w:color="000000"/>
            </w:tcBorders>
            <w:shd w:val="clear" w:color="auto" w:fill="D9D9D9"/>
            <w:vAlign w:val="bottom"/>
          </w:tcPr>
          <w:p w:rsidR="006819BA" w:rsidRPr="007073CD" w:rsidRDefault="00BD70C0" w:rsidP="00637E16">
            <w:pPr>
              <w:spacing w:before="100" w:beforeAutospacing="1" w:after="100" w:afterAutospacing="1" w:line="240" w:lineRule="auto"/>
              <w:jc w:val="right"/>
              <w:rPr>
                <w:rFonts w:cs="Tahoma"/>
                <w:sz w:val="18"/>
                <w:szCs w:val="18"/>
              </w:rPr>
            </w:pPr>
            <w:r w:rsidRPr="007073CD">
              <w:rPr>
                <w:rFonts w:cs="Tahoma"/>
                <w:sz w:val="18"/>
                <w:szCs w:val="18"/>
              </w:rPr>
              <w:t>2035</w:t>
            </w:r>
          </w:p>
        </w:tc>
        <w:tc>
          <w:tcPr>
            <w:tcW w:w="1134" w:type="dxa"/>
            <w:tcBorders>
              <w:top w:val="single" w:sz="4" w:space="0" w:color="auto"/>
              <w:bottom w:val="single" w:sz="12" w:space="0" w:color="000000"/>
            </w:tcBorders>
            <w:shd w:val="clear" w:color="auto" w:fill="D9D9D9"/>
            <w:vAlign w:val="bottom"/>
          </w:tcPr>
          <w:p w:rsidR="00631EAB" w:rsidRPr="007073CD" w:rsidRDefault="00BD70C0" w:rsidP="00637E16">
            <w:pPr>
              <w:spacing w:before="100" w:beforeAutospacing="1" w:after="100" w:afterAutospacing="1" w:line="240" w:lineRule="auto"/>
              <w:jc w:val="right"/>
              <w:rPr>
                <w:rFonts w:cs="Tahoma"/>
                <w:sz w:val="18"/>
                <w:szCs w:val="18"/>
              </w:rPr>
            </w:pPr>
            <w:r w:rsidRPr="007073CD">
              <w:rPr>
                <w:rFonts w:cs="Tahoma"/>
                <w:sz w:val="18"/>
                <w:szCs w:val="18"/>
              </w:rPr>
              <w:t>2036</w:t>
            </w:r>
          </w:p>
        </w:tc>
        <w:tc>
          <w:tcPr>
            <w:tcW w:w="1134" w:type="dxa"/>
            <w:tcBorders>
              <w:top w:val="single" w:sz="4" w:space="0" w:color="auto"/>
              <w:bottom w:val="single" w:sz="12" w:space="0" w:color="000000"/>
            </w:tcBorders>
            <w:shd w:val="clear" w:color="auto" w:fill="D9D9D9"/>
            <w:vAlign w:val="bottom"/>
          </w:tcPr>
          <w:p w:rsidR="00631EAB" w:rsidRPr="007073CD" w:rsidRDefault="00BD70C0" w:rsidP="00637E16">
            <w:pPr>
              <w:spacing w:before="100" w:beforeAutospacing="1" w:after="100" w:afterAutospacing="1" w:line="240" w:lineRule="auto"/>
              <w:jc w:val="right"/>
              <w:rPr>
                <w:rFonts w:cs="Tahoma"/>
                <w:sz w:val="18"/>
                <w:szCs w:val="18"/>
              </w:rPr>
            </w:pPr>
            <w:r w:rsidRPr="007073CD">
              <w:rPr>
                <w:rFonts w:cs="Tahoma"/>
                <w:sz w:val="18"/>
                <w:szCs w:val="18"/>
              </w:rPr>
              <w:t>2037</w:t>
            </w:r>
          </w:p>
        </w:tc>
        <w:tc>
          <w:tcPr>
            <w:tcW w:w="1134" w:type="dxa"/>
            <w:tcBorders>
              <w:top w:val="single" w:sz="4" w:space="0" w:color="auto"/>
              <w:bottom w:val="single" w:sz="12" w:space="0" w:color="000000"/>
            </w:tcBorders>
            <w:shd w:val="clear" w:color="auto" w:fill="D9D9D9"/>
            <w:vAlign w:val="bottom"/>
          </w:tcPr>
          <w:p w:rsidR="00631EAB" w:rsidRPr="007073CD" w:rsidRDefault="00BD70C0" w:rsidP="00637E16">
            <w:pPr>
              <w:spacing w:before="100" w:beforeAutospacing="1" w:after="100" w:afterAutospacing="1" w:line="240" w:lineRule="auto"/>
              <w:jc w:val="right"/>
              <w:rPr>
                <w:rFonts w:cs="Tahoma"/>
                <w:sz w:val="18"/>
                <w:szCs w:val="18"/>
              </w:rPr>
            </w:pPr>
            <w:r w:rsidRPr="007073CD">
              <w:rPr>
                <w:rFonts w:cs="Tahoma"/>
                <w:sz w:val="18"/>
                <w:szCs w:val="18"/>
              </w:rPr>
              <w:t>2038</w:t>
            </w:r>
          </w:p>
        </w:tc>
        <w:tc>
          <w:tcPr>
            <w:tcW w:w="1134" w:type="dxa"/>
            <w:tcBorders>
              <w:top w:val="single" w:sz="4" w:space="0" w:color="auto"/>
              <w:bottom w:val="single" w:sz="12" w:space="0" w:color="000000"/>
            </w:tcBorders>
            <w:shd w:val="clear" w:color="auto" w:fill="D9D9D9"/>
            <w:vAlign w:val="bottom"/>
          </w:tcPr>
          <w:p w:rsidR="00631EAB" w:rsidRPr="007073CD" w:rsidRDefault="00BD70C0" w:rsidP="00637E16">
            <w:pPr>
              <w:spacing w:before="100" w:beforeAutospacing="1" w:after="100" w:afterAutospacing="1" w:line="240" w:lineRule="auto"/>
              <w:jc w:val="right"/>
              <w:rPr>
                <w:rFonts w:cs="Tahoma"/>
                <w:sz w:val="18"/>
                <w:szCs w:val="18"/>
              </w:rPr>
            </w:pPr>
            <w:r w:rsidRPr="007073CD">
              <w:rPr>
                <w:rFonts w:cs="Tahoma"/>
                <w:sz w:val="18"/>
                <w:szCs w:val="18"/>
              </w:rPr>
              <w:t>2039</w:t>
            </w:r>
          </w:p>
        </w:tc>
        <w:tc>
          <w:tcPr>
            <w:tcW w:w="1134" w:type="dxa"/>
            <w:tcBorders>
              <w:top w:val="single" w:sz="4" w:space="0" w:color="auto"/>
              <w:bottom w:val="single" w:sz="12" w:space="0" w:color="000000"/>
            </w:tcBorders>
            <w:shd w:val="clear" w:color="auto" w:fill="D9D9D9"/>
            <w:vAlign w:val="bottom"/>
          </w:tcPr>
          <w:p w:rsidR="00631EAB" w:rsidRPr="007073CD" w:rsidRDefault="00BD70C0" w:rsidP="00637E16">
            <w:pPr>
              <w:spacing w:before="100" w:beforeAutospacing="1" w:after="100" w:afterAutospacing="1" w:line="240" w:lineRule="auto"/>
              <w:jc w:val="right"/>
              <w:rPr>
                <w:rFonts w:cs="Tahoma"/>
                <w:sz w:val="18"/>
                <w:szCs w:val="18"/>
              </w:rPr>
            </w:pPr>
            <w:r w:rsidRPr="007073CD">
              <w:rPr>
                <w:rFonts w:cs="Tahoma"/>
                <w:sz w:val="18"/>
                <w:szCs w:val="18"/>
              </w:rPr>
              <w:t>2040</w:t>
            </w:r>
          </w:p>
        </w:tc>
        <w:tc>
          <w:tcPr>
            <w:tcW w:w="1134" w:type="dxa"/>
            <w:tcBorders>
              <w:top w:val="single" w:sz="4" w:space="0" w:color="auto"/>
              <w:bottom w:val="single" w:sz="12" w:space="0" w:color="000000"/>
            </w:tcBorders>
            <w:shd w:val="clear" w:color="auto" w:fill="D9D9D9"/>
            <w:vAlign w:val="bottom"/>
          </w:tcPr>
          <w:p w:rsidR="00631EAB" w:rsidRPr="007073CD" w:rsidRDefault="00BD70C0" w:rsidP="00637E16">
            <w:pPr>
              <w:spacing w:before="100" w:beforeAutospacing="1" w:after="100" w:afterAutospacing="1" w:line="240" w:lineRule="auto"/>
              <w:jc w:val="right"/>
              <w:rPr>
                <w:rFonts w:cs="Tahoma"/>
                <w:sz w:val="18"/>
                <w:szCs w:val="18"/>
              </w:rPr>
            </w:pPr>
            <w:r w:rsidRPr="007073CD">
              <w:rPr>
                <w:rFonts w:cs="Tahoma"/>
                <w:sz w:val="18"/>
                <w:szCs w:val="18"/>
              </w:rPr>
              <w:t>2041</w:t>
            </w:r>
          </w:p>
        </w:tc>
        <w:tc>
          <w:tcPr>
            <w:tcW w:w="1134" w:type="dxa"/>
            <w:tcBorders>
              <w:top w:val="single" w:sz="4" w:space="0" w:color="auto"/>
              <w:bottom w:val="single" w:sz="12" w:space="0" w:color="000000"/>
            </w:tcBorders>
            <w:shd w:val="clear" w:color="auto" w:fill="D9D9D9"/>
            <w:vAlign w:val="bottom"/>
          </w:tcPr>
          <w:p w:rsidR="00631EAB" w:rsidRPr="007073CD" w:rsidRDefault="00BD70C0" w:rsidP="00637E16">
            <w:pPr>
              <w:spacing w:before="100" w:beforeAutospacing="1" w:after="100" w:afterAutospacing="1" w:line="240" w:lineRule="auto"/>
              <w:jc w:val="right"/>
              <w:rPr>
                <w:rFonts w:cs="Tahoma"/>
                <w:sz w:val="18"/>
                <w:szCs w:val="18"/>
              </w:rPr>
            </w:pPr>
            <w:r w:rsidRPr="007073CD">
              <w:rPr>
                <w:rFonts w:cs="Tahoma"/>
                <w:sz w:val="18"/>
                <w:szCs w:val="18"/>
              </w:rPr>
              <w:t>2042</w:t>
            </w:r>
          </w:p>
        </w:tc>
        <w:tc>
          <w:tcPr>
            <w:tcW w:w="1134" w:type="dxa"/>
            <w:tcBorders>
              <w:top w:val="single" w:sz="4" w:space="0" w:color="auto"/>
              <w:bottom w:val="single" w:sz="12" w:space="0" w:color="000000"/>
              <w:right w:val="single" w:sz="4" w:space="0" w:color="auto"/>
            </w:tcBorders>
            <w:shd w:val="clear" w:color="auto" w:fill="D9D9D9"/>
            <w:vAlign w:val="bottom"/>
          </w:tcPr>
          <w:p w:rsidR="00631EAB" w:rsidRPr="007073CD" w:rsidRDefault="00BD70C0" w:rsidP="00637E16">
            <w:pPr>
              <w:spacing w:before="100" w:beforeAutospacing="1" w:after="100" w:afterAutospacing="1" w:line="240" w:lineRule="auto"/>
              <w:jc w:val="right"/>
              <w:rPr>
                <w:rFonts w:cs="Tahoma"/>
                <w:sz w:val="18"/>
                <w:szCs w:val="18"/>
              </w:rPr>
            </w:pPr>
            <w:r w:rsidRPr="007073CD">
              <w:rPr>
                <w:rFonts w:cs="Tahoma"/>
                <w:sz w:val="18"/>
                <w:szCs w:val="18"/>
              </w:rPr>
              <w:t>2043</w:t>
            </w:r>
          </w:p>
        </w:tc>
      </w:tr>
      <w:tr w:rsidR="00334BAD" w:rsidTr="007073CD">
        <w:tc>
          <w:tcPr>
            <w:tcW w:w="2694" w:type="dxa"/>
            <w:tcBorders>
              <w:top w:val="single" w:sz="12" w:space="0" w:color="000000"/>
              <w:left w:val="single" w:sz="4" w:space="0" w:color="auto"/>
            </w:tcBorders>
            <w:shd w:val="clear" w:color="auto" w:fill="auto"/>
          </w:tcPr>
          <w:p w:rsidR="006819BA" w:rsidRPr="007073CD" w:rsidRDefault="00334BAD" w:rsidP="00637E16">
            <w:pPr>
              <w:spacing w:before="100" w:beforeAutospacing="1" w:after="100" w:afterAutospacing="1" w:line="240" w:lineRule="auto"/>
              <w:rPr>
                <w:sz w:val="18"/>
                <w:szCs w:val="18"/>
              </w:rPr>
            </w:pPr>
            <w:r w:rsidRPr="007073CD">
              <w:rPr>
                <w:sz w:val="18"/>
                <w:szCs w:val="18"/>
              </w:rPr>
              <w:t>Svršek + spodek</w:t>
            </w:r>
          </w:p>
        </w:tc>
        <w:tc>
          <w:tcPr>
            <w:tcW w:w="1134" w:type="dxa"/>
            <w:tcBorders>
              <w:top w:val="single" w:sz="12"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5,317</w:t>
            </w:r>
          </w:p>
        </w:tc>
        <w:tc>
          <w:tcPr>
            <w:tcW w:w="1134" w:type="dxa"/>
            <w:tcBorders>
              <w:top w:val="single" w:sz="12"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top w:val="single" w:sz="12"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top w:val="single" w:sz="12"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top w:val="single" w:sz="12"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top w:val="single" w:sz="12"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0,591</w:t>
            </w:r>
          </w:p>
        </w:tc>
        <w:tc>
          <w:tcPr>
            <w:tcW w:w="1134" w:type="dxa"/>
            <w:tcBorders>
              <w:top w:val="single" w:sz="12"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top w:val="single" w:sz="12"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top w:val="single" w:sz="12"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top w:val="single" w:sz="12" w:space="0" w:color="000000"/>
              <w:right w:val="single" w:sz="4" w:space="0" w:color="auto"/>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r>
      <w:tr w:rsidR="00334BAD" w:rsidTr="007073CD">
        <w:tc>
          <w:tcPr>
            <w:tcW w:w="2694" w:type="dxa"/>
            <w:tcBorders>
              <w:left w:val="single" w:sz="4" w:space="0" w:color="auto"/>
            </w:tcBorders>
            <w:shd w:val="clear" w:color="auto" w:fill="auto"/>
          </w:tcPr>
          <w:p w:rsidR="006819BA" w:rsidRPr="007073CD" w:rsidRDefault="00334BAD" w:rsidP="00637E16">
            <w:pPr>
              <w:spacing w:before="100" w:beforeAutospacing="1" w:after="100" w:afterAutospacing="1" w:line="240" w:lineRule="auto"/>
              <w:rPr>
                <w:b/>
                <w:bCs/>
                <w:kern w:val="28"/>
                <w:sz w:val="18"/>
                <w:szCs w:val="18"/>
              </w:rPr>
            </w:pPr>
            <w:r w:rsidRPr="007073CD">
              <w:rPr>
                <w:sz w:val="18"/>
                <w:szCs w:val="18"/>
              </w:rPr>
              <w:t>Mosty</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9,416</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right w:val="single" w:sz="4" w:space="0" w:color="auto"/>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r>
      <w:tr w:rsidR="00334BAD" w:rsidTr="007073CD">
        <w:tc>
          <w:tcPr>
            <w:tcW w:w="2694" w:type="dxa"/>
            <w:tcBorders>
              <w:left w:val="single" w:sz="4" w:space="0" w:color="auto"/>
            </w:tcBorders>
            <w:shd w:val="clear" w:color="auto" w:fill="auto"/>
          </w:tcPr>
          <w:p w:rsidR="006819BA" w:rsidRPr="007073CD" w:rsidRDefault="00334BAD" w:rsidP="00637E16">
            <w:pPr>
              <w:spacing w:before="100" w:beforeAutospacing="1" w:after="100" w:afterAutospacing="1" w:line="240" w:lineRule="auto"/>
              <w:rPr>
                <w:b/>
                <w:bCs/>
                <w:kern w:val="28"/>
                <w:sz w:val="18"/>
                <w:szCs w:val="18"/>
              </w:rPr>
            </w:pPr>
            <w:r w:rsidRPr="007073CD">
              <w:rPr>
                <w:sz w:val="18"/>
                <w:szCs w:val="18"/>
              </w:rPr>
              <w:t>Trakce</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right w:val="single" w:sz="4" w:space="0" w:color="auto"/>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r>
      <w:tr w:rsidR="00334BAD" w:rsidTr="007073CD">
        <w:tc>
          <w:tcPr>
            <w:tcW w:w="2694" w:type="dxa"/>
            <w:tcBorders>
              <w:left w:val="single" w:sz="4" w:space="0" w:color="auto"/>
            </w:tcBorders>
            <w:shd w:val="clear" w:color="auto" w:fill="auto"/>
          </w:tcPr>
          <w:p w:rsidR="006819BA" w:rsidRPr="007073CD" w:rsidRDefault="00334BAD" w:rsidP="00637E16">
            <w:pPr>
              <w:spacing w:before="100" w:beforeAutospacing="1" w:after="100" w:afterAutospacing="1" w:line="240" w:lineRule="auto"/>
              <w:rPr>
                <w:b/>
                <w:bCs/>
                <w:kern w:val="28"/>
                <w:sz w:val="18"/>
                <w:szCs w:val="18"/>
              </w:rPr>
            </w:pPr>
            <w:r w:rsidRPr="007073CD">
              <w:rPr>
                <w:sz w:val="18"/>
                <w:szCs w:val="18"/>
              </w:rPr>
              <w:t>ZabZař + SdělZař</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14</w:t>
            </w:r>
            <w:r w:rsidR="00FF4A82" w:rsidRPr="007073CD">
              <w:rPr>
                <w:rFonts w:cs="Tahoma"/>
                <w:sz w:val="18"/>
                <w:szCs w:val="18"/>
              </w:rPr>
              <w:t>2</w:t>
            </w:r>
            <w:r w:rsidRPr="007073CD">
              <w:rPr>
                <w:rFonts w:cs="Tahoma"/>
                <w:sz w:val="18"/>
                <w:szCs w:val="18"/>
              </w:rPr>
              <w:t>,6</w:t>
            </w:r>
            <w:r w:rsidR="00FF4A82" w:rsidRPr="007073CD">
              <w:rPr>
                <w:rFonts w:cs="Tahoma"/>
                <w:sz w:val="18"/>
                <w:szCs w:val="18"/>
              </w:rPr>
              <w:t>24</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right w:val="single" w:sz="4" w:space="0" w:color="auto"/>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r>
      <w:tr w:rsidR="00334BAD" w:rsidTr="007073CD">
        <w:tc>
          <w:tcPr>
            <w:tcW w:w="2694" w:type="dxa"/>
            <w:tcBorders>
              <w:left w:val="single" w:sz="4" w:space="0" w:color="auto"/>
              <w:bottom w:val="single" w:sz="6" w:space="0" w:color="000000"/>
            </w:tcBorders>
            <w:shd w:val="clear" w:color="auto" w:fill="auto"/>
          </w:tcPr>
          <w:p w:rsidR="006819BA" w:rsidRPr="007073CD" w:rsidRDefault="00334BAD" w:rsidP="00637E16">
            <w:pPr>
              <w:spacing w:before="100" w:beforeAutospacing="1" w:after="100" w:afterAutospacing="1" w:line="240" w:lineRule="auto"/>
              <w:rPr>
                <w:b/>
                <w:bCs/>
                <w:kern w:val="28"/>
                <w:sz w:val="18"/>
                <w:szCs w:val="18"/>
              </w:rPr>
            </w:pPr>
            <w:r w:rsidRPr="007073CD">
              <w:rPr>
                <w:sz w:val="18"/>
                <w:szCs w:val="18"/>
              </w:rPr>
              <w:t>Elektro</w:t>
            </w:r>
          </w:p>
        </w:tc>
        <w:tc>
          <w:tcPr>
            <w:tcW w:w="1134" w:type="dxa"/>
            <w:tcBorders>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bottom w:val="single" w:sz="6" w:space="0" w:color="000000"/>
              <w:right w:val="single" w:sz="4" w:space="0" w:color="auto"/>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r>
      <w:tr w:rsidR="00334BAD" w:rsidTr="007073CD">
        <w:tc>
          <w:tcPr>
            <w:tcW w:w="2694" w:type="dxa"/>
            <w:tcBorders>
              <w:top w:val="single" w:sz="6" w:space="0" w:color="000000"/>
              <w:left w:val="single" w:sz="4" w:space="0" w:color="auto"/>
              <w:bottom w:val="single" w:sz="6" w:space="0" w:color="000000"/>
            </w:tcBorders>
            <w:shd w:val="clear" w:color="auto" w:fill="D9D9D9"/>
          </w:tcPr>
          <w:p w:rsidR="006819BA" w:rsidRPr="007073CD" w:rsidRDefault="00334BAD" w:rsidP="00637E16">
            <w:pPr>
              <w:spacing w:before="100" w:beforeAutospacing="1" w:after="100" w:afterAutospacing="1" w:line="240" w:lineRule="auto"/>
              <w:rPr>
                <w:b/>
                <w:bCs/>
                <w:kern w:val="28"/>
                <w:sz w:val="18"/>
                <w:szCs w:val="18"/>
              </w:rPr>
            </w:pPr>
            <w:r w:rsidRPr="007073CD">
              <w:rPr>
                <w:b/>
                <w:sz w:val="18"/>
                <w:szCs w:val="18"/>
              </w:rPr>
              <w:t>Celkem bez DPH</w:t>
            </w:r>
          </w:p>
        </w:tc>
        <w:tc>
          <w:tcPr>
            <w:tcW w:w="1134" w:type="dxa"/>
            <w:tcBorders>
              <w:top w:val="single" w:sz="6" w:space="0" w:color="000000"/>
              <w:bottom w:val="single" w:sz="6" w:space="0" w:color="000000"/>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14</w:t>
            </w:r>
            <w:r w:rsidR="00FF4A82" w:rsidRPr="007073CD">
              <w:rPr>
                <w:rFonts w:cs="Tahoma"/>
                <w:b/>
                <w:sz w:val="18"/>
                <w:szCs w:val="18"/>
              </w:rPr>
              <w:t>7</w:t>
            </w:r>
            <w:r w:rsidRPr="007073CD">
              <w:rPr>
                <w:rFonts w:cs="Tahoma"/>
                <w:b/>
                <w:sz w:val="18"/>
                <w:szCs w:val="18"/>
              </w:rPr>
              <w:t>,</w:t>
            </w:r>
            <w:r w:rsidR="00FF4A82" w:rsidRPr="007073CD">
              <w:rPr>
                <w:rFonts w:cs="Tahoma"/>
                <w:b/>
                <w:sz w:val="18"/>
                <w:szCs w:val="18"/>
              </w:rPr>
              <w:t>942</w:t>
            </w:r>
          </w:p>
        </w:tc>
        <w:tc>
          <w:tcPr>
            <w:tcW w:w="1134" w:type="dxa"/>
            <w:tcBorders>
              <w:top w:val="single" w:sz="6" w:space="0" w:color="000000"/>
              <w:bottom w:val="single" w:sz="6" w:space="0" w:color="000000"/>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0,000</w:t>
            </w:r>
          </w:p>
        </w:tc>
        <w:tc>
          <w:tcPr>
            <w:tcW w:w="1134" w:type="dxa"/>
            <w:tcBorders>
              <w:top w:val="single" w:sz="6" w:space="0" w:color="000000"/>
              <w:bottom w:val="single" w:sz="6" w:space="0" w:color="000000"/>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0,000</w:t>
            </w:r>
          </w:p>
        </w:tc>
        <w:tc>
          <w:tcPr>
            <w:tcW w:w="1134" w:type="dxa"/>
            <w:tcBorders>
              <w:top w:val="single" w:sz="6" w:space="0" w:color="000000"/>
              <w:bottom w:val="single" w:sz="6" w:space="0" w:color="000000"/>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0,000</w:t>
            </w:r>
          </w:p>
        </w:tc>
        <w:tc>
          <w:tcPr>
            <w:tcW w:w="1134" w:type="dxa"/>
            <w:tcBorders>
              <w:top w:val="single" w:sz="6" w:space="0" w:color="000000"/>
              <w:bottom w:val="single" w:sz="6" w:space="0" w:color="000000"/>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0,000</w:t>
            </w:r>
          </w:p>
        </w:tc>
        <w:tc>
          <w:tcPr>
            <w:tcW w:w="1134" w:type="dxa"/>
            <w:tcBorders>
              <w:top w:val="single" w:sz="6" w:space="0" w:color="000000"/>
              <w:bottom w:val="single" w:sz="6" w:space="0" w:color="000000"/>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0,591</w:t>
            </w:r>
          </w:p>
        </w:tc>
        <w:tc>
          <w:tcPr>
            <w:tcW w:w="1134" w:type="dxa"/>
            <w:tcBorders>
              <w:top w:val="single" w:sz="6" w:space="0" w:color="000000"/>
              <w:bottom w:val="single" w:sz="6" w:space="0" w:color="000000"/>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9,416</w:t>
            </w:r>
          </w:p>
        </w:tc>
        <w:tc>
          <w:tcPr>
            <w:tcW w:w="1134" w:type="dxa"/>
            <w:tcBorders>
              <w:top w:val="single" w:sz="6" w:space="0" w:color="000000"/>
              <w:bottom w:val="single" w:sz="6" w:space="0" w:color="000000"/>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0,000</w:t>
            </w:r>
          </w:p>
        </w:tc>
        <w:tc>
          <w:tcPr>
            <w:tcW w:w="1134" w:type="dxa"/>
            <w:tcBorders>
              <w:top w:val="single" w:sz="6" w:space="0" w:color="000000"/>
              <w:bottom w:val="single" w:sz="6" w:space="0" w:color="000000"/>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0,000</w:t>
            </w:r>
          </w:p>
        </w:tc>
        <w:tc>
          <w:tcPr>
            <w:tcW w:w="1134" w:type="dxa"/>
            <w:tcBorders>
              <w:top w:val="single" w:sz="6" w:space="0" w:color="000000"/>
              <w:bottom w:val="single" w:sz="6" w:space="0" w:color="000000"/>
              <w:right w:val="single" w:sz="4" w:space="0" w:color="auto"/>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0,000</w:t>
            </w:r>
          </w:p>
        </w:tc>
      </w:tr>
      <w:tr w:rsidR="00334BAD" w:rsidTr="007073CD">
        <w:tc>
          <w:tcPr>
            <w:tcW w:w="2694" w:type="dxa"/>
            <w:tcBorders>
              <w:top w:val="single" w:sz="6" w:space="0" w:color="000000"/>
              <w:left w:val="single" w:sz="4" w:space="0" w:color="auto"/>
              <w:bottom w:val="single" w:sz="6" w:space="0" w:color="000000"/>
            </w:tcBorders>
            <w:shd w:val="clear" w:color="auto" w:fill="auto"/>
          </w:tcPr>
          <w:p w:rsidR="006819BA" w:rsidRPr="007073CD" w:rsidRDefault="00334BAD" w:rsidP="00637E16">
            <w:pPr>
              <w:spacing w:before="100" w:beforeAutospacing="1" w:after="100" w:afterAutospacing="1" w:line="240" w:lineRule="auto"/>
              <w:rPr>
                <w:b/>
                <w:bCs/>
                <w:kern w:val="28"/>
                <w:sz w:val="18"/>
                <w:szCs w:val="18"/>
              </w:rPr>
            </w:pPr>
            <w:r w:rsidRPr="007073CD">
              <w:rPr>
                <w:sz w:val="18"/>
                <w:szCs w:val="18"/>
              </w:rPr>
              <w:t>DPH</w:t>
            </w:r>
          </w:p>
        </w:tc>
        <w:tc>
          <w:tcPr>
            <w:tcW w:w="1134" w:type="dxa"/>
            <w:tcBorders>
              <w:top w:val="single" w:sz="6" w:space="0" w:color="000000"/>
              <w:bottom w:val="single" w:sz="6" w:space="0" w:color="000000"/>
            </w:tcBorders>
            <w:shd w:val="clear" w:color="auto" w:fill="auto"/>
            <w:vAlign w:val="bottom"/>
          </w:tcPr>
          <w:p w:rsidR="00631EAB" w:rsidRPr="007073CD" w:rsidRDefault="00FF4A82" w:rsidP="00637E16">
            <w:pPr>
              <w:spacing w:before="100" w:beforeAutospacing="1" w:after="100" w:afterAutospacing="1" w:line="240" w:lineRule="auto"/>
              <w:jc w:val="right"/>
              <w:rPr>
                <w:rFonts w:cs="Tahoma"/>
                <w:b/>
                <w:bCs/>
                <w:kern w:val="28"/>
                <w:sz w:val="18"/>
                <w:szCs w:val="18"/>
              </w:rPr>
            </w:pPr>
            <w:r w:rsidRPr="007073CD">
              <w:rPr>
                <w:rFonts w:cs="Tahoma"/>
                <w:sz w:val="18"/>
                <w:szCs w:val="18"/>
              </w:rPr>
              <w:t>31,068</w:t>
            </w:r>
          </w:p>
        </w:tc>
        <w:tc>
          <w:tcPr>
            <w:tcW w:w="1134" w:type="dxa"/>
            <w:tcBorders>
              <w:top w:val="single" w:sz="6" w:space="0" w:color="000000"/>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top w:val="single" w:sz="6" w:space="0" w:color="000000"/>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top w:val="single" w:sz="6" w:space="0" w:color="000000"/>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top w:val="single" w:sz="6" w:space="0" w:color="000000"/>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top w:val="single" w:sz="6" w:space="0" w:color="000000"/>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0,1</w:t>
            </w:r>
            <w:r w:rsidR="00FF4A82" w:rsidRPr="007073CD">
              <w:rPr>
                <w:rFonts w:cs="Tahoma"/>
                <w:sz w:val="18"/>
                <w:szCs w:val="18"/>
              </w:rPr>
              <w:t>24</w:t>
            </w:r>
          </w:p>
        </w:tc>
        <w:tc>
          <w:tcPr>
            <w:tcW w:w="1134" w:type="dxa"/>
            <w:tcBorders>
              <w:top w:val="single" w:sz="6" w:space="0" w:color="000000"/>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1,</w:t>
            </w:r>
            <w:r w:rsidR="00FF4A82" w:rsidRPr="007073CD">
              <w:rPr>
                <w:rFonts w:cs="Tahoma"/>
                <w:sz w:val="18"/>
                <w:szCs w:val="18"/>
              </w:rPr>
              <w:t>977</w:t>
            </w:r>
          </w:p>
        </w:tc>
        <w:tc>
          <w:tcPr>
            <w:tcW w:w="1134" w:type="dxa"/>
            <w:tcBorders>
              <w:top w:val="single" w:sz="6" w:space="0" w:color="000000"/>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top w:val="single" w:sz="6" w:space="0" w:color="000000"/>
              <w:bottom w:val="single" w:sz="6" w:space="0" w:color="000000"/>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c>
          <w:tcPr>
            <w:tcW w:w="1134" w:type="dxa"/>
            <w:tcBorders>
              <w:top w:val="single" w:sz="6" w:space="0" w:color="000000"/>
              <w:bottom w:val="single" w:sz="6" w:space="0" w:color="000000"/>
              <w:right w:val="single" w:sz="4" w:space="0" w:color="auto"/>
            </w:tcBorders>
            <w:shd w:val="clear" w:color="auto" w:fill="auto"/>
            <w:vAlign w:val="bottom"/>
          </w:tcPr>
          <w:p w:rsidR="00631EAB" w:rsidRPr="007073CD" w:rsidRDefault="00334BAD" w:rsidP="00637E16">
            <w:pPr>
              <w:spacing w:before="100" w:beforeAutospacing="1" w:after="100" w:afterAutospacing="1" w:line="240" w:lineRule="auto"/>
              <w:jc w:val="right"/>
              <w:rPr>
                <w:rFonts w:cs="Tahoma"/>
                <w:b/>
                <w:bCs/>
                <w:kern w:val="28"/>
                <w:sz w:val="18"/>
                <w:szCs w:val="18"/>
              </w:rPr>
            </w:pPr>
            <w:r w:rsidRPr="007073CD">
              <w:rPr>
                <w:rFonts w:cs="Tahoma"/>
                <w:sz w:val="18"/>
                <w:szCs w:val="18"/>
              </w:rPr>
              <w:t>0,000</w:t>
            </w:r>
          </w:p>
        </w:tc>
      </w:tr>
      <w:tr w:rsidR="00334BAD" w:rsidTr="007073CD">
        <w:tc>
          <w:tcPr>
            <w:tcW w:w="2694" w:type="dxa"/>
            <w:tcBorders>
              <w:top w:val="single" w:sz="6" w:space="0" w:color="000000"/>
              <w:left w:val="single" w:sz="4" w:space="0" w:color="auto"/>
              <w:bottom w:val="single" w:sz="4" w:space="0" w:color="auto"/>
            </w:tcBorders>
            <w:shd w:val="clear" w:color="auto" w:fill="D9D9D9"/>
          </w:tcPr>
          <w:p w:rsidR="006819BA" w:rsidRPr="007073CD" w:rsidRDefault="00334BAD" w:rsidP="00637E16">
            <w:pPr>
              <w:spacing w:before="100" w:beforeAutospacing="1" w:after="100" w:afterAutospacing="1" w:line="240" w:lineRule="auto"/>
              <w:rPr>
                <w:b/>
                <w:bCs/>
                <w:kern w:val="28"/>
                <w:sz w:val="18"/>
                <w:szCs w:val="18"/>
              </w:rPr>
            </w:pPr>
            <w:r w:rsidRPr="007073CD">
              <w:rPr>
                <w:b/>
                <w:sz w:val="18"/>
                <w:szCs w:val="18"/>
              </w:rPr>
              <w:t>Celkem vč. DPH</w:t>
            </w:r>
          </w:p>
        </w:tc>
        <w:tc>
          <w:tcPr>
            <w:tcW w:w="1134" w:type="dxa"/>
            <w:tcBorders>
              <w:top w:val="single" w:sz="6" w:space="0" w:color="000000"/>
              <w:bottom w:val="single" w:sz="4" w:space="0" w:color="auto"/>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17</w:t>
            </w:r>
            <w:r w:rsidR="00FF4A82" w:rsidRPr="007073CD">
              <w:rPr>
                <w:rFonts w:cs="Tahoma"/>
                <w:b/>
                <w:sz w:val="18"/>
                <w:szCs w:val="18"/>
              </w:rPr>
              <w:t>9</w:t>
            </w:r>
            <w:r w:rsidRPr="007073CD">
              <w:rPr>
                <w:rFonts w:cs="Tahoma"/>
                <w:b/>
                <w:sz w:val="18"/>
                <w:szCs w:val="18"/>
              </w:rPr>
              <w:t>,</w:t>
            </w:r>
            <w:r w:rsidR="00FF4A82" w:rsidRPr="007073CD">
              <w:rPr>
                <w:rFonts w:cs="Tahoma"/>
                <w:b/>
                <w:sz w:val="18"/>
                <w:szCs w:val="18"/>
              </w:rPr>
              <w:t>009</w:t>
            </w:r>
          </w:p>
        </w:tc>
        <w:tc>
          <w:tcPr>
            <w:tcW w:w="1134" w:type="dxa"/>
            <w:tcBorders>
              <w:top w:val="single" w:sz="6" w:space="0" w:color="000000"/>
              <w:bottom w:val="single" w:sz="4" w:space="0" w:color="auto"/>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0,000</w:t>
            </w:r>
          </w:p>
        </w:tc>
        <w:tc>
          <w:tcPr>
            <w:tcW w:w="1134" w:type="dxa"/>
            <w:tcBorders>
              <w:top w:val="single" w:sz="6" w:space="0" w:color="000000"/>
              <w:bottom w:val="single" w:sz="4" w:space="0" w:color="auto"/>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0,000</w:t>
            </w:r>
          </w:p>
        </w:tc>
        <w:tc>
          <w:tcPr>
            <w:tcW w:w="1134" w:type="dxa"/>
            <w:tcBorders>
              <w:top w:val="single" w:sz="6" w:space="0" w:color="000000"/>
              <w:bottom w:val="single" w:sz="4" w:space="0" w:color="auto"/>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0,000</w:t>
            </w:r>
          </w:p>
        </w:tc>
        <w:tc>
          <w:tcPr>
            <w:tcW w:w="1134" w:type="dxa"/>
            <w:tcBorders>
              <w:top w:val="single" w:sz="6" w:space="0" w:color="000000"/>
              <w:bottom w:val="single" w:sz="4" w:space="0" w:color="auto"/>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0,000</w:t>
            </w:r>
          </w:p>
        </w:tc>
        <w:tc>
          <w:tcPr>
            <w:tcW w:w="1134" w:type="dxa"/>
            <w:tcBorders>
              <w:top w:val="single" w:sz="6" w:space="0" w:color="000000"/>
              <w:bottom w:val="single" w:sz="4" w:space="0" w:color="auto"/>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0,7</w:t>
            </w:r>
            <w:r w:rsidR="00FF4A82" w:rsidRPr="007073CD">
              <w:rPr>
                <w:rFonts w:cs="Tahoma"/>
                <w:b/>
                <w:sz w:val="18"/>
                <w:szCs w:val="18"/>
              </w:rPr>
              <w:t>15</w:t>
            </w:r>
          </w:p>
        </w:tc>
        <w:tc>
          <w:tcPr>
            <w:tcW w:w="1134" w:type="dxa"/>
            <w:tcBorders>
              <w:top w:val="single" w:sz="6" w:space="0" w:color="000000"/>
              <w:bottom w:val="single" w:sz="4" w:space="0" w:color="auto"/>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11,</w:t>
            </w:r>
            <w:r w:rsidR="00FF4A82" w:rsidRPr="007073CD">
              <w:rPr>
                <w:rFonts w:cs="Tahoma"/>
                <w:b/>
                <w:sz w:val="18"/>
                <w:szCs w:val="18"/>
              </w:rPr>
              <w:t>393</w:t>
            </w:r>
          </w:p>
        </w:tc>
        <w:tc>
          <w:tcPr>
            <w:tcW w:w="1134" w:type="dxa"/>
            <w:tcBorders>
              <w:top w:val="single" w:sz="6" w:space="0" w:color="000000"/>
              <w:bottom w:val="single" w:sz="4" w:space="0" w:color="auto"/>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0,000</w:t>
            </w:r>
          </w:p>
        </w:tc>
        <w:tc>
          <w:tcPr>
            <w:tcW w:w="1134" w:type="dxa"/>
            <w:tcBorders>
              <w:top w:val="single" w:sz="6" w:space="0" w:color="000000"/>
              <w:bottom w:val="single" w:sz="4" w:space="0" w:color="auto"/>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0,000</w:t>
            </w:r>
          </w:p>
        </w:tc>
        <w:tc>
          <w:tcPr>
            <w:tcW w:w="1134" w:type="dxa"/>
            <w:tcBorders>
              <w:top w:val="single" w:sz="6" w:space="0" w:color="000000"/>
              <w:bottom w:val="single" w:sz="4" w:space="0" w:color="auto"/>
              <w:right w:val="single" w:sz="4" w:space="0" w:color="auto"/>
            </w:tcBorders>
            <w:shd w:val="clear" w:color="auto" w:fill="D9D9D9"/>
            <w:vAlign w:val="bottom"/>
          </w:tcPr>
          <w:p w:rsidR="00631EAB" w:rsidRPr="007073CD" w:rsidRDefault="002032DF" w:rsidP="00637E16">
            <w:pPr>
              <w:spacing w:before="100" w:beforeAutospacing="1" w:after="100" w:afterAutospacing="1" w:line="240" w:lineRule="auto"/>
              <w:jc w:val="right"/>
              <w:rPr>
                <w:rFonts w:cs="Tahoma"/>
                <w:b/>
                <w:bCs/>
                <w:kern w:val="28"/>
                <w:sz w:val="18"/>
                <w:szCs w:val="18"/>
              </w:rPr>
            </w:pPr>
            <w:r w:rsidRPr="007073CD">
              <w:rPr>
                <w:rFonts w:cs="Tahoma"/>
                <w:b/>
                <w:sz w:val="18"/>
                <w:szCs w:val="18"/>
              </w:rPr>
              <w:t>0,000</w:t>
            </w:r>
          </w:p>
        </w:tc>
      </w:tr>
    </w:tbl>
    <w:p w:rsidR="00490463" w:rsidRDefault="00490463" w:rsidP="0072543A">
      <w:pPr>
        <w:sectPr w:rsidR="00490463" w:rsidSect="00C90180">
          <w:headerReference w:type="default" r:id="rId34"/>
          <w:footerReference w:type="default" r:id="rId35"/>
          <w:footnotePr>
            <w:pos w:val="beneathText"/>
          </w:footnotePr>
          <w:pgSz w:w="16837" w:h="11905" w:orient="landscape" w:code="9"/>
          <w:pgMar w:top="1418" w:right="1491" w:bottom="1134" w:left="1134" w:header="709" w:footer="215" w:gutter="0"/>
          <w:cols w:space="708"/>
          <w:docGrid w:linePitch="360"/>
        </w:sectPr>
      </w:pPr>
    </w:p>
    <w:p w:rsidR="00E32708" w:rsidRDefault="00E32708" w:rsidP="0072543A">
      <w:r>
        <w:t>Celkové náklady na zajištění provozuschopnosti prostřednictvím údržby a oprav v rámci varianty Bez projektu dosahují výše 1,</w:t>
      </w:r>
      <w:r w:rsidR="00334BAD">
        <w:t>7</w:t>
      </w:r>
      <w:r w:rsidR="00FF4A82">
        <w:t>06</w:t>
      </w:r>
      <w:r w:rsidR="00334BAD">
        <w:t xml:space="preserve"> </w:t>
      </w:r>
      <w:r w:rsidR="00FF4A82">
        <w:t>972</w:t>
      </w:r>
      <w:r>
        <w:t xml:space="preserve"> mld. Kč (CÚ 201</w:t>
      </w:r>
      <w:r w:rsidR="00F9023E">
        <w:t>3</w:t>
      </w:r>
      <w:r w:rsidR="00513D3C">
        <w:t>, bez DPH</w:t>
      </w:r>
      <w:r>
        <w:t xml:space="preserve">) </w:t>
      </w:r>
      <w:r w:rsidRPr="000E34DE">
        <w:rPr>
          <w:b/>
        </w:rPr>
        <w:t>rozloženě</w:t>
      </w:r>
      <w:r>
        <w:t xml:space="preserve"> v letech 2014 až 2043.</w:t>
      </w:r>
      <w:r w:rsidR="00425B22">
        <w:t xml:space="preserve"> Sumy za jednotlivé profese jsou následující:</w:t>
      </w:r>
    </w:p>
    <w:p w:rsidR="00425B22" w:rsidRDefault="006A012F" w:rsidP="00E32708">
      <w:r>
        <w:t>ž</w:t>
      </w:r>
      <w:r w:rsidR="00425B22">
        <w:t>elezniční svršek a spodek</w:t>
      </w:r>
      <w:r w:rsidR="00425B22">
        <w:tab/>
      </w:r>
      <w:r w:rsidR="00425B22">
        <w:tab/>
      </w:r>
      <w:r w:rsidR="00334BAD">
        <w:t>590,807</w:t>
      </w:r>
      <w:r w:rsidR="00425B22">
        <w:t xml:space="preserve"> mil. Kč</w:t>
      </w:r>
      <w:r>
        <w:t>,</w:t>
      </w:r>
    </w:p>
    <w:p w:rsidR="00425B22" w:rsidRDefault="006A012F" w:rsidP="00E32708">
      <w:r>
        <w:t>m</w:t>
      </w:r>
      <w:r w:rsidR="00425B22">
        <w:t>osty</w:t>
      </w:r>
      <w:r w:rsidR="00425B22">
        <w:tab/>
      </w:r>
      <w:r w:rsidR="00425B22">
        <w:tab/>
      </w:r>
      <w:r w:rsidR="00425B22">
        <w:tab/>
      </w:r>
      <w:r w:rsidR="00425B22">
        <w:tab/>
      </w:r>
      <w:r w:rsidR="00425B22">
        <w:tab/>
      </w:r>
      <w:r w:rsidR="00334BAD">
        <w:t>192,161</w:t>
      </w:r>
      <w:r w:rsidR="00425B22">
        <w:t xml:space="preserve"> mil. Kč</w:t>
      </w:r>
      <w:r>
        <w:t>,</w:t>
      </w:r>
    </w:p>
    <w:p w:rsidR="00425B22" w:rsidRDefault="006A012F" w:rsidP="00E32708">
      <w:r>
        <w:t>t</w:t>
      </w:r>
      <w:r w:rsidR="00425B22">
        <w:t>rakce</w:t>
      </w:r>
      <w:r w:rsidR="00425B22">
        <w:tab/>
      </w:r>
      <w:r w:rsidR="00425B22">
        <w:tab/>
      </w:r>
      <w:r w:rsidR="00425B22">
        <w:tab/>
      </w:r>
      <w:r w:rsidR="00425B22">
        <w:tab/>
      </w:r>
      <w:r w:rsidR="00425B22">
        <w:tab/>
      </w:r>
      <w:r w:rsidR="00334BAD">
        <w:t>205,665</w:t>
      </w:r>
      <w:r w:rsidR="00425B22">
        <w:t xml:space="preserve"> mil. Kč</w:t>
      </w:r>
      <w:r>
        <w:t>,</w:t>
      </w:r>
    </w:p>
    <w:p w:rsidR="00425B22" w:rsidRDefault="006A012F" w:rsidP="00E32708">
      <w:r>
        <w:t>z</w:t>
      </w:r>
      <w:r w:rsidR="00425B22">
        <w:t>abezpečovací a sdělovací zařízení</w:t>
      </w:r>
      <w:r w:rsidR="00425B22">
        <w:tab/>
      </w:r>
      <w:r w:rsidR="00334BAD">
        <w:t>71</w:t>
      </w:r>
      <w:r w:rsidR="00FF4A82">
        <w:t>3</w:t>
      </w:r>
      <w:r w:rsidR="00334BAD">
        <w:t>,</w:t>
      </w:r>
      <w:r w:rsidR="00FF4A82">
        <w:t>122</w:t>
      </w:r>
      <w:r w:rsidR="00425B22">
        <w:t xml:space="preserve"> mil. Kč</w:t>
      </w:r>
      <w:r>
        <w:t>,</w:t>
      </w:r>
    </w:p>
    <w:p w:rsidR="00425B22" w:rsidRDefault="006A012F" w:rsidP="00E32708">
      <w:r>
        <w:t>e</w:t>
      </w:r>
      <w:r w:rsidR="00425B22">
        <w:t>lektrická zařízení</w:t>
      </w:r>
      <w:r w:rsidR="00425B22">
        <w:tab/>
      </w:r>
      <w:r w:rsidR="00425B22">
        <w:tab/>
      </w:r>
      <w:r w:rsidR="00425B22">
        <w:tab/>
      </w:r>
      <w:r w:rsidR="00334BAD">
        <w:t>5,217</w:t>
      </w:r>
      <w:r w:rsidR="00425B22">
        <w:t xml:space="preserve"> mil. Kč</w:t>
      </w:r>
      <w:r>
        <w:t>.</w:t>
      </w:r>
    </w:p>
    <w:p w:rsidR="00E67C13" w:rsidRPr="006012C1" w:rsidRDefault="00E67C13" w:rsidP="00E67C13">
      <w:pPr>
        <w:pStyle w:val="Nadpis3"/>
        <w:tabs>
          <w:tab w:val="clear" w:pos="851"/>
          <w:tab w:val="clear" w:pos="8234"/>
          <w:tab w:val="num" w:pos="720"/>
          <w:tab w:val="left" w:pos="902"/>
        </w:tabs>
        <w:ind w:left="720"/>
      </w:pPr>
      <w:r w:rsidRPr="006012C1">
        <w:t>Organizace údržby a oprav</w:t>
      </w:r>
    </w:p>
    <w:p w:rsidR="00251B77" w:rsidRPr="006012C1" w:rsidRDefault="00E67C13" w:rsidP="00E67C13">
      <w:r w:rsidRPr="006012C1">
        <w:t>Organizaci údržby a oprav zajišťuje Správa železniční dopravní cesty, státní organizace. Tato činnost je</w:t>
      </w:r>
      <w:r w:rsidR="00251B77" w:rsidRPr="006012C1">
        <w:t xml:space="preserve"> mj. zákonnou povinností, respektive je prováděna na základě:</w:t>
      </w:r>
    </w:p>
    <w:p w:rsidR="00251B77" w:rsidRPr="006012C1" w:rsidRDefault="00251B77" w:rsidP="00251B77">
      <w:r w:rsidRPr="006012C1">
        <w:t xml:space="preserve">- ustanovení zákona o dráhách a příslušných vyhlášek Ministerstva dopravy ČR </w:t>
      </w:r>
    </w:p>
    <w:p w:rsidR="00251B77" w:rsidRPr="006012C1" w:rsidRDefault="00251B77" w:rsidP="00251B77">
      <w:r w:rsidRPr="006012C1">
        <w:t xml:space="preserve">- ustanovení příslušných vnitřních předpisů SŽDC </w:t>
      </w:r>
    </w:p>
    <w:p w:rsidR="00251B77" w:rsidRPr="006012C1" w:rsidRDefault="00251B77" w:rsidP="00E67C13">
      <w:r w:rsidRPr="006012C1">
        <w:t>- momentální potřeby, tzn. na základě provozní situace a výsledků dohledací a kontrolní činnosti.</w:t>
      </w:r>
    </w:p>
    <w:p w:rsidR="00251B77" w:rsidRPr="006012C1" w:rsidRDefault="00E67C13" w:rsidP="00251B77">
      <w:r w:rsidRPr="006012C1">
        <w:t>Prováděna je vlastními zaměstnanci nebo dodavatelsky. Externím dodavatelům jsou zadávány obvykle ty činnosti, na které příslušná jednotka SŽDC nemá kapacity.</w:t>
      </w:r>
      <w:r w:rsidR="00251B77" w:rsidRPr="006012C1">
        <w:t xml:space="preserve"> Minimální rozsah kontrol je dán Vyhláškou 177/1995 Sb., kterou se vydává stavební a technický řád drah a také Předpisem S2/3 – Organizace a provádění kontrol tratích Českých drah, který se v současné době novelizuje. Další kontroly, nad rámec těchto dokumentů, se provádějí na základě vnitřních opatření odborné správy, případně Oblastního ředitelství. </w:t>
      </w:r>
    </w:p>
    <w:p w:rsidR="00E67C13" w:rsidRPr="006012C1" w:rsidRDefault="00251B77" w:rsidP="00251B77">
      <w:r w:rsidRPr="006012C1">
        <w:t>Dohlédací a kontrolní činnost je prováděna pravidelnými obchůzkami, kontrolními jízdami, prohlídkami a měřením parametrů železniční infrastruktury měřícím vozem, měřící drezínou, případně ručními měřícími prostředky.</w:t>
      </w:r>
    </w:p>
    <w:p w:rsidR="00E67C13" w:rsidRPr="006012C1" w:rsidRDefault="00236822" w:rsidP="00E67C13">
      <w:r w:rsidRPr="006012C1">
        <w:t>Úsek Pardubice hl. n. – Hradec Králové hl. n. územně spadá</w:t>
      </w:r>
      <w:r w:rsidR="00E67C13" w:rsidRPr="006012C1">
        <w:t xml:space="preserve"> do působnosti Správy železniční dopravní cesty, státní organizace, Oblastního ředitelství Hradec Králové se sídlem U Fotochemy 259, 501 01 Hradec Králové. Oblastní ředitelství Hradec Králové zajišťuje provozuschopnost tratí (údržbu a opravy železniční dopravní cesty), správu movitého a nemovitého majetku a další činnosti související s předmětem podnikání Správy železniční dopravní cesty, státní organizace, na území přibližně Pardubického kraje, Královéhradeckého kraje a Libereckého kraje. Řešený úsek spadá z části pod provozní obvod Pardubice hl. n. a zčásti pod provozní obvod Hradec Králové hl. n.</w:t>
      </w:r>
    </w:p>
    <w:p w:rsidR="00E67C13" w:rsidRPr="006012C1" w:rsidRDefault="00E67C13" w:rsidP="00E67C13">
      <w:r w:rsidRPr="006012C1">
        <w:t>Organizace údržby a oprav jednotlivých zařízení je členěna na následující správy:</w:t>
      </w:r>
    </w:p>
    <w:p w:rsidR="00631EAB" w:rsidRDefault="00E67C13" w:rsidP="00D20948">
      <w:pPr>
        <w:numPr>
          <w:ilvl w:val="0"/>
          <w:numId w:val="39"/>
        </w:numPr>
        <w:spacing w:before="120" w:after="120"/>
      </w:pPr>
      <w:r w:rsidRPr="006012C1">
        <w:t>Správa tratí (údržba a opravy železničního svršku a spodku) – zajišťuje kontrolní a dohlédací činnost a základní údržbu kolejí a výhybek. Kontrolní a dohlédací činnost zajišťují obvykle vlastní zaměstnanci, základní údržba kolejí a výhybek je zajišťována jak vlastními zaměstnanci, tak dodavatelsky.</w:t>
      </w:r>
    </w:p>
    <w:p w:rsidR="00E67C13" w:rsidRPr="006012C1" w:rsidRDefault="00E67C13" w:rsidP="00E67C13">
      <w:pPr>
        <w:ind w:left="720"/>
      </w:pPr>
      <w:r w:rsidRPr="006012C1">
        <w:t>Zaměstnanci traťového okrsku jsou vybaveni měřícími pomůckami (např. rozchodky), běžným ručním nářadím pro údržbu kolejí a výhybek (podbijáky, vidle na štěrk, lopaty, klíče na upevňovadla, hydraulické zvedáky), drobnými mechanizačními prostředky (vrtačky na kolejnice a pražce, motorové zatáčečky, motorová a elektrická podbíjecí kladiva, svářečky, křovinořezy, pily, sekačky trávy), kolejovou mechanizací pro přepravu osob a nákladů (MUV s přívěsnými vozíky) a silničními vozidly pro přepravu osob a nákladů.</w:t>
      </w:r>
    </w:p>
    <w:p w:rsidR="00631EAB" w:rsidRDefault="00E67C13" w:rsidP="00D20948">
      <w:pPr>
        <w:numPr>
          <w:ilvl w:val="0"/>
          <w:numId w:val="39"/>
        </w:numPr>
        <w:spacing w:before="120" w:after="120"/>
      </w:pPr>
      <w:r w:rsidRPr="006012C1">
        <w:t>Správa elektrotechniky a energetiky organizuje a provádí údržbu určených technických zařízení elektrických tj. kvalifikované činnosti v oboru silnoproudé elektrotechniky pro nízké napětí do 1000V 50Hz, vysoké napětí  6kV pro napájení zabezpečovacího zařízení, vysokého napětí 22kV 50Hz lokální distribuční soustavy železniční a stejnosměrné trakční proudové soustavy 3kV DC. Základní povinností je zajištění bezpečného a spolehlivého provozu těchto zařízení. Činnost je zajišťována vlastními zaměstnanci, správa trakčního vedení je vybavena standardním montážním vozem pro údržbu a opravy trakčního vedení.</w:t>
      </w:r>
    </w:p>
    <w:p w:rsidR="00631EAB" w:rsidRDefault="00E67C13" w:rsidP="00D20948">
      <w:pPr>
        <w:numPr>
          <w:ilvl w:val="0"/>
          <w:numId w:val="39"/>
        </w:numPr>
        <w:spacing w:before="120" w:after="120"/>
        <w:rPr>
          <w:sz w:val="22"/>
        </w:rPr>
      </w:pPr>
      <w:r w:rsidRPr="006012C1">
        <w:t>Správa sdělovací a zabezpečovací techniky organizuje a provádí údržbu určených technických zařízení elektrických zabezpečovacích zařízení, jejichž elektrické obvody plní funkci přímého zajišťování bezpečnosti drážní dopravy dle Vyhlášky č.100/1995 Sb. a sdělovacích zařízení tj. telekomunikačních, rozhlasových, hodinových, informačních a zařízení EPS, EZS. Veškerá údržba je prováděna vlastními zaměstnanci, větší opravy dodavatelsky.</w:t>
      </w:r>
    </w:p>
    <w:p w:rsidR="00631EAB" w:rsidRDefault="00E67C13" w:rsidP="00D20948">
      <w:pPr>
        <w:numPr>
          <w:ilvl w:val="0"/>
          <w:numId w:val="39"/>
        </w:numPr>
        <w:spacing w:before="120" w:after="120"/>
      </w:pPr>
      <w:r w:rsidRPr="006012C1">
        <w:t>Správa mostů a tunelů zajišťuje veškerou údržbu a opravy na mostních objektech a tunelech. Činnost je zajišťována vlastními dodavatelsky dle Rámcové smlouvy.</w:t>
      </w:r>
    </w:p>
    <w:p w:rsidR="00631EAB" w:rsidRDefault="00E67C13" w:rsidP="00D20948">
      <w:pPr>
        <w:numPr>
          <w:ilvl w:val="0"/>
          <w:numId w:val="39"/>
        </w:numPr>
        <w:spacing w:before="120" w:after="120"/>
      </w:pPr>
      <w:r w:rsidRPr="006012C1">
        <w:t>Správa budov a bytového hospodářství v rámci obvodu má ve správě nástupiště, přístřešky, stavědla, trafostanice, výhybkářské budky. Činnost je zajišťována vlastními zaměstnanci nebo dodavatelsky.</w:t>
      </w:r>
    </w:p>
    <w:p w:rsidR="00251B77" w:rsidRPr="006012C1" w:rsidRDefault="00251B77" w:rsidP="0059693F">
      <w:pPr>
        <w:spacing w:before="120" w:after="120"/>
      </w:pPr>
      <w:r w:rsidRPr="006012C1">
        <w:t>V nepředvídaných situacích, vedoucích až k zatarasení tratě, je zaváděna, stejně jako pří provádění plánované výlukové činnosti, náhradní autobusová doprava, kterou zajišťují nasmlouvaní dopravci. V těchto případech se na odstranění následků mimořádných událostí nebo kalamitních stavů, podílejí vedle zaměstnanců Oblastních ředitelství také pracovníci odborných firem.</w:t>
      </w:r>
    </w:p>
    <w:p w:rsidR="00251B77" w:rsidRPr="006012C1" w:rsidRDefault="00251B77" w:rsidP="0059693F">
      <w:pPr>
        <w:spacing w:before="120" w:after="120"/>
      </w:pPr>
      <w:r w:rsidRPr="006012C1">
        <w:t>Odstraňování poruch na železniční infrastruktuře ve správě SŽDC zajišťují v pracovní době provozní střediska, případně externí dodavatelé, u kterých má Oblastní ředitelství nasmlouvanou pravidelnou údržbu. Pro případ odstraňování poruch v mimopracovní době má každé Oblastní ředitelství vypracován systém pohotovostních služeb tak, aby byla co nejméně narušena plynulost železniční dopravy.</w:t>
      </w:r>
    </w:p>
    <w:p w:rsidR="00E67C13" w:rsidRPr="006012C1" w:rsidRDefault="00E67C13" w:rsidP="00E67C13">
      <w:r w:rsidRPr="006012C1">
        <w:t>Systém organizace údržby a oprav bude přiměřeně shodný pro variantu s projektem i variantu bez projektu. Výhledový rozsah činností bude záviset na vybrané variantě a rozsahu technického řešení.</w:t>
      </w:r>
    </w:p>
    <w:p w:rsidR="005D32E5" w:rsidRDefault="005D32E5">
      <w:pPr>
        <w:suppressAutoHyphens w:val="0"/>
        <w:spacing w:before="0" w:after="0" w:line="240" w:lineRule="auto"/>
        <w:jc w:val="left"/>
        <w:rPr>
          <w:rFonts w:cs="Arial"/>
          <w:b/>
          <w:bCs/>
          <w:iCs/>
          <w:sz w:val="28"/>
          <w:szCs w:val="28"/>
        </w:rPr>
      </w:pPr>
      <w:bookmarkStart w:id="68" w:name="_Toc222625055"/>
      <w:bookmarkStart w:id="69" w:name="_Toc280085780"/>
      <w:bookmarkStart w:id="70" w:name="_Ref323193179"/>
      <w:bookmarkStart w:id="71" w:name="_Ref323193181"/>
      <w:bookmarkEnd w:id="57"/>
      <w:r>
        <w:br w:type="page"/>
      </w:r>
    </w:p>
    <w:p w:rsidR="00CB1F22" w:rsidRPr="00D7005E" w:rsidRDefault="00CB1F22" w:rsidP="00D7005E">
      <w:pPr>
        <w:pStyle w:val="Nadpis2"/>
      </w:pPr>
      <w:bookmarkStart w:id="72" w:name="_Ref386564269"/>
      <w:bookmarkStart w:id="73" w:name="_Ref386564354"/>
      <w:bookmarkStart w:id="74" w:name="_Ref386564381"/>
      <w:bookmarkStart w:id="75" w:name="_Ref386564493"/>
      <w:bookmarkStart w:id="76" w:name="_Ref386564505"/>
      <w:bookmarkStart w:id="77" w:name="_Toc390958694"/>
      <w:r w:rsidRPr="00D7005E">
        <w:t>Varianta projektová</w:t>
      </w:r>
      <w:bookmarkEnd w:id="68"/>
      <w:r w:rsidR="002E3738" w:rsidRPr="00D7005E">
        <w:t xml:space="preserve"> M</w:t>
      </w:r>
      <w:r w:rsidRPr="00D7005E">
        <w:t>inimální</w:t>
      </w:r>
      <w:bookmarkEnd w:id="69"/>
      <w:bookmarkEnd w:id="70"/>
      <w:bookmarkEnd w:id="71"/>
      <w:bookmarkEnd w:id="72"/>
      <w:bookmarkEnd w:id="73"/>
      <w:bookmarkEnd w:id="74"/>
      <w:bookmarkEnd w:id="75"/>
      <w:bookmarkEnd w:id="76"/>
      <w:bookmarkEnd w:id="77"/>
    </w:p>
    <w:p w:rsidR="00CB1F22" w:rsidRDefault="00CB1F22" w:rsidP="00377828">
      <w:pPr>
        <w:pStyle w:val="Nadpis3"/>
        <w:ind w:left="709"/>
      </w:pPr>
      <w:r>
        <w:t>Souhrnná specifikace varianty</w:t>
      </w:r>
    </w:p>
    <w:p w:rsidR="002C2746" w:rsidRPr="00D43BC8" w:rsidRDefault="002C2746" w:rsidP="002C2746">
      <w:r>
        <w:t>Minimální projektová varianta pře</w:t>
      </w:r>
      <w:r w:rsidR="002A0E3A">
        <w:t xml:space="preserve">dpokládá investice do </w:t>
      </w:r>
      <w:r>
        <w:t>nových částí infrastruktury za účelem alespoň částečného zlepšení stávajícího stavu (především z hlediska bezpečnosti a komfortu cestujících) při minimalizaci nákladů. Tato varianta spočívá v uvedení traťových úseků do tzv. normového stavu (především z hlediska parametrů nástupišť a přístupů k nim, třídy zatížení, prostorové průchodnosti). V celém úseku zůstává trať jednokolejná (a přirozeně i elektrizovaná 3kV stejnosměrnou napěťovou soustavou), dokompletováno je v celé délce traťové zabezpečení prostřednictvím automatického hradla</w:t>
      </w:r>
      <w:r w:rsidR="002A0E3A">
        <w:t>,</w:t>
      </w:r>
      <w:r>
        <w:t xml:space="preserve"> a jinak trať odpovídá stávajícím rychlostním a kapacitním parametrům. Součástí této varianty nejsou žádná řešení staveb dle jiných již zpracovaných projektových dokumentací.</w:t>
      </w:r>
    </w:p>
    <w:p w:rsidR="00CB1F22" w:rsidRDefault="00CB1F22" w:rsidP="00377828">
      <w:pPr>
        <w:pStyle w:val="Nadpis3"/>
        <w:ind w:left="709"/>
      </w:pPr>
      <w:bookmarkStart w:id="78" w:name="_Ref280195884"/>
      <w:r>
        <w:t>Popis jednotlivých úseků</w:t>
      </w:r>
      <w:bookmarkEnd w:id="78"/>
    </w:p>
    <w:p w:rsidR="002C2746" w:rsidRDefault="00860136" w:rsidP="00CB1F22">
      <w:pPr>
        <w:pStyle w:val="Nadpis4"/>
        <w:rPr>
          <w:b/>
          <w:bCs w:val="0"/>
          <w:sz w:val="22"/>
        </w:rPr>
      </w:pPr>
      <w:r>
        <w:rPr>
          <w:b/>
          <w:bCs w:val="0"/>
          <w:sz w:val="22"/>
        </w:rPr>
        <w:t>Pardu</w:t>
      </w:r>
      <w:r w:rsidR="002C2746">
        <w:rPr>
          <w:b/>
          <w:bCs w:val="0"/>
          <w:sz w:val="22"/>
        </w:rPr>
        <w:t>bice hl. n. (mimo) – Pardubice-Rosice nad Labem (včetně)</w:t>
      </w:r>
    </w:p>
    <w:p w:rsidR="002C2746" w:rsidRDefault="002C2746" w:rsidP="002C2746">
      <w:r>
        <w:t xml:space="preserve">Kolejiště </w:t>
      </w:r>
      <w:r w:rsidRPr="00092F1A">
        <w:rPr>
          <w:u w:val="single"/>
        </w:rPr>
        <w:t>žst. Pardubice hl. n.</w:t>
      </w:r>
      <w:r>
        <w:t xml:space="preserve"> bude řešeno optimalizací průjezdu stanicí v rámci dokompletování tzv. „koridorizace“ (stanice leží na souběhu I. a III. TŽK), z hlediska investic nebudou úpravy stanice součástí stavby Hradec Králové – Pardubice. </w:t>
      </w:r>
      <w:r w:rsidR="00B14ABF">
        <w:t xml:space="preserve">Úpravy v rámci </w:t>
      </w:r>
      <w:r w:rsidR="008A0C45">
        <w:t>obou</w:t>
      </w:r>
      <w:r w:rsidR="00B14ABF">
        <w:t xml:space="preserve"> projektových variant této studie proveditelnosti začínají tedy až v km 1,505 (kilometrická poloha vjezdového návěstidla žst. Pardubice hl. n. ve směru od Rosic).</w:t>
      </w:r>
      <w:r w:rsidR="002A0E3A">
        <w:t xml:space="preserve"> </w:t>
      </w:r>
    </w:p>
    <w:tbl>
      <w:tblPr>
        <w:tblpPr w:leftFromText="141" w:rightFromText="141" w:vertAnchor="text" w:horzAnchor="margin" w:tblpX="108" w:tblpY="21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22"/>
      </w:tblGrid>
      <w:tr w:rsidR="005D32E5" w:rsidTr="00D030B0">
        <w:tc>
          <w:tcPr>
            <w:tcW w:w="9322" w:type="dxa"/>
          </w:tcPr>
          <w:p w:rsidR="005D32E5" w:rsidRDefault="005D32E5" w:rsidP="00D030B0">
            <w:pPr>
              <w:jc w:val="center"/>
            </w:pPr>
            <w:r>
              <w:rPr>
                <w:noProof/>
                <w:lang w:eastAsia="cs-CZ"/>
              </w:rPr>
              <w:drawing>
                <wp:inline distT="0" distB="0" distL="0" distR="0" wp14:anchorId="551A9A34" wp14:editId="789A8F29">
                  <wp:extent cx="5324400" cy="2358000"/>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cstate="print"/>
                          <a:srcRect l="11277" t="25561" r="11373" b="25972"/>
                          <a:stretch/>
                        </pic:blipFill>
                        <pic:spPr bwMode="auto">
                          <a:xfrm>
                            <a:off x="0" y="0"/>
                            <a:ext cx="5324400" cy="2358000"/>
                          </a:xfrm>
                          <a:prstGeom prst="rect">
                            <a:avLst/>
                          </a:prstGeom>
                          <a:ln>
                            <a:noFill/>
                          </a:ln>
                          <a:extLst>
                            <a:ext uri="{53640926-AAD7-44D8-BBD7-CCE9431645EC}">
                              <a14:shadowObscured xmlns:a14="http://schemas.microsoft.com/office/drawing/2010/main"/>
                            </a:ext>
                          </a:extLst>
                        </pic:spPr>
                      </pic:pic>
                    </a:graphicData>
                  </a:graphic>
                </wp:inline>
              </w:drawing>
            </w:r>
          </w:p>
        </w:tc>
      </w:tr>
      <w:tr w:rsidR="005D32E5" w:rsidTr="00D030B0">
        <w:tc>
          <w:tcPr>
            <w:tcW w:w="9322" w:type="dxa"/>
          </w:tcPr>
          <w:p w:rsidR="005D32E5" w:rsidRDefault="005D32E5" w:rsidP="00C65DA3">
            <w:pPr>
              <w:pStyle w:val="Titulek"/>
            </w:pPr>
            <w:bookmarkStart w:id="79" w:name="_Toc390958812"/>
            <w:r w:rsidRPr="0061341E">
              <w:t xml:space="preserve">Obr. </w:t>
            </w:r>
            <w:r w:rsidRPr="0061341E">
              <w:fldChar w:fldCharType="begin"/>
            </w:r>
            <w:r w:rsidRPr="0061341E">
              <w:instrText xml:space="preserve"> STYLEREF 1 \s </w:instrText>
            </w:r>
            <w:r w:rsidRPr="0061341E">
              <w:fldChar w:fldCharType="separate"/>
            </w:r>
            <w:r w:rsidR="003843F3">
              <w:rPr>
                <w:noProof/>
              </w:rPr>
              <w:t>3</w:t>
            </w:r>
            <w:r w:rsidRPr="0061341E">
              <w:fldChar w:fldCharType="end"/>
            </w:r>
            <w:r w:rsidRPr="0061341E">
              <w:noBreakHyphen/>
            </w:r>
            <w:r w:rsidRPr="0061341E">
              <w:fldChar w:fldCharType="begin"/>
            </w:r>
            <w:r w:rsidRPr="0061341E">
              <w:instrText xml:space="preserve"> SEQ Obr. \* ARABIC \s 1 </w:instrText>
            </w:r>
            <w:r w:rsidRPr="0061341E">
              <w:fldChar w:fldCharType="separate"/>
            </w:r>
            <w:r w:rsidR="003843F3">
              <w:rPr>
                <w:noProof/>
              </w:rPr>
              <w:t>6</w:t>
            </w:r>
            <w:r w:rsidRPr="0061341E">
              <w:fldChar w:fldCharType="end"/>
            </w:r>
            <w:r w:rsidRPr="0061341E">
              <w:t>: Schéma úseku Pardubice hl. n. – Pardubice-Rosice nad Labem (var. MIN)</w:t>
            </w:r>
            <w:bookmarkEnd w:id="79"/>
          </w:p>
        </w:tc>
      </w:tr>
    </w:tbl>
    <w:p w:rsidR="00B14ABF" w:rsidRDefault="00B14ABF" w:rsidP="002C2746">
      <w:r>
        <w:t xml:space="preserve">Celý úsek </w:t>
      </w:r>
      <w:r w:rsidRPr="00B14ABF">
        <w:rPr>
          <w:b/>
        </w:rPr>
        <w:t>od km 1,505 do km 4,000</w:t>
      </w:r>
      <w:r w:rsidR="00F84643">
        <w:t xml:space="preserve"> zůstává</w:t>
      </w:r>
      <w:r>
        <w:t xml:space="preserve"> jednokolejný</w:t>
      </w:r>
      <w:r w:rsidR="00F84643">
        <w:t xml:space="preserve"> s polohou traťové koleje </w:t>
      </w:r>
      <w:r w:rsidR="00DE36B2">
        <w:t xml:space="preserve">(mimo oblouk v km 3,375 až 3,638) striktně </w:t>
      </w:r>
      <w:r w:rsidR="00F84643">
        <w:t xml:space="preserve">ve stávající ose. </w:t>
      </w:r>
      <w:r w:rsidR="00F85C79">
        <w:t xml:space="preserve">Stav </w:t>
      </w:r>
      <w:r w:rsidR="00F84643">
        <w:t>nosné konstrukce železničního mostu přes Labe (střed mostu v km 2,189), která zůstane umístěna na stávajících pilířích</w:t>
      </w:r>
      <w:r w:rsidR="00F85C79">
        <w:t>, se díky dobrému technickému stavu předpokládá k řešení údržbou po celou dobu hodnotícího období</w:t>
      </w:r>
      <w:r w:rsidR="00F84643">
        <w:t xml:space="preserve">. Trať č. 238 je do trati č. 031 zapojena prostřednictvím nové výhybky 1:12-500. </w:t>
      </w:r>
    </w:p>
    <w:p w:rsidR="000D5163" w:rsidRDefault="00D75137" w:rsidP="002C2746">
      <w:r>
        <w:t xml:space="preserve">Polohy výměn ve vlastní </w:t>
      </w:r>
      <w:r w:rsidRPr="00D75137">
        <w:rPr>
          <w:u w:val="single"/>
        </w:rPr>
        <w:t>žst.</w:t>
      </w:r>
      <w:r w:rsidR="000D5163" w:rsidRPr="00D75137">
        <w:rPr>
          <w:u w:val="single"/>
        </w:rPr>
        <w:t xml:space="preserve"> Pardubice-Rosice nad Labem</w:t>
      </w:r>
      <w:r w:rsidR="000D5163">
        <w:t xml:space="preserve"> se předpokládají takřka beze změn, z hlediska počtu kolejí dochází ke snížení jejich počtu tím, že stávající kolej č. 3 bude vyjmuta, čímž uvolní prostor pro nové ostrovní nástupiště </w:t>
      </w:r>
      <w:r w:rsidR="005143FE">
        <w:t xml:space="preserve">(mezi kolejemi č. </w:t>
      </w:r>
      <w:smartTag w:uri="urn:schemas-microsoft-com:office:smarttags" w:element="metricconverter">
        <w:smartTagPr>
          <w:attr w:name="ProductID" w:val="1 a"/>
        </w:smartTagPr>
        <w:r w:rsidR="005143FE">
          <w:t>1 a</w:t>
        </w:r>
      </w:smartTag>
      <w:r w:rsidR="005143FE">
        <w:t xml:space="preserve"> 3 dle nového značení) </w:t>
      </w:r>
      <w:r w:rsidR="000D5163">
        <w:t>s</w:t>
      </w:r>
      <w:r w:rsidR="00334250">
        <w:t> mimoúrovňovým přístupem (prostřednictvím</w:t>
      </w:r>
      <w:r w:rsidR="000D5163">
        <w:t xml:space="preserve"> podchodu), výškou hrany </w:t>
      </w:r>
      <w:smartTag w:uri="urn:schemas-microsoft-com:office:smarttags" w:element="metricconverter">
        <w:smartTagPr>
          <w:attr w:name="ProductID" w:val="550 mm"/>
        </w:smartTagPr>
        <w:r w:rsidR="000D5163">
          <w:t>550 mm</w:t>
        </w:r>
      </w:smartTag>
      <w:r w:rsidR="000D5163">
        <w:t xml:space="preserve"> nad TK a délkou </w:t>
      </w:r>
      <w:smartTag w:uri="urn:schemas-microsoft-com:office:smarttags" w:element="metricconverter">
        <w:smartTagPr>
          <w:attr w:name="ProductID" w:val="170 m"/>
        </w:smartTagPr>
        <w:r w:rsidR="000D5163">
          <w:t>170 m</w:t>
        </w:r>
      </w:smartTag>
      <w:r w:rsidR="000D5163">
        <w:t xml:space="preserve">. </w:t>
      </w:r>
      <w:r w:rsidR="005143FE">
        <w:t xml:space="preserve">Další nové nástupiště je od výpravní budovy vnější u koleje č. 2, taktéž s výškou hrany </w:t>
      </w:r>
      <w:smartTag w:uri="urn:schemas-microsoft-com:office:smarttags" w:element="metricconverter">
        <w:smartTagPr>
          <w:attr w:name="ProductID" w:val="550 mm"/>
        </w:smartTagPr>
        <w:r w:rsidR="005143FE">
          <w:t>550 mm</w:t>
        </w:r>
      </w:smartTag>
      <w:r w:rsidR="005143FE">
        <w:t xml:space="preserve"> a délkou </w:t>
      </w:r>
      <w:smartTag w:uri="urn:schemas-microsoft-com:office:smarttags" w:element="metricconverter">
        <w:smartTagPr>
          <w:attr w:name="ProductID" w:val="170 m"/>
        </w:smartTagPr>
        <w:r w:rsidR="005143FE">
          <w:t>170 m</w:t>
        </w:r>
      </w:smartTag>
      <w:r w:rsidR="005143FE">
        <w:t>.</w:t>
      </w:r>
      <w:r w:rsidR="001A02BE">
        <w:t xml:space="preserve"> Délky nástupišť odpovídají předpokládaným délkám </w:t>
      </w:r>
      <w:r w:rsidR="00334250">
        <w:t xml:space="preserve">nejdelších </w:t>
      </w:r>
      <w:r w:rsidR="001A02BE">
        <w:t>zastavujících</w:t>
      </w:r>
      <w:r w:rsidR="00334250">
        <w:t xml:space="preserve"> vlaků</w:t>
      </w:r>
      <w:r w:rsidR="001A02BE">
        <w:t xml:space="preserve"> </w:t>
      </w:r>
      <w:r w:rsidR="00334250">
        <w:t xml:space="preserve">(tzn. </w:t>
      </w:r>
      <w:r w:rsidR="001A02BE">
        <w:t>rychlíků</w:t>
      </w:r>
      <w:r w:rsidR="00334250">
        <w:t>)</w:t>
      </w:r>
      <w:r w:rsidR="001A02BE">
        <w:t>.</w:t>
      </w:r>
      <w:r w:rsidR="004B2EF9">
        <w:t xml:space="preserve"> Předpokládá se instalace nového SZZ 3. kategorie (elektronické stavědlo) namísto stávajícího elektromechanického</w:t>
      </w:r>
      <w:r w:rsidR="00E32751">
        <w:t>, zároveň bude nahrazeno</w:t>
      </w:r>
      <w:r w:rsidR="00FB2585">
        <w:t xml:space="preserve"> současné traťové zabezpečovací zařízení 1. kategorie (telefonické dorozumívání) v úseku do Medlešic traťovým zabezpečovacím zařízením 3. kategorie, typ automatické hradlo s návěstním bodem</w:t>
      </w:r>
      <w:r w:rsidR="004B2EF9">
        <w:t xml:space="preserve">. Užitné délky kolejí zůstanou zachovány (až </w:t>
      </w:r>
      <w:smartTag w:uri="urn:schemas-microsoft-com:office:smarttags" w:element="metricconverter">
        <w:smartTagPr>
          <w:attr w:name="ProductID" w:val="560 m"/>
        </w:smartTagPr>
        <w:r w:rsidR="004B2EF9">
          <w:t>560 m</w:t>
        </w:r>
      </w:smartTag>
      <w:r w:rsidR="004B2EF9">
        <w:t xml:space="preserve"> v koleji č. 3 dle nového číslování), rychlost v koleji č. 1 zůstane </w:t>
      </w:r>
      <w:smartTag w:uri="urn:schemas-microsoft-com:office:smarttags" w:element="metricconverter">
        <w:smartTagPr>
          <w:attr w:name="ProductID" w:val="80 km/h"/>
        </w:smartTagPr>
        <w:r w:rsidR="004B2EF9">
          <w:t>80 km/h</w:t>
        </w:r>
      </w:smartTag>
      <w:r w:rsidR="00064FA8">
        <w:t xml:space="preserve"> (v oblouku mezi km 3,375 až 3,638 pouze </w:t>
      </w:r>
      <w:smartTag w:uri="urn:schemas-microsoft-com:office:smarttags" w:element="metricconverter">
        <w:smartTagPr>
          <w:attr w:name="ProductID" w:val="70 km/h"/>
        </w:smartTagPr>
        <w:r w:rsidR="00064FA8">
          <w:t>70 km/h</w:t>
        </w:r>
      </w:smartTag>
      <w:r w:rsidR="00064FA8">
        <w:t xml:space="preserve">, od km 3,655 dále pak traťových </w:t>
      </w:r>
      <w:smartTag w:uri="urn:schemas-microsoft-com:office:smarttags" w:element="metricconverter">
        <w:smartTagPr>
          <w:attr w:name="ProductID" w:val="100 km/h"/>
        </w:smartTagPr>
        <w:r w:rsidR="00064FA8">
          <w:t>100 km/h</w:t>
        </w:r>
      </w:smartTag>
      <w:r w:rsidR="00064FA8">
        <w:t>)</w:t>
      </w:r>
      <w:r w:rsidR="004B2EF9">
        <w:t>, v</w:t>
      </w:r>
      <w:r w:rsidR="00064FA8">
        <w:t>e staničních</w:t>
      </w:r>
      <w:r w:rsidR="004B2EF9">
        <w:t xml:space="preserve"> kolejích č. </w:t>
      </w:r>
      <w:smartTag w:uri="urn:schemas-microsoft-com:office:smarttags" w:element="metricconverter">
        <w:smartTagPr>
          <w:attr w:name="ProductID" w:val="2 a"/>
        </w:smartTagPr>
        <w:r w:rsidR="004B2EF9">
          <w:t>2 a</w:t>
        </w:r>
      </w:smartTag>
      <w:r w:rsidR="004B2EF9">
        <w:t xml:space="preserve"> 3 bude </w:t>
      </w:r>
      <w:smartTag w:uri="urn:schemas-microsoft-com:office:smarttags" w:element="metricconverter">
        <w:smartTagPr>
          <w:attr w:name="ProductID" w:val="50 km/h"/>
        </w:smartTagPr>
        <w:r w:rsidR="004B2EF9">
          <w:t>50 km/h</w:t>
        </w:r>
      </w:smartTag>
      <w:r w:rsidR="004B2EF9">
        <w:t>.</w:t>
      </w:r>
    </w:p>
    <w:p w:rsidR="00A84F0B" w:rsidRDefault="00A84F0B" w:rsidP="00CB1F22">
      <w:pPr>
        <w:pStyle w:val="Nadpis4"/>
        <w:rPr>
          <w:b/>
          <w:bCs w:val="0"/>
          <w:sz w:val="22"/>
        </w:rPr>
      </w:pPr>
      <w:r>
        <w:rPr>
          <w:b/>
          <w:bCs w:val="0"/>
          <w:sz w:val="22"/>
        </w:rPr>
        <w:t>Pardubice-Rosice nad Labem</w:t>
      </w:r>
      <w:r w:rsidR="00CB1F22">
        <w:rPr>
          <w:b/>
          <w:bCs w:val="0"/>
          <w:sz w:val="22"/>
        </w:rPr>
        <w:t xml:space="preserve"> (mimo) – Stéblová (mimo)</w:t>
      </w:r>
    </w:p>
    <w:p w:rsidR="00A84F0B" w:rsidRDefault="0002643E" w:rsidP="00A84F0B">
      <w:r>
        <w:t xml:space="preserve">V mezistaničním úseku </w:t>
      </w:r>
      <w:r w:rsidRPr="0002643E">
        <w:rPr>
          <w:b/>
        </w:rPr>
        <w:t>od km 4,000 do km 8,160</w:t>
      </w:r>
      <w:r>
        <w:t xml:space="preserve"> se neuvažuje se směrovou ani výškovou úpravou trasy, počítá se ale s výměnou koleje, stabilizací železničního spodku, výměnou trakčního vedení, propustů, rekonstrukcí přejezdů a jejich doplněním o PZS a s instalací TZZ 3. kategorie pro</w:t>
      </w:r>
      <w:r w:rsidR="00B00555">
        <w:t>střednictvím automatického hradla</w:t>
      </w:r>
      <w:r>
        <w:t xml:space="preserve"> s návěstním bodem.</w:t>
      </w:r>
      <w:r w:rsidR="00064FA8">
        <w:t xml:space="preserve"> Traťová rychlost se předpokládá jako ve stávajícím stavu, čili </w:t>
      </w:r>
      <w:smartTag w:uri="urn:schemas-microsoft-com:office:smarttags" w:element="metricconverter">
        <w:smartTagPr>
          <w:attr w:name="ProductID" w:val="100 km/h"/>
        </w:smartTagPr>
        <w:r w:rsidR="00064FA8">
          <w:t>100 km/h</w:t>
        </w:r>
      </w:smartTag>
      <w:r w:rsidR="00064FA8">
        <w:t xml:space="preserve"> (teoretická možnost zvýšení na </w:t>
      </w:r>
      <w:smartTag w:uri="urn:schemas-microsoft-com:office:smarttags" w:element="metricconverter">
        <w:smartTagPr>
          <w:attr w:name="ProductID" w:val="120 km/h"/>
        </w:smartTagPr>
        <w:r w:rsidR="00064FA8">
          <w:t>120 km/h</w:t>
        </w:r>
      </w:smartTag>
      <w:r w:rsidR="00064FA8">
        <w:t xml:space="preserve"> by z hlediska GPK vyžadovala pouze úpravy hodnot převýšení v obloucích v km </w:t>
      </w:r>
      <w:r w:rsidR="00B00555">
        <w:t xml:space="preserve">4,988 až </w:t>
      </w:r>
      <w:smartTag w:uri="urn:schemas-microsoft-com:office:smarttags" w:element="metricconverter">
        <w:smartTagPr>
          <w:attr w:name="ProductID" w:val="6,077 a"/>
        </w:smartTagPr>
        <w:r w:rsidR="00B00555">
          <w:t>6,077 a</w:t>
        </w:r>
      </w:smartTag>
      <w:r w:rsidR="00B00555">
        <w:t xml:space="preserve"> 7,156 až 7,965 bez změn poloměrů, délek přechodnic a</w:t>
      </w:r>
      <w:r w:rsidR="00334250">
        <w:t>ni</w:t>
      </w:r>
      <w:r w:rsidR="00B00555">
        <w:t xml:space="preserve"> hodnot odsazení z důvodu dostatečných délek stávajících přechodnic</w:t>
      </w:r>
      <w:r w:rsidR="00064FA8">
        <w:t>).</w:t>
      </w:r>
    </w:p>
    <w:p w:rsidR="00CB1F22" w:rsidRDefault="00860136" w:rsidP="00CB1F22">
      <w:pPr>
        <w:pStyle w:val="Nadpis4"/>
        <w:rPr>
          <w:b/>
          <w:bCs w:val="0"/>
          <w:sz w:val="22"/>
        </w:rPr>
      </w:pPr>
      <w:r>
        <w:rPr>
          <w:b/>
          <w:bCs w:val="0"/>
          <w:sz w:val="22"/>
        </w:rPr>
        <w:t xml:space="preserve">Stéblová </w:t>
      </w:r>
      <w:r w:rsidR="009A672B">
        <w:rPr>
          <w:b/>
          <w:bCs w:val="0"/>
          <w:sz w:val="22"/>
        </w:rPr>
        <w:t xml:space="preserve">(včetně) </w:t>
      </w:r>
      <w:r>
        <w:rPr>
          <w:b/>
          <w:bCs w:val="0"/>
          <w:sz w:val="22"/>
        </w:rPr>
        <w:t>– Opatovice nad Labem</w:t>
      </w:r>
      <w:r w:rsidR="00CB1F22">
        <w:rPr>
          <w:b/>
          <w:bCs w:val="0"/>
          <w:sz w:val="22"/>
        </w:rPr>
        <w:t xml:space="preserve"> </w:t>
      </w:r>
      <w:r w:rsidR="009A672B">
        <w:rPr>
          <w:b/>
          <w:bCs w:val="0"/>
          <w:sz w:val="22"/>
        </w:rPr>
        <w:t>(včetně)</w:t>
      </w:r>
    </w:p>
    <w:p w:rsidR="009A672B" w:rsidRDefault="009A672B" w:rsidP="009A672B">
      <w:r>
        <w:t xml:space="preserve">V úseku </w:t>
      </w:r>
      <w:r>
        <w:rPr>
          <w:b/>
        </w:rPr>
        <w:t>od km 8,160 do km 17,92</w:t>
      </w:r>
      <w:r w:rsidRPr="0002643E">
        <w:rPr>
          <w:b/>
        </w:rPr>
        <w:t>0</w:t>
      </w:r>
      <w:r>
        <w:t xml:space="preserve"> se neuvažuje se směrovou ani výškovou</w:t>
      </w:r>
      <w:r w:rsidR="00875ABD">
        <w:t xml:space="preserve"> úpravou trasy, počítá se ale s </w:t>
      </w:r>
      <w:r>
        <w:t>výměnou koleje, stabilizací železničního spodku, výměnou trakčního vedení, propustů, rekonstrukcí</w:t>
      </w:r>
      <w:r w:rsidR="00B00555">
        <w:t xml:space="preserve"> mostů a </w:t>
      </w:r>
      <w:r>
        <w:t>přejezdů a jejich doplněním o PZS a s instalací TZZ 3. kategorie pro</w:t>
      </w:r>
      <w:r w:rsidR="00B00555">
        <w:t>střednictvím automatického hradla</w:t>
      </w:r>
      <w:r>
        <w:t xml:space="preserve"> s návěstním bodem.</w:t>
      </w:r>
      <w:r w:rsidR="00064FA8">
        <w:t xml:space="preserve"> Traťová rychlost se předpokládá jako ve stávajícím stavu, čili </w:t>
      </w:r>
      <w:smartTag w:uri="urn:schemas-microsoft-com:office:smarttags" w:element="metricconverter">
        <w:smartTagPr>
          <w:attr w:name="ProductID" w:val="100 km/h"/>
        </w:smartTagPr>
        <w:r w:rsidR="00064FA8">
          <w:t>100 km/h</w:t>
        </w:r>
      </w:smartTag>
      <w:r w:rsidR="00064FA8">
        <w:t xml:space="preserve"> (teoretická možnost zvýšení na </w:t>
      </w:r>
      <w:smartTag w:uri="urn:schemas-microsoft-com:office:smarttags" w:element="metricconverter">
        <w:smartTagPr>
          <w:attr w:name="ProductID" w:val="120 km/h"/>
        </w:smartTagPr>
        <w:r w:rsidR="00064FA8">
          <w:t>120 km/h</w:t>
        </w:r>
      </w:smartTag>
      <w:r w:rsidR="00064FA8">
        <w:t xml:space="preserve"> by z hlediska GPK nevyžadovala již žádné další úpravy).</w:t>
      </w:r>
    </w:p>
    <w:p w:rsidR="003F1C55" w:rsidRDefault="000E34DE" w:rsidP="009A672B">
      <w:r w:rsidRPr="000E34DE">
        <w:t xml:space="preserve">Konfigurace </w:t>
      </w:r>
      <w:r w:rsidRPr="00D75137">
        <w:rPr>
          <w:u w:val="single"/>
        </w:rPr>
        <w:t xml:space="preserve">žst. </w:t>
      </w:r>
      <w:r w:rsidR="003F1C55" w:rsidRPr="00D75137">
        <w:rPr>
          <w:u w:val="single"/>
        </w:rPr>
        <w:t>Stéblová</w:t>
      </w:r>
      <w:r w:rsidR="00833A84">
        <w:t xml:space="preserve"> se oproti stávajícímu stavu nemění nikterak zásadně. Poloha, užitné délky a rychlosti v kolejích č. </w:t>
      </w:r>
      <w:smartTag w:uri="urn:schemas-microsoft-com:office:smarttags" w:element="metricconverter">
        <w:smartTagPr>
          <w:attr w:name="ProductID" w:val="1 a"/>
        </w:smartTagPr>
        <w:r w:rsidR="00833A84">
          <w:t>1 a</w:t>
        </w:r>
      </w:smartTag>
      <w:r w:rsidR="00833A84">
        <w:t xml:space="preserve"> 2 zůstávají shodné se stávajícím stavem, kolej č. 4 se zkracuje o cca </w:t>
      </w:r>
      <w:smartTag w:uri="urn:schemas-microsoft-com:office:smarttags" w:element="metricconverter">
        <w:smartTagPr>
          <w:attr w:name="ProductID" w:val="200 m"/>
        </w:smartTagPr>
        <w:r w:rsidR="00833A84">
          <w:t>200 m</w:t>
        </w:r>
      </w:smartTag>
      <w:r w:rsidR="00833A84">
        <w:t xml:space="preserve"> s ohledem na umístění vnějšího nástupiště (délka </w:t>
      </w:r>
      <w:smartTag w:uri="urn:schemas-microsoft-com:office:smarttags" w:element="metricconverter">
        <w:smartTagPr>
          <w:attr w:name="ProductID" w:val="110 m"/>
        </w:smartTagPr>
        <w:r w:rsidR="00833A84">
          <w:t>110 m</w:t>
        </w:r>
      </w:smartTag>
      <w:r w:rsidR="00833A84">
        <w:t xml:space="preserve">, výška hrany </w:t>
      </w:r>
      <w:smartTag w:uri="urn:schemas-microsoft-com:office:smarttags" w:element="metricconverter">
        <w:smartTagPr>
          <w:attr w:name="ProductID" w:val="550 mm"/>
        </w:smartTagPr>
        <w:r w:rsidR="00833A84">
          <w:t>550 mm</w:t>
        </w:r>
      </w:smartTag>
      <w:r w:rsidR="00833A84">
        <w:t xml:space="preserve"> nad TK) u koleje č. 2. Příchod na toto nástupiště od výpravní budovy je prostřednictvím zabezpečeného železničního přejezdu v km 9,615. </w:t>
      </w:r>
      <w:r w:rsidR="00EB24DA">
        <w:t xml:space="preserve">U koleje č. 1 je zrcadlově umístěno taktéž vnější nástupiště shodných parametrů s výše uvedeným. </w:t>
      </w:r>
      <w:r w:rsidR="00833A84">
        <w:t>Kolej č. 6 se navrhuje ke zrušení.</w:t>
      </w:r>
    </w:p>
    <w:p w:rsidR="00833A84" w:rsidRDefault="00D75137" w:rsidP="009A672B">
      <w:r>
        <w:t xml:space="preserve">Zapojení traťových úseků do mezilehlé </w:t>
      </w:r>
      <w:r w:rsidRPr="00D75137">
        <w:rPr>
          <w:u w:val="single"/>
        </w:rPr>
        <w:t>žst. Opatovice nad Labem</w:t>
      </w:r>
      <w:r>
        <w:t xml:space="preserve"> zůstává z obou směrů jednokolejné, takže není nutné ve variantě Minimální zásadně měnit konfiguraci obou zhlaví stanice ani zapojení vleček či tzv. Plačické spojky od severozápadu. Jedinou zásadní změnou ve stanici je zkrácení manipulační koleje č. 4 na </w:t>
      </w:r>
      <w:smartTag w:uri="urn:schemas-microsoft-com:office:smarttags" w:element="metricconverter">
        <w:smartTagPr>
          <w:attr w:name="ProductID" w:val="475 m"/>
        </w:smartTagPr>
        <w:r>
          <w:t>475 m</w:t>
        </w:r>
      </w:smartTag>
      <w:r>
        <w:t xml:space="preserve"> a vychýlení části osy koleje č. 2 z původní polohy blíže k výpravní budově z důvodu umístění nového poloostrovního nástupiště (délka </w:t>
      </w:r>
      <w:smartTag w:uri="urn:schemas-microsoft-com:office:smarttags" w:element="metricconverter">
        <w:smartTagPr>
          <w:attr w:name="ProductID" w:val="110 m"/>
        </w:smartTagPr>
        <w:r>
          <w:t>110 m</w:t>
        </w:r>
      </w:smartTag>
      <w:r>
        <w:t xml:space="preserve">, výška hrany </w:t>
      </w:r>
      <w:smartTag w:uri="urn:schemas-microsoft-com:office:smarttags" w:element="metricconverter">
        <w:smartTagPr>
          <w:attr w:name="ProductID" w:val="550 mm"/>
        </w:smartTagPr>
        <w:r>
          <w:t>550 mm</w:t>
        </w:r>
      </w:smartTag>
      <w:r>
        <w:t xml:space="preserve"> nad TK) u koleje č. 1</w:t>
      </w:r>
      <w:r w:rsidR="00EB24DA">
        <w:t>. Přístup na toto nástupiště je umožněn od výpravní budovy prostřednictvím úrovňového přechodu, na který je šikmou rampou rovněž napojeno vnější nástupiště (opět shodných parametrů) příslušející koleji č. 2. Užitné délky kolejí ani rychlosti ve staničních kolejích se oproti stávajícímu stavu nemění.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D013A" w:rsidTr="00D030B0">
        <w:tc>
          <w:tcPr>
            <w:tcW w:w="9356" w:type="dxa"/>
          </w:tcPr>
          <w:p w:rsidR="003D013A" w:rsidRDefault="00F9023E" w:rsidP="00F9023E">
            <w:pPr>
              <w:jc w:val="center"/>
            </w:pPr>
            <w:r>
              <w:rPr>
                <w:noProof/>
                <w:lang w:eastAsia="cs-CZ"/>
              </w:rPr>
              <w:drawing>
                <wp:inline distT="0" distB="0" distL="0" distR="0" wp14:anchorId="5C7302AA" wp14:editId="433A2DD1">
                  <wp:extent cx="3157200" cy="235080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cstate="print"/>
                          <a:srcRect l="27326" t="25971" r="26843" b="25767"/>
                          <a:stretch/>
                        </pic:blipFill>
                        <pic:spPr bwMode="auto">
                          <a:xfrm>
                            <a:off x="0" y="0"/>
                            <a:ext cx="3157200" cy="2350800"/>
                          </a:xfrm>
                          <a:prstGeom prst="rect">
                            <a:avLst/>
                          </a:prstGeom>
                          <a:ln>
                            <a:noFill/>
                          </a:ln>
                          <a:extLst>
                            <a:ext uri="{53640926-AAD7-44D8-BBD7-CCE9431645EC}">
                              <a14:shadowObscured xmlns:a14="http://schemas.microsoft.com/office/drawing/2010/main"/>
                            </a:ext>
                          </a:extLst>
                        </pic:spPr>
                      </pic:pic>
                    </a:graphicData>
                  </a:graphic>
                </wp:inline>
              </w:drawing>
            </w:r>
          </w:p>
        </w:tc>
      </w:tr>
      <w:tr w:rsidR="003D013A" w:rsidTr="00D030B0">
        <w:tc>
          <w:tcPr>
            <w:tcW w:w="9356" w:type="dxa"/>
          </w:tcPr>
          <w:p w:rsidR="003D013A" w:rsidRDefault="00543934" w:rsidP="00C65DA3">
            <w:pPr>
              <w:pStyle w:val="Titulek"/>
            </w:pPr>
            <w:bookmarkStart w:id="80" w:name="_Toc390958813"/>
            <w:r w:rsidRPr="0061341E">
              <w:t xml:space="preserve">Obr. </w:t>
            </w:r>
            <w:r w:rsidR="00AC5CDF" w:rsidRPr="0061341E">
              <w:fldChar w:fldCharType="begin"/>
            </w:r>
            <w:r w:rsidRPr="0061341E">
              <w:instrText xml:space="preserve"> STYLEREF 1 \s </w:instrText>
            </w:r>
            <w:r w:rsidR="00AC5CDF" w:rsidRPr="0061341E">
              <w:fldChar w:fldCharType="separate"/>
            </w:r>
            <w:r w:rsidR="003843F3">
              <w:rPr>
                <w:noProof/>
              </w:rPr>
              <w:t>3</w:t>
            </w:r>
            <w:r w:rsidR="00AC5CDF" w:rsidRPr="0061341E">
              <w:fldChar w:fldCharType="end"/>
            </w:r>
            <w:r w:rsidRPr="0061341E">
              <w:noBreakHyphen/>
            </w:r>
            <w:r w:rsidR="00AC5CDF" w:rsidRPr="0061341E">
              <w:fldChar w:fldCharType="begin"/>
            </w:r>
            <w:r w:rsidRPr="0061341E">
              <w:instrText xml:space="preserve"> SEQ Obr. \* ARABIC \s 1 </w:instrText>
            </w:r>
            <w:r w:rsidR="00AC5CDF" w:rsidRPr="0061341E">
              <w:fldChar w:fldCharType="separate"/>
            </w:r>
            <w:r w:rsidR="003843F3">
              <w:rPr>
                <w:noProof/>
              </w:rPr>
              <w:t>7</w:t>
            </w:r>
            <w:r w:rsidR="00AC5CDF" w:rsidRPr="0061341E">
              <w:fldChar w:fldCharType="end"/>
            </w:r>
            <w:r w:rsidR="003D013A" w:rsidRPr="0061341E">
              <w:t>: Schéma žst. Stéblová</w:t>
            </w:r>
            <w:r w:rsidR="00BA0EAA" w:rsidRPr="0061341E">
              <w:t xml:space="preserve"> (var. MIN)</w:t>
            </w:r>
            <w:bookmarkEnd w:id="80"/>
          </w:p>
        </w:tc>
      </w:tr>
    </w:tbl>
    <w:p w:rsidR="003D013A" w:rsidRDefault="003D013A" w:rsidP="009A672B"/>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3D013A" w:rsidTr="00D030B0">
        <w:tc>
          <w:tcPr>
            <w:tcW w:w="9356" w:type="dxa"/>
          </w:tcPr>
          <w:p w:rsidR="003D013A" w:rsidRDefault="00F9023E" w:rsidP="00F9023E">
            <w:pPr>
              <w:jc w:val="center"/>
            </w:pPr>
            <w:r>
              <w:rPr>
                <w:noProof/>
                <w:lang w:eastAsia="cs-CZ"/>
              </w:rPr>
              <w:drawing>
                <wp:inline distT="0" distB="0" distL="0" distR="0" wp14:anchorId="29FC80A5" wp14:editId="56E00BFD">
                  <wp:extent cx="5929200" cy="2318400"/>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cstate="print"/>
                          <a:srcRect l="6940" t="26176" r="6891" b="26175"/>
                          <a:stretch/>
                        </pic:blipFill>
                        <pic:spPr bwMode="auto">
                          <a:xfrm>
                            <a:off x="0" y="0"/>
                            <a:ext cx="5929200" cy="2318400"/>
                          </a:xfrm>
                          <a:prstGeom prst="rect">
                            <a:avLst/>
                          </a:prstGeom>
                          <a:ln>
                            <a:noFill/>
                          </a:ln>
                          <a:extLst>
                            <a:ext uri="{53640926-AAD7-44D8-BBD7-CCE9431645EC}">
                              <a14:shadowObscured xmlns:a14="http://schemas.microsoft.com/office/drawing/2010/main"/>
                            </a:ext>
                          </a:extLst>
                        </pic:spPr>
                      </pic:pic>
                    </a:graphicData>
                  </a:graphic>
                </wp:inline>
              </w:drawing>
            </w:r>
          </w:p>
        </w:tc>
      </w:tr>
      <w:tr w:rsidR="003D013A" w:rsidTr="00D030B0">
        <w:tc>
          <w:tcPr>
            <w:tcW w:w="9356" w:type="dxa"/>
          </w:tcPr>
          <w:p w:rsidR="003D013A" w:rsidRDefault="00543934" w:rsidP="00C65DA3">
            <w:pPr>
              <w:pStyle w:val="Titulek"/>
            </w:pPr>
            <w:bookmarkStart w:id="81" w:name="_Toc390958814"/>
            <w:r w:rsidRPr="0061341E">
              <w:t xml:space="preserve">Obr. </w:t>
            </w:r>
            <w:r w:rsidR="00AC5CDF" w:rsidRPr="0061341E">
              <w:fldChar w:fldCharType="begin"/>
            </w:r>
            <w:r w:rsidRPr="0061341E">
              <w:instrText xml:space="preserve"> STYLEREF 1 \s </w:instrText>
            </w:r>
            <w:r w:rsidR="00AC5CDF" w:rsidRPr="0061341E">
              <w:fldChar w:fldCharType="separate"/>
            </w:r>
            <w:r w:rsidR="003843F3">
              <w:rPr>
                <w:noProof/>
              </w:rPr>
              <w:t>3</w:t>
            </w:r>
            <w:r w:rsidR="00AC5CDF" w:rsidRPr="0061341E">
              <w:fldChar w:fldCharType="end"/>
            </w:r>
            <w:r w:rsidRPr="0061341E">
              <w:noBreakHyphen/>
            </w:r>
            <w:r w:rsidR="00AC5CDF" w:rsidRPr="0061341E">
              <w:fldChar w:fldCharType="begin"/>
            </w:r>
            <w:r w:rsidRPr="0061341E">
              <w:instrText xml:space="preserve"> SEQ Obr. \* ARABIC \s 1 </w:instrText>
            </w:r>
            <w:r w:rsidR="00AC5CDF" w:rsidRPr="0061341E">
              <w:fldChar w:fldCharType="separate"/>
            </w:r>
            <w:r w:rsidR="003843F3">
              <w:rPr>
                <w:noProof/>
              </w:rPr>
              <w:t>8</w:t>
            </w:r>
            <w:r w:rsidR="00AC5CDF" w:rsidRPr="0061341E">
              <w:fldChar w:fldCharType="end"/>
            </w:r>
            <w:r w:rsidR="003D013A" w:rsidRPr="0061341E">
              <w:t>: Schéma žst. Opatovice nad Labem</w:t>
            </w:r>
            <w:r w:rsidR="00BA0EAA" w:rsidRPr="0061341E">
              <w:t xml:space="preserve"> (var. MIN)</w:t>
            </w:r>
            <w:bookmarkEnd w:id="81"/>
          </w:p>
        </w:tc>
      </w:tr>
    </w:tbl>
    <w:p w:rsidR="003D013A" w:rsidRDefault="003D013A" w:rsidP="009A672B"/>
    <w:p w:rsidR="009A672B" w:rsidRDefault="009A672B" w:rsidP="009A672B">
      <w:pPr>
        <w:pStyle w:val="Nadpis4"/>
        <w:rPr>
          <w:b/>
          <w:bCs w:val="0"/>
          <w:sz w:val="22"/>
        </w:rPr>
      </w:pPr>
      <w:r>
        <w:rPr>
          <w:b/>
          <w:bCs w:val="0"/>
          <w:sz w:val="22"/>
        </w:rPr>
        <w:t>Opatovice nad Labem (mimo) – Hradec Králové (mimo)</w:t>
      </w:r>
    </w:p>
    <w:p w:rsidR="009A672B" w:rsidRDefault="009A672B" w:rsidP="009A672B">
      <w:r>
        <w:t xml:space="preserve">V mezistaničním úseku </w:t>
      </w:r>
      <w:r>
        <w:rPr>
          <w:b/>
        </w:rPr>
        <w:t>od km 17,920 do km 21,40</w:t>
      </w:r>
      <w:r w:rsidRPr="0002643E">
        <w:rPr>
          <w:b/>
        </w:rPr>
        <w:t>0</w:t>
      </w:r>
      <w:r>
        <w:t xml:space="preserve"> se neuvažuje se směrovou ani výškovou úpravou trasy, počítá se ale s výměnou koleje, stabilizací železničního spodku, výměnou trakčního vedení, propustů, rekonstrukcí </w:t>
      </w:r>
      <w:r w:rsidR="00B00555">
        <w:t xml:space="preserve">mostů a </w:t>
      </w:r>
      <w:r>
        <w:t>přejezdů a jejich doplněním o PZS a s</w:t>
      </w:r>
      <w:r w:rsidR="00B00555">
        <w:t> doplněním návěstního bodu automatického hradla</w:t>
      </w:r>
      <w:r>
        <w:t xml:space="preserve"> </w:t>
      </w:r>
      <w:r w:rsidR="00B00555">
        <w:t>(</w:t>
      </w:r>
      <w:r>
        <w:t xml:space="preserve">TZZ 3. </w:t>
      </w:r>
      <w:r w:rsidR="00B00555">
        <w:t>k</w:t>
      </w:r>
      <w:r>
        <w:t>ategorie</w:t>
      </w:r>
      <w:r w:rsidR="00B00555">
        <w:t>)</w:t>
      </w:r>
      <w:r>
        <w:t>.</w:t>
      </w:r>
      <w:r w:rsidR="00064FA8">
        <w:t xml:space="preserve"> Traťová rychlost se předpokládá jako ve stávajícím stavu, čili </w:t>
      </w:r>
      <w:smartTag w:uri="urn:schemas-microsoft-com:office:smarttags" w:element="metricconverter">
        <w:smartTagPr>
          <w:attr w:name="ProductID" w:val="100 km/h"/>
        </w:smartTagPr>
        <w:r w:rsidR="00064FA8">
          <w:t>100 km/h</w:t>
        </w:r>
      </w:smartTag>
      <w:r w:rsidR="00064FA8">
        <w:t xml:space="preserve"> (teoretická možnost zvýšení na </w:t>
      </w:r>
      <w:smartTag w:uri="urn:schemas-microsoft-com:office:smarttags" w:element="metricconverter">
        <w:smartTagPr>
          <w:attr w:name="ProductID" w:val="120 km/h"/>
        </w:smartTagPr>
        <w:r w:rsidR="00064FA8">
          <w:t>120 km/h</w:t>
        </w:r>
      </w:smartTag>
      <w:r w:rsidR="00064FA8">
        <w:t xml:space="preserve"> by z hlediska GPK nevyžadovala již žádné další úpravy).</w:t>
      </w:r>
    </w:p>
    <w:p w:rsidR="009A672B" w:rsidRDefault="00F824C8" w:rsidP="009A672B">
      <w:pPr>
        <w:pStyle w:val="Nadpis4"/>
        <w:rPr>
          <w:b/>
          <w:bCs w:val="0"/>
          <w:sz w:val="22"/>
        </w:rPr>
      </w:pPr>
      <w:r>
        <w:rPr>
          <w:b/>
          <w:bCs w:val="0"/>
          <w:sz w:val="22"/>
        </w:rPr>
        <w:t>Žst. Hradec Králové,</w:t>
      </w:r>
      <w:r w:rsidR="009A672B">
        <w:rPr>
          <w:b/>
          <w:bCs w:val="0"/>
          <w:sz w:val="22"/>
        </w:rPr>
        <w:t xml:space="preserve"> jižní zhlaví</w:t>
      </w:r>
    </w:p>
    <w:p w:rsidR="009A672B" w:rsidRDefault="009A672B" w:rsidP="009A672B">
      <w:r w:rsidRPr="00AC09A9">
        <w:t>V</w:t>
      </w:r>
      <w:r w:rsidR="00AC09A9">
        <w:t xml:space="preserve"> obvodu </w:t>
      </w:r>
      <w:r w:rsidR="00AC09A9" w:rsidRPr="00092F1A">
        <w:rPr>
          <w:u w:val="single"/>
        </w:rPr>
        <w:t>žst. Hradec Králové</w:t>
      </w:r>
      <w:r w:rsidRPr="00AC09A9">
        <w:t xml:space="preserve"> </w:t>
      </w:r>
      <w:r w:rsidR="00AC09A9">
        <w:t>(</w:t>
      </w:r>
      <w:r w:rsidR="00AC09A9">
        <w:rPr>
          <w:b/>
        </w:rPr>
        <w:t>od km 21,400 do km 22</w:t>
      </w:r>
      <w:r w:rsidRPr="00AC09A9">
        <w:rPr>
          <w:b/>
        </w:rPr>
        <w:t>,</w:t>
      </w:r>
      <w:r w:rsidR="00AC09A9">
        <w:rPr>
          <w:b/>
        </w:rPr>
        <w:t>625</w:t>
      </w:r>
      <w:r w:rsidR="00AC09A9" w:rsidRPr="00AC09A9">
        <w:t>)</w:t>
      </w:r>
      <w:r w:rsidRPr="00AC09A9">
        <w:t xml:space="preserve"> se </w:t>
      </w:r>
      <w:r w:rsidR="00AC09A9">
        <w:t xml:space="preserve">v rámci Minimální varianty předpokládají jen minimální změny v konfiguraci jižního zhlaví stanice (vyvolané náhradou stávajících, mnohdy již nevyráběných, </w:t>
      </w:r>
      <w:r w:rsidR="00AC09A9" w:rsidRPr="00FA3FC5">
        <w:t>výhybkových konstrukcí za nové).</w:t>
      </w:r>
      <w:r w:rsidR="00544544" w:rsidRPr="00FA3FC5">
        <w:t xml:space="preserve"> V dopravních kolejích </w:t>
      </w:r>
      <w:r w:rsidR="00544544" w:rsidRPr="00FA3FC5">
        <w:rPr>
          <w:rFonts w:cs="Tahoma"/>
          <w:szCs w:val="20"/>
        </w:rPr>
        <w:t xml:space="preserve">jsou vkládány výhybky s poloměrem v odbočné větvi </w:t>
      </w:r>
      <w:smartTag w:uri="urn:schemas-microsoft-com:office:smarttags" w:element="metricconverter">
        <w:smartTagPr>
          <w:attr w:name="ProductID" w:val="190ﾠm"/>
        </w:smartTagPr>
        <w:r w:rsidR="00544544" w:rsidRPr="00FA3FC5">
          <w:rPr>
            <w:rFonts w:cs="Tahoma"/>
            <w:szCs w:val="20"/>
          </w:rPr>
          <w:t>190 m</w:t>
        </w:r>
      </w:smartTag>
      <w:r w:rsidR="00544544" w:rsidRPr="00FA3FC5">
        <w:rPr>
          <w:rFonts w:cs="Tahoma"/>
          <w:szCs w:val="20"/>
        </w:rPr>
        <w:t xml:space="preserve"> pro rychlost </w:t>
      </w:r>
      <w:smartTag w:uri="urn:schemas-microsoft-com:office:smarttags" w:element="metricconverter">
        <w:smartTagPr>
          <w:attr w:name="ProductID" w:val="40ﾠkm/h"/>
        </w:smartTagPr>
        <w:r w:rsidR="00544544" w:rsidRPr="00FA3FC5">
          <w:rPr>
            <w:rFonts w:cs="Tahoma"/>
            <w:szCs w:val="20"/>
          </w:rPr>
          <w:t>40 km/h</w:t>
        </w:r>
      </w:smartTag>
      <w:r w:rsidR="00544544" w:rsidRPr="00FA3FC5">
        <w:rPr>
          <w:rFonts w:cs="Tahoma"/>
          <w:szCs w:val="20"/>
        </w:rPr>
        <w:t>, což je podmíněno přiznáním úlevy z ustanovení vyhl. 177/1995 Sb. (stavební a technický řád drah), § 13 odst. (2), takže návrh nelze zcela považovat za „odstraňující nenormový stav“.</w:t>
      </w:r>
      <w:r w:rsidR="00AC09A9" w:rsidRPr="00FA3FC5">
        <w:t xml:space="preserve"> Předpokládá se demolice krátkých kusých manipulačních kolejí </w:t>
      </w:r>
      <w:r w:rsidR="004D186B" w:rsidRPr="00FA3FC5">
        <w:t xml:space="preserve">č. 22a a 24a </w:t>
      </w:r>
      <w:r w:rsidR="00AC09A9" w:rsidRPr="00FA3FC5">
        <w:t>z </w:t>
      </w:r>
      <w:r w:rsidR="004D186B" w:rsidRPr="00FA3FC5">
        <w:t>důvo</w:t>
      </w:r>
      <w:r w:rsidR="00AC09A9" w:rsidRPr="00FA3FC5">
        <w:t xml:space="preserve">du </w:t>
      </w:r>
      <w:r w:rsidR="004D186B" w:rsidRPr="00FA3FC5">
        <w:t>prostorové kolize s očekávaným záměrem „AUPARK – multifunkční centrum a parkovací dům“ (investor HB REAVIS MANAGEMENT</w:t>
      </w:r>
      <w:r w:rsidR="004D186B" w:rsidRPr="004D186B">
        <w:t xml:space="preserve"> CZ, s.r.o.</w:t>
      </w:r>
      <w:r w:rsidR="004D186B">
        <w:t xml:space="preserve">) v těsném sousedství stavby, jehož projektová příprava byla realizována paralelně s PD </w:t>
      </w:r>
      <w:r w:rsidR="004D186B" w:rsidRPr="00262BEF">
        <w:t>„Modernizace jižního zhlaví Hradec Králové“</w:t>
      </w:r>
      <w:r w:rsidR="004D186B">
        <w:t xml:space="preserve"> a koordinována oběma zpracovateli v rámci DÚR.</w:t>
      </w:r>
      <w:r w:rsidR="00A30B93">
        <w:t xml:space="preserve"> </w:t>
      </w:r>
      <w:r w:rsidR="004D186B">
        <w:t xml:space="preserve">Rekonstrukce mostního objektu v km 22,017 se ve variantě Minimální nepředpokládá. SZZ se navrhuje nahradit stejným způsobem, jako ve všech dalších projektových variantách, tzn. výstavbou nového elektronického stavědla pro celou stanici a </w:t>
      </w:r>
      <w:r w:rsidR="00A30B93">
        <w:t>zabezpečení ostatních přilehlých traťových úseků (zaústěných do žst. Hradec Králové hl. n.)</w:t>
      </w:r>
      <w:r w:rsidR="004D186B" w:rsidRPr="004D186B">
        <w:t xml:space="preserve"> </w:t>
      </w:r>
      <w:r w:rsidR="00A30B93">
        <w:t xml:space="preserve">automatickým hradlem z důvodu kontroly </w:t>
      </w:r>
      <w:r w:rsidR="00935177">
        <w:t>celistvosti vjíždějících</w:t>
      </w:r>
      <w:r w:rsidR="00A30B93">
        <w:t xml:space="preserve"> vlaků.</w:t>
      </w:r>
      <w:r w:rsidR="004D186B">
        <w:t xml:space="preserve"> </w:t>
      </w:r>
      <w:r w:rsidR="00A30B93">
        <w:t xml:space="preserve">V rámci stavby se předpokládá i rekonstrukce železničního přejezdu (včetně PZS) v km </w:t>
      </w:r>
      <w:smartTag w:uri="urn:schemas-microsoft-com:office:smarttags" w:element="metricconverter">
        <w:smartTagPr>
          <w:attr w:name="ProductID" w:val="21,620 a"/>
        </w:smartTagPr>
        <w:r w:rsidR="00A30B93">
          <w:t>21,620 a</w:t>
        </w:r>
      </w:smartTag>
      <w:r w:rsidR="00A30B93">
        <w:t xml:space="preserve"> úpravy přilehlých úseků místní komunikace včetně dvou odbočení do obytné zóny. V rámci varianty Minimální se předpokládá zachování stávajícího počtu i parametrů nástupišť.</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D013A" w:rsidTr="00D030B0">
        <w:tc>
          <w:tcPr>
            <w:tcW w:w="9356" w:type="dxa"/>
          </w:tcPr>
          <w:p w:rsidR="003D013A" w:rsidRDefault="00F9023E" w:rsidP="00F9023E">
            <w:pPr>
              <w:jc w:val="center"/>
            </w:pPr>
            <w:r>
              <w:rPr>
                <w:noProof/>
                <w:lang w:eastAsia="cs-CZ"/>
              </w:rPr>
              <w:drawing>
                <wp:inline distT="0" distB="0" distL="0" distR="0" wp14:anchorId="6C38BEC7" wp14:editId="57FBB846">
                  <wp:extent cx="3970800" cy="236880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cstate="print"/>
                          <a:srcRect l="21253" t="25358" r="21060" b="25972"/>
                          <a:stretch/>
                        </pic:blipFill>
                        <pic:spPr bwMode="auto">
                          <a:xfrm>
                            <a:off x="0" y="0"/>
                            <a:ext cx="3970800" cy="2368800"/>
                          </a:xfrm>
                          <a:prstGeom prst="rect">
                            <a:avLst/>
                          </a:prstGeom>
                          <a:ln>
                            <a:noFill/>
                          </a:ln>
                          <a:extLst>
                            <a:ext uri="{53640926-AAD7-44D8-BBD7-CCE9431645EC}">
                              <a14:shadowObscured xmlns:a14="http://schemas.microsoft.com/office/drawing/2010/main"/>
                            </a:ext>
                          </a:extLst>
                        </pic:spPr>
                      </pic:pic>
                    </a:graphicData>
                  </a:graphic>
                </wp:inline>
              </w:drawing>
            </w:r>
          </w:p>
        </w:tc>
      </w:tr>
      <w:tr w:rsidR="003D013A" w:rsidTr="00D030B0">
        <w:tc>
          <w:tcPr>
            <w:tcW w:w="9356" w:type="dxa"/>
          </w:tcPr>
          <w:p w:rsidR="003D013A" w:rsidRDefault="00543934" w:rsidP="00C65DA3">
            <w:pPr>
              <w:pStyle w:val="Titulek"/>
            </w:pPr>
            <w:bookmarkStart w:id="82" w:name="_Toc390958815"/>
            <w:r w:rsidRPr="0061341E">
              <w:t xml:space="preserve">Obr. </w:t>
            </w:r>
            <w:r w:rsidR="00AC5CDF" w:rsidRPr="0061341E">
              <w:fldChar w:fldCharType="begin"/>
            </w:r>
            <w:r w:rsidRPr="0061341E">
              <w:instrText xml:space="preserve"> STYLEREF 1 \s </w:instrText>
            </w:r>
            <w:r w:rsidR="00AC5CDF" w:rsidRPr="0061341E">
              <w:fldChar w:fldCharType="separate"/>
            </w:r>
            <w:r w:rsidR="003843F3">
              <w:rPr>
                <w:noProof/>
              </w:rPr>
              <w:t>3</w:t>
            </w:r>
            <w:r w:rsidR="00AC5CDF" w:rsidRPr="0061341E">
              <w:fldChar w:fldCharType="end"/>
            </w:r>
            <w:r w:rsidRPr="0061341E">
              <w:noBreakHyphen/>
            </w:r>
            <w:r w:rsidR="00AC5CDF" w:rsidRPr="0061341E">
              <w:fldChar w:fldCharType="begin"/>
            </w:r>
            <w:r w:rsidRPr="0061341E">
              <w:instrText xml:space="preserve"> SEQ Obr. \* ARABIC \s 1 </w:instrText>
            </w:r>
            <w:r w:rsidR="00AC5CDF" w:rsidRPr="0061341E">
              <w:fldChar w:fldCharType="separate"/>
            </w:r>
            <w:r w:rsidR="003843F3">
              <w:rPr>
                <w:noProof/>
              </w:rPr>
              <w:t>9</w:t>
            </w:r>
            <w:r w:rsidR="00AC5CDF" w:rsidRPr="0061341E">
              <w:fldChar w:fldCharType="end"/>
            </w:r>
            <w:r w:rsidR="003D013A" w:rsidRPr="0061341E">
              <w:t>: Schéma žst. Hradec Králové</w:t>
            </w:r>
            <w:r w:rsidR="00BA0EAA" w:rsidRPr="0061341E">
              <w:t xml:space="preserve"> (var. MIN)</w:t>
            </w:r>
            <w:bookmarkEnd w:id="82"/>
          </w:p>
        </w:tc>
      </w:tr>
    </w:tbl>
    <w:p w:rsidR="003D013A" w:rsidRDefault="003D013A" w:rsidP="009A672B"/>
    <w:p w:rsidR="00CB1F22" w:rsidRDefault="00CB1F22" w:rsidP="00D13FB3">
      <w:pPr>
        <w:pStyle w:val="Nadpis3"/>
        <w:ind w:hanging="8234"/>
      </w:pPr>
      <w:r>
        <w:t>Investiční náklady</w:t>
      </w:r>
    </w:p>
    <w:p w:rsidR="00513D3C" w:rsidRDefault="00513D3C" w:rsidP="00513D3C">
      <w:r>
        <w:t>Celkové investiční náklady v rámci varianty Minimální dosahují výše 2</w:t>
      </w:r>
      <w:r w:rsidR="00523E8E">
        <w:t xml:space="preserve"> </w:t>
      </w:r>
      <w:r w:rsidR="004D6F13">
        <w:t>322</w:t>
      </w:r>
      <w:r w:rsidR="00523E8E">
        <w:t>,</w:t>
      </w:r>
      <w:r w:rsidR="004D6F13">
        <w:t>710</w:t>
      </w:r>
      <w:r>
        <w:t xml:space="preserve"> m</w:t>
      </w:r>
      <w:r w:rsidR="00523E8E">
        <w:t>il</w:t>
      </w:r>
      <w:r>
        <w:t>. Kč (CÚ 201</w:t>
      </w:r>
      <w:r w:rsidR="001766C7">
        <w:t>3</w:t>
      </w:r>
      <w:r>
        <w:t>, bez DPH) v součtu v letech 2014 až 2015. Sumy za jednotlivé profese jsou následující:</w:t>
      </w:r>
    </w:p>
    <w:p w:rsidR="00513D3C" w:rsidRDefault="006E2F23" w:rsidP="00513D3C">
      <w:r>
        <w:t>p</w:t>
      </w:r>
      <w:r w:rsidR="00513D3C">
        <w:t>řípravná a projektová dokumentace</w:t>
      </w:r>
      <w:r w:rsidR="00513D3C">
        <w:tab/>
      </w:r>
      <w:r w:rsidR="00513D3C">
        <w:tab/>
      </w:r>
      <w:r w:rsidR="00513D3C">
        <w:tab/>
      </w:r>
      <w:r w:rsidR="00513D3C">
        <w:tab/>
      </w:r>
      <w:r w:rsidR="004D6F13">
        <w:t>17</w:t>
      </w:r>
      <w:r w:rsidR="00C013EE">
        <w:t>2</w:t>
      </w:r>
      <w:r w:rsidR="009015B3">
        <w:t>,</w:t>
      </w:r>
      <w:r w:rsidR="004D6F13">
        <w:t>962</w:t>
      </w:r>
      <w:r w:rsidR="00513D3C">
        <w:t xml:space="preserve"> mil. Kč</w:t>
      </w:r>
      <w:r>
        <w:t>,</w:t>
      </w:r>
    </w:p>
    <w:p w:rsidR="00513D3C" w:rsidRDefault="006E2F23" w:rsidP="00513D3C">
      <w:r>
        <w:t>z</w:t>
      </w:r>
      <w:r w:rsidR="00513D3C">
        <w:t>ábory pozemků</w:t>
      </w:r>
      <w:r w:rsidR="00513D3C">
        <w:tab/>
      </w:r>
      <w:r w:rsidR="00513D3C">
        <w:tab/>
      </w:r>
      <w:r w:rsidR="00513D3C">
        <w:tab/>
      </w:r>
      <w:r w:rsidR="00513D3C">
        <w:tab/>
      </w:r>
      <w:r w:rsidR="00513D3C">
        <w:tab/>
      </w:r>
      <w:r w:rsidR="00513D3C">
        <w:tab/>
      </w:r>
      <w:smartTag w:uri="urn:schemas-microsoft-com:office:smarttags" w:element="metricconverter">
        <w:smartTagPr>
          <w:attr w:name="ProductID" w:val="0,000 mil"/>
        </w:smartTagPr>
        <w:r w:rsidR="00513D3C">
          <w:t>0,000 mil</w:t>
        </w:r>
      </w:smartTag>
      <w:r w:rsidR="00513D3C">
        <w:t>. Kč</w:t>
      </w:r>
      <w:r>
        <w:t>,</w:t>
      </w:r>
    </w:p>
    <w:p w:rsidR="00513D3C" w:rsidRDefault="006E2F23" w:rsidP="00513D3C">
      <w:r>
        <w:t>s</w:t>
      </w:r>
      <w:r w:rsidR="00513D3C">
        <w:t>tavby a konstrukce</w:t>
      </w:r>
      <w:r w:rsidR="00513D3C">
        <w:tab/>
      </w:r>
      <w:r w:rsidR="00513D3C">
        <w:tab/>
      </w:r>
      <w:r w:rsidR="00513D3C">
        <w:tab/>
      </w:r>
      <w:r w:rsidR="00513D3C">
        <w:tab/>
      </w:r>
      <w:r w:rsidR="00513D3C">
        <w:tab/>
      </w:r>
      <w:r w:rsidR="00513D3C">
        <w:tab/>
      </w:r>
      <w:r w:rsidR="009015B3">
        <w:t>1 915,728</w:t>
      </w:r>
      <w:r w:rsidR="00513D3C">
        <w:t xml:space="preserve"> mil. Kč</w:t>
      </w:r>
      <w:r>
        <w:t>,</w:t>
      </w:r>
    </w:p>
    <w:p w:rsidR="00513D3C" w:rsidRDefault="006E2F23" w:rsidP="00513D3C">
      <w:r>
        <w:t>s</w:t>
      </w:r>
      <w:r w:rsidR="00513D3C">
        <w:t>troje a zařízení</w:t>
      </w:r>
      <w:r w:rsidR="00513D3C">
        <w:tab/>
      </w:r>
      <w:r w:rsidR="00513D3C">
        <w:tab/>
      </w:r>
      <w:r w:rsidR="00513D3C">
        <w:tab/>
      </w:r>
      <w:r w:rsidR="00513D3C">
        <w:tab/>
      </w:r>
      <w:r w:rsidR="00513D3C">
        <w:tab/>
      </w:r>
      <w:r w:rsidR="00513D3C">
        <w:tab/>
      </w:r>
      <w:r w:rsidR="00513D3C">
        <w:tab/>
      </w:r>
      <w:r w:rsidR="009015B3">
        <w:t>0,000</w:t>
      </w:r>
      <w:r w:rsidR="00513D3C">
        <w:t xml:space="preserve"> mil. Kč</w:t>
      </w:r>
      <w:r>
        <w:t>,</w:t>
      </w:r>
    </w:p>
    <w:p w:rsidR="00513D3C" w:rsidRDefault="006E2F23" w:rsidP="00513D3C">
      <w:r>
        <w:t>t</w:t>
      </w:r>
      <w:r w:rsidR="00513D3C">
        <w:t>echnická asistence, propagace dozor</w:t>
      </w:r>
      <w:r w:rsidR="00513D3C">
        <w:tab/>
      </w:r>
      <w:r w:rsidR="00513D3C">
        <w:tab/>
      </w:r>
      <w:r w:rsidR="00513D3C">
        <w:tab/>
      </w:r>
      <w:r w:rsidR="00513D3C">
        <w:tab/>
      </w:r>
      <w:r w:rsidR="004D6F13">
        <w:t>43</w:t>
      </w:r>
      <w:r w:rsidR="009015B3">
        <w:t>,</w:t>
      </w:r>
      <w:r w:rsidR="004D6F13">
        <w:t>302</w:t>
      </w:r>
      <w:r w:rsidR="00513D3C">
        <w:t xml:space="preserve"> mil. Kč</w:t>
      </w:r>
      <w:r>
        <w:t>,</w:t>
      </w:r>
    </w:p>
    <w:p w:rsidR="00513D3C" w:rsidRDefault="006E2F23" w:rsidP="00513D3C">
      <w:r>
        <w:t>r</w:t>
      </w:r>
      <w:r w:rsidR="00513D3C">
        <w:t>ezerva 10%</w:t>
      </w:r>
      <w:r w:rsidR="00513D3C">
        <w:tab/>
      </w:r>
      <w:r w:rsidR="00513D3C">
        <w:tab/>
      </w:r>
      <w:r w:rsidR="00513D3C">
        <w:tab/>
      </w:r>
      <w:r w:rsidR="00513D3C">
        <w:tab/>
      </w:r>
      <w:r w:rsidR="00513D3C">
        <w:tab/>
      </w:r>
      <w:r w:rsidR="00513D3C">
        <w:tab/>
      </w:r>
      <w:r w:rsidR="00513D3C">
        <w:tab/>
      </w:r>
      <w:r w:rsidR="009015B3">
        <w:t>19</w:t>
      </w:r>
      <w:r w:rsidR="004D6F13">
        <w:t>0</w:t>
      </w:r>
      <w:r w:rsidR="009015B3">
        <w:t>,</w:t>
      </w:r>
      <w:r w:rsidR="004D6F13">
        <w:t>718</w:t>
      </w:r>
      <w:r w:rsidR="00513D3C">
        <w:t xml:space="preserve"> mil. Kč</w:t>
      </w:r>
      <w:r>
        <w:t>,</w:t>
      </w:r>
    </w:p>
    <w:p w:rsidR="00512223" w:rsidRPr="00512223" w:rsidRDefault="00513D3C" w:rsidP="00512223">
      <w:pPr>
        <w:rPr>
          <w:b/>
        </w:rPr>
      </w:pPr>
      <w:r w:rsidRPr="00512223">
        <w:rPr>
          <w:b/>
        </w:rPr>
        <w:t>CIN bez DPH vče</w:t>
      </w:r>
      <w:r w:rsidR="00512223">
        <w:rPr>
          <w:b/>
        </w:rPr>
        <w:t>tně rezervy (konstantní ceny)</w:t>
      </w:r>
      <w:r w:rsidR="00512223">
        <w:rPr>
          <w:b/>
        </w:rPr>
        <w:tab/>
      </w:r>
      <w:r w:rsidR="00512223">
        <w:rPr>
          <w:b/>
        </w:rPr>
        <w:tab/>
      </w:r>
      <w:r w:rsidR="009015B3">
        <w:rPr>
          <w:b/>
        </w:rPr>
        <w:t>2 </w:t>
      </w:r>
      <w:r w:rsidR="004D6F13">
        <w:rPr>
          <w:b/>
        </w:rPr>
        <w:t>322</w:t>
      </w:r>
      <w:r w:rsidR="009015B3">
        <w:rPr>
          <w:b/>
        </w:rPr>
        <w:t>,</w:t>
      </w:r>
      <w:r w:rsidR="004D6F13">
        <w:rPr>
          <w:b/>
        </w:rPr>
        <w:t>710</w:t>
      </w:r>
      <w:r w:rsidRPr="00512223">
        <w:rPr>
          <w:b/>
        </w:rPr>
        <w:t xml:space="preserve"> mil. Kč</w:t>
      </w:r>
      <w:r w:rsidR="001766C7" w:rsidRPr="00512223">
        <w:rPr>
          <w:b/>
        </w:rPr>
        <w:t>.</w:t>
      </w:r>
    </w:p>
    <w:p w:rsidR="001A7F7A" w:rsidRDefault="001A7F7A" w:rsidP="00512223">
      <w:pPr>
        <w:pStyle w:val="Nadpis3"/>
        <w:tabs>
          <w:tab w:val="clear" w:pos="8234"/>
          <w:tab w:val="num" w:pos="7797"/>
        </w:tabs>
        <w:ind w:hanging="8234"/>
      </w:pPr>
      <w:r>
        <w:t>Náklady realizace</w:t>
      </w:r>
    </w:p>
    <w:p w:rsidR="001A7F7A" w:rsidRDefault="00764FFD" w:rsidP="001A7F7A">
      <w:r>
        <w:t>R</w:t>
      </w:r>
      <w:r w:rsidR="001A7F7A">
        <w:t>ozpis nákladů realizace podle jednotlivých úseků je uveden v následující tabulce. Celkové investiční náklady se skládají z</w:t>
      </w:r>
      <w:r>
        <w:t xml:space="preserve"> podrobně rozdružených </w:t>
      </w:r>
      <w:r w:rsidR="001A7F7A">
        <w:t>nákladů realizace</w:t>
      </w:r>
      <w:r>
        <w:t xml:space="preserve"> a dále z </w:t>
      </w:r>
      <w:r w:rsidR="001A7F7A">
        <w:t>nákladů na trvalé zábory pozemků, projektovou dokumentaci, geologickou a geodetickou činnost, inženýrskou činnost a poradenství a rezervy</w:t>
      </w:r>
      <w:r>
        <w:t xml:space="preserve"> a jsou uvedeny v příloze č. 2</w:t>
      </w:r>
      <w:r w:rsidR="001A7F7A">
        <w:t>.</w:t>
      </w:r>
    </w:p>
    <w:tbl>
      <w:tblPr>
        <w:tblW w:w="9366" w:type="dxa"/>
        <w:tblInd w:w="6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5680"/>
        <w:gridCol w:w="3686"/>
      </w:tblGrid>
      <w:tr w:rsidR="00806980" w:rsidRPr="00D56604" w:rsidTr="00806980">
        <w:trPr>
          <w:cantSplit/>
          <w:trHeight w:val="384"/>
        </w:trPr>
        <w:tc>
          <w:tcPr>
            <w:tcW w:w="936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806980" w:rsidRDefault="00806980" w:rsidP="00806980">
            <w:pPr>
              <w:pStyle w:val="Titulek"/>
              <w:rPr>
                <w:lang w:eastAsia="cs-CZ"/>
              </w:rPr>
            </w:pPr>
            <w:bookmarkStart w:id="83" w:name="_Toc390958744"/>
            <w:bookmarkStart w:id="84" w:name="_Toc391034548"/>
            <w:r w:rsidRPr="00AC18C3">
              <w:t xml:space="preserve">Tab. </w:t>
            </w:r>
            <w:r w:rsidR="000E79AE">
              <w:fldChar w:fldCharType="begin"/>
            </w:r>
            <w:r w:rsidR="000E79AE">
              <w:instrText xml:space="preserve"> STYLEREF 1 \s </w:instrText>
            </w:r>
            <w:r w:rsidR="000E79AE">
              <w:fldChar w:fldCharType="separate"/>
            </w:r>
            <w:r w:rsidR="003843F3">
              <w:rPr>
                <w:noProof/>
              </w:rPr>
              <w:t>3</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9</w:t>
            </w:r>
            <w:r w:rsidR="000E79AE">
              <w:fldChar w:fldCharType="end"/>
            </w:r>
            <w:r w:rsidRPr="00AC18C3">
              <w:t xml:space="preserve">: </w:t>
            </w:r>
            <w:r>
              <w:t>Rozpis</w:t>
            </w:r>
            <w:r>
              <w:rPr>
                <w:rFonts w:ascii="Arial" w:hAnsi="Arial" w:cs="Arial"/>
                <w:bCs/>
                <w:sz w:val="16"/>
                <w:szCs w:val="16"/>
                <w:lang w:eastAsia="cs-CZ"/>
              </w:rPr>
              <w:t xml:space="preserve"> </w:t>
            </w:r>
            <w:r w:rsidRPr="001A7F7A">
              <w:rPr>
                <w:rFonts w:ascii="Arial" w:hAnsi="Arial" w:cs="Arial"/>
                <w:bCs/>
                <w:lang w:eastAsia="cs-CZ"/>
              </w:rPr>
              <w:t xml:space="preserve">nákladů </w:t>
            </w:r>
            <w:r>
              <w:rPr>
                <w:rFonts w:ascii="Arial" w:hAnsi="Arial" w:cs="Arial"/>
                <w:bCs/>
                <w:lang w:eastAsia="cs-CZ"/>
              </w:rPr>
              <w:t xml:space="preserve">realizace </w:t>
            </w:r>
            <w:r w:rsidRPr="001A7F7A">
              <w:rPr>
                <w:rFonts w:ascii="Arial" w:hAnsi="Arial" w:cs="Arial"/>
                <w:bCs/>
                <w:lang w:eastAsia="cs-CZ"/>
              </w:rPr>
              <w:t>varianty Minimální [mil. Kč]</w:t>
            </w:r>
            <w:bookmarkEnd w:id="83"/>
            <w:bookmarkEnd w:id="84"/>
          </w:p>
        </w:tc>
      </w:tr>
      <w:tr w:rsidR="00D030B0" w:rsidRPr="00D56604" w:rsidTr="00806980">
        <w:trPr>
          <w:cantSplit/>
          <w:trHeight w:val="425"/>
        </w:trPr>
        <w:tc>
          <w:tcPr>
            <w:tcW w:w="5680" w:type="dxa"/>
            <w:tcBorders>
              <w:top w:val="single" w:sz="4" w:space="0" w:color="auto"/>
              <w:left w:val="single" w:sz="4" w:space="0" w:color="auto"/>
              <w:bottom w:val="single" w:sz="12" w:space="0" w:color="auto"/>
              <w:right w:val="single" w:sz="6" w:space="0" w:color="auto"/>
            </w:tcBorders>
            <w:shd w:val="clear" w:color="auto" w:fill="D9D9D9" w:themeFill="background1" w:themeFillShade="D9"/>
            <w:noWrap/>
            <w:vAlign w:val="center"/>
          </w:tcPr>
          <w:p w:rsidR="00D030B0" w:rsidRPr="00806980" w:rsidRDefault="00C65DA3" w:rsidP="00D030B0">
            <w:pPr>
              <w:spacing w:before="0" w:after="0"/>
              <w:rPr>
                <w:b/>
                <w:sz w:val="18"/>
                <w:lang w:eastAsia="cs-CZ"/>
              </w:rPr>
            </w:pPr>
            <w:r w:rsidRPr="00806980">
              <w:rPr>
                <w:b/>
                <w:sz w:val="18"/>
                <w:lang w:eastAsia="cs-CZ"/>
              </w:rPr>
              <w:t>Ú</w:t>
            </w:r>
            <w:r w:rsidR="00D030B0" w:rsidRPr="00806980">
              <w:rPr>
                <w:b/>
                <w:sz w:val="18"/>
                <w:lang w:eastAsia="cs-CZ"/>
              </w:rPr>
              <w:t>sek</w:t>
            </w:r>
          </w:p>
        </w:tc>
        <w:tc>
          <w:tcPr>
            <w:tcW w:w="3686" w:type="dxa"/>
            <w:tcBorders>
              <w:top w:val="single" w:sz="4" w:space="0" w:color="auto"/>
              <w:left w:val="single" w:sz="6" w:space="0" w:color="auto"/>
              <w:bottom w:val="single" w:sz="12" w:space="0" w:color="auto"/>
              <w:right w:val="single" w:sz="4" w:space="0" w:color="auto"/>
            </w:tcBorders>
            <w:shd w:val="clear" w:color="auto" w:fill="D9D9D9" w:themeFill="background1" w:themeFillShade="D9"/>
            <w:noWrap/>
            <w:vAlign w:val="center"/>
          </w:tcPr>
          <w:p w:rsidR="00D030B0" w:rsidRPr="00806980" w:rsidRDefault="00C65DA3" w:rsidP="00D030B0">
            <w:pPr>
              <w:spacing w:before="0" w:after="0"/>
              <w:ind w:right="497"/>
              <w:jc w:val="right"/>
              <w:rPr>
                <w:b/>
                <w:color w:val="000000"/>
                <w:sz w:val="18"/>
              </w:rPr>
            </w:pPr>
            <w:r w:rsidRPr="00806980">
              <w:rPr>
                <w:b/>
                <w:sz w:val="18"/>
                <w:lang w:eastAsia="cs-CZ"/>
              </w:rPr>
              <w:t>N</w:t>
            </w:r>
            <w:r w:rsidR="00D030B0" w:rsidRPr="00806980">
              <w:rPr>
                <w:b/>
                <w:sz w:val="18"/>
                <w:lang w:eastAsia="cs-CZ"/>
              </w:rPr>
              <w:t>áklady realizace celkem</w:t>
            </w:r>
          </w:p>
        </w:tc>
      </w:tr>
      <w:tr w:rsidR="00D030B0" w:rsidRPr="00D56604" w:rsidTr="00806980">
        <w:tc>
          <w:tcPr>
            <w:tcW w:w="5680" w:type="dxa"/>
            <w:tcBorders>
              <w:top w:val="single" w:sz="12" w:space="0" w:color="auto"/>
              <w:left w:val="single" w:sz="4" w:space="0" w:color="auto"/>
              <w:bottom w:val="single" w:sz="4" w:space="0" w:color="auto"/>
              <w:right w:val="single" w:sz="6" w:space="0" w:color="auto"/>
            </w:tcBorders>
            <w:shd w:val="clear" w:color="auto" w:fill="auto"/>
            <w:noWrap/>
            <w:vAlign w:val="bottom"/>
          </w:tcPr>
          <w:p w:rsidR="00D030B0" w:rsidRPr="00806980" w:rsidRDefault="00D030B0" w:rsidP="00D030B0">
            <w:pPr>
              <w:spacing w:before="0" w:after="0"/>
              <w:rPr>
                <w:sz w:val="18"/>
                <w:lang w:eastAsia="cs-CZ"/>
              </w:rPr>
            </w:pPr>
            <w:r w:rsidRPr="00806980">
              <w:rPr>
                <w:color w:val="000000"/>
                <w:sz w:val="18"/>
              </w:rPr>
              <w:t>žst. Pardubice hl. n.</w:t>
            </w:r>
          </w:p>
        </w:tc>
        <w:tc>
          <w:tcPr>
            <w:tcW w:w="3686" w:type="dxa"/>
            <w:tcBorders>
              <w:top w:val="single" w:sz="12" w:space="0" w:color="auto"/>
              <w:left w:val="single" w:sz="6" w:space="0" w:color="auto"/>
              <w:bottom w:val="single" w:sz="4" w:space="0" w:color="auto"/>
              <w:right w:val="single" w:sz="4" w:space="0" w:color="auto"/>
            </w:tcBorders>
            <w:shd w:val="clear" w:color="auto" w:fill="auto"/>
            <w:noWrap/>
          </w:tcPr>
          <w:p w:rsidR="00D030B0" w:rsidRPr="00806980" w:rsidRDefault="00D030B0" w:rsidP="00D030B0">
            <w:pPr>
              <w:spacing w:before="0" w:after="0"/>
              <w:ind w:right="497"/>
              <w:jc w:val="right"/>
              <w:rPr>
                <w:color w:val="000000"/>
                <w:sz w:val="18"/>
                <w:lang w:val="sk-SK" w:eastAsia="cs-CZ"/>
              </w:rPr>
            </w:pPr>
            <w:r w:rsidRPr="00806980">
              <w:rPr>
                <w:color w:val="000000"/>
                <w:sz w:val="18"/>
                <w:lang w:val="sk-SK" w:eastAsia="cs-CZ"/>
              </w:rPr>
              <w:t>0,000</w:t>
            </w:r>
          </w:p>
        </w:tc>
      </w:tr>
      <w:tr w:rsidR="00D030B0" w:rsidRPr="00D56604" w:rsidTr="00806980">
        <w:tc>
          <w:tcPr>
            <w:tcW w:w="5680" w:type="dxa"/>
            <w:tcBorders>
              <w:top w:val="single" w:sz="4" w:space="0" w:color="auto"/>
              <w:left w:val="single" w:sz="4" w:space="0" w:color="auto"/>
              <w:bottom w:val="single" w:sz="4" w:space="0" w:color="auto"/>
              <w:right w:val="single" w:sz="6" w:space="0" w:color="auto"/>
            </w:tcBorders>
            <w:shd w:val="clear" w:color="auto" w:fill="auto"/>
            <w:noWrap/>
            <w:vAlign w:val="bottom"/>
          </w:tcPr>
          <w:p w:rsidR="00D030B0" w:rsidRPr="00806980" w:rsidRDefault="00D030B0" w:rsidP="00D030B0">
            <w:pPr>
              <w:spacing w:before="0" w:after="0"/>
              <w:rPr>
                <w:sz w:val="18"/>
                <w:lang w:eastAsia="cs-CZ"/>
              </w:rPr>
            </w:pPr>
            <w:r w:rsidRPr="00806980">
              <w:rPr>
                <w:color w:val="000000"/>
                <w:sz w:val="18"/>
              </w:rPr>
              <w:t>Pardubice hl. n. (mimo) - Pardubice-Rosice n. L. (mimo)</w:t>
            </w:r>
          </w:p>
        </w:tc>
        <w:tc>
          <w:tcPr>
            <w:tcW w:w="3686" w:type="dxa"/>
            <w:tcBorders>
              <w:top w:val="single" w:sz="4" w:space="0" w:color="auto"/>
              <w:left w:val="single" w:sz="6" w:space="0" w:color="auto"/>
              <w:bottom w:val="single" w:sz="4" w:space="0" w:color="auto"/>
              <w:right w:val="single" w:sz="4" w:space="0" w:color="auto"/>
            </w:tcBorders>
            <w:shd w:val="clear" w:color="auto" w:fill="auto"/>
            <w:noWrap/>
          </w:tcPr>
          <w:p w:rsidR="00D030B0" w:rsidRPr="00806980" w:rsidRDefault="00D030B0" w:rsidP="00D030B0">
            <w:pPr>
              <w:spacing w:before="0" w:after="0"/>
              <w:ind w:right="497"/>
              <w:jc w:val="right"/>
              <w:rPr>
                <w:color w:val="000000"/>
                <w:sz w:val="18"/>
                <w:lang w:val="sk-SK" w:eastAsia="cs-CZ"/>
              </w:rPr>
            </w:pPr>
            <w:r w:rsidRPr="00806980">
              <w:rPr>
                <w:color w:val="000000"/>
                <w:sz w:val="18"/>
                <w:lang w:val="sk-SK" w:eastAsia="cs-CZ"/>
              </w:rPr>
              <w:t>0,000</w:t>
            </w:r>
          </w:p>
        </w:tc>
      </w:tr>
      <w:tr w:rsidR="00D030B0" w:rsidRPr="00D56604" w:rsidTr="00806980">
        <w:tc>
          <w:tcPr>
            <w:tcW w:w="5680" w:type="dxa"/>
            <w:tcBorders>
              <w:top w:val="single" w:sz="4" w:space="0" w:color="auto"/>
              <w:left w:val="single" w:sz="4" w:space="0" w:color="auto"/>
              <w:bottom w:val="single" w:sz="4" w:space="0" w:color="auto"/>
              <w:right w:val="single" w:sz="6" w:space="0" w:color="auto"/>
            </w:tcBorders>
            <w:shd w:val="clear" w:color="auto" w:fill="auto"/>
            <w:noWrap/>
            <w:vAlign w:val="bottom"/>
          </w:tcPr>
          <w:p w:rsidR="00D030B0" w:rsidRPr="00806980" w:rsidRDefault="00D030B0" w:rsidP="00D030B0">
            <w:pPr>
              <w:spacing w:before="0" w:after="0"/>
              <w:rPr>
                <w:sz w:val="18"/>
                <w:lang w:eastAsia="cs-CZ"/>
              </w:rPr>
            </w:pPr>
            <w:r w:rsidRPr="00806980">
              <w:rPr>
                <w:color w:val="000000"/>
                <w:sz w:val="18"/>
              </w:rPr>
              <w:t>žst. Pardubice-Rosice n. L</w:t>
            </w:r>
          </w:p>
        </w:tc>
        <w:tc>
          <w:tcPr>
            <w:tcW w:w="3686" w:type="dxa"/>
            <w:tcBorders>
              <w:top w:val="single" w:sz="4" w:space="0" w:color="auto"/>
              <w:left w:val="single" w:sz="6" w:space="0" w:color="auto"/>
              <w:bottom w:val="single" w:sz="4" w:space="0" w:color="auto"/>
              <w:right w:val="single" w:sz="4" w:space="0" w:color="auto"/>
            </w:tcBorders>
            <w:shd w:val="clear" w:color="auto" w:fill="auto"/>
            <w:noWrap/>
          </w:tcPr>
          <w:p w:rsidR="00D030B0" w:rsidRPr="00806980" w:rsidRDefault="00D030B0" w:rsidP="00D030B0">
            <w:pPr>
              <w:spacing w:before="0" w:after="0"/>
              <w:ind w:right="497"/>
              <w:jc w:val="right"/>
              <w:rPr>
                <w:color w:val="000000"/>
                <w:sz w:val="18"/>
                <w:lang w:val="sk-SK" w:eastAsia="cs-CZ"/>
              </w:rPr>
            </w:pPr>
            <w:r w:rsidRPr="00806980">
              <w:rPr>
                <w:color w:val="000000"/>
                <w:sz w:val="18"/>
                <w:lang w:val="sk-SK" w:eastAsia="cs-CZ"/>
              </w:rPr>
              <w:t>364,045</w:t>
            </w:r>
          </w:p>
        </w:tc>
      </w:tr>
      <w:tr w:rsidR="00D030B0" w:rsidRPr="00D56604" w:rsidTr="00806980">
        <w:tc>
          <w:tcPr>
            <w:tcW w:w="5680" w:type="dxa"/>
            <w:tcBorders>
              <w:top w:val="single" w:sz="4" w:space="0" w:color="auto"/>
              <w:left w:val="single" w:sz="4" w:space="0" w:color="auto"/>
              <w:bottom w:val="single" w:sz="4" w:space="0" w:color="auto"/>
              <w:right w:val="single" w:sz="6" w:space="0" w:color="auto"/>
            </w:tcBorders>
            <w:shd w:val="clear" w:color="auto" w:fill="auto"/>
            <w:noWrap/>
            <w:vAlign w:val="bottom"/>
          </w:tcPr>
          <w:p w:rsidR="00D030B0" w:rsidRPr="00806980" w:rsidRDefault="00D030B0" w:rsidP="00D030B0">
            <w:pPr>
              <w:spacing w:before="0" w:after="0"/>
              <w:rPr>
                <w:sz w:val="18"/>
                <w:lang w:eastAsia="cs-CZ"/>
              </w:rPr>
            </w:pPr>
            <w:r w:rsidRPr="00806980">
              <w:rPr>
                <w:color w:val="000000"/>
                <w:sz w:val="18"/>
              </w:rPr>
              <w:t>Pardubice-Rosice n. L.  (mimo) - Stéblová (mimo)</w:t>
            </w:r>
          </w:p>
        </w:tc>
        <w:tc>
          <w:tcPr>
            <w:tcW w:w="3686" w:type="dxa"/>
            <w:tcBorders>
              <w:top w:val="single" w:sz="4" w:space="0" w:color="auto"/>
              <w:left w:val="single" w:sz="6" w:space="0" w:color="auto"/>
              <w:bottom w:val="single" w:sz="4" w:space="0" w:color="auto"/>
              <w:right w:val="single" w:sz="4" w:space="0" w:color="auto"/>
            </w:tcBorders>
            <w:shd w:val="clear" w:color="auto" w:fill="auto"/>
            <w:noWrap/>
          </w:tcPr>
          <w:p w:rsidR="00D030B0" w:rsidRPr="00806980" w:rsidRDefault="00D030B0" w:rsidP="00D030B0">
            <w:pPr>
              <w:spacing w:before="0" w:after="0"/>
              <w:ind w:right="497"/>
              <w:jc w:val="right"/>
              <w:rPr>
                <w:color w:val="000000"/>
                <w:sz w:val="18"/>
                <w:lang w:val="sk-SK" w:eastAsia="cs-CZ"/>
              </w:rPr>
            </w:pPr>
            <w:r w:rsidRPr="00806980">
              <w:rPr>
                <w:color w:val="000000"/>
                <w:sz w:val="18"/>
                <w:lang w:val="sk-SK" w:eastAsia="cs-CZ"/>
              </w:rPr>
              <w:t>151,397</w:t>
            </w:r>
          </w:p>
        </w:tc>
      </w:tr>
      <w:tr w:rsidR="00D030B0" w:rsidRPr="00D56604" w:rsidTr="00806980">
        <w:tc>
          <w:tcPr>
            <w:tcW w:w="5680" w:type="dxa"/>
            <w:tcBorders>
              <w:top w:val="single" w:sz="4" w:space="0" w:color="auto"/>
              <w:left w:val="single" w:sz="4" w:space="0" w:color="auto"/>
              <w:bottom w:val="single" w:sz="4" w:space="0" w:color="auto"/>
              <w:right w:val="single" w:sz="6" w:space="0" w:color="auto"/>
            </w:tcBorders>
            <w:shd w:val="clear" w:color="auto" w:fill="auto"/>
            <w:noWrap/>
            <w:vAlign w:val="bottom"/>
          </w:tcPr>
          <w:p w:rsidR="00D030B0" w:rsidRPr="00806980" w:rsidRDefault="00D030B0" w:rsidP="00D030B0">
            <w:pPr>
              <w:spacing w:before="0" w:after="0"/>
              <w:rPr>
                <w:sz w:val="18"/>
                <w:lang w:eastAsia="cs-CZ"/>
              </w:rPr>
            </w:pPr>
            <w:r w:rsidRPr="00806980">
              <w:rPr>
                <w:color w:val="000000"/>
                <w:sz w:val="18"/>
              </w:rPr>
              <w:t>žst. Stéblová</w:t>
            </w:r>
          </w:p>
        </w:tc>
        <w:tc>
          <w:tcPr>
            <w:tcW w:w="3686" w:type="dxa"/>
            <w:tcBorders>
              <w:top w:val="single" w:sz="4" w:space="0" w:color="auto"/>
              <w:left w:val="single" w:sz="6" w:space="0" w:color="auto"/>
              <w:bottom w:val="single" w:sz="4" w:space="0" w:color="auto"/>
              <w:right w:val="single" w:sz="4" w:space="0" w:color="auto"/>
            </w:tcBorders>
            <w:shd w:val="clear" w:color="auto" w:fill="auto"/>
            <w:noWrap/>
          </w:tcPr>
          <w:p w:rsidR="00D030B0" w:rsidRPr="00806980" w:rsidRDefault="00D030B0" w:rsidP="00D030B0">
            <w:pPr>
              <w:spacing w:before="0" w:after="0"/>
              <w:ind w:right="497"/>
              <w:jc w:val="right"/>
              <w:rPr>
                <w:color w:val="000000"/>
                <w:sz w:val="18"/>
                <w:lang w:val="sk-SK" w:eastAsia="cs-CZ"/>
              </w:rPr>
            </w:pPr>
            <w:r w:rsidRPr="00806980">
              <w:rPr>
                <w:color w:val="000000"/>
                <w:sz w:val="18"/>
                <w:lang w:val="sk-SK" w:eastAsia="cs-CZ"/>
              </w:rPr>
              <w:t>174,725</w:t>
            </w:r>
          </w:p>
        </w:tc>
      </w:tr>
      <w:tr w:rsidR="00D030B0" w:rsidRPr="00D56604" w:rsidTr="00806980">
        <w:tc>
          <w:tcPr>
            <w:tcW w:w="5680" w:type="dxa"/>
            <w:tcBorders>
              <w:top w:val="single" w:sz="4" w:space="0" w:color="auto"/>
              <w:left w:val="single" w:sz="4" w:space="0" w:color="auto"/>
              <w:bottom w:val="single" w:sz="4" w:space="0" w:color="auto"/>
              <w:right w:val="single" w:sz="6" w:space="0" w:color="auto"/>
            </w:tcBorders>
            <w:shd w:val="clear" w:color="auto" w:fill="auto"/>
            <w:noWrap/>
            <w:vAlign w:val="center"/>
          </w:tcPr>
          <w:p w:rsidR="00D030B0" w:rsidRPr="00806980" w:rsidRDefault="00D030B0" w:rsidP="00D030B0">
            <w:pPr>
              <w:spacing w:before="0" w:after="0"/>
              <w:rPr>
                <w:color w:val="000000"/>
                <w:sz w:val="18"/>
              </w:rPr>
            </w:pPr>
            <w:r w:rsidRPr="00806980">
              <w:rPr>
                <w:color w:val="000000"/>
                <w:sz w:val="18"/>
              </w:rPr>
              <w:t>Stéblová (mimo) - Opatovice (mimo)</w:t>
            </w:r>
          </w:p>
        </w:tc>
        <w:tc>
          <w:tcPr>
            <w:tcW w:w="3686" w:type="dxa"/>
            <w:tcBorders>
              <w:top w:val="single" w:sz="4" w:space="0" w:color="auto"/>
              <w:left w:val="single" w:sz="6" w:space="0" w:color="auto"/>
              <w:bottom w:val="single" w:sz="4" w:space="0" w:color="auto"/>
              <w:right w:val="single" w:sz="4" w:space="0" w:color="auto"/>
            </w:tcBorders>
            <w:shd w:val="clear" w:color="auto" w:fill="auto"/>
            <w:noWrap/>
          </w:tcPr>
          <w:p w:rsidR="00D030B0" w:rsidRPr="00806980" w:rsidRDefault="00D030B0" w:rsidP="00D030B0">
            <w:pPr>
              <w:spacing w:before="0" w:after="0"/>
              <w:ind w:right="497"/>
              <w:jc w:val="right"/>
              <w:rPr>
                <w:color w:val="000000"/>
                <w:sz w:val="18"/>
                <w:lang w:val="sk-SK" w:eastAsia="cs-CZ"/>
              </w:rPr>
            </w:pPr>
            <w:r w:rsidRPr="00806980">
              <w:rPr>
                <w:color w:val="000000"/>
                <w:sz w:val="18"/>
                <w:lang w:val="sk-SK" w:eastAsia="cs-CZ"/>
              </w:rPr>
              <w:t>173,318</w:t>
            </w:r>
          </w:p>
        </w:tc>
      </w:tr>
      <w:tr w:rsidR="00D030B0" w:rsidRPr="00D56604" w:rsidTr="00806980">
        <w:tc>
          <w:tcPr>
            <w:tcW w:w="5680" w:type="dxa"/>
            <w:tcBorders>
              <w:top w:val="single" w:sz="4" w:space="0" w:color="auto"/>
              <w:left w:val="single" w:sz="4" w:space="0" w:color="auto"/>
              <w:bottom w:val="single" w:sz="4" w:space="0" w:color="auto"/>
              <w:right w:val="single" w:sz="6" w:space="0" w:color="auto"/>
            </w:tcBorders>
            <w:shd w:val="clear" w:color="auto" w:fill="auto"/>
            <w:noWrap/>
            <w:vAlign w:val="bottom"/>
          </w:tcPr>
          <w:p w:rsidR="00D030B0" w:rsidRPr="00806980" w:rsidRDefault="00D030B0" w:rsidP="00D030B0">
            <w:pPr>
              <w:spacing w:before="0" w:after="0"/>
              <w:rPr>
                <w:sz w:val="18"/>
                <w:lang w:eastAsia="cs-CZ"/>
              </w:rPr>
            </w:pPr>
            <w:r w:rsidRPr="00806980">
              <w:rPr>
                <w:color w:val="000000"/>
                <w:sz w:val="18"/>
              </w:rPr>
              <w:t>žst. Opatovice n. L.</w:t>
            </w:r>
          </w:p>
        </w:tc>
        <w:tc>
          <w:tcPr>
            <w:tcW w:w="3686" w:type="dxa"/>
            <w:tcBorders>
              <w:top w:val="single" w:sz="4" w:space="0" w:color="auto"/>
              <w:left w:val="single" w:sz="6" w:space="0" w:color="auto"/>
              <w:bottom w:val="single" w:sz="4" w:space="0" w:color="auto"/>
              <w:right w:val="single" w:sz="4" w:space="0" w:color="auto"/>
            </w:tcBorders>
            <w:shd w:val="clear" w:color="auto" w:fill="auto"/>
            <w:noWrap/>
          </w:tcPr>
          <w:p w:rsidR="00D030B0" w:rsidRPr="00806980" w:rsidRDefault="00D030B0" w:rsidP="00D030B0">
            <w:pPr>
              <w:spacing w:before="0" w:after="0"/>
              <w:ind w:right="497"/>
              <w:jc w:val="right"/>
              <w:rPr>
                <w:color w:val="000000"/>
                <w:sz w:val="18"/>
                <w:lang w:val="sk-SK" w:eastAsia="cs-CZ"/>
              </w:rPr>
            </w:pPr>
            <w:r w:rsidRPr="00806980">
              <w:rPr>
                <w:color w:val="000000"/>
                <w:sz w:val="18"/>
                <w:lang w:val="sk-SK" w:eastAsia="cs-CZ"/>
              </w:rPr>
              <w:t>360,393</w:t>
            </w:r>
          </w:p>
        </w:tc>
      </w:tr>
      <w:tr w:rsidR="00D030B0" w:rsidRPr="00D56604" w:rsidTr="00806980">
        <w:tc>
          <w:tcPr>
            <w:tcW w:w="5680" w:type="dxa"/>
            <w:tcBorders>
              <w:top w:val="single" w:sz="4" w:space="0" w:color="auto"/>
              <w:left w:val="single" w:sz="4" w:space="0" w:color="auto"/>
              <w:bottom w:val="single" w:sz="4" w:space="0" w:color="auto"/>
              <w:right w:val="single" w:sz="6" w:space="0" w:color="auto"/>
            </w:tcBorders>
            <w:shd w:val="clear" w:color="auto" w:fill="auto"/>
            <w:noWrap/>
            <w:vAlign w:val="bottom"/>
          </w:tcPr>
          <w:p w:rsidR="00D030B0" w:rsidRPr="00806980" w:rsidRDefault="00D030B0" w:rsidP="00D030B0">
            <w:pPr>
              <w:spacing w:before="0" w:after="0"/>
              <w:rPr>
                <w:sz w:val="18"/>
                <w:lang w:eastAsia="cs-CZ"/>
              </w:rPr>
            </w:pPr>
            <w:r w:rsidRPr="00806980">
              <w:rPr>
                <w:color w:val="000000"/>
                <w:sz w:val="18"/>
              </w:rPr>
              <w:t>Opatovice n- L-  - Hradec Králové (mimo)</w:t>
            </w:r>
          </w:p>
        </w:tc>
        <w:tc>
          <w:tcPr>
            <w:tcW w:w="3686" w:type="dxa"/>
            <w:tcBorders>
              <w:top w:val="single" w:sz="4" w:space="0" w:color="auto"/>
              <w:left w:val="single" w:sz="6" w:space="0" w:color="auto"/>
              <w:bottom w:val="single" w:sz="4" w:space="0" w:color="auto"/>
              <w:right w:val="single" w:sz="4" w:space="0" w:color="auto"/>
            </w:tcBorders>
            <w:shd w:val="clear" w:color="auto" w:fill="auto"/>
            <w:noWrap/>
          </w:tcPr>
          <w:p w:rsidR="00D030B0" w:rsidRPr="00806980" w:rsidRDefault="00D030B0" w:rsidP="00D030B0">
            <w:pPr>
              <w:spacing w:before="0" w:after="0"/>
              <w:ind w:right="497"/>
              <w:jc w:val="right"/>
              <w:rPr>
                <w:color w:val="000000"/>
                <w:sz w:val="18"/>
                <w:lang w:val="sk-SK" w:eastAsia="cs-CZ"/>
              </w:rPr>
            </w:pPr>
            <w:r w:rsidRPr="00806980">
              <w:rPr>
                <w:color w:val="000000"/>
                <w:sz w:val="18"/>
                <w:lang w:val="sk-SK" w:eastAsia="cs-CZ"/>
              </w:rPr>
              <w:t>139,259</w:t>
            </w:r>
          </w:p>
        </w:tc>
      </w:tr>
      <w:tr w:rsidR="00D030B0" w:rsidRPr="00D56604" w:rsidTr="00806980">
        <w:tc>
          <w:tcPr>
            <w:tcW w:w="5680" w:type="dxa"/>
            <w:tcBorders>
              <w:top w:val="single" w:sz="4" w:space="0" w:color="auto"/>
              <w:left w:val="single" w:sz="4" w:space="0" w:color="auto"/>
              <w:bottom w:val="single" w:sz="4" w:space="0" w:color="auto"/>
              <w:right w:val="single" w:sz="6" w:space="0" w:color="auto"/>
            </w:tcBorders>
            <w:shd w:val="clear" w:color="auto" w:fill="auto"/>
            <w:noWrap/>
            <w:vAlign w:val="bottom"/>
          </w:tcPr>
          <w:p w:rsidR="00D030B0" w:rsidRPr="00806980" w:rsidRDefault="00D030B0" w:rsidP="00D030B0">
            <w:pPr>
              <w:spacing w:before="0" w:after="0"/>
              <w:rPr>
                <w:sz w:val="18"/>
                <w:lang w:eastAsia="cs-CZ"/>
              </w:rPr>
            </w:pPr>
            <w:r w:rsidRPr="00806980">
              <w:rPr>
                <w:color w:val="000000"/>
                <w:sz w:val="18"/>
              </w:rPr>
              <w:t>žst. Hradec Králové hl. n. - jižní zhlaví</w:t>
            </w:r>
          </w:p>
        </w:tc>
        <w:tc>
          <w:tcPr>
            <w:tcW w:w="3686" w:type="dxa"/>
            <w:tcBorders>
              <w:top w:val="single" w:sz="4" w:space="0" w:color="auto"/>
              <w:left w:val="single" w:sz="6" w:space="0" w:color="auto"/>
              <w:bottom w:val="single" w:sz="4" w:space="0" w:color="auto"/>
              <w:right w:val="single" w:sz="4" w:space="0" w:color="auto"/>
            </w:tcBorders>
            <w:shd w:val="clear" w:color="auto" w:fill="auto"/>
            <w:noWrap/>
          </w:tcPr>
          <w:p w:rsidR="00D030B0" w:rsidRPr="00806980" w:rsidRDefault="00D030B0" w:rsidP="00D030B0">
            <w:pPr>
              <w:spacing w:before="0" w:after="0"/>
              <w:ind w:right="497"/>
              <w:jc w:val="right"/>
              <w:rPr>
                <w:color w:val="000000"/>
                <w:sz w:val="18"/>
                <w:lang w:val="sk-SK" w:eastAsia="cs-CZ"/>
              </w:rPr>
            </w:pPr>
            <w:r w:rsidRPr="00806980">
              <w:rPr>
                <w:color w:val="000000"/>
                <w:sz w:val="18"/>
                <w:lang w:val="sk-SK" w:eastAsia="cs-CZ"/>
              </w:rPr>
              <w:t>552,589</w:t>
            </w:r>
          </w:p>
        </w:tc>
      </w:tr>
      <w:tr w:rsidR="00D030B0" w:rsidRPr="00D56604" w:rsidTr="00806980">
        <w:tc>
          <w:tcPr>
            <w:tcW w:w="5680" w:type="dxa"/>
            <w:tcBorders>
              <w:top w:val="single" w:sz="4" w:space="0" w:color="auto"/>
              <w:left w:val="single" w:sz="4" w:space="0" w:color="auto"/>
              <w:bottom w:val="single" w:sz="4" w:space="0" w:color="auto"/>
              <w:right w:val="single" w:sz="6" w:space="0" w:color="auto"/>
            </w:tcBorders>
            <w:shd w:val="clear" w:color="auto" w:fill="auto"/>
            <w:noWrap/>
            <w:vAlign w:val="bottom"/>
          </w:tcPr>
          <w:p w:rsidR="00D030B0" w:rsidRPr="00002754" w:rsidRDefault="00D030B0" w:rsidP="00D030B0">
            <w:pPr>
              <w:spacing w:before="0" w:after="0"/>
              <w:rPr>
                <w:b/>
                <w:sz w:val="18"/>
                <w:lang w:eastAsia="cs-CZ"/>
              </w:rPr>
            </w:pPr>
            <w:r w:rsidRPr="00002754">
              <w:rPr>
                <w:b/>
                <w:color w:val="000000"/>
                <w:sz w:val="18"/>
              </w:rPr>
              <w:t>varianta MINIMÁLNÍ</w:t>
            </w:r>
          </w:p>
        </w:tc>
        <w:tc>
          <w:tcPr>
            <w:tcW w:w="3686" w:type="dxa"/>
            <w:tcBorders>
              <w:top w:val="single" w:sz="4" w:space="0" w:color="auto"/>
              <w:left w:val="single" w:sz="6" w:space="0" w:color="auto"/>
              <w:bottom w:val="single" w:sz="4" w:space="0" w:color="auto"/>
              <w:right w:val="single" w:sz="4" w:space="0" w:color="auto"/>
            </w:tcBorders>
            <w:shd w:val="clear" w:color="auto" w:fill="auto"/>
            <w:noWrap/>
          </w:tcPr>
          <w:p w:rsidR="00D030B0" w:rsidRPr="00002754" w:rsidRDefault="00D030B0" w:rsidP="00D030B0">
            <w:pPr>
              <w:spacing w:before="0" w:after="0"/>
              <w:ind w:right="497"/>
              <w:jc w:val="right"/>
              <w:rPr>
                <w:b/>
                <w:color w:val="000000"/>
                <w:sz w:val="18"/>
                <w:lang w:val="sk-SK" w:eastAsia="cs-CZ"/>
              </w:rPr>
            </w:pPr>
            <w:r w:rsidRPr="00002754">
              <w:rPr>
                <w:b/>
                <w:color w:val="000000"/>
                <w:sz w:val="18"/>
                <w:lang w:val="sk-SK" w:eastAsia="cs-CZ"/>
              </w:rPr>
              <w:t>1 915,728</w:t>
            </w:r>
          </w:p>
        </w:tc>
      </w:tr>
    </w:tbl>
    <w:p w:rsidR="001A7F7A" w:rsidRPr="001A7F7A" w:rsidRDefault="001A7F7A" w:rsidP="001A7F7A"/>
    <w:p w:rsidR="00F5279A" w:rsidRPr="002E1C06" w:rsidRDefault="00F5279A" w:rsidP="00F5279A">
      <w:pPr>
        <w:pStyle w:val="Nadpis2"/>
      </w:pPr>
      <w:bookmarkStart w:id="85" w:name="_Ref386456108"/>
      <w:bookmarkStart w:id="86" w:name="_Toc390958695"/>
      <w:r w:rsidRPr="00F5279A">
        <w:t>Etapa (varianty Maximální)</w:t>
      </w:r>
      <w:bookmarkEnd w:id="85"/>
      <w:bookmarkEnd w:id="86"/>
    </w:p>
    <w:p w:rsidR="00F5279A" w:rsidRDefault="00F5279A" w:rsidP="00F5279A">
      <w:pPr>
        <w:pStyle w:val="Nadpis3"/>
        <w:ind w:hanging="8234"/>
      </w:pPr>
      <w:r>
        <w:t>Souhrnná specifikace Etapy</w:t>
      </w:r>
    </w:p>
    <w:p w:rsidR="00F5279A" w:rsidRDefault="00F5279A" w:rsidP="00F5279A">
      <w:r>
        <w:t>Etapa projektové varianty Maximální představuje již sama o sobě vyšší rozsah</w:t>
      </w:r>
      <w:r w:rsidRPr="00C130E4">
        <w:t xml:space="preserve"> investic</w:t>
      </w:r>
      <w:r>
        <w:t xml:space="preserve"> do nových částí infrastruktury</w:t>
      </w:r>
      <w:r w:rsidRPr="00F5279A">
        <w:t>. Sou</w:t>
      </w:r>
      <w:r w:rsidRPr="00F5279A">
        <w:rPr>
          <w:rFonts w:hint="eastAsia"/>
        </w:rPr>
        <w:t>čá</w:t>
      </w:r>
      <w:r w:rsidRPr="00F5279A">
        <w:t xml:space="preserve">stí Etapy je stavba „Modernizace trati Hradec Králové – Pardubice – Chrudim, 1. stavba, zdvoukolejnění úseku Stéblová – Opatovice nad Labem“ (v podobě dle aktualizovaného projektu stavby z 06/2013), tzn. zvýšení rychlosti na </w:t>
      </w:r>
      <w:smartTag w:uri="urn:schemas-microsoft-com:office:smarttags" w:element="metricconverter">
        <w:smartTagPr>
          <w:attr w:name="ProductID" w:val="160 km/h"/>
        </w:smartTagPr>
        <w:r w:rsidRPr="00F5279A">
          <w:t>160 km/h</w:t>
        </w:r>
      </w:smartTag>
      <w:r w:rsidRPr="00F5279A">
        <w:t>, přidání druhé koleje a traťové zabezpečení prostřednictvím autobloku v tomto úseku. Režim úprav obou krajních navazujících úseků (Pardubice – Stéblová, Opatovice – Hradec Králové) se v Etapě předpokládá pouze v režimu varianty Bez projektu. Etapa již zahrnuje zvýšení kapacity trati a zlepšení přestupových</w:t>
      </w:r>
      <w:r>
        <w:t xml:space="preserve"> vazeb posunem poloh vlaků v uzlech podle požadavků objednatelů veřejné osobní dopravy. Z pohledu hlavních parametrů celého úseku Pardubice hl. n. – Hradec Králové hl. n. dochází ke zdvoukolejnění pouze 6,914 km dlouhého úseku Stéblová (včetně) – Opatovice nad Labem (mimo), oba krajní úseky zůstávají jednokolejné se stávajícími rychlostními parametry a zvýšenými kapacitními parametry díky novému zabezpečení úseku Pardubice-Rosice n. L. – Stéblová. Režim vkládání finančních prostředků bude neinvestiční (prostřednictvím nákladů na zajištění provozuschopnosti).</w:t>
      </w:r>
    </w:p>
    <w:p w:rsidR="00F5279A" w:rsidRDefault="00F5279A" w:rsidP="00F5279A">
      <w:r>
        <w:t>Etapa umožňuje navýšit počet vlaků, přičemž s růstem vlaků se počítá především v osobní dopravě. I když část vlaků bude v dieselové trakci (R Pardubice – Liberec a Sp Pardubice – Trutnov), tak vyvstává otázka, zdali stávající napájecí kapacity budou pro zvýšené odběry postačovat.</w:t>
      </w:r>
    </w:p>
    <w:p w:rsidR="00F5279A" w:rsidRPr="00C6587D" w:rsidRDefault="00F5279A" w:rsidP="00F5279A">
      <w:r>
        <w:t xml:space="preserve">V provedených energetických výpočtech pro projekt stavby „Modernizace trati Hradec Králové – Pardubice – Chrudim, 1. stavba, zdvojkolejnění úseku Stéblová - Opatovice nad Labem" (SUDOP PRAHA a.s., 2012), které jsou počítány již pro zdvojkolejněnou celou trať Pardubice - Hradec Králové a pro variantu s maximálním počtem vlaků a rychlostí až </w:t>
      </w:r>
      <w:smartTag w:uri="urn:schemas-microsoft-com:office:smarttags" w:element="metricconverter">
        <w:smartTagPr>
          <w:attr w:name="ProductID" w:val="160ﾠkm/hod"/>
        </w:smartTagPr>
        <w:r>
          <w:t>160 km/hod</w:t>
        </w:r>
      </w:smartTag>
      <w:r>
        <w:t xml:space="preserve">, vychází nárůst denní spotřeby 8,4 MWh/d, čemuž odpovídá navýšení požadovaného výkonu o 1,8 MW. </w:t>
      </w:r>
      <w:r>
        <w:br/>
        <w:t xml:space="preserve">Tento výkon se poměrově rozdělí mezi TM takto: </w:t>
      </w:r>
      <w:r>
        <w:br/>
        <w:t xml:space="preserve">TM Hradec Králové </w:t>
      </w:r>
      <w:r>
        <w:tab/>
      </w:r>
      <w:r>
        <w:tab/>
        <w:t xml:space="preserve">53% = 0,95 MW </w:t>
      </w:r>
      <w:r>
        <w:br/>
        <w:t>TM Opočínek</w:t>
      </w:r>
      <w:r>
        <w:tab/>
      </w:r>
      <w:r>
        <w:tab/>
      </w:r>
      <w:r>
        <w:tab/>
        <w:t xml:space="preserve">37% = 0,67 MW </w:t>
      </w:r>
      <w:r>
        <w:br/>
        <w:t>TM Moravany</w:t>
      </w:r>
      <w:r>
        <w:tab/>
      </w:r>
      <w:r>
        <w:tab/>
      </w:r>
      <w:r>
        <w:tab/>
        <w:t xml:space="preserve">10% = 0,18 MW </w:t>
      </w:r>
      <w:r>
        <w:br/>
        <w:t>Z uvedeného vyplývá, že plánované zdvojkolejnění trati s navýšením počtu vlaků v osobní přepravě nebude mít takřka žádný vliv na uvedené měnírny. U všech měníren stávající dimenzování pokryje tento předpokládaný nárůst potřebného trvalého efektivního výkonu.</w:t>
      </w:r>
    </w:p>
    <w:p w:rsidR="00F5279A" w:rsidRDefault="00F5279A" w:rsidP="00F5279A">
      <w:pPr>
        <w:pStyle w:val="Nadpis3"/>
        <w:ind w:hanging="8234"/>
      </w:pPr>
      <w:bookmarkStart w:id="87" w:name="_Ref280201179"/>
      <w:r>
        <w:t>Popis jednotlivých úseků</w:t>
      </w:r>
      <w:bookmarkEnd w:id="87"/>
    </w:p>
    <w:p w:rsidR="00F5279A" w:rsidRDefault="00F5279A" w:rsidP="00F5279A">
      <w:pPr>
        <w:pStyle w:val="Nadpis4"/>
        <w:rPr>
          <w:b/>
          <w:bCs w:val="0"/>
          <w:sz w:val="22"/>
        </w:rPr>
      </w:pPr>
      <w:r>
        <w:rPr>
          <w:b/>
          <w:bCs w:val="0"/>
          <w:sz w:val="22"/>
        </w:rPr>
        <w:t>Pardubice hl. n. (mimo) – Pardubice-Rosice nad Labem (včetně)</w:t>
      </w:r>
    </w:p>
    <w:p w:rsidR="00F5279A" w:rsidRDefault="00F5279A" w:rsidP="00F5279A">
      <w:r>
        <w:t xml:space="preserve">Kolejiště </w:t>
      </w:r>
      <w:r w:rsidRPr="00092F1A">
        <w:rPr>
          <w:u w:val="single"/>
        </w:rPr>
        <w:t>žst. Pardubice hl. n.</w:t>
      </w:r>
      <w:r>
        <w:t xml:space="preserve"> bude řešeno optimalizací průjezdu stanicí v rámci dokompletování tzv. „koridorizace“ (stanice leží na souběhu I. a III. TŽK)</w:t>
      </w:r>
      <w:r>
        <w:rPr>
          <w:rStyle w:val="Znakapoznpodarou"/>
        </w:rPr>
        <w:footnoteReference w:id="1"/>
      </w:r>
      <w:r>
        <w:t>, z hlediska investic nebudou úpravy stanice součástí stavby Hradec Králové – Pardubice. Úpravy v rámci obou projektových variant této studie proveditelnosti začínají tedy až v km 1,505 (kilometrická poloha vjezdového návěstidla žst. Pardubice hl. n. ve směru od Rosic).</w:t>
      </w:r>
    </w:p>
    <w:p w:rsidR="00F5279A" w:rsidRDefault="00F5279A" w:rsidP="00F5279A">
      <w:r>
        <w:t xml:space="preserve">Celý úsek </w:t>
      </w:r>
      <w:r w:rsidRPr="00B14ABF">
        <w:rPr>
          <w:b/>
        </w:rPr>
        <w:t>od km 1,505 do km 4,000</w:t>
      </w:r>
      <w:r>
        <w:t xml:space="preserve"> zůstává jednokolejný, striktně ve stávající podobě.</w:t>
      </w:r>
    </w:p>
    <w:p w:rsidR="00F5279A" w:rsidRPr="00B14ABF" w:rsidRDefault="00F5279A" w:rsidP="00F5279A">
      <w:r>
        <w:t xml:space="preserve">Konfigurace </w:t>
      </w:r>
      <w:r w:rsidRPr="00092F1A">
        <w:rPr>
          <w:u w:val="single"/>
        </w:rPr>
        <w:t>žst. Pardubice-Rosice nad Labem</w:t>
      </w:r>
      <w:r>
        <w:t xml:space="preserve"> se oproti stávajícímu stavu rovněž nemění, ve stanici zůstávají tři úrovňová nástupiště u kolejí č. 1, 2, 3. Počítá se s náhradou elektromechanického SZZ za nové SSZ 3. kategorie (elektronické stavědlo) v průběhu hodnotícího období (předpokládá se nemožnost údržby elektromechanického SZZ po celou dobu hodnotícího období).</w:t>
      </w:r>
    </w:p>
    <w:p w:rsidR="00806980" w:rsidRDefault="00806980">
      <w:pPr>
        <w:suppressAutoHyphens w:val="0"/>
        <w:spacing w:before="0" w:after="0" w:line="240" w:lineRule="auto"/>
        <w:jc w:val="left"/>
        <w:rPr>
          <w:b/>
          <w:sz w:val="22"/>
          <w:szCs w:val="28"/>
          <w:u w:val="single"/>
        </w:rPr>
      </w:pPr>
      <w:r>
        <w:rPr>
          <w:b/>
          <w:bCs/>
          <w:sz w:val="22"/>
        </w:rPr>
        <w:br w:type="page"/>
      </w:r>
    </w:p>
    <w:p w:rsidR="00F5279A" w:rsidRDefault="00F5279A" w:rsidP="00F5279A">
      <w:pPr>
        <w:pStyle w:val="Nadpis4"/>
        <w:rPr>
          <w:b/>
          <w:bCs w:val="0"/>
          <w:sz w:val="22"/>
        </w:rPr>
      </w:pPr>
      <w:r>
        <w:rPr>
          <w:b/>
          <w:bCs w:val="0"/>
          <w:sz w:val="22"/>
        </w:rPr>
        <w:t>Pardubice-Rosice nad Labem (mimo) – Stéblová (mimo)</w:t>
      </w:r>
    </w:p>
    <w:p w:rsidR="00F5279A" w:rsidRDefault="00F5279A" w:rsidP="00F5279A">
      <w:r>
        <w:t xml:space="preserve">V mezistaničním úseku </w:t>
      </w:r>
      <w:r w:rsidRPr="0002643E">
        <w:rPr>
          <w:b/>
        </w:rPr>
        <w:t>od km 4,000 do km 8,160</w:t>
      </w:r>
      <w:r>
        <w:t xml:space="preserve"> se v Etapě z hlediska investic počítá pouze s instalací TZZ 3. kategorie prostřednictvím automatického hradla s návěstním bodem a zabezpečení dvou v současnosti nezabezpečených železničních přejezdů (v km 4,232 a 5,953). </w:t>
      </w:r>
      <w:r w:rsidRPr="0053746F">
        <w:t xml:space="preserve">Všechny další </w:t>
      </w:r>
      <w:r w:rsidRPr="0053746F">
        <w:rPr>
          <w:rFonts w:hint="eastAsia"/>
        </w:rPr>
        <w:t>č</w:t>
      </w:r>
      <w:r w:rsidRPr="0053746F">
        <w:t xml:space="preserve">innosti na </w:t>
      </w:r>
      <w:r w:rsidRPr="0053746F">
        <w:rPr>
          <w:rFonts w:hint="eastAsia"/>
        </w:rPr>
        <w:t>ú</w:t>
      </w:r>
      <w:r w:rsidRPr="0053746F">
        <w:t>seku jsou p</w:t>
      </w:r>
      <w:r w:rsidRPr="0053746F">
        <w:rPr>
          <w:rFonts w:hint="eastAsia"/>
        </w:rPr>
        <w:t>ř</w:t>
      </w:r>
      <w:r w:rsidRPr="0053746F">
        <w:t>edpokládány v režimu oprav (náklad</w:t>
      </w:r>
      <w:r w:rsidRPr="0053746F">
        <w:rPr>
          <w:rFonts w:hint="eastAsia"/>
        </w:rPr>
        <w:t>ů</w:t>
      </w:r>
      <w:r w:rsidRPr="0053746F">
        <w:t xml:space="preserve"> na zajišt</w:t>
      </w:r>
      <w:r w:rsidRPr="0053746F">
        <w:rPr>
          <w:rFonts w:hint="eastAsia"/>
        </w:rPr>
        <w:t>ě</w:t>
      </w:r>
      <w:r w:rsidRPr="0053746F">
        <w:t>ní provozuschopnosti a pln</w:t>
      </w:r>
      <w:r w:rsidRPr="0053746F">
        <w:rPr>
          <w:rFonts w:hint="eastAsia"/>
        </w:rPr>
        <w:t>ě</w:t>
      </w:r>
      <w:r w:rsidRPr="0053746F">
        <w:t xml:space="preserve"> odpovídají variant</w:t>
      </w:r>
      <w:r w:rsidRPr="0053746F">
        <w:rPr>
          <w:rFonts w:hint="eastAsia"/>
        </w:rPr>
        <w:t>ě</w:t>
      </w:r>
      <w:r w:rsidRPr="0053746F">
        <w:t xml:space="preserve"> Bez projektu.</w:t>
      </w:r>
      <w:r>
        <w:t xml:space="preserve">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806980" w:rsidTr="00806980">
        <w:trPr>
          <w:cantSplit/>
        </w:trPr>
        <w:tc>
          <w:tcPr>
            <w:tcW w:w="9356" w:type="dxa"/>
          </w:tcPr>
          <w:p w:rsidR="00806980" w:rsidRDefault="00806980" w:rsidP="006B08CB">
            <w:pPr>
              <w:pStyle w:val="Titulek"/>
            </w:pPr>
            <w:bookmarkStart w:id="88" w:name="_Toc390958816"/>
            <w:r w:rsidRPr="0061341E">
              <w:t xml:space="preserve">Obr. </w:t>
            </w:r>
            <w:r w:rsidRPr="0061341E">
              <w:fldChar w:fldCharType="begin"/>
            </w:r>
            <w:r w:rsidRPr="0061341E">
              <w:instrText xml:space="preserve"> STYLEREF 1 \s </w:instrText>
            </w:r>
            <w:r w:rsidRPr="0061341E">
              <w:fldChar w:fldCharType="separate"/>
            </w:r>
            <w:r w:rsidR="003843F3">
              <w:rPr>
                <w:noProof/>
              </w:rPr>
              <w:t>3</w:t>
            </w:r>
            <w:r w:rsidRPr="0061341E">
              <w:fldChar w:fldCharType="end"/>
            </w:r>
            <w:r w:rsidRPr="0061341E">
              <w:noBreakHyphen/>
            </w:r>
            <w:r w:rsidRPr="0061341E">
              <w:fldChar w:fldCharType="begin"/>
            </w:r>
            <w:r w:rsidRPr="0061341E">
              <w:instrText xml:space="preserve"> SEQ Obr. \* ARABIC \s 1 </w:instrText>
            </w:r>
            <w:r w:rsidRPr="0061341E">
              <w:fldChar w:fldCharType="separate"/>
            </w:r>
            <w:r w:rsidR="003843F3">
              <w:rPr>
                <w:noProof/>
              </w:rPr>
              <w:t>10</w:t>
            </w:r>
            <w:r w:rsidRPr="0061341E">
              <w:fldChar w:fldCharType="end"/>
            </w:r>
            <w:r w:rsidRPr="0061341E">
              <w:t>: Schéma úseku Pardubice hl. n. – Pardubice-Rosice nad Labem</w:t>
            </w:r>
            <w:r>
              <w:t xml:space="preserve"> </w:t>
            </w:r>
            <w:r w:rsidRPr="0053746F">
              <w:t>(</w:t>
            </w:r>
            <w:r>
              <w:t>Etapa</w:t>
            </w:r>
            <w:r w:rsidRPr="0053746F">
              <w:t>)</w:t>
            </w:r>
            <w:bookmarkEnd w:id="88"/>
          </w:p>
        </w:tc>
      </w:tr>
      <w:tr w:rsidR="00806980" w:rsidTr="00806980">
        <w:trPr>
          <w:cantSplit/>
        </w:trPr>
        <w:tc>
          <w:tcPr>
            <w:tcW w:w="9356" w:type="dxa"/>
          </w:tcPr>
          <w:p w:rsidR="00806980" w:rsidRDefault="00806980" w:rsidP="00F5279A">
            <w:pPr>
              <w:jc w:val="center"/>
            </w:pPr>
            <w:r>
              <w:rPr>
                <w:noProof/>
                <w:lang w:eastAsia="cs-CZ"/>
              </w:rPr>
              <w:drawing>
                <wp:inline distT="0" distB="0" distL="0" distR="0" wp14:anchorId="6ED9497E" wp14:editId="20E54E7A">
                  <wp:extent cx="5385600" cy="236880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cstate="print"/>
                          <a:srcRect l="10843" t="24335" r="10939" b="26994"/>
                          <a:stretch/>
                        </pic:blipFill>
                        <pic:spPr bwMode="auto">
                          <a:xfrm>
                            <a:off x="0" y="0"/>
                            <a:ext cx="5385600" cy="2368800"/>
                          </a:xfrm>
                          <a:prstGeom prst="rect">
                            <a:avLst/>
                          </a:prstGeom>
                          <a:ln>
                            <a:noFill/>
                          </a:ln>
                          <a:extLst>
                            <a:ext uri="{53640926-AAD7-44D8-BBD7-CCE9431645EC}">
                              <a14:shadowObscured xmlns:a14="http://schemas.microsoft.com/office/drawing/2010/main"/>
                            </a:ext>
                          </a:extLst>
                        </pic:spPr>
                      </pic:pic>
                    </a:graphicData>
                  </a:graphic>
                </wp:inline>
              </w:drawing>
            </w:r>
          </w:p>
        </w:tc>
      </w:tr>
    </w:tbl>
    <w:p w:rsidR="00F5279A" w:rsidRDefault="00F5279A" w:rsidP="00F5279A"/>
    <w:p w:rsidR="00F5279A" w:rsidRDefault="00F5279A" w:rsidP="00F5279A">
      <w:pPr>
        <w:pStyle w:val="Nadpis4"/>
        <w:rPr>
          <w:b/>
          <w:bCs w:val="0"/>
          <w:sz w:val="22"/>
        </w:rPr>
      </w:pPr>
      <w:r>
        <w:rPr>
          <w:b/>
          <w:bCs w:val="0"/>
          <w:sz w:val="22"/>
        </w:rPr>
        <w:t>Stéblová (včetně) – Opatovice nad Labem (včetně)</w:t>
      </w:r>
    </w:p>
    <w:p w:rsidR="00F5279A" w:rsidRDefault="00F5279A" w:rsidP="00F5279A">
      <w:r>
        <w:t>Úsek trati Stéblová – Opatovice nad Labem (</w:t>
      </w:r>
      <w:r>
        <w:rPr>
          <w:b/>
        </w:rPr>
        <w:t>od km 8,160 do km 16,334</w:t>
      </w:r>
      <w:r w:rsidRPr="0092626A">
        <w:t>)</w:t>
      </w:r>
      <w:r>
        <w:t xml:space="preserve"> je první stavbou souboru staveb v rámci modernizace trati Hradec Králové – Pardubice (– Chrudim). Cílovým stavem souboru staveb je úplné zdvoukolejnění trati Hradec Králové – Pardubice, včetně úpravy jižního zhlaví žst. Hradec Králové a zapojení do západního zhlaví žst. Pardubice. Úpravy navržené v rámci stavby zahrnují modernizaci mezistaničního úseku žst. Stéblová – žst. Opatovice nad Labem včetně první z obou jmenovaných železničních stanic. </w:t>
      </w:r>
      <w:r w:rsidRPr="0053746F">
        <w:t xml:space="preserve">Úpravy jsou pro </w:t>
      </w:r>
      <w:r w:rsidRPr="00F5279A">
        <w:t>Etapu i kone</w:t>
      </w:r>
      <w:r w:rsidRPr="00F5279A">
        <w:rPr>
          <w:rFonts w:hint="eastAsia"/>
        </w:rPr>
        <w:t>č</w:t>
      </w:r>
      <w:r w:rsidRPr="00F5279A">
        <w:t>ný stav variant</w:t>
      </w:r>
      <w:r>
        <w:t>y</w:t>
      </w:r>
      <w:r w:rsidRPr="0053746F">
        <w:t xml:space="preserve"> Maximální shodné. Kolejišt</w:t>
      </w:r>
      <w:r w:rsidRPr="0053746F">
        <w:rPr>
          <w:rFonts w:hint="eastAsia"/>
        </w:rPr>
        <w:t>ě</w:t>
      </w:r>
      <w:r w:rsidRPr="0053746F">
        <w:t xml:space="preserve"> žst. Opatovice nad Labem (</w:t>
      </w:r>
      <w:r w:rsidRPr="0053746F">
        <w:rPr>
          <w:b/>
        </w:rPr>
        <w:t>od km 16,334 do km 17,920</w:t>
      </w:r>
      <w:r w:rsidRPr="0053746F">
        <w:t>) z</w:t>
      </w:r>
      <w:r w:rsidRPr="0053746F">
        <w:rPr>
          <w:rFonts w:hint="eastAsia"/>
        </w:rPr>
        <w:t>ů</w:t>
      </w:r>
      <w:r w:rsidRPr="0053746F">
        <w:t xml:space="preserve">stává </w:t>
      </w:r>
      <w:r>
        <w:t xml:space="preserve">v </w:t>
      </w:r>
      <w:r w:rsidRPr="0053746F">
        <w:t>Etap</w:t>
      </w:r>
      <w:r>
        <w:t>ě</w:t>
      </w:r>
      <w:r w:rsidRPr="0053746F">
        <w:t xml:space="preserve"> v</w:t>
      </w:r>
      <w:r>
        <w:t> podobě varianty Bez projektu včetně všech dalších profesí.</w:t>
      </w:r>
    </w:p>
    <w:p w:rsidR="00F5279A" w:rsidRDefault="00F5279A" w:rsidP="00F5279A">
      <w:r>
        <w:t xml:space="preserve">Začátek stavby je v km 8,160, před žst. Stéblová, kde začíná výstavbou protihlukové stěny. Konec stavby je v km 16,334, před výhybkou č. 3 žst. Opatovice nad Labem (dle stávajícího číslování). Trati žst. Opatovice nad Labem – odbočka Plačice se stavba </w:t>
      </w:r>
      <w:r w:rsidRPr="00F5279A">
        <w:t>v Etap</w:t>
      </w:r>
      <w:r w:rsidRPr="00F5279A">
        <w:rPr>
          <w:rFonts w:hint="eastAsia"/>
        </w:rPr>
        <w:t>ě</w:t>
      </w:r>
      <w:r w:rsidRPr="0053746F">
        <w:t xml:space="preserve"> nedotýká</w:t>
      </w:r>
      <w:r>
        <w:t xml:space="preserve">. Technologické profese budou, převážně kabelovými rozvody, zasahovat až do žst. Pardubice – Rosice nad Labem a na vlečku elektrárny Opatovice (EOP), </w:t>
      </w:r>
      <w:r w:rsidRPr="0053746F">
        <w:t>sou</w:t>
      </w:r>
      <w:r w:rsidRPr="0053746F">
        <w:rPr>
          <w:rFonts w:hint="eastAsia"/>
        </w:rPr>
        <w:t>čá</w:t>
      </w:r>
      <w:r w:rsidRPr="0053746F">
        <w:t xml:space="preserve">stí </w:t>
      </w:r>
      <w:r w:rsidRPr="00F5279A">
        <w:t>Etapy</w:t>
      </w:r>
      <w:r w:rsidRPr="0053746F">
        <w:t xml:space="preserve"> je i</w:t>
      </w:r>
      <w:r>
        <w:t xml:space="preserve"> zabezpečení zmíněné vlečky automatickým hradlem. Začátek stavby byl stanoven tak, aby na tuto stavbu mohly ve směru do Hradce Králové i do Pardubic navázat samostatné stavby, jejichž náplní bude zdvoukolejnění navazujících úseků.</w:t>
      </w:r>
    </w:p>
    <w:p w:rsidR="00F5279A" w:rsidRDefault="00F5279A" w:rsidP="00F5279A">
      <w:r>
        <w:t>Kolejové úpravy začínají v km 8,639 (směrová a výšková úprava kolejí), resp. v km 8,739 (rekonstrukce železničního svršku a sanace železničního spodku) trati Pardubice – Liberec. Kolejové úpravy končí v km 16,334 a směrová a výšková úprava končí (pouze v případě traťové koleje č. 2) až v km 16,375. Stavební délka kolejových úprav je 7,595 km.</w:t>
      </w:r>
    </w:p>
    <w:p w:rsidR="00F5279A" w:rsidRDefault="00F5279A" w:rsidP="00F5279A">
      <w:r>
        <w:t>Rozsah úprav železničního spodku a svršku je dán požadavkem na zvýšení propustnosti trati a zvýšení rychlosti pro klasické soupravy. Současně navržené úpravy splňují požadavky dosažení přechodnosti pro zatížení traťové třídy D4 a zavedení prostorové průchodnosti pro ložnou míru UIC GC.</w:t>
      </w:r>
    </w:p>
    <w:p w:rsidR="00F5279A" w:rsidRDefault="00F5279A" w:rsidP="00F5279A">
      <w:r>
        <w:t xml:space="preserve">Dosud zpracovaná projektová dokumentace uvažovala návrh konstrukce železničního svršku pro rychlost až </w:t>
      </w:r>
      <w:smartTag w:uri="urn:schemas-microsoft-com:office:smarttags" w:element="metricconverter">
        <w:smartTagPr>
          <w:attr w:name="ProductID" w:val="160 km/h"/>
        </w:smartTagPr>
        <w:r>
          <w:t>160 km/h</w:t>
        </w:r>
      </w:smartTag>
      <w:r>
        <w:t>. V celém úseku se předpokládá výměna kolejového roštu za tvar UIC 60 na betonových pražcích s bezpodkladnicovým pružným upevněním W14. Svršek tvaru S49 v hlavních kolejích bude nahrazen rovněž svrškem tvaru UIC 60 na betonových pražcích s bezpodkladnicovým pružným upevněním W14. Kolejnice budou svařeny v bezstykovou kolej.</w:t>
      </w:r>
    </w:p>
    <w:p w:rsidR="00F5279A" w:rsidRDefault="00F5279A" w:rsidP="00F5279A">
      <w:r>
        <w:t>V rámci kolejových úprav dojde ke zdvoukolejnění celého úseku. Druhá kolej bude od stávající koleje vpravo ve směru staničení (na Hradec Králové). Přesný začátek stavebních úprav je v km 8,739 482.</w:t>
      </w:r>
    </w:p>
    <w:p w:rsidR="00F5279A" w:rsidRPr="005B5175" w:rsidRDefault="00F5279A" w:rsidP="00F5279A">
      <w:pPr>
        <w:rPr>
          <w:u w:val="single"/>
        </w:rPr>
      </w:pPr>
      <w:r w:rsidRPr="005B5175">
        <w:rPr>
          <w:u w:val="single"/>
        </w:rPr>
        <w:t>Žst. Stéblová</w:t>
      </w:r>
    </w:p>
    <w:p w:rsidR="00F5279A" w:rsidRDefault="00F5279A" w:rsidP="00F5279A">
      <w:r>
        <w:t xml:space="preserve">Ve stanici dojde k prodloužení užitné délky koleje č. 4 na </w:t>
      </w:r>
      <w:smartTag w:uri="urn:schemas-microsoft-com:office:smarttags" w:element="metricconverter">
        <w:smartTagPr>
          <w:attr w:name="ProductID" w:val="600 m"/>
        </w:smartTagPr>
        <w:r>
          <w:t>600 m</w:t>
        </w:r>
      </w:smartTag>
      <w:r>
        <w:t xml:space="preserve">. Na rozdíl od současného stavu bude napojena do koleje č. 2 ještě před žel. přejezdem. Kolej č. 6 bude snesena. Nástupiště u koleje č. 1 bude zrekonstruováno v délce </w:t>
      </w:r>
      <w:smartTag w:uri="urn:schemas-microsoft-com:office:smarttags" w:element="metricconverter">
        <w:smartTagPr>
          <w:attr w:name="ProductID" w:val="110 m"/>
        </w:smartTagPr>
        <w:r>
          <w:t>110 m</w:t>
        </w:r>
      </w:smartTag>
      <w:r>
        <w:t xml:space="preserve">. U nové koleje č. 2 za žel. přejezdem směrem na Hradec Králové vznikne vnější nástupiště typu L. Výška nástupištní hrany bude </w:t>
      </w:r>
      <w:smartTag w:uri="urn:schemas-microsoft-com:office:smarttags" w:element="metricconverter">
        <w:smartTagPr>
          <w:attr w:name="ProductID" w:val="550 mm"/>
        </w:smartTagPr>
        <w:r>
          <w:t>550 mm</w:t>
        </w:r>
      </w:smartTag>
      <w:r>
        <w:t xml:space="preserve"> nad temenem kolejnice, délka </w:t>
      </w:r>
      <w:smartTag w:uri="urn:schemas-microsoft-com:office:smarttags" w:element="metricconverter">
        <w:smartTagPr>
          <w:attr w:name="ProductID" w:val="110 m"/>
        </w:smartTagPr>
        <w:r>
          <w:t>110 m</w:t>
        </w:r>
      </w:smartTag>
      <w:r>
        <w:t xml:space="preserve">. Za nástupištěm u koleje č. 2 je ve směru na Hradec Králové jednoduchá kolejová spojka pro rychlost </w:t>
      </w:r>
      <w:smartTag w:uri="urn:schemas-microsoft-com:office:smarttags" w:element="metricconverter">
        <w:smartTagPr>
          <w:attr w:name="ProductID" w:val="50 km/h"/>
        </w:smartTagPr>
        <w:r>
          <w:t>50 km/h</w:t>
        </w:r>
      </w:smartTag>
      <w:r>
        <w:t xml:space="preserve">. Za ní dojde ke změně osové vzdálenosti kolejí ze 4,75 na </w:t>
      </w:r>
      <w:smartTag w:uri="urn:schemas-microsoft-com:office:smarttags" w:element="metricconverter">
        <w:smartTagPr>
          <w:attr w:name="ProductID" w:val="4 m"/>
        </w:smartTagPr>
        <w:r>
          <w:t>4 m</w:t>
        </w:r>
      </w:smartTag>
      <w:r>
        <w:t>.</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806980" w:rsidTr="00806980">
        <w:tc>
          <w:tcPr>
            <w:tcW w:w="9356" w:type="dxa"/>
          </w:tcPr>
          <w:p w:rsidR="00806980" w:rsidRDefault="00806980" w:rsidP="006B08CB">
            <w:pPr>
              <w:pStyle w:val="Titulek"/>
            </w:pPr>
            <w:bookmarkStart w:id="89" w:name="_Toc390958817"/>
            <w:r w:rsidRPr="00C65DA3">
              <w:t xml:space="preserve">Obr. </w:t>
            </w:r>
            <w:r w:rsidRPr="00C65DA3">
              <w:fldChar w:fldCharType="begin"/>
            </w:r>
            <w:r w:rsidRPr="00C65DA3">
              <w:instrText xml:space="preserve"> STYLEREF 1 \s </w:instrText>
            </w:r>
            <w:r w:rsidRPr="00C65DA3">
              <w:fldChar w:fldCharType="separate"/>
            </w:r>
            <w:r w:rsidR="003843F3">
              <w:rPr>
                <w:noProof/>
              </w:rPr>
              <w:t>3</w:t>
            </w:r>
            <w:r w:rsidRPr="00C65DA3">
              <w:fldChar w:fldCharType="end"/>
            </w:r>
            <w:r w:rsidRPr="00C65DA3">
              <w:noBreakHyphen/>
            </w:r>
            <w:r w:rsidRPr="00C65DA3">
              <w:fldChar w:fldCharType="begin"/>
            </w:r>
            <w:r w:rsidRPr="00C65DA3">
              <w:instrText xml:space="preserve"> SEQ Obr. \* ARABIC \s 1 </w:instrText>
            </w:r>
            <w:r w:rsidRPr="00C65DA3">
              <w:fldChar w:fldCharType="separate"/>
            </w:r>
            <w:r w:rsidR="003843F3">
              <w:rPr>
                <w:noProof/>
              </w:rPr>
              <w:t>11</w:t>
            </w:r>
            <w:r w:rsidRPr="00C65DA3">
              <w:fldChar w:fldCharType="end"/>
            </w:r>
            <w:r w:rsidRPr="00C65DA3">
              <w:t>: Schéma žst. Stéblová (Etapa)</w:t>
            </w:r>
            <w:bookmarkEnd w:id="89"/>
          </w:p>
        </w:tc>
      </w:tr>
      <w:tr w:rsidR="00806980" w:rsidTr="00806980">
        <w:tc>
          <w:tcPr>
            <w:tcW w:w="9356" w:type="dxa"/>
          </w:tcPr>
          <w:p w:rsidR="00806980" w:rsidRDefault="00806980" w:rsidP="00F5279A">
            <w:pPr>
              <w:jc w:val="center"/>
            </w:pPr>
            <w:r>
              <w:rPr>
                <w:noProof/>
                <w:lang w:eastAsia="cs-CZ"/>
              </w:rPr>
              <w:drawing>
                <wp:inline distT="0" distB="0" distL="0" distR="0" wp14:anchorId="180060C9" wp14:editId="618DB6EA">
                  <wp:extent cx="3132000" cy="232920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cstate="print"/>
                          <a:srcRect l="27291" t="24605" r="27226" b="27540"/>
                          <a:stretch/>
                        </pic:blipFill>
                        <pic:spPr bwMode="auto">
                          <a:xfrm>
                            <a:off x="0" y="0"/>
                            <a:ext cx="3132000" cy="2329200"/>
                          </a:xfrm>
                          <a:prstGeom prst="rect">
                            <a:avLst/>
                          </a:prstGeom>
                          <a:ln>
                            <a:noFill/>
                          </a:ln>
                          <a:extLst>
                            <a:ext uri="{53640926-AAD7-44D8-BBD7-CCE9431645EC}">
                              <a14:shadowObscured xmlns:a14="http://schemas.microsoft.com/office/drawing/2010/main"/>
                            </a:ext>
                          </a:extLst>
                        </pic:spPr>
                      </pic:pic>
                    </a:graphicData>
                  </a:graphic>
                </wp:inline>
              </w:drawing>
            </w:r>
          </w:p>
        </w:tc>
      </w:tr>
    </w:tbl>
    <w:p w:rsidR="00F5279A" w:rsidRPr="005B5175" w:rsidRDefault="00F5279A" w:rsidP="00F5279A">
      <w:pPr>
        <w:rPr>
          <w:u w:val="single"/>
        </w:rPr>
      </w:pPr>
      <w:r w:rsidRPr="005B5175">
        <w:rPr>
          <w:u w:val="single"/>
        </w:rPr>
        <w:t xml:space="preserve">Traťový úsek Stéblová </w:t>
      </w:r>
      <w:r>
        <w:rPr>
          <w:u w:val="single"/>
        </w:rPr>
        <w:t>–</w:t>
      </w:r>
      <w:r w:rsidRPr="005B5175">
        <w:rPr>
          <w:u w:val="single"/>
        </w:rPr>
        <w:t xml:space="preserve"> Čeperka</w:t>
      </w:r>
    </w:p>
    <w:p w:rsidR="00F5279A" w:rsidRDefault="00F5279A" w:rsidP="00F5279A">
      <w:r>
        <w:t xml:space="preserve">Celý úsek je v přímé. Trať je vedena převážně v nízkém náspu. </w:t>
      </w:r>
    </w:p>
    <w:p w:rsidR="00F5279A" w:rsidRDefault="00F5279A" w:rsidP="00F5279A">
      <w:r>
        <w:t xml:space="preserve">Na zastávce Čeperka nově vznikne vnější mimoúrovňové nástupiště typu L délky </w:t>
      </w:r>
      <w:smartTag w:uri="urn:schemas-microsoft-com:office:smarttags" w:element="metricconverter">
        <w:smartTagPr>
          <w:attr w:name="ProductID" w:val="110ﾠm"/>
        </w:smartTagPr>
        <w:r>
          <w:t>110 m</w:t>
        </w:r>
      </w:smartTag>
      <w:r>
        <w:t xml:space="preserve"> vlevo od koleje č. 1, současné nástupiště, které se nalézá vpravo od koleje č. 1 bude nahrazeno nástupištěm pro kolej č. 2. Výška nástupištní hrany bude </w:t>
      </w:r>
      <w:smartTag w:uri="urn:schemas-microsoft-com:office:smarttags" w:element="metricconverter">
        <w:smartTagPr>
          <w:attr w:name="ProductID" w:val="550 mm"/>
        </w:smartTagPr>
        <w:r>
          <w:t>550 mm</w:t>
        </w:r>
      </w:smartTag>
      <w:r>
        <w:t xml:space="preserve"> nad temenem kolejnice.</w:t>
      </w:r>
    </w:p>
    <w:p w:rsidR="00F5279A" w:rsidRPr="005B5175" w:rsidRDefault="00F5279A" w:rsidP="00F5279A">
      <w:pPr>
        <w:rPr>
          <w:u w:val="single"/>
        </w:rPr>
      </w:pPr>
      <w:r>
        <w:t xml:space="preserve"> </w:t>
      </w:r>
      <w:r w:rsidRPr="005B5175">
        <w:rPr>
          <w:u w:val="single"/>
        </w:rPr>
        <w:t>Traťový ú</w:t>
      </w:r>
      <w:r>
        <w:rPr>
          <w:u w:val="single"/>
        </w:rPr>
        <w:t xml:space="preserve">sek </w:t>
      </w:r>
      <w:r w:rsidRPr="005B5175">
        <w:rPr>
          <w:u w:val="single"/>
        </w:rPr>
        <w:t>Čeperka</w:t>
      </w:r>
      <w:r>
        <w:rPr>
          <w:u w:val="single"/>
        </w:rPr>
        <w:t xml:space="preserve"> – Opatovice nad Labem</w:t>
      </w:r>
    </w:p>
    <w:p w:rsidR="00F5279A" w:rsidRDefault="00F5279A" w:rsidP="00F5279A">
      <w:r>
        <w:t xml:space="preserve">Přibližně 400m za zastávkou Čeperka je směrový oblouk r=3600, p=40mm, I=44mm, trať je vedena v úrovni terénu, mírném zářezu nebo nízkém náspu. Na úseku se počítá se vznikem zastávky Opatovice nad Labem zastávka. V km 15,520 – 15,690 budou dvě vnější mimoúrovňová nástupiště typu L délky </w:t>
      </w:r>
      <w:smartTag w:uri="urn:schemas-microsoft-com:office:smarttags" w:element="metricconverter">
        <w:smartTagPr>
          <w:attr w:name="ProductID" w:val="110ﾠm"/>
        </w:smartTagPr>
        <w:r>
          <w:t>110 m</w:t>
        </w:r>
      </w:smartTag>
      <w:r>
        <w:t xml:space="preserve">. Výška nástupištní hrany bude </w:t>
      </w:r>
      <w:smartTag w:uri="urn:schemas-microsoft-com:office:smarttags" w:element="metricconverter">
        <w:smartTagPr>
          <w:attr w:name="ProductID" w:val="550 mm"/>
        </w:smartTagPr>
        <w:r>
          <w:t>550 mm</w:t>
        </w:r>
      </w:smartTag>
      <w:r>
        <w:t xml:space="preserve"> nad temenem kolejnice. Kolejové spojky pro rychlost 60 km/h jsou vysunuty až před nástupiště (ve směru od Pardubic). Zaústění vlečkové koleje EOP do hlavní koleje č. 2 bude v km 15,360. Vlečková kolej od tohoto místa až po výhybku č. 1 bude demontována. Od zastávky Opatovice nad Labem do žst. Opatovice nad Labem je trať vedena v úrovni terénu nebo nízkém náspu. Z hlediska zabezpečovacího zařízení je součástí elektronické stavědlo „Pohřebačka“ pro zabezpečení šesti výhybkových konstrukcí v místě zaústění vlečky EOP a instalace automatického hradla na vlečce samotné.</w:t>
      </w:r>
    </w:p>
    <w:p w:rsidR="00F5279A" w:rsidRDefault="00F5279A" w:rsidP="00F5279A">
      <w:r w:rsidRPr="005B5175">
        <w:rPr>
          <w:u w:val="single"/>
        </w:rPr>
        <w:t>Žst. Opatovice nad Labem</w:t>
      </w:r>
    </w:p>
    <w:p w:rsidR="00F5279A" w:rsidRDefault="00F5279A" w:rsidP="00F5279A">
      <w:r>
        <w:t>Stanice Opatovice nad Labem se v Etapě uvažuje v podobě varianty Bez projektu, včetně zachování pravidelného zastavování Os vlaků u stávajících úrovňových nástupišť. Ve stanici zůstane zachováno stávající reléové zabezpečovací zařízení, jehož životnost se po dobu hodnotícího období předpokládá k udržení formou průběžných oprav.</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806980" w:rsidTr="00806980">
        <w:tc>
          <w:tcPr>
            <w:tcW w:w="9356" w:type="dxa"/>
          </w:tcPr>
          <w:p w:rsidR="00806980" w:rsidRDefault="00806980" w:rsidP="006B08CB">
            <w:pPr>
              <w:pStyle w:val="Titulek"/>
            </w:pPr>
            <w:bookmarkStart w:id="90" w:name="_Toc390958818"/>
            <w:r w:rsidRPr="00C65DA3">
              <w:t xml:space="preserve">Obr. </w:t>
            </w:r>
            <w:r w:rsidRPr="00C65DA3">
              <w:fldChar w:fldCharType="begin"/>
            </w:r>
            <w:r w:rsidRPr="00C65DA3">
              <w:instrText xml:space="preserve"> STYLEREF 1 \s </w:instrText>
            </w:r>
            <w:r w:rsidRPr="00C65DA3">
              <w:fldChar w:fldCharType="separate"/>
            </w:r>
            <w:r w:rsidR="003843F3">
              <w:rPr>
                <w:noProof/>
              </w:rPr>
              <w:t>3</w:t>
            </w:r>
            <w:r w:rsidRPr="00C65DA3">
              <w:fldChar w:fldCharType="end"/>
            </w:r>
            <w:r w:rsidRPr="00C65DA3">
              <w:noBreakHyphen/>
            </w:r>
            <w:r w:rsidRPr="00C65DA3">
              <w:fldChar w:fldCharType="begin"/>
            </w:r>
            <w:r w:rsidRPr="00C65DA3">
              <w:instrText xml:space="preserve"> SEQ Obr. \* ARABIC \s 1 </w:instrText>
            </w:r>
            <w:r w:rsidRPr="00C65DA3">
              <w:fldChar w:fldCharType="separate"/>
            </w:r>
            <w:r w:rsidR="003843F3">
              <w:rPr>
                <w:noProof/>
              </w:rPr>
              <w:t>12</w:t>
            </w:r>
            <w:r w:rsidRPr="00C65DA3">
              <w:fldChar w:fldCharType="end"/>
            </w:r>
            <w:r w:rsidRPr="00C65DA3">
              <w:t>: Schéma žst. Opatovice nad Labem (Etapa)</w:t>
            </w:r>
            <w:bookmarkEnd w:id="90"/>
          </w:p>
        </w:tc>
      </w:tr>
      <w:tr w:rsidR="00806980" w:rsidTr="00806980">
        <w:tc>
          <w:tcPr>
            <w:tcW w:w="9356" w:type="dxa"/>
          </w:tcPr>
          <w:p w:rsidR="00806980" w:rsidRDefault="00806980" w:rsidP="00F5279A">
            <w:pPr>
              <w:jc w:val="center"/>
            </w:pPr>
            <w:r>
              <w:rPr>
                <w:noProof/>
                <w:lang w:eastAsia="cs-CZ"/>
              </w:rPr>
              <w:drawing>
                <wp:inline distT="0" distB="0" distL="0" distR="0" wp14:anchorId="14AF1C2E" wp14:editId="1CD8DD24">
                  <wp:extent cx="5788550" cy="2232141"/>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print"/>
                          <a:srcRect l="7022" t="26862" r="6638" b="27314"/>
                          <a:stretch/>
                        </pic:blipFill>
                        <pic:spPr bwMode="auto">
                          <a:xfrm>
                            <a:off x="0" y="0"/>
                            <a:ext cx="5788184" cy="2232000"/>
                          </a:xfrm>
                          <a:prstGeom prst="rect">
                            <a:avLst/>
                          </a:prstGeom>
                          <a:ln>
                            <a:noFill/>
                          </a:ln>
                          <a:extLst>
                            <a:ext uri="{53640926-AAD7-44D8-BBD7-CCE9431645EC}">
                              <a14:shadowObscured xmlns:a14="http://schemas.microsoft.com/office/drawing/2010/main"/>
                            </a:ext>
                          </a:extLst>
                        </pic:spPr>
                      </pic:pic>
                    </a:graphicData>
                  </a:graphic>
                </wp:inline>
              </w:drawing>
            </w:r>
          </w:p>
        </w:tc>
      </w:tr>
    </w:tbl>
    <w:p w:rsidR="00F5279A" w:rsidRDefault="00F5279A" w:rsidP="00F5279A">
      <w:pPr>
        <w:pStyle w:val="Nadpis4"/>
        <w:rPr>
          <w:b/>
          <w:bCs w:val="0"/>
          <w:sz w:val="22"/>
        </w:rPr>
      </w:pPr>
      <w:r>
        <w:rPr>
          <w:b/>
          <w:bCs w:val="0"/>
          <w:sz w:val="22"/>
        </w:rPr>
        <w:t>Opatovice nad Labem (mimo) – Hradec Králové (mimo)</w:t>
      </w:r>
    </w:p>
    <w:p w:rsidR="00F5279A" w:rsidRDefault="00F5279A" w:rsidP="00F5279A">
      <w:r>
        <w:t xml:space="preserve">V mezistaničním úseku </w:t>
      </w:r>
      <w:r>
        <w:rPr>
          <w:b/>
        </w:rPr>
        <w:t>od km 17,920 do km 21,40</w:t>
      </w:r>
      <w:r w:rsidRPr="0002643E">
        <w:rPr>
          <w:b/>
        </w:rPr>
        <w:t>0</w:t>
      </w:r>
      <w:r>
        <w:t xml:space="preserve"> se v Etapě uvažuje se zachováním stávající jednokolejné trati bez výjimky pro všechny profese pouze v podobě varianty Bez projektu.</w:t>
      </w:r>
    </w:p>
    <w:p w:rsidR="00C65DA3" w:rsidRDefault="00C65DA3">
      <w:pPr>
        <w:suppressAutoHyphens w:val="0"/>
        <w:spacing w:before="0" w:after="0" w:line="240" w:lineRule="auto"/>
        <w:jc w:val="left"/>
        <w:rPr>
          <w:b/>
          <w:sz w:val="22"/>
          <w:szCs w:val="28"/>
          <w:u w:val="single"/>
        </w:rPr>
      </w:pPr>
      <w:r>
        <w:rPr>
          <w:b/>
          <w:bCs/>
          <w:sz w:val="22"/>
        </w:rPr>
        <w:br w:type="page"/>
      </w:r>
    </w:p>
    <w:p w:rsidR="00F5279A" w:rsidRDefault="00F5279A" w:rsidP="00F5279A">
      <w:pPr>
        <w:pStyle w:val="Nadpis4"/>
        <w:rPr>
          <w:b/>
          <w:bCs w:val="0"/>
          <w:sz w:val="22"/>
        </w:rPr>
      </w:pPr>
      <w:r>
        <w:rPr>
          <w:b/>
          <w:bCs w:val="0"/>
          <w:sz w:val="22"/>
        </w:rPr>
        <w:t>Žst. Hradec Králové, jižní zhlaví</w:t>
      </w:r>
    </w:p>
    <w:p w:rsidR="00F5279A" w:rsidRDefault="00F5279A" w:rsidP="00F5279A">
      <w:r w:rsidRPr="00AC09A9">
        <w:t>V</w:t>
      </w:r>
      <w:r>
        <w:t xml:space="preserve"> obvodu </w:t>
      </w:r>
      <w:r w:rsidRPr="00092F1A">
        <w:rPr>
          <w:u w:val="single"/>
        </w:rPr>
        <w:t>žst. Hradec Králové</w:t>
      </w:r>
      <w:r w:rsidRPr="00AC09A9">
        <w:t xml:space="preserve"> </w:t>
      </w:r>
      <w:r>
        <w:t>(</w:t>
      </w:r>
      <w:r>
        <w:rPr>
          <w:b/>
        </w:rPr>
        <w:t>od km 21,400 do km 22</w:t>
      </w:r>
      <w:r w:rsidRPr="00AC09A9">
        <w:rPr>
          <w:b/>
        </w:rPr>
        <w:t>,</w:t>
      </w:r>
      <w:r>
        <w:rPr>
          <w:b/>
        </w:rPr>
        <w:t>625</w:t>
      </w:r>
      <w:r w:rsidRPr="00AC09A9">
        <w:t xml:space="preserve">) se </w:t>
      </w:r>
      <w:r w:rsidRPr="00C65DA3">
        <w:t xml:space="preserve">v rámci </w:t>
      </w:r>
      <w:r>
        <w:t>Etapy předpokládá rozsah úprav daný opět variantou Bez projektu, tzn. údržba a opravy stávajícího rozsahu kolejiště a nástupišť a SZZ se navrhuje nahradit stejným způsobem, jako ve všech dalších projektových variantách, tzn. výstavbou nového elektronického stavědla pro celou stanici a zabezpečení ostatních přilehlých traťových úseků (zaústěných do žst. Hradec Králové hl. n.)</w:t>
      </w:r>
      <w:r w:rsidRPr="004D186B">
        <w:t xml:space="preserve"> </w:t>
      </w:r>
      <w:r>
        <w:t xml:space="preserve">automatickým hradlem z důvodu možnosti kontroly konců projíždějících vlaků. V rámci stavby se předpokládá i oprava železničního přejezdu (včetně PZS) v km 21,620. Režim financování i v těchto profesích odpovídá variantě Bez projektu.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806980" w:rsidTr="00C24305">
        <w:tc>
          <w:tcPr>
            <w:tcW w:w="9356" w:type="dxa"/>
          </w:tcPr>
          <w:p w:rsidR="00806980" w:rsidRDefault="00806980" w:rsidP="006B08CB">
            <w:pPr>
              <w:pStyle w:val="Titulek"/>
            </w:pPr>
            <w:bookmarkStart w:id="91" w:name="_Toc390958819"/>
            <w:r w:rsidRPr="00C65DA3">
              <w:t xml:space="preserve">Obr. </w:t>
            </w:r>
            <w:r w:rsidRPr="00C65DA3">
              <w:fldChar w:fldCharType="begin"/>
            </w:r>
            <w:r w:rsidRPr="00C65DA3">
              <w:instrText xml:space="preserve"> STYLEREF 1 \s </w:instrText>
            </w:r>
            <w:r w:rsidRPr="00C65DA3">
              <w:fldChar w:fldCharType="separate"/>
            </w:r>
            <w:r w:rsidR="003843F3">
              <w:rPr>
                <w:noProof/>
              </w:rPr>
              <w:t>3</w:t>
            </w:r>
            <w:r w:rsidRPr="00C65DA3">
              <w:fldChar w:fldCharType="end"/>
            </w:r>
            <w:r w:rsidRPr="00C65DA3">
              <w:noBreakHyphen/>
            </w:r>
            <w:r w:rsidRPr="00C65DA3">
              <w:fldChar w:fldCharType="begin"/>
            </w:r>
            <w:r w:rsidRPr="00C65DA3">
              <w:instrText xml:space="preserve"> SEQ Obr. \* ARABIC \s 1 </w:instrText>
            </w:r>
            <w:r w:rsidRPr="00C65DA3">
              <w:fldChar w:fldCharType="separate"/>
            </w:r>
            <w:r w:rsidR="003843F3">
              <w:rPr>
                <w:noProof/>
              </w:rPr>
              <w:t>13</w:t>
            </w:r>
            <w:r w:rsidRPr="00C65DA3">
              <w:fldChar w:fldCharType="end"/>
            </w:r>
            <w:r w:rsidRPr="00C65DA3">
              <w:t>: Schéma žst. Hradec Králové (Etapa)</w:t>
            </w:r>
            <w:bookmarkEnd w:id="91"/>
          </w:p>
        </w:tc>
      </w:tr>
      <w:tr w:rsidR="00806980" w:rsidTr="00C24305">
        <w:tc>
          <w:tcPr>
            <w:tcW w:w="9356" w:type="dxa"/>
          </w:tcPr>
          <w:p w:rsidR="00806980" w:rsidRDefault="00806980" w:rsidP="00F5279A">
            <w:pPr>
              <w:jc w:val="center"/>
            </w:pPr>
            <w:r>
              <w:rPr>
                <w:noProof/>
                <w:lang w:eastAsia="cs-CZ"/>
              </w:rPr>
              <w:drawing>
                <wp:inline distT="0" distB="0" distL="0" distR="0" wp14:anchorId="46A86C0B" wp14:editId="4645C427">
                  <wp:extent cx="3992400" cy="2440800"/>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cstate="print"/>
                          <a:srcRect l="21108" t="24540" r="20915" b="25358"/>
                          <a:stretch/>
                        </pic:blipFill>
                        <pic:spPr bwMode="auto">
                          <a:xfrm>
                            <a:off x="0" y="0"/>
                            <a:ext cx="3992400" cy="2440800"/>
                          </a:xfrm>
                          <a:prstGeom prst="rect">
                            <a:avLst/>
                          </a:prstGeom>
                          <a:ln>
                            <a:noFill/>
                          </a:ln>
                          <a:extLst>
                            <a:ext uri="{53640926-AAD7-44D8-BBD7-CCE9431645EC}">
                              <a14:shadowObscured xmlns:a14="http://schemas.microsoft.com/office/drawing/2010/main"/>
                            </a:ext>
                          </a:extLst>
                        </pic:spPr>
                      </pic:pic>
                    </a:graphicData>
                  </a:graphic>
                </wp:inline>
              </w:drawing>
            </w:r>
          </w:p>
        </w:tc>
      </w:tr>
    </w:tbl>
    <w:p w:rsidR="00F5279A" w:rsidRDefault="00F5279A" w:rsidP="00F5279A">
      <w:pPr>
        <w:pStyle w:val="Nadpis3"/>
        <w:ind w:hanging="8234"/>
      </w:pPr>
      <w:r>
        <w:t>Investiční náklady</w:t>
      </w:r>
    </w:p>
    <w:p w:rsidR="00F5279A" w:rsidRDefault="00F5279A" w:rsidP="00F5279A">
      <w:r>
        <w:t xml:space="preserve">Celkové investiční náklady </w:t>
      </w:r>
      <w:r w:rsidRPr="00C65DA3">
        <w:t>v rámci Etapy (varianty Maximální)</w:t>
      </w:r>
      <w:r>
        <w:t xml:space="preserve"> dosahují výše 1 001,514 mil. Kč (CÚ 2013, bez DPH) v součtu v letech 2014 až 2015. Sumy za jednotlivé profese jsou následující:</w:t>
      </w:r>
    </w:p>
    <w:p w:rsidR="00F5279A" w:rsidRDefault="00F5279A" w:rsidP="00F5279A">
      <w:r>
        <w:t>přípravná a projektová dokumentace</w:t>
      </w:r>
      <w:r>
        <w:tab/>
      </w:r>
      <w:r>
        <w:tab/>
      </w:r>
      <w:r>
        <w:tab/>
      </w:r>
      <w:r>
        <w:tab/>
        <w:t>72,509 mil. Kč,</w:t>
      </w:r>
    </w:p>
    <w:p w:rsidR="00F5279A" w:rsidRDefault="00F5279A" w:rsidP="00F5279A">
      <w:r>
        <w:t>zábory pozemků</w:t>
      </w:r>
      <w:r>
        <w:tab/>
      </w:r>
      <w:r>
        <w:tab/>
      </w:r>
      <w:r>
        <w:tab/>
      </w:r>
      <w:r>
        <w:tab/>
      </w:r>
      <w:r>
        <w:tab/>
      </w:r>
      <w:r>
        <w:tab/>
        <w:t>27,788 mil. Kč,</w:t>
      </w:r>
    </w:p>
    <w:p w:rsidR="00F5279A" w:rsidRDefault="00F5279A" w:rsidP="00F5279A">
      <w:r>
        <w:t>stavby a konstrukce</w:t>
      </w:r>
      <w:r>
        <w:tab/>
      </w:r>
      <w:r>
        <w:tab/>
      </w:r>
      <w:r>
        <w:tab/>
      </w:r>
      <w:r>
        <w:tab/>
      </w:r>
      <w:r>
        <w:tab/>
      </w:r>
      <w:r>
        <w:tab/>
        <w:t>803,110 mil. Kč,</w:t>
      </w:r>
    </w:p>
    <w:p w:rsidR="00F5279A" w:rsidRDefault="00F5279A" w:rsidP="00F5279A">
      <w:r>
        <w:t>stroje a zařízení</w:t>
      </w:r>
      <w:r>
        <w:tab/>
      </w:r>
      <w:r>
        <w:tab/>
      </w:r>
      <w:r>
        <w:tab/>
      </w:r>
      <w:r>
        <w:tab/>
      </w:r>
      <w:r>
        <w:tab/>
      </w:r>
      <w:r>
        <w:tab/>
      </w:r>
      <w:r>
        <w:tab/>
        <w:t>0,000 mil. Kč,</w:t>
      </w:r>
    </w:p>
    <w:p w:rsidR="00F5279A" w:rsidRDefault="00F5279A" w:rsidP="00F5279A">
      <w:r>
        <w:t>technická asistence, propagace dozor</w:t>
      </w:r>
      <w:r>
        <w:tab/>
      </w:r>
      <w:r>
        <w:tab/>
      </w:r>
      <w:r>
        <w:tab/>
      </w:r>
      <w:r>
        <w:tab/>
        <w:t>18,153 mil. Kč,</w:t>
      </w:r>
    </w:p>
    <w:p w:rsidR="00F5279A" w:rsidRDefault="00F5279A" w:rsidP="00F5279A">
      <w:r>
        <w:t>rezerva 10%</w:t>
      </w:r>
      <w:r>
        <w:tab/>
      </w:r>
      <w:r>
        <w:tab/>
      </w:r>
      <w:r>
        <w:tab/>
      </w:r>
      <w:r>
        <w:tab/>
      </w:r>
      <w:r>
        <w:tab/>
      </w:r>
      <w:r>
        <w:tab/>
      </w:r>
      <w:r>
        <w:tab/>
        <w:t>79,953 mil. Kč,</w:t>
      </w:r>
    </w:p>
    <w:p w:rsidR="00F5279A" w:rsidRPr="00316C04" w:rsidRDefault="00F5279A" w:rsidP="00F5279A">
      <w:pPr>
        <w:rPr>
          <w:b/>
        </w:rPr>
      </w:pPr>
      <w:r w:rsidRPr="00316C04">
        <w:rPr>
          <w:b/>
        </w:rPr>
        <w:t xml:space="preserve">CIN bez DPH včetně </w:t>
      </w:r>
      <w:r>
        <w:rPr>
          <w:b/>
        </w:rPr>
        <w:t>rezervy (konstantní ceny)</w:t>
      </w:r>
      <w:r>
        <w:rPr>
          <w:b/>
        </w:rPr>
        <w:tab/>
      </w:r>
      <w:r>
        <w:rPr>
          <w:b/>
        </w:rPr>
        <w:tab/>
        <w:t>1 001,514</w:t>
      </w:r>
      <w:r w:rsidRPr="00316C04">
        <w:rPr>
          <w:b/>
        </w:rPr>
        <w:t xml:space="preserve"> mil. Kč.</w:t>
      </w:r>
    </w:p>
    <w:p w:rsidR="00C65DA3" w:rsidRDefault="00C65DA3">
      <w:pPr>
        <w:suppressAutoHyphens w:val="0"/>
        <w:spacing w:before="0" w:after="0" w:line="240" w:lineRule="auto"/>
        <w:jc w:val="left"/>
        <w:rPr>
          <w:b/>
          <w:bCs/>
          <w:sz w:val="24"/>
        </w:rPr>
      </w:pPr>
      <w:r>
        <w:br w:type="page"/>
      </w:r>
    </w:p>
    <w:p w:rsidR="00F5279A" w:rsidRDefault="00F5279A" w:rsidP="00F5279A">
      <w:pPr>
        <w:pStyle w:val="Nadpis3"/>
        <w:ind w:hanging="8234"/>
      </w:pPr>
      <w:r>
        <w:t>Náklady realizace</w:t>
      </w:r>
    </w:p>
    <w:p w:rsidR="00F5279A" w:rsidRDefault="00F5279A" w:rsidP="00F5279A">
      <w:r>
        <w:t>Rozpis nákladů realizace podle jednotlivých úseků je uveden v následující tabulce. Celkové investiční náklady se skládají z podrobně rozdružených nákladů realizace a dále z nákladů na trvalé zábory pozemků, projektovou dokumentaci, geologickou a geodetickou činnost, inženýrskou činnost a poradenství a rezervy a jsou uvedeny v příloze č. 2.</w:t>
      </w:r>
    </w:p>
    <w:tbl>
      <w:tblPr>
        <w:tblW w:w="9371" w:type="dxa"/>
        <w:tblInd w:w="6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5680"/>
        <w:gridCol w:w="3691"/>
      </w:tblGrid>
      <w:tr w:rsidR="00C24305" w:rsidRPr="00D56604" w:rsidTr="00C24305">
        <w:trPr>
          <w:cantSplit/>
          <w:trHeight w:val="340"/>
        </w:trPr>
        <w:tc>
          <w:tcPr>
            <w:tcW w:w="937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C24305" w:rsidRPr="00EA7DB4" w:rsidRDefault="00C24305" w:rsidP="00EA7DB4">
            <w:pPr>
              <w:pStyle w:val="Titulek"/>
            </w:pPr>
            <w:bookmarkStart w:id="92" w:name="_Toc390958745"/>
            <w:bookmarkStart w:id="93" w:name="_Toc391034549"/>
            <w:r w:rsidRPr="00C24305">
              <w:t xml:space="preserve">Tab. </w:t>
            </w:r>
            <w:r w:rsidR="000E79AE">
              <w:fldChar w:fldCharType="begin"/>
            </w:r>
            <w:r w:rsidR="000E79AE">
              <w:instrText xml:space="preserve"> STYLEREF 1 \s </w:instrText>
            </w:r>
            <w:r w:rsidR="000E79AE">
              <w:fldChar w:fldCharType="separate"/>
            </w:r>
            <w:r w:rsidR="003843F3">
              <w:rPr>
                <w:noProof/>
              </w:rPr>
              <w:t>3</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10</w:t>
            </w:r>
            <w:r w:rsidR="000E79AE">
              <w:fldChar w:fldCharType="end"/>
            </w:r>
            <w:r w:rsidRPr="00C24305">
              <w:t>: Rozpis nákladů realizace Etapy [mil. Kč]</w:t>
            </w:r>
            <w:bookmarkEnd w:id="92"/>
            <w:bookmarkEnd w:id="93"/>
          </w:p>
        </w:tc>
      </w:tr>
      <w:tr w:rsidR="00EA7DB4" w:rsidRPr="00D56604" w:rsidTr="00002754">
        <w:trPr>
          <w:cantSplit/>
          <w:trHeight w:val="20"/>
        </w:trPr>
        <w:tc>
          <w:tcPr>
            <w:tcW w:w="5680" w:type="dxa"/>
            <w:tcBorders>
              <w:top w:val="single" w:sz="4" w:space="0" w:color="auto"/>
              <w:left w:val="single" w:sz="4" w:space="0" w:color="auto"/>
              <w:bottom w:val="single" w:sz="12" w:space="0" w:color="auto"/>
              <w:right w:val="single" w:sz="4" w:space="0" w:color="auto"/>
            </w:tcBorders>
            <w:shd w:val="clear" w:color="auto" w:fill="D9D9D9" w:themeFill="background1" w:themeFillShade="D9"/>
            <w:noWrap/>
            <w:vAlign w:val="center"/>
          </w:tcPr>
          <w:p w:rsidR="00EA7DB4" w:rsidRPr="00EA7DB4" w:rsidRDefault="00EA7DB4" w:rsidP="00002754">
            <w:pPr>
              <w:spacing w:before="0" w:after="0"/>
              <w:rPr>
                <w:b/>
                <w:sz w:val="18"/>
                <w:lang w:eastAsia="cs-CZ"/>
              </w:rPr>
            </w:pPr>
            <w:r w:rsidRPr="00EA7DB4">
              <w:rPr>
                <w:b/>
                <w:sz w:val="18"/>
                <w:lang w:eastAsia="cs-CZ"/>
              </w:rPr>
              <w:t>úsek</w:t>
            </w:r>
          </w:p>
        </w:tc>
        <w:tc>
          <w:tcPr>
            <w:tcW w:w="3691" w:type="dxa"/>
            <w:tcBorders>
              <w:top w:val="single" w:sz="4" w:space="0" w:color="auto"/>
              <w:left w:val="single" w:sz="4" w:space="0" w:color="auto"/>
              <w:bottom w:val="single" w:sz="12" w:space="0" w:color="auto"/>
              <w:right w:val="single" w:sz="4" w:space="0" w:color="auto"/>
            </w:tcBorders>
            <w:shd w:val="clear" w:color="auto" w:fill="D9D9D9" w:themeFill="background1" w:themeFillShade="D9"/>
            <w:vAlign w:val="center"/>
          </w:tcPr>
          <w:p w:rsidR="00EA7DB4" w:rsidRPr="00EA7DB4" w:rsidRDefault="00EA7DB4" w:rsidP="00002754">
            <w:pPr>
              <w:spacing w:before="0" w:after="0"/>
              <w:ind w:right="502"/>
              <w:jc w:val="right"/>
              <w:rPr>
                <w:b/>
                <w:sz w:val="18"/>
              </w:rPr>
            </w:pPr>
            <w:r w:rsidRPr="00EA7DB4">
              <w:rPr>
                <w:b/>
                <w:sz w:val="18"/>
                <w:lang w:eastAsia="cs-CZ"/>
              </w:rPr>
              <w:t>náklady realizace celkem</w:t>
            </w:r>
          </w:p>
        </w:tc>
      </w:tr>
      <w:tr w:rsidR="00EA7DB4" w:rsidRPr="00D56604" w:rsidTr="00002754">
        <w:trPr>
          <w:cantSplit/>
          <w:trHeight w:val="20"/>
        </w:trPr>
        <w:tc>
          <w:tcPr>
            <w:tcW w:w="5680" w:type="dxa"/>
            <w:tcBorders>
              <w:top w:val="single" w:sz="12" w:space="0" w:color="auto"/>
              <w:left w:val="single" w:sz="4" w:space="0" w:color="auto"/>
              <w:right w:val="single" w:sz="4" w:space="0" w:color="auto"/>
            </w:tcBorders>
            <w:shd w:val="clear" w:color="auto" w:fill="auto"/>
            <w:noWrap/>
            <w:vAlign w:val="center"/>
          </w:tcPr>
          <w:p w:rsidR="00EA7DB4" w:rsidRPr="00EA7DB4" w:rsidRDefault="00EA7DB4" w:rsidP="00002754">
            <w:pPr>
              <w:spacing w:before="0" w:after="0"/>
              <w:rPr>
                <w:sz w:val="18"/>
              </w:rPr>
            </w:pPr>
            <w:r w:rsidRPr="00EA7DB4">
              <w:rPr>
                <w:color w:val="000000"/>
                <w:sz w:val="18"/>
              </w:rPr>
              <w:t>žst. Pardubice hl. n.</w:t>
            </w:r>
          </w:p>
        </w:tc>
        <w:tc>
          <w:tcPr>
            <w:tcW w:w="3691" w:type="dxa"/>
            <w:tcBorders>
              <w:top w:val="single" w:sz="12" w:space="0" w:color="auto"/>
              <w:left w:val="single" w:sz="4" w:space="0" w:color="auto"/>
              <w:right w:val="single" w:sz="4" w:space="0" w:color="auto"/>
            </w:tcBorders>
            <w:shd w:val="clear" w:color="auto" w:fill="auto"/>
            <w:vAlign w:val="center"/>
          </w:tcPr>
          <w:p w:rsidR="00EA7DB4" w:rsidRPr="00EA7DB4" w:rsidRDefault="00EA7DB4" w:rsidP="00002754">
            <w:pPr>
              <w:spacing w:before="0" w:after="0"/>
              <w:ind w:right="502"/>
              <w:jc w:val="right"/>
              <w:rPr>
                <w:sz w:val="18"/>
              </w:rPr>
            </w:pPr>
            <w:r w:rsidRPr="00EA7DB4">
              <w:rPr>
                <w:color w:val="000000"/>
                <w:sz w:val="18"/>
                <w:lang w:val="sk-SK" w:eastAsia="cs-CZ"/>
              </w:rPr>
              <w:t>0,000</w:t>
            </w:r>
          </w:p>
        </w:tc>
      </w:tr>
      <w:tr w:rsidR="00EA7DB4" w:rsidRPr="00D56604" w:rsidTr="00002754">
        <w:trPr>
          <w:cantSplit/>
          <w:trHeight w:val="20"/>
        </w:trPr>
        <w:tc>
          <w:tcPr>
            <w:tcW w:w="5680" w:type="dxa"/>
            <w:tcBorders>
              <w:top w:val="single" w:sz="4" w:space="0" w:color="auto"/>
              <w:left w:val="single" w:sz="4" w:space="0" w:color="auto"/>
              <w:right w:val="single" w:sz="4" w:space="0" w:color="auto"/>
            </w:tcBorders>
            <w:shd w:val="clear" w:color="auto" w:fill="auto"/>
            <w:noWrap/>
            <w:vAlign w:val="center"/>
          </w:tcPr>
          <w:p w:rsidR="00EA7DB4" w:rsidRPr="00EA7DB4" w:rsidRDefault="00EA7DB4" w:rsidP="00002754">
            <w:pPr>
              <w:spacing w:before="0" w:after="0"/>
              <w:rPr>
                <w:sz w:val="18"/>
              </w:rPr>
            </w:pPr>
            <w:r w:rsidRPr="00EA7DB4">
              <w:rPr>
                <w:color w:val="000000"/>
                <w:sz w:val="18"/>
              </w:rPr>
              <w:t>Pardubice hl. n. (mimo) - Pardubice-Rosice n. L. (mimo)</w:t>
            </w:r>
          </w:p>
        </w:tc>
        <w:tc>
          <w:tcPr>
            <w:tcW w:w="3691" w:type="dxa"/>
            <w:tcBorders>
              <w:top w:val="single" w:sz="4" w:space="0" w:color="auto"/>
              <w:left w:val="single" w:sz="4" w:space="0" w:color="auto"/>
              <w:right w:val="single" w:sz="4" w:space="0" w:color="auto"/>
            </w:tcBorders>
            <w:shd w:val="clear" w:color="auto" w:fill="auto"/>
            <w:vAlign w:val="center"/>
          </w:tcPr>
          <w:p w:rsidR="00EA7DB4" w:rsidRPr="00EA7DB4" w:rsidRDefault="00EA7DB4" w:rsidP="00002754">
            <w:pPr>
              <w:spacing w:before="0" w:after="0"/>
              <w:ind w:right="502"/>
              <w:jc w:val="right"/>
              <w:rPr>
                <w:sz w:val="18"/>
              </w:rPr>
            </w:pPr>
            <w:r w:rsidRPr="00EA7DB4">
              <w:rPr>
                <w:color w:val="000000"/>
                <w:sz w:val="18"/>
                <w:lang w:val="sk-SK" w:eastAsia="cs-CZ"/>
              </w:rPr>
              <w:t>0,000</w:t>
            </w:r>
          </w:p>
        </w:tc>
      </w:tr>
      <w:tr w:rsidR="00EA7DB4" w:rsidRPr="00D56604" w:rsidTr="00002754">
        <w:trPr>
          <w:cantSplit/>
          <w:trHeight w:val="20"/>
        </w:trPr>
        <w:tc>
          <w:tcPr>
            <w:tcW w:w="5680" w:type="dxa"/>
            <w:tcBorders>
              <w:top w:val="single" w:sz="4" w:space="0" w:color="auto"/>
              <w:left w:val="single" w:sz="4" w:space="0" w:color="auto"/>
              <w:right w:val="single" w:sz="4" w:space="0" w:color="auto"/>
            </w:tcBorders>
            <w:shd w:val="clear" w:color="auto" w:fill="auto"/>
            <w:noWrap/>
            <w:vAlign w:val="center"/>
          </w:tcPr>
          <w:p w:rsidR="00EA7DB4" w:rsidRPr="00EA7DB4" w:rsidRDefault="00EA7DB4" w:rsidP="00002754">
            <w:pPr>
              <w:spacing w:before="0" w:after="0"/>
              <w:rPr>
                <w:sz w:val="18"/>
              </w:rPr>
            </w:pPr>
            <w:r w:rsidRPr="00EA7DB4">
              <w:rPr>
                <w:color w:val="000000"/>
                <w:sz w:val="18"/>
              </w:rPr>
              <w:t>žst. Pardubice-Rosice n. L.</w:t>
            </w:r>
          </w:p>
        </w:tc>
        <w:tc>
          <w:tcPr>
            <w:tcW w:w="3691" w:type="dxa"/>
            <w:tcBorders>
              <w:top w:val="single" w:sz="4" w:space="0" w:color="auto"/>
              <w:left w:val="single" w:sz="4" w:space="0" w:color="auto"/>
              <w:right w:val="single" w:sz="4" w:space="0" w:color="auto"/>
            </w:tcBorders>
            <w:shd w:val="clear" w:color="auto" w:fill="auto"/>
            <w:vAlign w:val="center"/>
          </w:tcPr>
          <w:p w:rsidR="00EA7DB4" w:rsidRPr="00EA7DB4" w:rsidRDefault="00EA7DB4" w:rsidP="00002754">
            <w:pPr>
              <w:spacing w:before="0" w:after="0"/>
              <w:ind w:right="502"/>
              <w:jc w:val="right"/>
              <w:rPr>
                <w:sz w:val="18"/>
              </w:rPr>
            </w:pPr>
            <w:r w:rsidRPr="00EA7DB4">
              <w:rPr>
                <w:color w:val="000000"/>
                <w:sz w:val="18"/>
                <w:lang w:val="sk-SK" w:eastAsia="cs-CZ"/>
              </w:rPr>
              <w:t>0,000</w:t>
            </w:r>
          </w:p>
        </w:tc>
      </w:tr>
      <w:tr w:rsidR="00EA7DB4" w:rsidRPr="00D56604" w:rsidTr="00002754">
        <w:trPr>
          <w:cantSplit/>
          <w:trHeight w:val="20"/>
        </w:trPr>
        <w:tc>
          <w:tcPr>
            <w:tcW w:w="5680" w:type="dxa"/>
            <w:tcBorders>
              <w:top w:val="single" w:sz="4" w:space="0" w:color="auto"/>
              <w:left w:val="single" w:sz="4" w:space="0" w:color="auto"/>
              <w:right w:val="single" w:sz="4" w:space="0" w:color="auto"/>
            </w:tcBorders>
            <w:shd w:val="clear" w:color="auto" w:fill="auto"/>
            <w:noWrap/>
            <w:vAlign w:val="center"/>
          </w:tcPr>
          <w:p w:rsidR="00EA7DB4" w:rsidRPr="00EA7DB4" w:rsidRDefault="00EA7DB4" w:rsidP="00002754">
            <w:pPr>
              <w:spacing w:before="0" w:after="0"/>
              <w:rPr>
                <w:sz w:val="18"/>
              </w:rPr>
            </w:pPr>
            <w:r w:rsidRPr="00EA7DB4">
              <w:rPr>
                <w:color w:val="000000"/>
                <w:sz w:val="18"/>
              </w:rPr>
              <w:t>Pardubice-Rosice n. L.  (mimo) - Stéblová (mimo)</w:t>
            </w:r>
          </w:p>
        </w:tc>
        <w:tc>
          <w:tcPr>
            <w:tcW w:w="3691" w:type="dxa"/>
            <w:tcBorders>
              <w:top w:val="single" w:sz="4" w:space="0" w:color="auto"/>
              <w:left w:val="single" w:sz="4" w:space="0" w:color="auto"/>
              <w:right w:val="single" w:sz="4" w:space="0" w:color="auto"/>
            </w:tcBorders>
            <w:shd w:val="clear" w:color="auto" w:fill="auto"/>
            <w:vAlign w:val="center"/>
          </w:tcPr>
          <w:p w:rsidR="00EA7DB4" w:rsidRPr="00EA7DB4" w:rsidRDefault="00EA7DB4" w:rsidP="00002754">
            <w:pPr>
              <w:spacing w:before="0" w:after="0"/>
              <w:ind w:right="502"/>
              <w:jc w:val="right"/>
              <w:rPr>
                <w:sz w:val="18"/>
                <w:lang w:eastAsia="cs-CZ"/>
              </w:rPr>
            </w:pPr>
            <w:r w:rsidRPr="00EA7DB4">
              <w:rPr>
                <w:color w:val="000000"/>
                <w:sz w:val="18"/>
                <w:lang w:val="sk-SK" w:eastAsia="cs-CZ"/>
              </w:rPr>
              <w:t>13,184</w:t>
            </w:r>
          </w:p>
        </w:tc>
      </w:tr>
      <w:tr w:rsidR="00EA7DB4" w:rsidRPr="00D56604" w:rsidTr="00002754">
        <w:trPr>
          <w:cantSplit/>
          <w:trHeight w:val="20"/>
        </w:trPr>
        <w:tc>
          <w:tcPr>
            <w:tcW w:w="5680" w:type="dxa"/>
            <w:tcBorders>
              <w:top w:val="single" w:sz="4" w:space="0" w:color="auto"/>
              <w:left w:val="single" w:sz="4" w:space="0" w:color="auto"/>
              <w:right w:val="single" w:sz="4" w:space="0" w:color="auto"/>
            </w:tcBorders>
            <w:shd w:val="clear" w:color="auto" w:fill="auto"/>
            <w:noWrap/>
            <w:vAlign w:val="center"/>
          </w:tcPr>
          <w:p w:rsidR="00EA7DB4" w:rsidRPr="00EA7DB4" w:rsidRDefault="00EA7DB4" w:rsidP="00002754">
            <w:pPr>
              <w:spacing w:before="0" w:after="0"/>
              <w:rPr>
                <w:sz w:val="18"/>
              </w:rPr>
            </w:pPr>
            <w:r w:rsidRPr="00EA7DB4">
              <w:rPr>
                <w:color w:val="000000"/>
                <w:sz w:val="18"/>
              </w:rPr>
              <w:t>žst. Stéblová</w:t>
            </w:r>
          </w:p>
        </w:tc>
        <w:tc>
          <w:tcPr>
            <w:tcW w:w="3691" w:type="dxa"/>
            <w:tcBorders>
              <w:top w:val="single" w:sz="4" w:space="0" w:color="auto"/>
              <w:left w:val="single" w:sz="4" w:space="0" w:color="auto"/>
              <w:right w:val="single" w:sz="4" w:space="0" w:color="auto"/>
            </w:tcBorders>
            <w:shd w:val="clear" w:color="auto" w:fill="auto"/>
            <w:vAlign w:val="center"/>
          </w:tcPr>
          <w:p w:rsidR="00EA7DB4" w:rsidRPr="00EA7DB4" w:rsidRDefault="00EA7DB4" w:rsidP="00002754">
            <w:pPr>
              <w:spacing w:before="0" w:after="0"/>
              <w:ind w:right="502"/>
              <w:jc w:val="right"/>
              <w:rPr>
                <w:sz w:val="18"/>
              </w:rPr>
            </w:pPr>
            <w:r w:rsidRPr="00EA7DB4">
              <w:rPr>
                <w:color w:val="000000"/>
                <w:sz w:val="18"/>
                <w:lang w:val="sk-SK" w:eastAsia="cs-CZ"/>
              </w:rPr>
              <w:t>214,504</w:t>
            </w:r>
          </w:p>
        </w:tc>
      </w:tr>
      <w:tr w:rsidR="00EA7DB4" w:rsidRPr="00D56604" w:rsidTr="00002754">
        <w:trPr>
          <w:cantSplit/>
          <w:trHeight w:val="20"/>
        </w:trPr>
        <w:tc>
          <w:tcPr>
            <w:tcW w:w="5680" w:type="dxa"/>
            <w:tcBorders>
              <w:top w:val="single" w:sz="4" w:space="0" w:color="auto"/>
              <w:left w:val="single" w:sz="4" w:space="0" w:color="auto"/>
              <w:right w:val="single" w:sz="4" w:space="0" w:color="auto"/>
            </w:tcBorders>
            <w:shd w:val="clear" w:color="auto" w:fill="auto"/>
            <w:noWrap/>
            <w:vAlign w:val="center"/>
          </w:tcPr>
          <w:p w:rsidR="00EA7DB4" w:rsidRPr="00EA7DB4" w:rsidRDefault="00EA7DB4" w:rsidP="00002754">
            <w:pPr>
              <w:spacing w:before="0" w:after="0"/>
              <w:rPr>
                <w:sz w:val="18"/>
              </w:rPr>
            </w:pPr>
            <w:r w:rsidRPr="00EA7DB4">
              <w:rPr>
                <w:color w:val="000000"/>
                <w:sz w:val="18"/>
              </w:rPr>
              <w:t>Stéblová (mimo) - Opatovice (mimo)</w:t>
            </w:r>
          </w:p>
        </w:tc>
        <w:tc>
          <w:tcPr>
            <w:tcW w:w="3691" w:type="dxa"/>
            <w:tcBorders>
              <w:top w:val="single" w:sz="4" w:space="0" w:color="auto"/>
              <w:left w:val="single" w:sz="4" w:space="0" w:color="auto"/>
              <w:right w:val="single" w:sz="4" w:space="0" w:color="auto"/>
            </w:tcBorders>
            <w:shd w:val="clear" w:color="auto" w:fill="auto"/>
            <w:vAlign w:val="center"/>
          </w:tcPr>
          <w:p w:rsidR="00EA7DB4" w:rsidRPr="00EA7DB4" w:rsidRDefault="00EA7DB4" w:rsidP="00002754">
            <w:pPr>
              <w:spacing w:before="0" w:after="0"/>
              <w:ind w:right="502"/>
              <w:jc w:val="right"/>
              <w:rPr>
                <w:sz w:val="18"/>
              </w:rPr>
            </w:pPr>
            <w:r w:rsidRPr="00EA7DB4">
              <w:rPr>
                <w:color w:val="000000"/>
                <w:sz w:val="18"/>
                <w:lang w:val="sk-SK" w:eastAsia="cs-CZ"/>
              </w:rPr>
              <w:t>379,115</w:t>
            </w:r>
          </w:p>
        </w:tc>
      </w:tr>
      <w:tr w:rsidR="00EA7DB4" w:rsidRPr="00D56604" w:rsidTr="00002754">
        <w:trPr>
          <w:cantSplit/>
          <w:trHeight w:val="20"/>
        </w:trPr>
        <w:tc>
          <w:tcPr>
            <w:tcW w:w="5680" w:type="dxa"/>
            <w:tcBorders>
              <w:top w:val="single" w:sz="4" w:space="0" w:color="auto"/>
              <w:left w:val="single" w:sz="4" w:space="0" w:color="auto"/>
              <w:right w:val="single" w:sz="4" w:space="0" w:color="auto"/>
            </w:tcBorders>
            <w:shd w:val="clear" w:color="auto" w:fill="auto"/>
            <w:noWrap/>
            <w:vAlign w:val="center"/>
          </w:tcPr>
          <w:p w:rsidR="00EA7DB4" w:rsidRPr="00EA7DB4" w:rsidRDefault="00EA7DB4" w:rsidP="00002754">
            <w:pPr>
              <w:spacing w:before="0" w:after="0"/>
              <w:rPr>
                <w:sz w:val="18"/>
              </w:rPr>
            </w:pPr>
            <w:r w:rsidRPr="00EA7DB4">
              <w:rPr>
                <w:color w:val="000000"/>
                <w:sz w:val="18"/>
              </w:rPr>
              <w:t>žst. Opatovice n. L.</w:t>
            </w:r>
          </w:p>
        </w:tc>
        <w:tc>
          <w:tcPr>
            <w:tcW w:w="3691" w:type="dxa"/>
            <w:tcBorders>
              <w:top w:val="single" w:sz="4" w:space="0" w:color="auto"/>
              <w:left w:val="single" w:sz="4" w:space="0" w:color="auto"/>
              <w:right w:val="single" w:sz="4" w:space="0" w:color="auto"/>
            </w:tcBorders>
            <w:shd w:val="clear" w:color="auto" w:fill="auto"/>
            <w:vAlign w:val="center"/>
          </w:tcPr>
          <w:p w:rsidR="00EA7DB4" w:rsidRPr="00EA7DB4" w:rsidRDefault="00EA7DB4" w:rsidP="00002754">
            <w:pPr>
              <w:spacing w:before="0" w:after="0"/>
              <w:ind w:right="502"/>
              <w:jc w:val="right"/>
              <w:rPr>
                <w:sz w:val="18"/>
              </w:rPr>
            </w:pPr>
            <w:r w:rsidRPr="00EA7DB4">
              <w:rPr>
                <w:color w:val="000000"/>
                <w:sz w:val="18"/>
                <w:lang w:val="sk-SK" w:eastAsia="cs-CZ"/>
              </w:rPr>
              <w:t>196,308</w:t>
            </w:r>
          </w:p>
        </w:tc>
      </w:tr>
      <w:tr w:rsidR="00EA7DB4" w:rsidRPr="00D56604" w:rsidTr="00002754">
        <w:trPr>
          <w:cantSplit/>
          <w:trHeight w:val="20"/>
        </w:trPr>
        <w:tc>
          <w:tcPr>
            <w:tcW w:w="5680" w:type="dxa"/>
            <w:tcBorders>
              <w:top w:val="single" w:sz="4" w:space="0" w:color="auto"/>
              <w:left w:val="single" w:sz="4" w:space="0" w:color="auto"/>
              <w:right w:val="single" w:sz="4" w:space="0" w:color="auto"/>
            </w:tcBorders>
            <w:shd w:val="clear" w:color="auto" w:fill="auto"/>
            <w:noWrap/>
            <w:vAlign w:val="center"/>
          </w:tcPr>
          <w:p w:rsidR="00EA7DB4" w:rsidRPr="00EA7DB4" w:rsidRDefault="00EA7DB4" w:rsidP="00002754">
            <w:pPr>
              <w:spacing w:before="0" w:after="0"/>
              <w:rPr>
                <w:sz w:val="18"/>
              </w:rPr>
            </w:pPr>
            <w:r w:rsidRPr="00EA7DB4">
              <w:rPr>
                <w:color w:val="000000"/>
                <w:sz w:val="18"/>
              </w:rPr>
              <w:t>Opatovice n- L-  - Hradec Králové (mimo)</w:t>
            </w:r>
          </w:p>
        </w:tc>
        <w:tc>
          <w:tcPr>
            <w:tcW w:w="3691" w:type="dxa"/>
            <w:tcBorders>
              <w:top w:val="single" w:sz="4" w:space="0" w:color="auto"/>
              <w:left w:val="single" w:sz="4" w:space="0" w:color="auto"/>
              <w:right w:val="single" w:sz="4" w:space="0" w:color="auto"/>
            </w:tcBorders>
            <w:shd w:val="clear" w:color="auto" w:fill="auto"/>
            <w:vAlign w:val="center"/>
          </w:tcPr>
          <w:p w:rsidR="00EA7DB4" w:rsidRPr="00EA7DB4" w:rsidRDefault="00EA7DB4" w:rsidP="00002754">
            <w:pPr>
              <w:spacing w:before="0" w:after="0"/>
              <w:ind w:right="502"/>
              <w:jc w:val="right"/>
              <w:rPr>
                <w:sz w:val="18"/>
              </w:rPr>
            </w:pPr>
            <w:r w:rsidRPr="00EA7DB4">
              <w:rPr>
                <w:color w:val="000000"/>
                <w:sz w:val="18"/>
                <w:lang w:val="sk-SK" w:eastAsia="cs-CZ"/>
              </w:rPr>
              <w:t>0,000</w:t>
            </w:r>
          </w:p>
        </w:tc>
      </w:tr>
      <w:tr w:rsidR="00EA7DB4" w:rsidRPr="00D56604" w:rsidTr="00002754">
        <w:trPr>
          <w:cantSplit/>
          <w:trHeight w:val="20"/>
        </w:trPr>
        <w:tc>
          <w:tcPr>
            <w:tcW w:w="5680" w:type="dxa"/>
            <w:tcBorders>
              <w:top w:val="single" w:sz="4" w:space="0" w:color="auto"/>
              <w:left w:val="single" w:sz="4" w:space="0" w:color="auto"/>
              <w:right w:val="single" w:sz="4" w:space="0" w:color="auto"/>
            </w:tcBorders>
            <w:shd w:val="clear" w:color="auto" w:fill="auto"/>
            <w:noWrap/>
            <w:vAlign w:val="center"/>
          </w:tcPr>
          <w:p w:rsidR="00EA7DB4" w:rsidRPr="00EA7DB4" w:rsidRDefault="00EA7DB4" w:rsidP="00002754">
            <w:pPr>
              <w:spacing w:before="0" w:after="0"/>
              <w:rPr>
                <w:sz w:val="18"/>
              </w:rPr>
            </w:pPr>
            <w:r w:rsidRPr="00EA7DB4">
              <w:rPr>
                <w:color w:val="000000"/>
                <w:sz w:val="18"/>
              </w:rPr>
              <w:t>žst. Hradec Králové hl. n. - jižní zhlaví</w:t>
            </w:r>
          </w:p>
        </w:tc>
        <w:tc>
          <w:tcPr>
            <w:tcW w:w="3691" w:type="dxa"/>
            <w:tcBorders>
              <w:top w:val="single" w:sz="4" w:space="0" w:color="auto"/>
              <w:left w:val="single" w:sz="4" w:space="0" w:color="auto"/>
              <w:right w:val="single" w:sz="4" w:space="0" w:color="auto"/>
            </w:tcBorders>
            <w:shd w:val="clear" w:color="auto" w:fill="auto"/>
            <w:vAlign w:val="center"/>
          </w:tcPr>
          <w:p w:rsidR="00EA7DB4" w:rsidRPr="00EA7DB4" w:rsidRDefault="00EA7DB4" w:rsidP="00002754">
            <w:pPr>
              <w:spacing w:before="0" w:after="0"/>
              <w:ind w:right="502"/>
              <w:jc w:val="right"/>
              <w:rPr>
                <w:sz w:val="18"/>
                <w:lang w:eastAsia="cs-CZ"/>
              </w:rPr>
            </w:pPr>
            <w:r w:rsidRPr="00EA7DB4">
              <w:rPr>
                <w:color w:val="000000"/>
                <w:sz w:val="18"/>
                <w:lang w:val="sk-SK" w:eastAsia="cs-CZ"/>
              </w:rPr>
              <w:t>0,000</w:t>
            </w:r>
          </w:p>
        </w:tc>
      </w:tr>
      <w:tr w:rsidR="00EA7DB4" w:rsidRPr="00D56604" w:rsidTr="00002754">
        <w:trPr>
          <w:cantSplit/>
          <w:trHeight w:val="20"/>
        </w:trPr>
        <w:tc>
          <w:tcPr>
            <w:tcW w:w="5680" w:type="dxa"/>
            <w:tcBorders>
              <w:top w:val="single" w:sz="4" w:space="0" w:color="auto"/>
              <w:left w:val="single" w:sz="4" w:space="0" w:color="auto"/>
              <w:bottom w:val="single" w:sz="2" w:space="0" w:color="auto"/>
              <w:right w:val="single" w:sz="4" w:space="0" w:color="auto"/>
            </w:tcBorders>
            <w:shd w:val="clear" w:color="auto" w:fill="auto"/>
            <w:noWrap/>
            <w:vAlign w:val="center"/>
          </w:tcPr>
          <w:p w:rsidR="00EA7DB4" w:rsidRPr="00EA7DB4" w:rsidRDefault="00EA7DB4" w:rsidP="00002754">
            <w:pPr>
              <w:spacing w:before="0" w:after="0"/>
              <w:rPr>
                <w:b/>
                <w:sz w:val="18"/>
              </w:rPr>
            </w:pPr>
            <w:r w:rsidRPr="00EA7DB4">
              <w:rPr>
                <w:b/>
                <w:color w:val="000000"/>
                <w:sz w:val="18"/>
              </w:rPr>
              <w:t>Etapa</w:t>
            </w:r>
          </w:p>
        </w:tc>
        <w:tc>
          <w:tcPr>
            <w:tcW w:w="3691" w:type="dxa"/>
            <w:tcBorders>
              <w:top w:val="single" w:sz="4" w:space="0" w:color="auto"/>
              <w:left w:val="single" w:sz="4" w:space="0" w:color="auto"/>
              <w:bottom w:val="single" w:sz="2" w:space="0" w:color="auto"/>
              <w:right w:val="single" w:sz="4" w:space="0" w:color="auto"/>
            </w:tcBorders>
            <w:shd w:val="clear" w:color="auto" w:fill="auto"/>
            <w:vAlign w:val="center"/>
          </w:tcPr>
          <w:p w:rsidR="00EA7DB4" w:rsidRPr="00EA7DB4" w:rsidRDefault="00EA7DB4" w:rsidP="00002754">
            <w:pPr>
              <w:spacing w:before="0" w:after="0"/>
              <w:ind w:right="502"/>
              <w:jc w:val="right"/>
              <w:rPr>
                <w:b/>
                <w:sz w:val="18"/>
              </w:rPr>
            </w:pPr>
            <w:r w:rsidRPr="00EA7DB4">
              <w:rPr>
                <w:b/>
                <w:color w:val="000000"/>
                <w:sz w:val="18"/>
                <w:lang w:val="sk-SK" w:eastAsia="cs-CZ"/>
              </w:rPr>
              <w:t>803,110</w:t>
            </w:r>
          </w:p>
        </w:tc>
      </w:tr>
    </w:tbl>
    <w:p w:rsidR="00CB1F22" w:rsidRDefault="008E7AB8" w:rsidP="00CB1F22">
      <w:pPr>
        <w:pStyle w:val="Nadpis2"/>
      </w:pPr>
      <w:bookmarkStart w:id="94" w:name="_Toc280085782"/>
      <w:bookmarkStart w:id="95" w:name="_Ref323195224"/>
      <w:bookmarkStart w:id="96" w:name="_Ref323195233"/>
      <w:bookmarkStart w:id="97" w:name="_Toc390958696"/>
      <w:r>
        <w:t>Varianta projektová M</w:t>
      </w:r>
      <w:r w:rsidR="00CB1F22">
        <w:t>aximální</w:t>
      </w:r>
      <w:bookmarkEnd w:id="94"/>
      <w:bookmarkEnd w:id="95"/>
      <w:bookmarkEnd w:id="96"/>
      <w:bookmarkEnd w:id="97"/>
    </w:p>
    <w:p w:rsidR="00CB1F22" w:rsidRDefault="00CB1F22" w:rsidP="00D13FB3">
      <w:pPr>
        <w:pStyle w:val="Nadpis3"/>
        <w:ind w:hanging="8234"/>
      </w:pPr>
      <w:r>
        <w:t>Souhrnná specifikace varianty</w:t>
      </w:r>
    </w:p>
    <w:p w:rsidR="00571D31" w:rsidRPr="00073804" w:rsidRDefault="00571D31" w:rsidP="00571D31">
      <w:r w:rsidRPr="00256C51">
        <w:t xml:space="preserve">Maximální projektová varianta předpokládá největší </w:t>
      </w:r>
      <w:r w:rsidR="000C2F5B">
        <w:t xml:space="preserve">uvažovaný </w:t>
      </w:r>
      <w:r w:rsidRPr="00256C51">
        <w:t xml:space="preserve">rozsah stavebních úprav </w:t>
      </w:r>
      <w:r w:rsidRPr="00C65DA3">
        <w:t xml:space="preserve">ze všech </w:t>
      </w:r>
      <w:r w:rsidR="000C2F5B" w:rsidRPr="00C65DA3">
        <w:t xml:space="preserve">dříve prověřovaných </w:t>
      </w:r>
      <w:r w:rsidRPr="00C65DA3">
        <w:t>variant za logického předpokladu nejvyšších investičních nákladů. Představuje cílový stav železniční infrastruktury ve sledované oblasti, čili kompletní zdvoukolejnění úseku Par</w:t>
      </w:r>
      <w:r w:rsidRPr="00256C51">
        <w:t xml:space="preserve">dubice hl. n. – Hradec Králové hl. n., v celém úseku rychlost </w:t>
      </w:r>
      <w:smartTag w:uri="urn:schemas-microsoft-com:office:smarttags" w:element="metricconverter">
        <w:smartTagPr>
          <w:attr w:name="ProductID" w:val="160 km/h"/>
        </w:smartTagPr>
        <w:r w:rsidRPr="00256C51">
          <w:t>160 km/h</w:t>
        </w:r>
      </w:smartTag>
      <w:r w:rsidRPr="00256C51">
        <w:t xml:space="preserve"> a traťové zabezpečení prostřednictvím automatického bloku. </w:t>
      </w:r>
      <w:r w:rsidR="002E09A3">
        <w:t xml:space="preserve"> Případná Etapa varianty Maximální byla popsána v předchozí kapitole.</w:t>
      </w:r>
    </w:p>
    <w:p w:rsidR="00CB1F22" w:rsidRPr="00073804" w:rsidRDefault="007A7779" w:rsidP="00D13FB3">
      <w:pPr>
        <w:pStyle w:val="Nadpis3"/>
        <w:ind w:hanging="8234"/>
      </w:pPr>
      <w:r w:rsidRPr="00073804">
        <w:t>Popis jednotlivých úsek</w:t>
      </w:r>
      <w:r w:rsidR="00BD7BDB" w:rsidRPr="00073804">
        <w:t>ů</w:t>
      </w:r>
    </w:p>
    <w:p w:rsidR="00073804" w:rsidRDefault="00073804" w:rsidP="00073804">
      <w:pPr>
        <w:pStyle w:val="Nadpis4"/>
        <w:rPr>
          <w:b/>
          <w:bCs w:val="0"/>
          <w:sz w:val="22"/>
        </w:rPr>
      </w:pPr>
      <w:r>
        <w:rPr>
          <w:b/>
          <w:bCs w:val="0"/>
          <w:sz w:val="22"/>
        </w:rPr>
        <w:t>Pardubice hl. n. (mimo) – Pardubice-Rosice nad Labem (včetně)</w:t>
      </w:r>
    </w:p>
    <w:p w:rsidR="00073804" w:rsidRDefault="00073804" w:rsidP="00073804">
      <w:r>
        <w:t xml:space="preserve">Kolejiště </w:t>
      </w:r>
      <w:r w:rsidRPr="00092F1A">
        <w:rPr>
          <w:u w:val="single"/>
        </w:rPr>
        <w:t>žst. Pardubice hl. n.</w:t>
      </w:r>
      <w:r>
        <w:t xml:space="preserve"> bude řešeno optimalizací průjezdu stanicí v rámci dokompletování tzv. „koridorizace“ (stanice leží na souběhu I. a III. TŽK), z hlediska investic nebudou úpravy stanice součástí stavby Hradec Králové – Pardubice. </w:t>
      </w:r>
      <w:r w:rsidRPr="00962103">
        <w:t xml:space="preserve">Úpravy </w:t>
      </w:r>
      <w:r>
        <w:t xml:space="preserve">začínají </w:t>
      </w:r>
      <w:r w:rsidR="008A0C45">
        <w:t xml:space="preserve">zhruba v úrovni </w:t>
      </w:r>
      <w:r>
        <w:t>vjezdového návěstidla žst. Pardubice hl. n. ve směru od Rosic</w:t>
      </w:r>
      <w:r w:rsidR="008A0C45">
        <w:t>, přesné rozhraní staveb bude specifikováno ve studii proveditelnosti Uzel Pardubice (SUDOP P</w:t>
      </w:r>
      <w:r w:rsidR="0016498E">
        <w:t>RAHA</w:t>
      </w:r>
      <w:r w:rsidR="008A0C45">
        <w:t>, 2014)</w:t>
      </w:r>
      <w:r>
        <w:t>. Pro variantu Maximální jsou úpravy v žst. Pardubice hl. n. nezbytné</w:t>
      </w:r>
      <w:r w:rsidR="00733EF6">
        <w:t>, předpokládají se však jen v nezbytně nutném rozsahu</w:t>
      </w:r>
      <w:r>
        <w:t>.</w:t>
      </w:r>
    </w:p>
    <w:p w:rsidR="000C2F5B" w:rsidRPr="00F5279A" w:rsidRDefault="00073804" w:rsidP="000C2F5B">
      <w:r>
        <w:t xml:space="preserve">Řešení úseku Pardubice hl. n. – </w:t>
      </w:r>
      <w:r w:rsidRPr="00092F1A">
        <w:rPr>
          <w:u w:val="single"/>
        </w:rPr>
        <w:t>Pardubice-Rosice nad Labem</w:t>
      </w:r>
      <w:r>
        <w:t xml:space="preserve"> (</w:t>
      </w:r>
      <w:r w:rsidRPr="008E5597">
        <w:rPr>
          <w:b/>
        </w:rPr>
        <w:t>od km 1,505 do km 4,000</w:t>
      </w:r>
      <w:r w:rsidRPr="000C2F5B">
        <w:t>)</w:t>
      </w:r>
      <w:r w:rsidR="000C2F5B" w:rsidRPr="00962103">
        <w:t xml:space="preserve"> </w:t>
      </w:r>
      <w:r w:rsidR="000C2F5B" w:rsidRPr="00F5279A">
        <w:t>bylo v p</w:t>
      </w:r>
      <w:r w:rsidR="000C2F5B" w:rsidRPr="00F5279A">
        <w:rPr>
          <w:rFonts w:hint="eastAsia"/>
        </w:rPr>
        <w:t>ř</w:t>
      </w:r>
      <w:r w:rsidR="000C2F5B" w:rsidRPr="00F5279A">
        <w:t xml:space="preserve">edchozí projektové dokumentaci </w:t>
      </w:r>
      <w:r w:rsidR="002E09A3">
        <w:t xml:space="preserve">(„Zvýšení kapacity úseku Pardubice hl.n. – Pardubice-Rosice n.L.) </w:t>
      </w:r>
      <w:r w:rsidR="000C2F5B" w:rsidRPr="00F5279A">
        <w:t>navrženo ve t</w:t>
      </w:r>
      <w:r w:rsidR="000C2F5B" w:rsidRPr="00F5279A">
        <w:rPr>
          <w:rFonts w:hint="eastAsia"/>
        </w:rPr>
        <w:t>ř</w:t>
      </w:r>
      <w:r w:rsidR="000C2F5B" w:rsidRPr="00F5279A">
        <w:t>ech variantách. Dále sledovaná varianta A (p</w:t>
      </w:r>
      <w:r w:rsidR="000C2F5B" w:rsidRPr="00F5279A">
        <w:rPr>
          <w:rFonts w:hint="eastAsia"/>
        </w:rPr>
        <w:t>ř</w:t>
      </w:r>
      <w:r w:rsidR="000C2F5B" w:rsidRPr="00F5279A">
        <w:t>ejatá do varianty Maximální této studie proveditelnosti) uvažuje dvoukolejnou tra</w:t>
      </w:r>
      <w:r w:rsidR="000C2F5B" w:rsidRPr="00F5279A">
        <w:rPr>
          <w:rFonts w:hint="eastAsia"/>
        </w:rPr>
        <w:t>ť</w:t>
      </w:r>
      <w:r w:rsidR="000C2F5B" w:rsidRPr="00F5279A">
        <w:t xml:space="preserve"> v celé délce mezi žst. Pardubice hl. n. a Pardubice-Rosice nad Labem. Zapojení trat</w:t>
      </w:r>
      <w:r w:rsidR="000C2F5B" w:rsidRPr="00F5279A">
        <w:rPr>
          <w:rFonts w:hint="eastAsia"/>
        </w:rPr>
        <w:t>ě</w:t>
      </w:r>
      <w:r w:rsidR="000C2F5B" w:rsidRPr="00F5279A">
        <w:t xml:space="preserve"> od Chrudimi bude uskute</w:t>
      </w:r>
      <w:r w:rsidR="000C2F5B" w:rsidRPr="00F5279A">
        <w:rPr>
          <w:rFonts w:hint="eastAsia"/>
        </w:rPr>
        <w:t>č</w:t>
      </w:r>
      <w:r w:rsidR="000C2F5B" w:rsidRPr="00F5279A">
        <w:t>n</w:t>
      </w:r>
      <w:r w:rsidR="000C2F5B" w:rsidRPr="00F5279A">
        <w:rPr>
          <w:rFonts w:hint="eastAsia"/>
        </w:rPr>
        <w:t>ě</w:t>
      </w:r>
      <w:r w:rsidR="000C2F5B" w:rsidRPr="00F5279A">
        <w:t>no do 1. tra</w:t>
      </w:r>
      <w:r w:rsidR="000C2F5B" w:rsidRPr="00F5279A">
        <w:rPr>
          <w:rFonts w:hint="eastAsia"/>
        </w:rPr>
        <w:t>ť</w:t>
      </w:r>
      <w:r w:rsidR="000C2F5B" w:rsidRPr="00F5279A">
        <w:t>ové koleje p</w:t>
      </w:r>
      <w:r w:rsidR="000C2F5B" w:rsidRPr="00F5279A">
        <w:rPr>
          <w:rFonts w:hint="eastAsia"/>
        </w:rPr>
        <w:t>ř</w:t>
      </w:r>
      <w:r w:rsidR="000C2F5B" w:rsidRPr="00F5279A">
        <w:t>ed mostem p</w:t>
      </w:r>
      <w:r w:rsidR="000C2F5B" w:rsidRPr="00F5279A">
        <w:rPr>
          <w:rFonts w:hint="eastAsia"/>
        </w:rPr>
        <w:t>ř</w:t>
      </w:r>
      <w:r w:rsidR="000C2F5B" w:rsidRPr="00F5279A">
        <w:t>es Labe. P</w:t>
      </w:r>
      <w:r w:rsidR="000C2F5B" w:rsidRPr="00F5279A">
        <w:rPr>
          <w:rFonts w:hint="eastAsia"/>
        </w:rPr>
        <w:t>ř</w:t>
      </w:r>
      <w:r w:rsidR="000C2F5B" w:rsidRPr="00F5279A">
        <w:t>es Labe bude vybudován nový dvoukolejný most ve variant</w:t>
      </w:r>
      <w:r w:rsidR="000C2F5B" w:rsidRPr="00F5279A">
        <w:rPr>
          <w:rFonts w:hint="eastAsia"/>
        </w:rPr>
        <w:t>ě</w:t>
      </w:r>
      <w:r w:rsidR="000C2F5B" w:rsidRPr="00F5279A">
        <w:t xml:space="preserve"> A1 pevné konstrukce s plavební výškou </w:t>
      </w:r>
      <w:smartTag w:uri="urn:schemas-microsoft-com:office:smarttags" w:element="metricconverter">
        <w:smartTagPr>
          <w:attr w:name="ProductID" w:val="7 m"/>
        </w:smartTagPr>
        <w:r w:rsidR="000C2F5B" w:rsidRPr="00F5279A">
          <w:t>7 m</w:t>
        </w:r>
      </w:smartTag>
      <w:r w:rsidR="000C2F5B" w:rsidRPr="00F5279A">
        <w:t>, nebo ve variant</w:t>
      </w:r>
      <w:r w:rsidR="000C2F5B" w:rsidRPr="00F5279A">
        <w:rPr>
          <w:rFonts w:hint="eastAsia"/>
        </w:rPr>
        <w:t>ě</w:t>
      </w:r>
      <w:r w:rsidR="000C2F5B" w:rsidRPr="00F5279A">
        <w:t xml:space="preserve"> A2 se zdvižným polem s plavební výškou </w:t>
      </w:r>
      <w:smartTag w:uri="urn:schemas-microsoft-com:office:smarttags" w:element="metricconverter">
        <w:smartTagPr>
          <w:attr w:name="ProductID" w:val="5,25 m"/>
        </w:smartTagPr>
        <w:r w:rsidR="000C2F5B" w:rsidRPr="00F5279A">
          <w:t>5,25 m</w:t>
        </w:r>
      </w:smartTag>
      <w:r w:rsidR="000C2F5B" w:rsidRPr="00F5279A">
        <w:t>. Realizace této varianty je podmín</w:t>
      </w:r>
      <w:r w:rsidR="000C2F5B" w:rsidRPr="00F5279A">
        <w:rPr>
          <w:rFonts w:hint="eastAsia"/>
        </w:rPr>
        <w:t>ě</w:t>
      </w:r>
      <w:r w:rsidR="000C2F5B" w:rsidRPr="00F5279A">
        <w:t>na p</w:t>
      </w:r>
      <w:r w:rsidR="000C2F5B" w:rsidRPr="00F5279A">
        <w:rPr>
          <w:rFonts w:hint="eastAsia"/>
        </w:rPr>
        <w:t>ř</w:t>
      </w:r>
      <w:r w:rsidR="000C2F5B" w:rsidRPr="00F5279A">
        <w:t>edcházející nebo sou</w:t>
      </w:r>
      <w:r w:rsidR="000C2F5B" w:rsidRPr="00F5279A">
        <w:rPr>
          <w:rFonts w:hint="eastAsia"/>
        </w:rPr>
        <w:t>č</w:t>
      </w:r>
      <w:r w:rsidR="000C2F5B" w:rsidRPr="00F5279A">
        <w:t xml:space="preserve">asnou realizací stavby </w:t>
      </w:r>
      <w:r w:rsidR="000C2F5B" w:rsidRPr="00F5279A">
        <w:rPr>
          <w:rFonts w:hint="eastAsia"/>
        </w:rPr>
        <w:t>„</w:t>
      </w:r>
      <w:r w:rsidR="000C2F5B" w:rsidRPr="00F5279A">
        <w:rPr>
          <w:bCs/>
          <w:iCs/>
        </w:rPr>
        <w:t>Pr</w:t>
      </w:r>
      <w:r w:rsidR="000C2F5B" w:rsidRPr="00F5279A">
        <w:rPr>
          <w:rFonts w:hint="eastAsia"/>
          <w:bCs/>
          <w:iCs/>
        </w:rPr>
        <w:t>ů</w:t>
      </w:r>
      <w:r w:rsidR="000C2F5B" w:rsidRPr="00F5279A">
        <w:rPr>
          <w:bCs/>
          <w:iCs/>
        </w:rPr>
        <w:t xml:space="preserve">jezd </w:t>
      </w:r>
      <w:r w:rsidR="000C2F5B" w:rsidRPr="00F5279A">
        <w:rPr>
          <w:rFonts w:hint="eastAsia"/>
          <w:bCs/>
          <w:iCs/>
        </w:rPr>
        <w:t>ž</w:t>
      </w:r>
      <w:r w:rsidR="000C2F5B" w:rsidRPr="00F5279A">
        <w:rPr>
          <w:bCs/>
          <w:iCs/>
        </w:rPr>
        <w:t>elezni</w:t>
      </w:r>
      <w:r w:rsidR="000C2F5B" w:rsidRPr="00F5279A">
        <w:rPr>
          <w:rFonts w:hint="eastAsia"/>
          <w:bCs/>
          <w:iCs/>
        </w:rPr>
        <w:t>č</w:t>
      </w:r>
      <w:r w:rsidR="000C2F5B" w:rsidRPr="00F5279A">
        <w:rPr>
          <w:bCs/>
          <w:iCs/>
        </w:rPr>
        <w:t>ním uzlem Pardubice“</w:t>
      </w:r>
      <w:r w:rsidR="000C2F5B" w:rsidRPr="00F5279A">
        <w:t>.</w:t>
      </w:r>
    </w:p>
    <w:p w:rsidR="00073804" w:rsidRDefault="000C2F5B" w:rsidP="00CB1F22">
      <w:r w:rsidRPr="00F5279A">
        <w:rPr>
          <w:u w:val="single"/>
        </w:rPr>
        <w:t>Žst. Pardubice-Rosice nad Labem</w:t>
      </w:r>
      <w:r w:rsidRPr="00F5279A">
        <w:t xml:space="preserve"> bude rekonstruována a zabezpe</w:t>
      </w:r>
      <w:r w:rsidRPr="00F5279A">
        <w:rPr>
          <w:rFonts w:hint="eastAsia"/>
        </w:rPr>
        <w:t>č</w:t>
      </w:r>
      <w:r w:rsidRPr="00F5279A">
        <w:t>ena stani</w:t>
      </w:r>
      <w:r w:rsidRPr="00F5279A">
        <w:rPr>
          <w:rFonts w:hint="eastAsia"/>
        </w:rPr>
        <w:t>č</w:t>
      </w:r>
      <w:r w:rsidRPr="00F5279A">
        <w:t>ním zabezpe</w:t>
      </w:r>
      <w:r w:rsidRPr="00F5279A">
        <w:rPr>
          <w:rFonts w:hint="eastAsia"/>
        </w:rPr>
        <w:t>č</w:t>
      </w:r>
      <w:r w:rsidRPr="00F5279A">
        <w:t>ovacím za</w:t>
      </w:r>
      <w:r w:rsidRPr="00F5279A">
        <w:rPr>
          <w:rFonts w:hint="eastAsia"/>
        </w:rPr>
        <w:t>ří</w:t>
      </w:r>
      <w:r w:rsidRPr="00F5279A">
        <w:t>zením 3. kategorie typu elektronické stav</w:t>
      </w:r>
      <w:r w:rsidRPr="00F5279A">
        <w:rPr>
          <w:rFonts w:hint="eastAsia"/>
        </w:rPr>
        <w:t>ě</w:t>
      </w:r>
      <w:r w:rsidRPr="00F5279A">
        <w:t>dlo, sou</w:t>
      </w:r>
      <w:r w:rsidRPr="00F5279A">
        <w:rPr>
          <w:rFonts w:hint="eastAsia"/>
        </w:rPr>
        <w:t>čá</w:t>
      </w:r>
      <w:r w:rsidRPr="00F5279A">
        <w:t>stí úprav bude i náhrada sou</w:t>
      </w:r>
      <w:r w:rsidRPr="00F5279A">
        <w:rPr>
          <w:rFonts w:hint="eastAsia"/>
        </w:rPr>
        <w:t>č</w:t>
      </w:r>
      <w:r w:rsidRPr="00F5279A">
        <w:t>asného tra</w:t>
      </w:r>
      <w:r w:rsidRPr="00F5279A">
        <w:rPr>
          <w:rFonts w:hint="eastAsia"/>
        </w:rPr>
        <w:t>ť</w:t>
      </w:r>
      <w:r w:rsidRPr="00F5279A">
        <w:t>ového zabezpe</w:t>
      </w:r>
      <w:r w:rsidRPr="00F5279A">
        <w:rPr>
          <w:rFonts w:hint="eastAsia"/>
        </w:rPr>
        <w:t>č</w:t>
      </w:r>
      <w:r w:rsidRPr="00F5279A">
        <w:t>ovacího za</w:t>
      </w:r>
      <w:r w:rsidRPr="00F5279A">
        <w:rPr>
          <w:rFonts w:hint="eastAsia"/>
        </w:rPr>
        <w:t>ří</w:t>
      </w:r>
      <w:r w:rsidRPr="00F5279A">
        <w:t>zení 1. kategorie (telefonické dorozumívání) v úseku do Medlešic tra</w:t>
      </w:r>
      <w:r w:rsidRPr="00F5279A">
        <w:rPr>
          <w:rFonts w:hint="eastAsia"/>
        </w:rPr>
        <w:t>ť</w:t>
      </w:r>
      <w:r w:rsidRPr="00F5279A">
        <w:t>ovým zabezpe</w:t>
      </w:r>
      <w:r w:rsidRPr="00F5279A">
        <w:rPr>
          <w:rFonts w:hint="eastAsia"/>
        </w:rPr>
        <w:t>č</w:t>
      </w:r>
      <w:r w:rsidRPr="00F5279A">
        <w:t>ovacím za</w:t>
      </w:r>
      <w:r w:rsidRPr="00F5279A">
        <w:rPr>
          <w:rFonts w:hint="eastAsia"/>
        </w:rPr>
        <w:t>ří</w:t>
      </w:r>
      <w:r w:rsidRPr="00F5279A">
        <w:t>zením 3. kategorie, typ automatické hradlo s náv</w:t>
      </w:r>
      <w:r w:rsidRPr="00F5279A">
        <w:rPr>
          <w:rFonts w:hint="eastAsia"/>
        </w:rPr>
        <w:t>ě</w:t>
      </w:r>
      <w:r w:rsidRPr="00F5279A">
        <w:t>stním bodem. Úsek do Pardubic hl. n. se p</w:t>
      </w:r>
      <w:r w:rsidRPr="00F5279A">
        <w:rPr>
          <w:rFonts w:hint="eastAsia"/>
        </w:rPr>
        <w:t>ř</w:t>
      </w:r>
      <w:r w:rsidRPr="00F5279A">
        <w:t>edpokládá k zabezpe</w:t>
      </w:r>
      <w:r w:rsidRPr="00F5279A">
        <w:rPr>
          <w:rFonts w:hint="eastAsia"/>
        </w:rPr>
        <w:t>č</w:t>
      </w:r>
      <w:r w:rsidRPr="00F5279A">
        <w:t>ení tzv. tra</w:t>
      </w:r>
      <w:r w:rsidRPr="00F5279A">
        <w:rPr>
          <w:rFonts w:hint="eastAsia"/>
        </w:rPr>
        <w:t>ť</w:t>
      </w:r>
      <w:r w:rsidRPr="00F5279A">
        <w:t>ovým souhlasem (vycházejícím z automatického bloku, rovn</w:t>
      </w:r>
      <w:r w:rsidRPr="00F5279A">
        <w:rPr>
          <w:rFonts w:hint="eastAsia"/>
        </w:rPr>
        <w:t>ěž</w:t>
      </w:r>
      <w:r w:rsidRPr="00F5279A">
        <w:t xml:space="preserve"> TZZ 3. kategorie). Rozsah kolejových úprav respektuje dvoukolejné p</w:t>
      </w:r>
      <w:r w:rsidRPr="00F5279A">
        <w:rPr>
          <w:rFonts w:hint="eastAsia"/>
        </w:rPr>
        <w:t>ř</w:t>
      </w:r>
      <w:r w:rsidRPr="00F5279A">
        <w:t xml:space="preserve">ipojení od </w:t>
      </w:r>
      <w:r w:rsidRPr="00F5279A">
        <w:rPr>
          <w:rFonts w:hint="eastAsia"/>
        </w:rPr>
        <w:t>ž</w:t>
      </w:r>
      <w:r w:rsidRPr="00F5279A">
        <w:t>st. Pardubice hl. n. a umíst</w:t>
      </w:r>
      <w:r w:rsidRPr="00F5279A">
        <w:rPr>
          <w:rFonts w:hint="eastAsia"/>
        </w:rPr>
        <w:t>ě</w:t>
      </w:r>
      <w:r w:rsidRPr="00F5279A">
        <w:t>ní nových nástupiš</w:t>
      </w:r>
      <w:r w:rsidRPr="00F5279A">
        <w:rPr>
          <w:rFonts w:hint="eastAsia"/>
        </w:rPr>
        <w:t>ť</w:t>
      </w:r>
      <w:r w:rsidRPr="00F5279A">
        <w:t>. Z d</w:t>
      </w:r>
      <w:r w:rsidRPr="00F5279A">
        <w:rPr>
          <w:rFonts w:hint="eastAsia"/>
        </w:rPr>
        <w:t>ů</w:t>
      </w:r>
      <w:r w:rsidRPr="00F5279A">
        <w:t>vodu výstavby ostrovního nástupišt</w:t>
      </w:r>
      <w:r w:rsidRPr="00F5279A">
        <w:rPr>
          <w:rFonts w:hint="eastAsia"/>
        </w:rPr>
        <w:t>ě</w:t>
      </w:r>
      <w:r w:rsidRPr="00F5279A">
        <w:t xml:space="preserve"> s mimoúrov</w:t>
      </w:r>
      <w:r w:rsidRPr="00F5279A">
        <w:rPr>
          <w:rFonts w:hint="eastAsia"/>
        </w:rPr>
        <w:t>ň</w:t>
      </w:r>
      <w:r w:rsidRPr="00F5279A">
        <w:t>ovým p</w:t>
      </w:r>
      <w:r w:rsidRPr="00F5279A">
        <w:rPr>
          <w:rFonts w:hint="eastAsia"/>
        </w:rPr>
        <w:t>ří</w:t>
      </w:r>
      <w:r w:rsidRPr="00F5279A">
        <w:t>stupem p</w:t>
      </w:r>
      <w:r w:rsidRPr="00F5279A">
        <w:rPr>
          <w:rFonts w:hint="eastAsia"/>
        </w:rPr>
        <w:t>ří</w:t>
      </w:r>
      <w:r w:rsidRPr="00F5279A">
        <w:t>mo z podchodu dojde k úbytku jedné dopravní koleje. Jednostranné nástupišt</w:t>
      </w:r>
      <w:r w:rsidRPr="00F5279A">
        <w:rPr>
          <w:rFonts w:hint="eastAsia"/>
        </w:rPr>
        <w:t>ě</w:t>
      </w:r>
      <w:r w:rsidRPr="00F5279A">
        <w:t xml:space="preserve"> bude vybudováno ze strany od výpravní budovy u kolejí </w:t>
      </w:r>
      <w:r w:rsidRPr="00F5279A">
        <w:rPr>
          <w:rFonts w:hint="eastAsia"/>
        </w:rPr>
        <w:t>č</w:t>
      </w:r>
      <w:r w:rsidRPr="00F5279A">
        <w:t xml:space="preserve">. </w:t>
      </w:r>
      <w:smartTag w:uri="urn:schemas-microsoft-com:office:smarttags" w:element="metricconverter">
        <w:smartTagPr>
          <w:attr w:name="ProductID" w:val="2 a"/>
        </w:smartTagPr>
        <w:r w:rsidRPr="00F5279A">
          <w:t>2 a</w:t>
        </w:r>
      </w:smartTag>
      <w:r w:rsidRPr="00F5279A">
        <w:t xml:space="preserve"> 4. Do pardubického zhlaví bude zaúst</w:t>
      </w:r>
      <w:r w:rsidRPr="00F5279A">
        <w:rPr>
          <w:rFonts w:hint="eastAsia"/>
        </w:rPr>
        <w:t>ě</w:t>
      </w:r>
      <w:r w:rsidRPr="00F5279A">
        <w:t>na dvoukolejná tra</w:t>
      </w:r>
      <w:r w:rsidRPr="00F5279A">
        <w:rPr>
          <w:rFonts w:hint="eastAsia"/>
        </w:rPr>
        <w:t>ť</w:t>
      </w:r>
      <w:r w:rsidRPr="00F5279A">
        <w:t xml:space="preserve"> od Pardubic hl.n., p</w:t>
      </w:r>
      <w:r w:rsidRPr="00F5279A">
        <w:rPr>
          <w:rFonts w:hint="eastAsia"/>
        </w:rPr>
        <w:t>ř</w:t>
      </w:r>
      <w:r w:rsidRPr="00F5279A">
        <w:t>ed mostem bude do 1. tra</w:t>
      </w:r>
      <w:r w:rsidRPr="00F5279A">
        <w:rPr>
          <w:rFonts w:hint="eastAsia"/>
        </w:rPr>
        <w:t>ť</w:t>
      </w:r>
      <w:r w:rsidRPr="00F5279A">
        <w:t>ové koleje zaúst</w:t>
      </w:r>
      <w:r w:rsidRPr="00F5279A">
        <w:rPr>
          <w:rFonts w:hint="eastAsia"/>
        </w:rPr>
        <w:t>ě</w:t>
      </w:r>
      <w:r w:rsidRPr="00F5279A">
        <w:t>na tra</w:t>
      </w:r>
      <w:r w:rsidRPr="00F5279A">
        <w:rPr>
          <w:rFonts w:hint="eastAsia"/>
        </w:rPr>
        <w:t>ť</w:t>
      </w:r>
      <w:r w:rsidRPr="00F5279A">
        <w:t>ová kolej od Chrudimi. Po</w:t>
      </w:r>
      <w:r w:rsidRPr="00F5279A">
        <w:rPr>
          <w:rFonts w:hint="eastAsia"/>
        </w:rPr>
        <w:t>čí</w:t>
      </w:r>
      <w:r w:rsidRPr="00F5279A">
        <w:t>tá se také se zapojením budoucí vle</w:t>
      </w:r>
      <w:r w:rsidRPr="00F5279A">
        <w:rPr>
          <w:rFonts w:hint="eastAsia"/>
        </w:rPr>
        <w:t>č</w:t>
      </w:r>
      <w:r w:rsidRPr="00F5279A">
        <w:t>ky do p</w:t>
      </w:r>
      <w:r w:rsidRPr="00F5279A">
        <w:rPr>
          <w:rFonts w:hint="eastAsia"/>
        </w:rPr>
        <w:t>ří</w:t>
      </w:r>
      <w:r w:rsidRPr="00F5279A">
        <w:t>stavu z chrudimské tra</w:t>
      </w:r>
      <w:r w:rsidRPr="00F5279A">
        <w:rPr>
          <w:rFonts w:hint="eastAsia"/>
        </w:rPr>
        <w:t>ť</w:t>
      </w:r>
      <w:r w:rsidRPr="00F5279A">
        <w:t>ové koleje. Ve variant</w:t>
      </w:r>
      <w:r w:rsidRPr="00F5279A">
        <w:rPr>
          <w:rFonts w:hint="eastAsia"/>
        </w:rPr>
        <w:t>ě</w:t>
      </w:r>
      <w:r w:rsidRPr="00F5279A">
        <w:t xml:space="preserve"> A1 dojde ke zm</w:t>
      </w:r>
      <w:r w:rsidRPr="00F5279A">
        <w:rPr>
          <w:rFonts w:hint="eastAsia"/>
        </w:rPr>
        <w:t>ě</w:t>
      </w:r>
      <w:r w:rsidRPr="00F5279A">
        <w:t>n</w:t>
      </w:r>
      <w:r w:rsidRPr="00F5279A">
        <w:rPr>
          <w:rFonts w:hint="eastAsia"/>
        </w:rPr>
        <w:t>ě</w:t>
      </w:r>
      <w:r w:rsidRPr="00F5279A">
        <w:t xml:space="preserve"> ve výšce mostu (plavební výška se m</w:t>
      </w:r>
      <w:r w:rsidRPr="00F5279A">
        <w:rPr>
          <w:rFonts w:hint="eastAsia"/>
        </w:rPr>
        <w:t>ě</w:t>
      </w:r>
      <w:r w:rsidRPr="00F5279A">
        <w:t xml:space="preserve">ní z 5,25 m na </w:t>
      </w:r>
      <w:smartTag w:uri="urn:schemas-microsoft-com:office:smarttags" w:element="metricconverter">
        <w:smartTagPr>
          <w:attr w:name="ProductID" w:val="7 m"/>
        </w:smartTagPr>
        <w:r w:rsidRPr="00F5279A">
          <w:t>7 m</w:t>
        </w:r>
      </w:smartTag>
      <w:r w:rsidRPr="00F5279A">
        <w:t>) a tím i k nep</w:t>
      </w:r>
      <w:r w:rsidRPr="00F5279A">
        <w:rPr>
          <w:rFonts w:hint="eastAsia"/>
        </w:rPr>
        <w:t>ří</w:t>
      </w:r>
      <w:r w:rsidRPr="00F5279A">
        <w:t>zniv</w:t>
      </w:r>
      <w:r w:rsidRPr="00F5279A">
        <w:rPr>
          <w:rFonts w:hint="eastAsia"/>
        </w:rPr>
        <w:t>ě</w:t>
      </w:r>
      <w:r w:rsidRPr="00F5279A">
        <w:t>jším sklonovým pom</w:t>
      </w:r>
      <w:r w:rsidRPr="00F5279A">
        <w:rPr>
          <w:rFonts w:hint="eastAsia"/>
        </w:rPr>
        <w:t>ě</w:t>
      </w:r>
      <w:r w:rsidRPr="00F5279A">
        <w:t>r</w:t>
      </w:r>
      <w:r w:rsidRPr="00F5279A">
        <w:rPr>
          <w:rFonts w:hint="eastAsia"/>
        </w:rPr>
        <w:t>ů</w:t>
      </w:r>
      <w:r w:rsidRPr="00F5279A">
        <w:t>m. Variantou A2 je zvedací most s mírn</w:t>
      </w:r>
      <w:r w:rsidRPr="00F5279A">
        <w:rPr>
          <w:rFonts w:hint="eastAsia"/>
        </w:rPr>
        <w:t>ě</w:t>
      </w:r>
      <w:r w:rsidRPr="00F5279A">
        <w:t xml:space="preserve"> p</w:t>
      </w:r>
      <w:r w:rsidRPr="00F5279A">
        <w:rPr>
          <w:rFonts w:hint="eastAsia"/>
        </w:rPr>
        <w:t>ří</w:t>
      </w:r>
      <w:r w:rsidRPr="00F5279A">
        <w:t>zniv</w:t>
      </w:r>
      <w:r w:rsidRPr="00F5279A">
        <w:rPr>
          <w:rFonts w:hint="eastAsia"/>
        </w:rPr>
        <w:t>ě</w:t>
      </w:r>
      <w:r w:rsidRPr="00F5279A">
        <w:t>jšími sklonovými pom</w:t>
      </w:r>
      <w:r w:rsidRPr="00F5279A">
        <w:rPr>
          <w:rFonts w:hint="eastAsia"/>
        </w:rPr>
        <w:t>ě</w:t>
      </w:r>
      <w:r w:rsidRPr="00F5279A">
        <w:t xml:space="preserve">ry. Na stéblovském zhlaví dojde k rekonstrukci omezujícího oblouku, </w:t>
      </w:r>
      <w:r w:rsidRPr="00F5279A">
        <w:rPr>
          <w:rFonts w:hint="eastAsia"/>
        </w:rPr>
        <w:t>čí</w:t>
      </w:r>
      <w:r w:rsidRPr="00F5279A">
        <w:t>mž se umožní zvýšení tra</w:t>
      </w:r>
      <w:r w:rsidRPr="00F5279A">
        <w:rPr>
          <w:rFonts w:hint="eastAsia"/>
        </w:rPr>
        <w:t>ť</w:t>
      </w:r>
      <w:r w:rsidRPr="00F5279A">
        <w:t xml:space="preserve">ové rychlosti na </w:t>
      </w:r>
      <w:smartTag w:uri="urn:schemas-microsoft-com:office:smarttags" w:element="metricconverter">
        <w:smartTagPr>
          <w:attr w:name="ProductID" w:val="100 km"/>
        </w:smartTagPr>
        <w:r w:rsidRPr="00F5279A">
          <w:t>100 km</w:t>
        </w:r>
      </w:smartTag>
      <w:r w:rsidRPr="00F5279A">
        <w:t>.h</w:t>
      </w:r>
      <w:r w:rsidRPr="00F5279A">
        <w:rPr>
          <w:vertAlign w:val="superscript"/>
        </w:rPr>
        <w:t>-1</w:t>
      </w:r>
      <w:r w:rsidRPr="00F5279A">
        <w:t>. Bud</w:t>
      </w:r>
      <w:r w:rsidR="00962103" w:rsidRPr="00F5279A">
        <w:t>e</w:t>
      </w:r>
      <w:r w:rsidRPr="00F5279A">
        <w:t xml:space="preserve"> výrazn</w:t>
      </w:r>
      <w:r w:rsidRPr="00F5279A">
        <w:rPr>
          <w:rFonts w:hint="eastAsia"/>
        </w:rPr>
        <w:t>ě</w:t>
      </w:r>
      <w:r w:rsidRPr="00F5279A">
        <w:t xml:space="preserve"> prodloužen</w:t>
      </w:r>
      <w:r w:rsidR="00962103" w:rsidRPr="00F5279A">
        <w:t>a</w:t>
      </w:r>
      <w:r w:rsidRPr="00F5279A">
        <w:t xml:space="preserve"> kolej </w:t>
      </w:r>
      <w:r w:rsidRPr="00F5279A">
        <w:rPr>
          <w:rFonts w:hint="eastAsia"/>
        </w:rPr>
        <w:t>č</w:t>
      </w:r>
      <w:r w:rsidRPr="00F5279A">
        <w:t>. 3 sm</w:t>
      </w:r>
      <w:r w:rsidRPr="00F5279A">
        <w:rPr>
          <w:rFonts w:hint="eastAsia"/>
        </w:rPr>
        <w:t>ě</w:t>
      </w:r>
      <w:r w:rsidRPr="00F5279A">
        <w:t>rem ke Stéblové</w:t>
      </w:r>
      <w:r w:rsidR="00962103" w:rsidRPr="00F5279A">
        <w:t xml:space="preserve"> a zaúst</w:t>
      </w:r>
      <w:r w:rsidR="00962103" w:rsidRPr="00F5279A">
        <w:rPr>
          <w:rFonts w:hint="eastAsia"/>
        </w:rPr>
        <w:t>ě</w:t>
      </w:r>
      <w:r w:rsidR="00962103" w:rsidRPr="00F5279A">
        <w:t>n zdvoukolejn</w:t>
      </w:r>
      <w:r w:rsidR="00962103" w:rsidRPr="00F5279A">
        <w:rPr>
          <w:rFonts w:hint="eastAsia"/>
        </w:rPr>
        <w:t>ě</w:t>
      </w:r>
      <w:r w:rsidR="00962103" w:rsidRPr="00F5279A">
        <w:t>ní úsek</w:t>
      </w:r>
      <w:r w:rsidRPr="00F5279A">
        <w:t xml:space="preserve"> Pardubice-Rosice nad Labem – Stéblová</w:t>
      </w:r>
      <w:r w:rsidR="00962103" w:rsidRPr="00F5279A">
        <w:t>, v</w:t>
      </w:r>
      <w:r w:rsidR="00962103" w:rsidRPr="00F5279A">
        <w:rPr>
          <w:rFonts w:hint="eastAsia"/>
        </w:rPr>
        <w:t>č</w:t>
      </w:r>
      <w:r w:rsidR="00962103" w:rsidRPr="00F5279A">
        <w:t>etn</w:t>
      </w:r>
      <w:r w:rsidR="00962103" w:rsidRPr="00F5279A">
        <w:rPr>
          <w:rFonts w:hint="eastAsia"/>
        </w:rPr>
        <w:t>ě</w:t>
      </w:r>
      <w:r w:rsidR="00962103" w:rsidRPr="00F5279A">
        <w:t xml:space="preserve"> dopln</w:t>
      </w:r>
      <w:r w:rsidR="00962103" w:rsidRPr="00F5279A">
        <w:rPr>
          <w:rFonts w:hint="eastAsia"/>
        </w:rPr>
        <w:t>ě</w:t>
      </w:r>
      <w:r w:rsidR="00962103" w:rsidRPr="00F5279A">
        <w:t xml:space="preserve">ní kolejových spojek z koleje </w:t>
      </w:r>
      <w:r w:rsidR="00962103" w:rsidRPr="00F5279A">
        <w:rPr>
          <w:rFonts w:hint="eastAsia"/>
        </w:rPr>
        <w:t>č</w:t>
      </w:r>
      <w:r w:rsidR="00962103" w:rsidRPr="00F5279A">
        <w:t xml:space="preserve">.1 do koleje </w:t>
      </w:r>
      <w:r w:rsidR="00962103" w:rsidRPr="00F5279A">
        <w:rPr>
          <w:rFonts w:hint="eastAsia"/>
        </w:rPr>
        <w:t>č</w:t>
      </w:r>
      <w:r w:rsidR="00962103" w:rsidRPr="00F5279A">
        <w:t>. 2 a naopak.</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C24305" w:rsidTr="00C24305">
        <w:tc>
          <w:tcPr>
            <w:tcW w:w="9356" w:type="dxa"/>
            <w:tcBorders>
              <w:bottom w:val="nil"/>
            </w:tcBorders>
          </w:tcPr>
          <w:p w:rsidR="00C24305" w:rsidRPr="00C24305" w:rsidRDefault="00C24305" w:rsidP="00C24305">
            <w:pPr>
              <w:pStyle w:val="Titulek"/>
            </w:pPr>
            <w:bookmarkStart w:id="98" w:name="_Toc390958820"/>
            <w:r w:rsidRPr="0061341E">
              <w:t xml:space="preserve">Obr. </w:t>
            </w:r>
            <w:r w:rsidRPr="0061341E">
              <w:fldChar w:fldCharType="begin"/>
            </w:r>
            <w:r w:rsidRPr="0061341E">
              <w:instrText xml:space="preserve"> STYLEREF 1 \s </w:instrText>
            </w:r>
            <w:r w:rsidRPr="0061341E">
              <w:fldChar w:fldCharType="separate"/>
            </w:r>
            <w:r w:rsidR="003843F3">
              <w:rPr>
                <w:noProof/>
              </w:rPr>
              <w:t>3</w:t>
            </w:r>
            <w:r w:rsidRPr="0061341E">
              <w:fldChar w:fldCharType="end"/>
            </w:r>
            <w:r w:rsidRPr="0061341E">
              <w:noBreakHyphen/>
            </w:r>
            <w:r w:rsidRPr="0061341E">
              <w:fldChar w:fldCharType="begin"/>
            </w:r>
            <w:r w:rsidRPr="0061341E">
              <w:instrText xml:space="preserve"> SEQ Obr. \* ARABIC \s 1 </w:instrText>
            </w:r>
            <w:r w:rsidRPr="0061341E">
              <w:fldChar w:fldCharType="separate"/>
            </w:r>
            <w:r w:rsidR="003843F3">
              <w:rPr>
                <w:noProof/>
              </w:rPr>
              <w:t>14</w:t>
            </w:r>
            <w:r w:rsidRPr="0061341E">
              <w:fldChar w:fldCharType="end"/>
            </w:r>
            <w:r w:rsidRPr="0061341E">
              <w:t>: Schéma úseku Pardubice hl. n. – Pardubice-Rosice nad Labem (var. MAX)</w:t>
            </w:r>
            <w:bookmarkEnd w:id="98"/>
            <w:r>
              <w:t xml:space="preserve"> </w:t>
            </w:r>
          </w:p>
        </w:tc>
      </w:tr>
      <w:tr w:rsidR="00C24305" w:rsidTr="00C24305">
        <w:tc>
          <w:tcPr>
            <w:tcW w:w="9356" w:type="dxa"/>
            <w:tcBorders>
              <w:top w:val="nil"/>
            </w:tcBorders>
          </w:tcPr>
          <w:p w:rsidR="00C24305" w:rsidRPr="0061341E" w:rsidRDefault="00C24305" w:rsidP="00C24305">
            <w:pPr>
              <w:spacing w:before="0" w:after="0" w:line="240" w:lineRule="auto"/>
              <w:jc w:val="right"/>
            </w:pPr>
            <w:r w:rsidRPr="00C24305">
              <w:rPr>
                <w:sz w:val="16"/>
              </w:rPr>
              <w:t>(modrá barva znázorňuje navazující úpravy v žst. Pardubice hl. n., které jsou samostatnou investicí)</w:t>
            </w:r>
          </w:p>
        </w:tc>
      </w:tr>
      <w:tr w:rsidR="008D539D" w:rsidTr="00C24305">
        <w:tc>
          <w:tcPr>
            <w:tcW w:w="9356" w:type="dxa"/>
          </w:tcPr>
          <w:p w:rsidR="008D539D" w:rsidRDefault="0063151A" w:rsidP="0063151A">
            <w:pPr>
              <w:jc w:val="center"/>
            </w:pPr>
            <w:r>
              <w:rPr>
                <w:noProof/>
                <w:lang w:eastAsia="cs-CZ"/>
              </w:rPr>
              <w:drawing>
                <wp:inline distT="0" distB="0" distL="0" distR="0" wp14:anchorId="7D82E40E" wp14:editId="2173EFC3">
                  <wp:extent cx="5876014" cy="252523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cstate="print"/>
                          <a:srcRect l="11649" t="25057" r="11107" b="27991"/>
                          <a:stretch/>
                        </pic:blipFill>
                        <pic:spPr bwMode="auto">
                          <a:xfrm>
                            <a:off x="0" y="0"/>
                            <a:ext cx="5890592" cy="2531495"/>
                          </a:xfrm>
                          <a:prstGeom prst="rect">
                            <a:avLst/>
                          </a:prstGeom>
                          <a:ln>
                            <a:noFill/>
                          </a:ln>
                          <a:extLst>
                            <a:ext uri="{53640926-AAD7-44D8-BBD7-CCE9431645EC}">
                              <a14:shadowObscured xmlns:a14="http://schemas.microsoft.com/office/drawing/2010/main"/>
                            </a:ext>
                          </a:extLst>
                        </pic:spPr>
                      </pic:pic>
                    </a:graphicData>
                  </a:graphic>
                </wp:inline>
              </w:drawing>
            </w:r>
          </w:p>
        </w:tc>
      </w:tr>
    </w:tbl>
    <w:p w:rsidR="004A6A5D" w:rsidRDefault="004A6A5D" w:rsidP="004A6A5D">
      <w:pPr>
        <w:pStyle w:val="Nadpis4"/>
        <w:rPr>
          <w:b/>
          <w:bCs w:val="0"/>
          <w:sz w:val="22"/>
        </w:rPr>
      </w:pPr>
      <w:r>
        <w:rPr>
          <w:b/>
          <w:bCs w:val="0"/>
          <w:sz w:val="22"/>
        </w:rPr>
        <w:t>Pardubice-Rosice nad Labem (mimo) – Stéblová (mimo)</w:t>
      </w:r>
    </w:p>
    <w:p w:rsidR="004A6A5D" w:rsidRDefault="004A6A5D" w:rsidP="004A6A5D">
      <w:r>
        <w:t xml:space="preserve">V mezistaničním úseku </w:t>
      </w:r>
      <w:r w:rsidRPr="0002643E">
        <w:rPr>
          <w:b/>
        </w:rPr>
        <w:t>od km 4,000 do km 8,160</w:t>
      </w:r>
      <w:r>
        <w:t xml:space="preserve"> se ve variantě Maximální uvažuje </w:t>
      </w:r>
      <w:r w:rsidR="00875ABD">
        <w:t xml:space="preserve">s doplněním druhé traťové koleje (vpravo od stávající) a </w:t>
      </w:r>
      <w:r>
        <w:t xml:space="preserve">se směrovou úpravou trasy pro traťovou rychlost </w:t>
      </w:r>
      <w:smartTag w:uri="urn:schemas-microsoft-com:office:smarttags" w:element="metricconverter">
        <w:smartTagPr>
          <w:attr w:name="ProductID" w:val="160 km/h"/>
        </w:smartTagPr>
        <w:r>
          <w:t>160 km/h</w:t>
        </w:r>
      </w:smartTag>
      <w:r>
        <w:t xml:space="preserve">, což se týká zvětšení poloměrů oblouků v km 4,988 až </w:t>
      </w:r>
      <w:smartTag w:uri="urn:schemas-microsoft-com:office:smarttags" w:element="metricconverter">
        <w:smartTagPr>
          <w:attr w:name="ProductID" w:val="6,077 a"/>
        </w:smartTagPr>
        <w:r>
          <w:t>6,077 a</w:t>
        </w:r>
      </w:smartTag>
      <w:r>
        <w:t xml:space="preserve"> 7,156 až 7,965 na hodnotu R = </w:t>
      </w:r>
      <w:smartTag w:uri="urn:schemas-microsoft-com:office:smarttags" w:element="metricconverter">
        <w:smartTagPr>
          <w:attr w:name="ProductID" w:val="1500 m"/>
        </w:smartTagPr>
        <w:r>
          <w:t>1500 m</w:t>
        </w:r>
      </w:smartTag>
      <w:r>
        <w:t xml:space="preserve"> s posunem osy trati cca </w:t>
      </w:r>
      <w:smartTag w:uri="urn:schemas-microsoft-com:office:smarttags" w:element="metricconverter">
        <w:smartTagPr>
          <w:attr w:name="ProductID" w:val="25 m"/>
        </w:smartTagPr>
        <w:r>
          <w:t>25 m</w:t>
        </w:r>
      </w:smartTag>
      <w:r>
        <w:t xml:space="preserve"> mimo stávající polohu a drážní pozemky. Mimo tyto oblouky se počítá s výměnou koleje, stabilizací železničního spodku, výměnou trakčního vedení, propustů, rekonstrukcí přejezdů a jejich doplněním o PZS a s instalací TZZ 3. kategorie prostřednictvím automatického bloku (kvůli vyšší traťové rychlosti).</w:t>
      </w:r>
    </w:p>
    <w:p w:rsidR="00C65DA3" w:rsidRDefault="00C65DA3">
      <w:pPr>
        <w:suppressAutoHyphens w:val="0"/>
        <w:spacing w:before="0" w:after="0" w:line="240" w:lineRule="auto"/>
        <w:jc w:val="left"/>
        <w:rPr>
          <w:b/>
          <w:sz w:val="22"/>
          <w:szCs w:val="28"/>
          <w:u w:val="single"/>
        </w:rPr>
      </w:pPr>
      <w:r>
        <w:rPr>
          <w:b/>
          <w:bCs/>
          <w:sz w:val="22"/>
        </w:rPr>
        <w:br w:type="page"/>
      </w:r>
    </w:p>
    <w:p w:rsidR="004A6A5D" w:rsidRDefault="004A6A5D" w:rsidP="004A6A5D">
      <w:pPr>
        <w:pStyle w:val="Nadpis4"/>
        <w:rPr>
          <w:b/>
          <w:bCs w:val="0"/>
          <w:sz w:val="22"/>
        </w:rPr>
      </w:pPr>
      <w:r>
        <w:rPr>
          <w:b/>
          <w:bCs w:val="0"/>
          <w:sz w:val="22"/>
        </w:rPr>
        <w:t>Stéblová (včetně) – Opatovice nad Labem (včetně)</w:t>
      </w:r>
    </w:p>
    <w:p w:rsidR="00962103" w:rsidRPr="004D6051" w:rsidRDefault="00962103" w:rsidP="00962103">
      <w:r w:rsidRPr="004D6051">
        <w:t xml:space="preserve">V tomto úseku jsou </w:t>
      </w:r>
      <w:r w:rsidRPr="004D6051">
        <w:rPr>
          <w:b/>
        </w:rPr>
        <w:t>od km 8,160 do km 16,334</w:t>
      </w:r>
      <w:r w:rsidRPr="004D6051">
        <w:t xml:space="preserve"> navržená opat</w:t>
      </w:r>
      <w:r w:rsidRPr="004D6051">
        <w:rPr>
          <w:rFonts w:hint="eastAsia"/>
        </w:rPr>
        <w:t>ř</w:t>
      </w:r>
      <w:r w:rsidRPr="004D6051">
        <w:t xml:space="preserve">ení shodná jako </w:t>
      </w:r>
      <w:r w:rsidR="002E1C06" w:rsidRPr="004D6051">
        <w:t>v</w:t>
      </w:r>
      <w:r w:rsidR="00A4677E">
        <w:t> </w:t>
      </w:r>
      <w:r w:rsidR="002E1C06" w:rsidRPr="004D6051">
        <w:t>Etapě</w:t>
      </w:r>
      <w:r w:rsidR="00A4677E">
        <w:t>, vyjma úpravy jižního zhlaví žst.Stéblová, které je uzpůsobeno pro napojení předcházejícího dvoukolejného úseku.</w:t>
      </w:r>
      <w:r w:rsidRPr="004D6051">
        <w:t xml:space="preserve"> </w:t>
      </w:r>
      <w:r w:rsidR="00A4677E" w:rsidRPr="00F5279A">
        <w:rPr>
          <w:b/>
        </w:rPr>
        <w:t>O</w:t>
      </w:r>
      <w:r w:rsidRPr="00A4677E">
        <w:rPr>
          <w:b/>
        </w:rPr>
        <w:t>d</w:t>
      </w:r>
      <w:r w:rsidRPr="004D6051">
        <w:rPr>
          <w:b/>
        </w:rPr>
        <w:t xml:space="preserve"> km 16,334 do km 18,733</w:t>
      </w:r>
      <w:r w:rsidRPr="004D6051">
        <w:t xml:space="preserve"> je nov</w:t>
      </w:r>
      <w:r w:rsidRPr="004D6051">
        <w:rPr>
          <w:rFonts w:hint="eastAsia"/>
        </w:rPr>
        <w:t>ě</w:t>
      </w:r>
      <w:r w:rsidRPr="004D6051">
        <w:t xml:space="preserve"> (bez návaznosti na jiné projektové dokumentace) navržen dvoukolejný pr</w:t>
      </w:r>
      <w:r w:rsidRPr="004D6051">
        <w:rPr>
          <w:rFonts w:hint="eastAsia"/>
        </w:rPr>
        <w:t>ů</w:t>
      </w:r>
      <w:r w:rsidRPr="004D6051">
        <w:t>jezd železni</w:t>
      </w:r>
      <w:r w:rsidRPr="004D6051">
        <w:rPr>
          <w:rFonts w:hint="eastAsia"/>
        </w:rPr>
        <w:t>č</w:t>
      </w:r>
      <w:r w:rsidRPr="004D6051">
        <w:t>ní stanicí Opatovice nad Labem</w:t>
      </w:r>
      <w:r w:rsidR="004D6051">
        <w:t>, včetně zapojení navazujícího dvoukolejného traťového úseku (severní zhlaví žst)</w:t>
      </w:r>
      <w:r w:rsidRPr="004D6051">
        <w:t>. Protažení dvoukolejného úseku ve sm</w:t>
      </w:r>
      <w:r w:rsidRPr="004D6051">
        <w:rPr>
          <w:rFonts w:hint="eastAsia"/>
        </w:rPr>
        <w:t>ě</w:t>
      </w:r>
      <w:r w:rsidRPr="004D6051">
        <w:t>ru od Stéblové je umožn</w:t>
      </w:r>
      <w:r w:rsidRPr="004D6051">
        <w:rPr>
          <w:rFonts w:hint="eastAsia"/>
        </w:rPr>
        <w:t>ě</w:t>
      </w:r>
      <w:r w:rsidRPr="004D6051">
        <w:t>no prost</w:t>
      </w:r>
      <w:r w:rsidRPr="004D6051">
        <w:rPr>
          <w:rFonts w:hint="eastAsia"/>
        </w:rPr>
        <w:t>ř</w:t>
      </w:r>
      <w:r w:rsidRPr="004D6051">
        <w:t>ednictvím stani</w:t>
      </w:r>
      <w:r w:rsidRPr="004D6051">
        <w:rPr>
          <w:rFonts w:hint="eastAsia"/>
        </w:rPr>
        <w:t>č</w:t>
      </w:r>
      <w:r w:rsidRPr="004D6051">
        <w:t xml:space="preserve">ních kolejí </w:t>
      </w:r>
      <w:r w:rsidRPr="004D6051">
        <w:rPr>
          <w:rFonts w:hint="eastAsia"/>
        </w:rPr>
        <w:t>č</w:t>
      </w:r>
      <w:r w:rsidRPr="004D6051">
        <w:t>. 1 a 2, které se na hradeckém zhlaví stanice esovit</w:t>
      </w:r>
      <w:r w:rsidRPr="004D6051">
        <w:rPr>
          <w:rFonts w:hint="eastAsia"/>
        </w:rPr>
        <w:t>ě</w:t>
      </w:r>
      <w:r w:rsidRPr="004D6051">
        <w:t xml:space="preserve"> odklán</w:t>
      </w:r>
      <w:r w:rsidRPr="004D6051">
        <w:rPr>
          <w:rFonts w:hint="eastAsia"/>
        </w:rPr>
        <w:t>ě</w:t>
      </w:r>
      <w:r w:rsidRPr="004D6051">
        <w:t>jí o jednu osu západn</w:t>
      </w:r>
      <w:r w:rsidRPr="004D6051">
        <w:rPr>
          <w:rFonts w:hint="eastAsia"/>
        </w:rPr>
        <w:t>ě</w:t>
      </w:r>
      <w:r w:rsidRPr="004D6051">
        <w:t xml:space="preserve"> do polohy dnešních kolejí sm</w:t>
      </w:r>
      <w:r w:rsidRPr="004D6051">
        <w:rPr>
          <w:rFonts w:hint="eastAsia"/>
        </w:rPr>
        <w:t>ě</w:t>
      </w:r>
      <w:r w:rsidRPr="004D6051">
        <w:t>r odb. Pla</w:t>
      </w:r>
      <w:r w:rsidRPr="004D6051">
        <w:rPr>
          <w:rFonts w:hint="eastAsia"/>
        </w:rPr>
        <w:t>č</w:t>
      </w:r>
      <w:r w:rsidRPr="004D6051">
        <w:t>ice a žst. Hradec Králové a nov</w:t>
      </w:r>
      <w:r w:rsidRPr="004D6051">
        <w:rPr>
          <w:rFonts w:hint="eastAsia"/>
        </w:rPr>
        <w:t>ě</w:t>
      </w:r>
      <w:r w:rsidRPr="004D6051">
        <w:t xml:space="preserve"> vytvá</w:t>
      </w:r>
      <w:r w:rsidRPr="004D6051">
        <w:rPr>
          <w:rFonts w:hint="eastAsia"/>
        </w:rPr>
        <w:t>ř</w:t>
      </w:r>
      <w:r w:rsidRPr="004D6051">
        <w:t>ejí tzv. obvod B</w:t>
      </w:r>
      <w:r w:rsidRPr="004D6051">
        <w:rPr>
          <w:rFonts w:hint="eastAsia"/>
        </w:rPr>
        <w:t>ř</w:t>
      </w:r>
      <w:r w:rsidRPr="004D6051">
        <w:t xml:space="preserve">ezhrad. </w:t>
      </w:r>
      <w:r w:rsidR="00630606">
        <w:t xml:space="preserve">Rychlost v kolejích č. 1 a 2 je stále 160 km/hod. </w:t>
      </w:r>
      <w:r w:rsidRPr="004D6051">
        <w:t>Jižn</w:t>
      </w:r>
      <w:r w:rsidRPr="004D6051">
        <w:rPr>
          <w:rFonts w:hint="eastAsia"/>
        </w:rPr>
        <w:t>ě</w:t>
      </w:r>
      <w:r w:rsidRPr="004D6051">
        <w:t xml:space="preserve"> od železni</w:t>
      </w:r>
      <w:r w:rsidRPr="004D6051">
        <w:rPr>
          <w:rFonts w:hint="eastAsia"/>
        </w:rPr>
        <w:t>č</w:t>
      </w:r>
      <w:r w:rsidRPr="004D6051">
        <w:t>ního p</w:t>
      </w:r>
      <w:r w:rsidRPr="004D6051">
        <w:rPr>
          <w:rFonts w:hint="eastAsia"/>
        </w:rPr>
        <w:t>ř</w:t>
      </w:r>
      <w:r w:rsidRPr="004D6051">
        <w:t>ejezdu v km 17,853 se p</w:t>
      </w:r>
      <w:r w:rsidRPr="004D6051">
        <w:rPr>
          <w:rFonts w:hint="eastAsia"/>
        </w:rPr>
        <w:t>ř</w:t>
      </w:r>
      <w:r w:rsidRPr="004D6051">
        <w:t>edpokládá dvojice nástupiš</w:t>
      </w:r>
      <w:r w:rsidRPr="004D6051">
        <w:rPr>
          <w:rFonts w:hint="eastAsia"/>
        </w:rPr>
        <w:t>ť</w:t>
      </w:r>
      <w:r w:rsidRPr="004D6051">
        <w:t xml:space="preserve"> nov</w:t>
      </w:r>
      <w:r w:rsidRPr="004D6051">
        <w:rPr>
          <w:rFonts w:hint="eastAsia"/>
        </w:rPr>
        <w:t>ě</w:t>
      </w:r>
      <w:r w:rsidRPr="004D6051">
        <w:t xml:space="preserve"> z</w:t>
      </w:r>
      <w:r w:rsidRPr="004D6051">
        <w:rPr>
          <w:rFonts w:hint="eastAsia"/>
        </w:rPr>
        <w:t>ří</w:t>
      </w:r>
      <w:r w:rsidRPr="004D6051">
        <w:t>zené zastávky B</w:t>
      </w:r>
      <w:r w:rsidRPr="004D6051">
        <w:rPr>
          <w:rFonts w:hint="eastAsia"/>
        </w:rPr>
        <w:t>ř</w:t>
      </w:r>
      <w:r w:rsidRPr="004D6051">
        <w:t>ezhrad (výška nástupiš</w:t>
      </w:r>
      <w:r w:rsidRPr="004D6051">
        <w:rPr>
          <w:rFonts w:hint="eastAsia"/>
        </w:rPr>
        <w:t>ť</w:t>
      </w:r>
      <w:r w:rsidRPr="004D6051">
        <w:t xml:space="preserve"> 550 mm, délka 110 m s p</w:t>
      </w:r>
      <w:r w:rsidRPr="004D6051">
        <w:rPr>
          <w:rFonts w:hint="eastAsia"/>
        </w:rPr>
        <w:t>ří</w:t>
      </w:r>
      <w:r w:rsidRPr="004D6051">
        <w:t>padnou rezervou délky 20 m, st</w:t>
      </w:r>
      <w:r w:rsidRPr="004D6051">
        <w:rPr>
          <w:rFonts w:hint="eastAsia"/>
        </w:rPr>
        <w:t>ř</w:t>
      </w:r>
      <w:r w:rsidRPr="004D6051">
        <w:t>ed nástupiš</w:t>
      </w:r>
      <w:r w:rsidRPr="004D6051">
        <w:rPr>
          <w:rFonts w:hint="eastAsia"/>
        </w:rPr>
        <w:t>ť</w:t>
      </w:r>
      <w:r w:rsidRPr="004D6051">
        <w:t xml:space="preserve"> je v km 17,772, p</w:t>
      </w:r>
      <w:r w:rsidRPr="004D6051">
        <w:rPr>
          <w:rFonts w:hint="eastAsia"/>
        </w:rPr>
        <w:t>ří</w:t>
      </w:r>
      <w:r w:rsidRPr="004D6051">
        <w:t>stup je umožn</w:t>
      </w:r>
      <w:r w:rsidRPr="004D6051">
        <w:rPr>
          <w:rFonts w:hint="eastAsia"/>
        </w:rPr>
        <w:t>ě</w:t>
      </w:r>
      <w:r w:rsidRPr="004D6051">
        <w:t>n zapojením p</w:t>
      </w:r>
      <w:r w:rsidRPr="004D6051">
        <w:rPr>
          <w:rFonts w:hint="eastAsia"/>
        </w:rPr>
        <w:t>ří</w:t>
      </w:r>
      <w:r w:rsidRPr="004D6051">
        <w:t>stupových chodník</w:t>
      </w:r>
      <w:r w:rsidRPr="004D6051">
        <w:rPr>
          <w:rFonts w:hint="eastAsia"/>
        </w:rPr>
        <w:t>ů</w:t>
      </w:r>
      <w:r w:rsidRPr="004D6051">
        <w:t xml:space="preserve"> od zmín</w:t>
      </w:r>
      <w:r w:rsidRPr="004D6051">
        <w:rPr>
          <w:rFonts w:hint="eastAsia"/>
        </w:rPr>
        <w:t>ě</w:t>
      </w:r>
      <w:r w:rsidRPr="004D6051">
        <w:t>ného železni</w:t>
      </w:r>
      <w:r w:rsidRPr="004D6051">
        <w:rPr>
          <w:rFonts w:hint="eastAsia"/>
        </w:rPr>
        <w:t>č</w:t>
      </w:r>
      <w:r w:rsidRPr="004D6051">
        <w:t>ního p</w:t>
      </w:r>
      <w:r w:rsidRPr="004D6051">
        <w:rPr>
          <w:rFonts w:hint="eastAsia"/>
        </w:rPr>
        <w:t>ř</w:t>
      </w:r>
      <w:r w:rsidRPr="004D6051">
        <w:t xml:space="preserve">ejezdu). </w:t>
      </w:r>
      <w:r w:rsidR="00630606">
        <w:t>D</w:t>
      </w:r>
      <w:r w:rsidRPr="004D6051">
        <w:t>ále za p</w:t>
      </w:r>
      <w:r w:rsidRPr="004D6051">
        <w:rPr>
          <w:rFonts w:hint="eastAsia"/>
        </w:rPr>
        <w:t>ř</w:t>
      </w:r>
      <w:r w:rsidRPr="004D6051">
        <w:t>ejezdem (sm</w:t>
      </w:r>
      <w:r w:rsidRPr="004D6051">
        <w:rPr>
          <w:rFonts w:hint="eastAsia"/>
        </w:rPr>
        <w:t>ě</w:t>
      </w:r>
      <w:r w:rsidRPr="004D6051">
        <w:t>rem k Hradci Králové) se nalézá dvojice jednoduchých kolejových spojek (z koleje 2a do 1a pro rychlost 80 km/h a zp</w:t>
      </w:r>
      <w:r w:rsidRPr="004D6051">
        <w:rPr>
          <w:rFonts w:hint="eastAsia"/>
        </w:rPr>
        <w:t>ě</w:t>
      </w:r>
      <w:r w:rsidRPr="004D6051">
        <w:t xml:space="preserve">t z koleje 1a do koleje 2a pro rychlost 120 km/h). </w:t>
      </w:r>
      <w:r w:rsidR="00A4677E" w:rsidRPr="00F5279A">
        <w:t>Pla</w:t>
      </w:r>
      <w:r w:rsidR="00A4677E" w:rsidRPr="00F5279A">
        <w:rPr>
          <w:rFonts w:hint="eastAsia"/>
        </w:rPr>
        <w:t>č</w:t>
      </w:r>
      <w:r w:rsidR="00A4677E" w:rsidRPr="00F5279A">
        <w:t xml:space="preserve">ická spojka je zapojena do koleje </w:t>
      </w:r>
      <w:r w:rsidR="00A4677E" w:rsidRPr="00F5279A">
        <w:rPr>
          <w:rFonts w:hint="eastAsia"/>
        </w:rPr>
        <w:t>č</w:t>
      </w:r>
      <w:r w:rsidR="00A4677E" w:rsidRPr="00F5279A">
        <w:t>. 1a výhybkou v km 18,301 pro rychlost 80 km/h a dále následuje prost</w:t>
      </w:r>
      <w:r w:rsidR="00A4677E" w:rsidRPr="00F5279A">
        <w:rPr>
          <w:rFonts w:hint="eastAsia"/>
        </w:rPr>
        <w:t>ř</w:t>
      </w:r>
      <w:r w:rsidR="00A4677E" w:rsidRPr="00F5279A">
        <w:t xml:space="preserve">ednictvím </w:t>
      </w:r>
      <w:r w:rsidR="00630606">
        <w:t>kolejového „S“</w:t>
      </w:r>
      <w:r w:rsidR="00A4677E" w:rsidRPr="00F5279A">
        <w:t xml:space="preserve"> návrat hlavní trati sm</w:t>
      </w:r>
      <w:r w:rsidR="00A4677E" w:rsidRPr="00F5279A">
        <w:rPr>
          <w:rFonts w:hint="eastAsia"/>
        </w:rPr>
        <w:t>ě</w:t>
      </w:r>
      <w:r w:rsidR="00A4677E" w:rsidRPr="00F5279A">
        <w:t xml:space="preserve">r </w:t>
      </w:r>
      <w:r w:rsidR="00A4677E" w:rsidRPr="00F5279A">
        <w:rPr>
          <w:rFonts w:hint="eastAsia"/>
        </w:rPr>
        <w:t>ž</w:t>
      </w:r>
      <w:r w:rsidR="00A4677E" w:rsidRPr="00F5279A">
        <w:t>st. Hradec Králové o jednu osovou vzdálenost východn</w:t>
      </w:r>
      <w:r w:rsidR="00A4677E" w:rsidRPr="00F5279A">
        <w:rPr>
          <w:rFonts w:hint="eastAsia"/>
        </w:rPr>
        <w:t>ě</w:t>
      </w:r>
      <w:r w:rsidR="00A4677E" w:rsidRPr="00F5279A">
        <w:t xml:space="preserve"> do „p</w:t>
      </w:r>
      <w:r w:rsidR="00A4677E" w:rsidRPr="00F5279A">
        <w:rPr>
          <w:rFonts w:hint="eastAsia"/>
        </w:rPr>
        <w:t>ů</w:t>
      </w:r>
      <w:r w:rsidR="00A4677E" w:rsidRPr="00F5279A">
        <w:t>vodní“ polohy, dané uspo</w:t>
      </w:r>
      <w:r w:rsidR="00A4677E" w:rsidRPr="00F5279A">
        <w:rPr>
          <w:rFonts w:hint="eastAsia"/>
        </w:rPr>
        <w:t>řá</w:t>
      </w:r>
      <w:r w:rsidR="00A4677E" w:rsidRPr="00F5279A">
        <w:t>dáním tra</w:t>
      </w:r>
      <w:r w:rsidR="00A4677E" w:rsidRPr="00F5279A">
        <w:rPr>
          <w:rFonts w:hint="eastAsia"/>
        </w:rPr>
        <w:t>ť</w:t>
      </w:r>
      <w:r w:rsidR="00A4677E" w:rsidRPr="00F5279A">
        <w:t xml:space="preserve">ového </w:t>
      </w:r>
      <w:r w:rsidR="00A4677E" w:rsidRPr="00F5279A">
        <w:rPr>
          <w:rFonts w:hint="eastAsia"/>
        </w:rPr>
        <w:t>ú</w:t>
      </w:r>
      <w:r w:rsidR="00A4677E" w:rsidRPr="00F5279A">
        <w:t xml:space="preserve">seku Stéblová (mimo) </w:t>
      </w:r>
      <w:r w:rsidR="00A4677E" w:rsidRPr="00F5279A">
        <w:rPr>
          <w:rFonts w:hint="eastAsia"/>
        </w:rPr>
        <w:t>–</w:t>
      </w:r>
      <w:r w:rsidR="00A4677E" w:rsidRPr="00F5279A">
        <w:t xml:space="preserve"> Opatovice (mimo) s novou kolejí </w:t>
      </w:r>
      <w:r w:rsidR="00A4677E" w:rsidRPr="00F5279A">
        <w:rPr>
          <w:rFonts w:hint="eastAsia"/>
        </w:rPr>
        <w:t>č</w:t>
      </w:r>
      <w:r w:rsidR="00A4677E" w:rsidRPr="00F5279A">
        <w:t xml:space="preserve">. 2 vloženou napravo od stávající osy koleje </w:t>
      </w:r>
      <w:r w:rsidR="00A4677E" w:rsidRPr="00F5279A">
        <w:rPr>
          <w:rFonts w:hint="eastAsia"/>
        </w:rPr>
        <w:t>č</w:t>
      </w:r>
      <w:r w:rsidR="00A4677E" w:rsidRPr="00F5279A">
        <w:t>. 1.</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C24305" w:rsidTr="00C24305">
        <w:tc>
          <w:tcPr>
            <w:tcW w:w="9356" w:type="dxa"/>
            <w:tcBorders>
              <w:bottom w:val="nil"/>
            </w:tcBorders>
          </w:tcPr>
          <w:p w:rsidR="00C24305" w:rsidRDefault="00C24305" w:rsidP="00C24305">
            <w:pPr>
              <w:pStyle w:val="Titulek"/>
            </w:pPr>
            <w:bookmarkStart w:id="99" w:name="_Toc390958821"/>
            <w:r w:rsidRPr="0061341E">
              <w:t xml:space="preserve">Obr. </w:t>
            </w:r>
            <w:r w:rsidRPr="0061341E">
              <w:fldChar w:fldCharType="begin"/>
            </w:r>
            <w:r w:rsidRPr="0061341E">
              <w:instrText xml:space="preserve"> STYLEREF 1 \s </w:instrText>
            </w:r>
            <w:r w:rsidRPr="0061341E">
              <w:fldChar w:fldCharType="separate"/>
            </w:r>
            <w:r w:rsidR="003843F3">
              <w:rPr>
                <w:noProof/>
              </w:rPr>
              <w:t>3</w:t>
            </w:r>
            <w:r w:rsidRPr="0061341E">
              <w:fldChar w:fldCharType="end"/>
            </w:r>
            <w:r w:rsidRPr="0061341E">
              <w:noBreakHyphen/>
            </w:r>
            <w:r w:rsidRPr="0061341E">
              <w:fldChar w:fldCharType="begin"/>
            </w:r>
            <w:r w:rsidRPr="0061341E">
              <w:instrText xml:space="preserve"> SEQ Obr. \* ARABIC \s 1 </w:instrText>
            </w:r>
            <w:r w:rsidRPr="0061341E">
              <w:fldChar w:fldCharType="separate"/>
            </w:r>
            <w:r w:rsidR="003843F3">
              <w:rPr>
                <w:noProof/>
              </w:rPr>
              <w:t>15</w:t>
            </w:r>
            <w:r w:rsidRPr="0061341E">
              <w:fldChar w:fldCharType="end"/>
            </w:r>
            <w:r w:rsidRPr="0061341E">
              <w:t>: Schéma žst. Stéblová (var. MAX)</w:t>
            </w:r>
            <w:bookmarkEnd w:id="99"/>
            <w:r>
              <w:t xml:space="preserve"> </w:t>
            </w:r>
          </w:p>
        </w:tc>
      </w:tr>
      <w:tr w:rsidR="00C24305" w:rsidTr="00C24305">
        <w:tc>
          <w:tcPr>
            <w:tcW w:w="9356" w:type="dxa"/>
            <w:tcBorders>
              <w:top w:val="nil"/>
            </w:tcBorders>
          </w:tcPr>
          <w:p w:rsidR="00C24305" w:rsidRDefault="00C24305" w:rsidP="00C24305">
            <w:pPr>
              <w:spacing w:before="0" w:after="0" w:line="240" w:lineRule="auto"/>
              <w:jc w:val="right"/>
              <w:rPr>
                <w:noProof/>
                <w:lang w:eastAsia="cs-CZ"/>
              </w:rPr>
            </w:pPr>
            <w:r w:rsidRPr="00C24305">
              <w:rPr>
                <w:sz w:val="16"/>
              </w:rPr>
              <w:t>(zelenou barvou je označena kolej, která se podle projektu stavby předpokládá ke zrušení, ale alternativně je možno ji ponechat)</w:t>
            </w:r>
          </w:p>
        </w:tc>
      </w:tr>
      <w:tr w:rsidR="008D539D" w:rsidTr="00C24305">
        <w:tc>
          <w:tcPr>
            <w:tcW w:w="9356" w:type="dxa"/>
          </w:tcPr>
          <w:p w:rsidR="008D539D" w:rsidRDefault="0063151A" w:rsidP="0063151A">
            <w:pPr>
              <w:jc w:val="center"/>
            </w:pPr>
            <w:r>
              <w:rPr>
                <w:noProof/>
                <w:lang w:eastAsia="cs-CZ"/>
              </w:rPr>
              <w:drawing>
                <wp:inline distT="0" distB="0" distL="0" distR="0" wp14:anchorId="77C1DD49" wp14:editId="6353245E">
                  <wp:extent cx="4981508" cy="3649649"/>
                  <wp:effectExtent l="0" t="0" r="0" b="0"/>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cstate="print"/>
                          <a:srcRect l="27131" t="25057" r="26907" b="27314"/>
                          <a:stretch/>
                        </pic:blipFill>
                        <pic:spPr bwMode="auto">
                          <a:xfrm>
                            <a:off x="0" y="0"/>
                            <a:ext cx="4981348" cy="3649532"/>
                          </a:xfrm>
                          <a:prstGeom prst="rect">
                            <a:avLst/>
                          </a:prstGeom>
                          <a:ln>
                            <a:noFill/>
                          </a:ln>
                          <a:extLst>
                            <a:ext uri="{53640926-AAD7-44D8-BBD7-CCE9431645EC}">
                              <a14:shadowObscured xmlns:a14="http://schemas.microsoft.com/office/drawing/2010/main"/>
                            </a:ext>
                          </a:extLst>
                        </pic:spPr>
                      </pic:pic>
                    </a:graphicData>
                  </a:graphic>
                </wp:inline>
              </w:drawing>
            </w:r>
          </w:p>
        </w:tc>
      </w:tr>
    </w:tbl>
    <w:p w:rsidR="00C24305" w:rsidRDefault="00C24305" w:rsidP="004A6A5D"/>
    <w:p w:rsidR="00C24305" w:rsidRDefault="00C24305">
      <w:pPr>
        <w:suppressAutoHyphens w:val="0"/>
        <w:spacing w:before="0" w:after="0" w:line="240" w:lineRule="auto"/>
        <w:jc w:val="left"/>
      </w:pPr>
      <w: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C24305" w:rsidTr="00C24305">
        <w:trPr>
          <w:cantSplit/>
        </w:trPr>
        <w:tc>
          <w:tcPr>
            <w:tcW w:w="9356" w:type="dxa"/>
          </w:tcPr>
          <w:p w:rsidR="00C24305" w:rsidRDefault="00C24305" w:rsidP="00C24305">
            <w:pPr>
              <w:pStyle w:val="Titulek"/>
              <w:rPr>
                <w:noProof/>
                <w:lang w:eastAsia="cs-CZ"/>
              </w:rPr>
            </w:pPr>
            <w:bookmarkStart w:id="100" w:name="_Toc390958822"/>
            <w:r w:rsidRPr="0061341E">
              <w:t xml:space="preserve">Obr. </w:t>
            </w:r>
            <w:r w:rsidRPr="0061341E">
              <w:fldChar w:fldCharType="begin"/>
            </w:r>
            <w:r w:rsidRPr="0061341E">
              <w:instrText xml:space="preserve"> STYLEREF 1 \s </w:instrText>
            </w:r>
            <w:r w:rsidRPr="0061341E">
              <w:fldChar w:fldCharType="separate"/>
            </w:r>
            <w:r w:rsidR="003843F3">
              <w:rPr>
                <w:noProof/>
              </w:rPr>
              <w:t>3</w:t>
            </w:r>
            <w:r w:rsidRPr="0061341E">
              <w:fldChar w:fldCharType="end"/>
            </w:r>
            <w:r w:rsidRPr="0061341E">
              <w:noBreakHyphen/>
            </w:r>
            <w:r w:rsidRPr="0061341E">
              <w:fldChar w:fldCharType="begin"/>
            </w:r>
            <w:r w:rsidRPr="0061341E">
              <w:instrText xml:space="preserve"> SEQ Obr. \* ARABIC \s 1 </w:instrText>
            </w:r>
            <w:r w:rsidRPr="0061341E">
              <w:fldChar w:fldCharType="separate"/>
            </w:r>
            <w:r w:rsidR="003843F3">
              <w:rPr>
                <w:noProof/>
              </w:rPr>
              <w:t>16</w:t>
            </w:r>
            <w:r w:rsidRPr="0061341E">
              <w:fldChar w:fldCharType="end"/>
            </w:r>
            <w:r w:rsidRPr="0061341E">
              <w:t>: Schéma žst. Opatovice nad Labem (var. MAX)</w:t>
            </w:r>
            <w:bookmarkEnd w:id="100"/>
          </w:p>
        </w:tc>
      </w:tr>
      <w:tr w:rsidR="008D539D" w:rsidTr="00C24305">
        <w:trPr>
          <w:cantSplit/>
        </w:trPr>
        <w:tc>
          <w:tcPr>
            <w:tcW w:w="9356" w:type="dxa"/>
          </w:tcPr>
          <w:p w:rsidR="008D539D" w:rsidRDefault="0063151A" w:rsidP="0063151A">
            <w:pPr>
              <w:jc w:val="center"/>
            </w:pPr>
            <w:r>
              <w:rPr>
                <w:noProof/>
                <w:lang w:eastAsia="cs-CZ"/>
              </w:rPr>
              <w:drawing>
                <wp:inline distT="0" distB="0" distL="0" distR="0" wp14:anchorId="07A704BE" wp14:editId="2D6D914A">
                  <wp:extent cx="5860519" cy="2337684"/>
                  <wp:effectExtent l="0" t="0" r="0"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cstate="print"/>
                          <a:srcRect l="7182" t="24830" r="6798" b="26637"/>
                          <a:stretch/>
                        </pic:blipFill>
                        <pic:spPr bwMode="auto">
                          <a:xfrm>
                            <a:off x="0" y="0"/>
                            <a:ext cx="5861998" cy="2338274"/>
                          </a:xfrm>
                          <a:prstGeom prst="rect">
                            <a:avLst/>
                          </a:prstGeom>
                          <a:ln>
                            <a:noFill/>
                          </a:ln>
                          <a:extLst>
                            <a:ext uri="{53640926-AAD7-44D8-BBD7-CCE9431645EC}">
                              <a14:shadowObscured xmlns:a14="http://schemas.microsoft.com/office/drawing/2010/main"/>
                            </a:ext>
                          </a:extLst>
                        </pic:spPr>
                      </pic:pic>
                    </a:graphicData>
                  </a:graphic>
                </wp:inline>
              </w:drawing>
            </w:r>
          </w:p>
        </w:tc>
      </w:tr>
    </w:tbl>
    <w:p w:rsidR="008D539D" w:rsidRDefault="008D539D" w:rsidP="004A6A5D"/>
    <w:p w:rsidR="004A6A5D" w:rsidRDefault="004A6A5D" w:rsidP="004A6A5D">
      <w:pPr>
        <w:pStyle w:val="Nadpis4"/>
        <w:rPr>
          <w:b/>
          <w:bCs w:val="0"/>
          <w:sz w:val="22"/>
        </w:rPr>
      </w:pPr>
      <w:r>
        <w:rPr>
          <w:b/>
          <w:bCs w:val="0"/>
          <w:sz w:val="22"/>
        </w:rPr>
        <w:t>Opatovice nad Labem (mimo) – Hradec Králové (mimo)</w:t>
      </w:r>
    </w:p>
    <w:p w:rsidR="004A6A5D" w:rsidRDefault="004A6A5D" w:rsidP="004A6A5D">
      <w:r>
        <w:t xml:space="preserve">V mezistaničním úseku </w:t>
      </w:r>
      <w:r>
        <w:rPr>
          <w:b/>
        </w:rPr>
        <w:t xml:space="preserve">od km </w:t>
      </w:r>
      <w:r w:rsidR="0063151A">
        <w:rPr>
          <w:b/>
        </w:rPr>
        <w:t>18,733</w:t>
      </w:r>
      <w:r>
        <w:rPr>
          <w:b/>
        </w:rPr>
        <w:t xml:space="preserve"> do km 21,40</w:t>
      </w:r>
      <w:r w:rsidRPr="0002643E">
        <w:rPr>
          <w:b/>
        </w:rPr>
        <w:t>0</w:t>
      </w:r>
      <w:r w:rsidR="00CE24F0">
        <w:t xml:space="preserve"> se ve variantě Maximální</w:t>
      </w:r>
      <w:r>
        <w:t xml:space="preserve"> </w:t>
      </w:r>
      <w:r w:rsidR="00CE24F0">
        <w:t xml:space="preserve">uvažuje </w:t>
      </w:r>
      <w:r w:rsidR="00875ABD">
        <w:t xml:space="preserve">s doplněním druhé traťové koleje (vpravo od stávající) a </w:t>
      </w:r>
      <w:r w:rsidR="00064B42">
        <w:t>s</w:t>
      </w:r>
      <w:r w:rsidR="00CE24F0">
        <w:t xml:space="preserve">e směrovou úpravou trasy pro traťovou rychlost </w:t>
      </w:r>
      <w:smartTag w:uri="urn:schemas-microsoft-com:office:smarttags" w:element="metricconverter">
        <w:smartTagPr>
          <w:attr w:name="ProductID" w:val="160 km/h"/>
        </w:smartTagPr>
        <w:r w:rsidR="00CE24F0">
          <w:t>160 km/h</w:t>
        </w:r>
      </w:smartTag>
      <w:r w:rsidR="00CE24F0">
        <w:t xml:space="preserve">, což se týká zvětšení převýšení v oblouku mezi km 20,226 až 20,591 (R = </w:t>
      </w:r>
      <w:smartTag w:uri="urn:schemas-microsoft-com:office:smarttags" w:element="metricconverter">
        <w:smartTagPr>
          <w:attr w:name="ProductID" w:val="1950 m"/>
        </w:smartTagPr>
        <w:r w:rsidR="00CE24F0">
          <w:t>1950 m</w:t>
        </w:r>
      </w:smartTag>
      <w:r w:rsidR="00CE24F0">
        <w:t xml:space="preserve">) z původního </w:t>
      </w:r>
      <w:r w:rsidR="00875ABD">
        <w:t xml:space="preserve">D = </w:t>
      </w:r>
      <w:smartTag w:uri="urn:schemas-microsoft-com:office:smarttags" w:element="metricconverter">
        <w:smartTagPr>
          <w:attr w:name="ProductID" w:val="41 mm"/>
        </w:smartTagPr>
        <w:r w:rsidR="00875ABD">
          <w:t>41 mm</w:t>
        </w:r>
      </w:smartTag>
      <w:r w:rsidR="00875ABD">
        <w:t xml:space="preserve"> na nové D = </w:t>
      </w:r>
      <w:smartTag w:uri="urn:schemas-microsoft-com:office:smarttags" w:element="metricconverter">
        <w:smartTagPr>
          <w:attr w:name="ProductID" w:val="60 mm"/>
        </w:smartTagPr>
        <w:r w:rsidR="00875ABD">
          <w:t>60 mm</w:t>
        </w:r>
      </w:smartTag>
      <w:r w:rsidR="00875ABD">
        <w:t>. To</w:t>
      </w:r>
      <w:r w:rsidR="00CE24F0">
        <w:t xml:space="preserve"> si vyžádá prodloužení přechodnic ze stávajících </w:t>
      </w:r>
      <w:smartTag w:uri="urn:schemas-microsoft-com:office:smarttags" w:element="metricconverter">
        <w:smartTagPr>
          <w:attr w:name="ProductID" w:val="41 m"/>
        </w:smartTagPr>
        <w:r w:rsidR="00CE24F0">
          <w:t>41 m</w:t>
        </w:r>
      </w:smartTag>
      <w:r w:rsidR="00CE24F0">
        <w:t xml:space="preserve"> na výhledových </w:t>
      </w:r>
      <w:smartTag w:uri="urn:schemas-microsoft-com:office:smarttags" w:element="metricconverter">
        <w:smartTagPr>
          <w:attr w:name="ProductID" w:val="80 m"/>
        </w:smartTagPr>
        <w:r w:rsidR="00CE24F0">
          <w:t>80 m</w:t>
        </w:r>
      </w:smartTag>
      <w:r w:rsidR="00CE24F0">
        <w:t xml:space="preserve"> a odsazení zvětšené z původní hodnoty m = </w:t>
      </w:r>
      <w:smartTag w:uri="urn:schemas-microsoft-com:office:smarttags" w:element="metricconverter">
        <w:smartTagPr>
          <w:attr w:name="ProductID" w:val="0,036 m"/>
        </w:smartTagPr>
        <w:r w:rsidR="00CE24F0">
          <w:t>0,036 m</w:t>
        </w:r>
      </w:smartTag>
      <w:r w:rsidR="00CE24F0">
        <w:t xml:space="preserve"> na novou hodnotu m = </w:t>
      </w:r>
      <w:smartTag w:uri="urn:schemas-microsoft-com:office:smarttags" w:element="metricconverter">
        <w:smartTagPr>
          <w:attr w:name="ProductID" w:val="0,137 m"/>
        </w:smartTagPr>
        <w:r w:rsidR="00CE24F0">
          <w:t>0,137 m</w:t>
        </w:r>
      </w:smartTag>
      <w:r w:rsidR="00CE24F0">
        <w:t xml:space="preserve">, tzn. posun osy trati v řádu cca </w:t>
      </w:r>
      <w:smartTag w:uri="urn:schemas-microsoft-com:office:smarttags" w:element="metricconverter">
        <w:smartTagPr>
          <w:attr w:name="ProductID" w:val="10 cm"/>
        </w:smartTagPr>
        <w:r w:rsidR="00CE24F0">
          <w:t>10 cm</w:t>
        </w:r>
      </w:smartTag>
      <w:r w:rsidR="00CE24F0">
        <w:t xml:space="preserve">. Kromě toho se počítá s </w:t>
      </w:r>
      <w:r>
        <w:t>výměnou koleje, stabilizací železničního spodku, výměnou trakčního vedení, propustů, rekonstrukcí mostů a přejezdů a jejich doplněním o PZS a s </w:t>
      </w:r>
      <w:r w:rsidR="00CE24F0">
        <w:t> instalací TZZ 3. kategorie prostřednictvím automatického bloku (kvůli vyšší traťové rychlosti).</w:t>
      </w:r>
    </w:p>
    <w:p w:rsidR="004157C1" w:rsidRPr="003A63CE" w:rsidRDefault="004157C1" w:rsidP="004157C1">
      <w:pPr>
        <w:pStyle w:val="Nadpis4"/>
        <w:rPr>
          <w:b/>
          <w:bCs w:val="0"/>
          <w:sz w:val="22"/>
        </w:rPr>
      </w:pPr>
      <w:r>
        <w:rPr>
          <w:b/>
          <w:bCs w:val="0"/>
          <w:sz w:val="22"/>
        </w:rPr>
        <w:t xml:space="preserve">Žst. Hradec Králové, </w:t>
      </w:r>
      <w:r w:rsidRPr="003A63CE">
        <w:rPr>
          <w:b/>
          <w:bCs w:val="0"/>
          <w:sz w:val="22"/>
        </w:rPr>
        <w:t>jižní zhlaví</w:t>
      </w:r>
    </w:p>
    <w:p w:rsidR="00A4677E" w:rsidRPr="00F5279A" w:rsidRDefault="00A4677E" w:rsidP="00A4677E">
      <w:r w:rsidRPr="00F5279A">
        <w:t>Ve variant</w:t>
      </w:r>
      <w:r w:rsidRPr="00F5279A">
        <w:rPr>
          <w:rFonts w:hint="eastAsia"/>
        </w:rPr>
        <w:t>ě</w:t>
      </w:r>
      <w:r w:rsidRPr="00F5279A">
        <w:t xml:space="preserve"> Maximální je p</w:t>
      </w:r>
      <w:r w:rsidRPr="00F5279A">
        <w:rPr>
          <w:rFonts w:hint="eastAsia"/>
        </w:rPr>
        <w:t>ř</w:t>
      </w:r>
      <w:r w:rsidRPr="00F5279A">
        <w:t>edm</w:t>
      </w:r>
      <w:r w:rsidRPr="00F5279A">
        <w:rPr>
          <w:rFonts w:hint="eastAsia"/>
        </w:rPr>
        <w:t>ě</w:t>
      </w:r>
      <w:r w:rsidRPr="00F5279A">
        <w:t>tem stavby (</w:t>
      </w:r>
      <w:r w:rsidRPr="00F5279A">
        <w:rPr>
          <w:b/>
        </w:rPr>
        <w:t>od km 21,400 do km 22,625</w:t>
      </w:r>
      <w:r w:rsidRPr="00F5279A">
        <w:t>) rekonstrukce stávajícího kolejišt</w:t>
      </w:r>
      <w:r w:rsidRPr="00F5279A">
        <w:rPr>
          <w:rFonts w:hint="eastAsia"/>
        </w:rPr>
        <w:t>ě</w:t>
      </w:r>
      <w:r w:rsidRPr="00F5279A">
        <w:t xml:space="preserve"> jižního zhlaví v žst. Hradec Králové hl. n. v</w:t>
      </w:r>
      <w:r w:rsidRPr="00F5279A">
        <w:rPr>
          <w:rFonts w:hint="eastAsia"/>
        </w:rPr>
        <w:t>č</w:t>
      </w:r>
      <w:r w:rsidRPr="00F5279A">
        <w:t>etn</w:t>
      </w:r>
      <w:r w:rsidRPr="00F5279A">
        <w:rPr>
          <w:rFonts w:hint="eastAsia"/>
        </w:rPr>
        <w:t>ě</w:t>
      </w:r>
      <w:r w:rsidRPr="00F5279A">
        <w:t xml:space="preserve"> zabezpe</w:t>
      </w:r>
      <w:r w:rsidRPr="00F5279A">
        <w:rPr>
          <w:rFonts w:hint="eastAsia"/>
        </w:rPr>
        <w:t>č</w:t>
      </w:r>
      <w:r w:rsidRPr="00F5279A">
        <w:t>ovacího a sd</w:t>
      </w:r>
      <w:r w:rsidRPr="00F5279A">
        <w:rPr>
          <w:rFonts w:hint="eastAsia"/>
        </w:rPr>
        <w:t>ě</w:t>
      </w:r>
      <w:r w:rsidRPr="00F5279A">
        <w:t>lovacího za</w:t>
      </w:r>
      <w:r w:rsidRPr="00F5279A">
        <w:rPr>
          <w:rFonts w:hint="eastAsia"/>
        </w:rPr>
        <w:t>ří</w:t>
      </w:r>
      <w:r w:rsidRPr="00F5279A">
        <w:t>zení. Stavba bude umíst</w:t>
      </w:r>
      <w:r w:rsidRPr="00F5279A">
        <w:rPr>
          <w:rFonts w:hint="eastAsia"/>
        </w:rPr>
        <w:t>ě</w:t>
      </w:r>
      <w:r w:rsidRPr="00F5279A">
        <w:t xml:space="preserve">na jen na pozemcích dráhy (vyjma kabeláže pro </w:t>
      </w:r>
      <w:r w:rsidRPr="00F5279A">
        <w:rPr>
          <w:rFonts w:hint="eastAsia"/>
        </w:rPr>
        <w:t>čá</w:t>
      </w:r>
      <w:r w:rsidRPr="00F5279A">
        <w:t>sti n</w:t>
      </w:r>
      <w:r w:rsidRPr="00F5279A">
        <w:rPr>
          <w:rFonts w:hint="eastAsia"/>
        </w:rPr>
        <w:t>ě</w:t>
      </w:r>
      <w:r w:rsidRPr="00F5279A">
        <w:t>kterých p</w:t>
      </w:r>
      <w:r w:rsidRPr="00F5279A">
        <w:rPr>
          <w:rFonts w:hint="eastAsia"/>
        </w:rPr>
        <w:t>ř</w:t>
      </w:r>
      <w:r w:rsidRPr="00F5279A">
        <w:t>ejezdových za</w:t>
      </w:r>
      <w:r w:rsidRPr="00F5279A">
        <w:rPr>
          <w:rFonts w:hint="eastAsia"/>
        </w:rPr>
        <w:t>ří</w:t>
      </w:r>
      <w:r w:rsidRPr="00F5279A">
        <w:t>zení) p</w:t>
      </w:r>
      <w:r w:rsidRPr="00F5279A">
        <w:rPr>
          <w:rFonts w:hint="eastAsia"/>
        </w:rPr>
        <w:t>ř</w:t>
      </w:r>
      <w:r w:rsidRPr="00F5279A">
        <w:t>evážn</w:t>
      </w:r>
      <w:r w:rsidRPr="00F5279A">
        <w:rPr>
          <w:rFonts w:hint="eastAsia"/>
        </w:rPr>
        <w:t>ě</w:t>
      </w:r>
      <w:r w:rsidRPr="00F5279A">
        <w:t xml:space="preserve"> v intravilánu m</w:t>
      </w:r>
      <w:r w:rsidRPr="00F5279A">
        <w:rPr>
          <w:rFonts w:hint="eastAsia"/>
        </w:rPr>
        <w:t>ě</w:t>
      </w:r>
      <w:r w:rsidRPr="00F5279A">
        <w:t>sta Hradce Králové. Sou</w:t>
      </w:r>
      <w:r w:rsidRPr="00F5279A">
        <w:rPr>
          <w:rFonts w:hint="eastAsia"/>
        </w:rPr>
        <w:t>čá</w:t>
      </w:r>
      <w:r w:rsidRPr="00F5279A">
        <w:t>stí projektu je i výstavba nového provozního objektu, který bude sloužit pro umíst</w:t>
      </w:r>
      <w:r w:rsidRPr="00F5279A">
        <w:rPr>
          <w:rFonts w:hint="eastAsia"/>
        </w:rPr>
        <w:t>ě</w:t>
      </w:r>
      <w:r w:rsidRPr="00F5279A">
        <w:t>ní technologického za</w:t>
      </w:r>
      <w:r w:rsidRPr="00F5279A">
        <w:rPr>
          <w:rFonts w:hint="eastAsia"/>
        </w:rPr>
        <w:t>ří</w:t>
      </w:r>
      <w:r w:rsidRPr="00F5279A">
        <w:t>zení a sou</w:t>
      </w:r>
      <w:r w:rsidRPr="00F5279A">
        <w:rPr>
          <w:rFonts w:hint="eastAsia"/>
        </w:rPr>
        <w:t>č</w:t>
      </w:r>
      <w:r w:rsidRPr="00F5279A">
        <w:t>asn</w:t>
      </w:r>
      <w:r w:rsidRPr="00F5279A">
        <w:rPr>
          <w:rFonts w:hint="eastAsia"/>
        </w:rPr>
        <w:t>ě</w:t>
      </w:r>
      <w:r w:rsidRPr="00F5279A">
        <w:t xml:space="preserve"> se v n</w:t>
      </w:r>
      <w:r w:rsidRPr="00F5279A">
        <w:rPr>
          <w:rFonts w:hint="eastAsia"/>
        </w:rPr>
        <w:t>ě</w:t>
      </w:r>
      <w:r w:rsidRPr="00F5279A">
        <w:t>m vybuduje i regionální dispe</w:t>
      </w:r>
      <w:r w:rsidRPr="00F5279A">
        <w:rPr>
          <w:rFonts w:hint="eastAsia"/>
        </w:rPr>
        <w:t>č</w:t>
      </w:r>
      <w:r w:rsidRPr="00F5279A">
        <w:t>erské pracovišt</w:t>
      </w:r>
      <w:r w:rsidRPr="00F5279A">
        <w:rPr>
          <w:rFonts w:hint="eastAsia"/>
        </w:rPr>
        <w:t>ě</w:t>
      </w:r>
      <w:r w:rsidRPr="00F5279A">
        <w:t>.</w:t>
      </w:r>
    </w:p>
    <w:p w:rsidR="00A4677E" w:rsidRPr="00F5279A" w:rsidRDefault="00A4677E" w:rsidP="00A4677E">
      <w:r w:rsidRPr="00F5279A">
        <w:t xml:space="preserve">Rozsah rekonstrukce </w:t>
      </w:r>
      <w:r w:rsidRPr="00F5279A">
        <w:rPr>
          <w:rFonts w:hint="eastAsia"/>
        </w:rPr>
        <w:t>ř</w:t>
      </w:r>
      <w:r w:rsidRPr="00F5279A">
        <w:t>eší zvýšení propustnost jižního zhlaví stanice v</w:t>
      </w:r>
      <w:r w:rsidRPr="00F5279A">
        <w:rPr>
          <w:rFonts w:hint="eastAsia"/>
        </w:rPr>
        <w:t>č</w:t>
      </w:r>
      <w:r w:rsidRPr="00F5279A">
        <w:t>etn</w:t>
      </w:r>
      <w:r w:rsidRPr="00F5279A">
        <w:rPr>
          <w:rFonts w:hint="eastAsia"/>
        </w:rPr>
        <w:t>ě</w:t>
      </w:r>
      <w:r w:rsidRPr="00F5279A">
        <w:t xml:space="preserve"> zapojení druhé koleje ze sm</w:t>
      </w:r>
      <w:r w:rsidRPr="00F5279A">
        <w:rPr>
          <w:rFonts w:hint="eastAsia"/>
        </w:rPr>
        <w:t>ě</w:t>
      </w:r>
      <w:r w:rsidRPr="00F5279A">
        <w:t>ru od Pardubic. Sou</w:t>
      </w:r>
      <w:r w:rsidRPr="00F5279A">
        <w:rPr>
          <w:rFonts w:hint="eastAsia"/>
        </w:rPr>
        <w:t>č</w:t>
      </w:r>
      <w:r w:rsidRPr="00F5279A">
        <w:t>asn</w:t>
      </w:r>
      <w:r w:rsidRPr="00F5279A">
        <w:rPr>
          <w:rFonts w:hint="eastAsia"/>
        </w:rPr>
        <w:t>ě</w:t>
      </w:r>
      <w:r w:rsidRPr="00F5279A">
        <w:t xml:space="preserve"> navržené úpravy spl</w:t>
      </w:r>
      <w:r w:rsidRPr="00F5279A">
        <w:rPr>
          <w:rFonts w:hint="eastAsia"/>
        </w:rPr>
        <w:t>ň</w:t>
      </w:r>
      <w:r w:rsidRPr="00F5279A">
        <w:t>ují požadavky dosažení p</w:t>
      </w:r>
      <w:r w:rsidRPr="00F5279A">
        <w:rPr>
          <w:rFonts w:hint="eastAsia"/>
        </w:rPr>
        <w:t>ř</w:t>
      </w:r>
      <w:r w:rsidRPr="00F5279A">
        <w:t>echodnosti pro zatížení tra</w:t>
      </w:r>
      <w:r w:rsidRPr="00F5279A">
        <w:rPr>
          <w:rFonts w:hint="eastAsia"/>
        </w:rPr>
        <w:t>ť</w:t>
      </w:r>
      <w:r w:rsidRPr="00F5279A">
        <w:t>ové t</w:t>
      </w:r>
      <w:r w:rsidRPr="00F5279A">
        <w:rPr>
          <w:rFonts w:hint="eastAsia"/>
        </w:rPr>
        <w:t>ří</w:t>
      </w:r>
      <w:r w:rsidRPr="00F5279A">
        <w:t>dy D4 a zavedení prostorové pr</w:t>
      </w:r>
      <w:r w:rsidRPr="00F5279A">
        <w:rPr>
          <w:rFonts w:hint="eastAsia"/>
        </w:rPr>
        <w:t>ů</w:t>
      </w:r>
      <w:r w:rsidRPr="00F5279A">
        <w:t>chodnosti pro ložnou míru UIC GC.</w:t>
      </w:r>
    </w:p>
    <w:p w:rsidR="00A4677E" w:rsidRPr="00F5279A" w:rsidRDefault="00A4677E" w:rsidP="00A4677E">
      <w:r w:rsidRPr="00F5279A">
        <w:t>Nové uspo</w:t>
      </w:r>
      <w:r w:rsidRPr="00F5279A">
        <w:rPr>
          <w:rFonts w:hint="eastAsia"/>
        </w:rPr>
        <w:t>řá</w:t>
      </w:r>
      <w:r w:rsidRPr="00F5279A">
        <w:t>dání zhlaví umož</w:t>
      </w:r>
      <w:r w:rsidRPr="00F5279A">
        <w:rPr>
          <w:rFonts w:hint="eastAsia"/>
        </w:rPr>
        <w:t>ň</w:t>
      </w:r>
      <w:r w:rsidRPr="00F5279A">
        <w:t>uje ze sm</w:t>
      </w:r>
      <w:r w:rsidRPr="00F5279A">
        <w:rPr>
          <w:rFonts w:hint="eastAsia"/>
        </w:rPr>
        <w:t>ě</w:t>
      </w:r>
      <w:r w:rsidRPr="00F5279A">
        <w:t xml:space="preserve">ru od Pardubic zvýšení rychlosti ze stávajících </w:t>
      </w:r>
      <w:smartTag w:uri="urn:schemas-microsoft-com:office:smarttags" w:element="metricconverter">
        <w:smartTagPr>
          <w:attr w:name="ProductID" w:val="40 km/h"/>
        </w:smartTagPr>
        <w:r w:rsidRPr="00F5279A">
          <w:t>40 km/h</w:t>
        </w:r>
      </w:smartTag>
      <w:r w:rsidRPr="00F5279A">
        <w:t xml:space="preserve"> na rychlost </w:t>
      </w:r>
      <w:smartTag w:uri="urn:schemas-microsoft-com:office:smarttags" w:element="metricconverter">
        <w:smartTagPr>
          <w:attr w:name="ProductID" w:val="80 km/h"/>
        </w:smartTagPr>
        <w:r w:rsidRPr="00F5279A">
          <w:t>80 km/h</w:t>
        </w:r>
      </w:smartTag>
      <w:r w:rsidRPr="00F5279A">
        <w:t xml:space="preserve"> v koleji </w:t>
      </w:r>
      <w:r w:rsidRPr="00F5279A">
        <w:rPr>
          <w:rFonts w:hint="eastAsia"/>
        </w:rPr>
        <w:t>č</w:t>
      </w:r>
      <w:r w:rsidRPr="00F5279A">
        <w:t xml:space="preserve">. 1, </w:t>
      </w:r>
      <w:smartTag w:uri="urn:schemas-microsoft-com:office:smarttags" w:element="metricconverter">
        <w:smartTagPr>
          <w:attr w:name="ProductID" w:val="2 a"/>
        </w:smartTagPr>
        <w:r w:rsidRPr="00F5279A">
          <w:t>2 a</w:t>
        </w:r>
      </w:smartTag>
      <w:r w:rsidRPr="00F5279A">
        <w:t xml:space="preserve"> 6, obdobn</w:t>
      </w:r>
      <w:r w:rsidRPr="00F5279A">
        <w:rPr>
          <w:rFonts w:hint="eastAsia"/>
        </w:rPr>
        <w:t>ě</w:t>
      </w:r>
      <w:r w:rsidRPr="00F5279A">
        <w:t xml:space="preserve"> tak sm</w:t>
      </w:r>
      <w:r w:rsidRPr="00F5279A">
        <w:rPr>
          <w:rFonts w:hint="eastAsia"/>
        </w:rPr>
        <w:t>ě</w:t>
      </w:r>
      <w:r w:rsidRPr="00F5279A">
        <w:t xml:space="preserve">rem od Prahy do koleje </w:t>
      </w:r>
      <w:r w:rsidRPr="00F5279A">
        <w:rPr>
          <w:rFonts w:hint="eastAsia"/>
        </w:rPr>
        <w:t>č</w:t>
      </w:r>
      <w:r w:rsidRPr="00F5279A">
        <w:t xml:space="preserve">. 1, </w:t>
      </w:r>
      <w:smartTag w:uri="urn:schemas-microsoft-com:office:smarttags" w:element="metricconverter">
        <w:smartTagPr>
          <w:attr w:name="ProductID" w:val="5 a"/>
        </w:smartTagPr>
        <w:r w:rsidRPr="00F5279A">
          <w:t>5 a</w:t>
        </w:r>
      </w:smartTag>
      <w:r w:rsidRPr="00F5279A">
        <w:t xml:space="preserve"> 7. V ostatních dopravních kolejích bude rychlost 60 (50) km/h - dle sm</w:t>
      </w:r>
      <w:r w:rsidRPr="00F5279A">
        <w:rPr>
          <w:rFonts w:hint="eastAsia"/>
        </w:rPr>
        <w:t>ě</w:t>
      </w:r>
      <w:r w:rsidRPr="00F5279A">
        <w:t>rových pom</w:t>
      </w:r>
      <w:r w:rsidRPr="00F5279A">
        <w:rPr>
          <w:rFonts w:hint="eastAsia"/>
        </w:rPr>
        <w:t>ě</w:t>
      </w:r>
      <w:r w:rsidRPr="00F5279A">
        <w:t>r</w:t>
      </w:r>
      <w:r w:rsidRPr="00F5279A">
        <w:rPr>
          <w:rFonts w:hint="eastAsia"/>
        </w:rPr>
        <w:t>ů</w:t>
      </w:r>
      <w:r w:rsidRPr="00F5279A">
        <w:t>. Sou</w:t>
      </w:r>
      <w:r w:rsidRPr="00F5279A">
        <w:rPr>
          <w:rFonts w:hint="eastAsia"/>
        </w:rPr>
        <w:t>č</w:t>
      </w:r>
      <w:r w:rsidRPr="00F5279A">
        <w:t>asn</w:t>
      </w:r>
      <w:r w:rsidRPr="00F5279A">
        <w:rPr>
          <w:rFonts w:hint="eastAsia"/>
        </w:rPr>
        <w:t>ě</w:t>
      </w:r>
      <w:r w:rsidRPr="00F5279A">
        <w:t xml:space="preserve"> s úpravami zhlaví bude vybudováno i nové ostrovní nástupišt</w:t>
      </w:r>
      <w:r w:rsidRPr="00F5279A">
        <w:rPr>
          <w:rFonts w:hint="eastAsia"/>
        </w:rPr>
        <w:t>ě</w:t>
      </w:r>
      <w:r w:rsidRPr="00F5279A">
        <w:t xml:space="preserve"> mezi kolejemi </w:t>
      </w:r>
      <w:r w:rsidRPr="00F5279A">
        <w:rPr>
          <w:rFonts w:hint="eastAsia"/>
        </w:rPr>
        <w:t>č</w:t>
      </w:r>
      <w:r w:rsidRPr="00F5279A">
        <w:t xml:space="preserve">. 7 a 11 v poloze stávající koleje </w:t>
      </w:r>
      <w:r w:rsidRPr="00F5279A">
        <w:rPr>
          <w:rFonts w:hint="eastAsia"/>
        </w:rPr>
        <w:t>č</w:t>
      </w:r>
      <w:r w:rsidRPr="00F5279A">
        <w:t>. 9, která bude z obou zhlaví ukon</w:t>
      </w:r>
      <w:r w:rsidRPr="00F5279A">
        <w:rPr>
          <w:rFonts w:hint="eastAsia"/>
        </w:rPr>
        <w:t>č</w:t>
      </w:r>
      <w:r w:rsidRPr="00F5279A">
        <w:t>ena kolejnicovým zarážedlem. Výtažná kolej sm</w:t>
      </w:r>
      <w:r w:rsidRPr="00F5279A">
        <w:rPr>
          <w:rFonts w:hint="eastAsia"/>
        </w:rPr>
        <w:t>ě</w:t>
      </w:r>
      <w:r w:rsidRPr="00F5279A">
        <w:t>rem na Prahu bude zachována, vle</w:t>
      </w:r>
      <w:r w:rsidRPr="00F5279A">
        <w:rPr>
          <w:rFonts w:hint="eastAsia"/>
        </w:rPr>
        <w:t>č</w:t>
      </w:r>
      <w:r w:rsidRPr="00F5279A">
        <w:t>ka HACAR již nebude nov</w:t>
      </w:r>
      <w:r w:rsidRPr="00F5279A">
        <w:rPr>
          <w:rFonts w:hint="eastAsia"/>
        </w:rPr>
        <w:t>ě</w:t>
      </w:r>
      <w:r w:rsidRPr="00F5279A">
        <w:t xml:space="preserve"> zapojena. Na zhlaví bude vpravo od trati kusá kolej pro odstavování lokomotiv. Stávající svážný pahrbek situovaný podél pražské trat</w:t>
      </w:r>
      <w:r w:rsidRPr="00F5279A">
        <w:rPr>
          <w:rFonts w:hint="eastAsia"/>
        </w:rPr>
        <w:t>ě</w:t>
      </w:r>
      <w:r w:rsidRPr="00F5279A">
        <w:t xml:space="preserve"> bude snesen a výtažná kolej bude výškov</w:t>
      </w:r>
      <w:r w:rsidRPr="00F5279A">
        <w:rPr>
          <w:rFonts w:hint="eastAsia"/>
        </w:rPr>
        <w:t>ě</w:t>
      </w:r>
      <w:r w:rsidRPr="00F5279A">
        <w:t xml:space="preserve"> upravena do vodorovné se zapojením do stávajícího výškového pr</w:t>
      </w:r>
      <w:r w:rsidRPr="00F5279A">
        <w:rPr>
          <w:rFonts w:hint="eastAsia"/>
        </w:rPr>
        <w:t>ů</w:t>
      </w:r>
      <w:r w:rsidRPr="00F5279A">
        <w:t>b</w:t>
      </w:r>
      <w:r w:rsidRPr="00F5279A">
        <w:rPr>
          <w:rFonts w:hint="eastAsia"/>
        </w:rPr>
        <w:t>ě</w:t>
      </w:r>
      <w:r w:rsidRPr="00F5279A">
        <w:t>hu v oblasti za</w:t>
      </w:r>
      <w:r w:rsidRPr="00F5279A">
        <w:rPr>
          <w:rFonts w:hint="eastAsia"/>
        </w:rPr>
        <w:t>čá</w:t>
      </w:r>
      <w:r w:rsidRPr="00F5279A">
        <w:t>tku stavby ve sm</w:t>
      </w:r>
      <w:r w:rsidRPr="00F5279A">
        <w:rPr>
          <w:rFonts w:hint="eastAsia"/>
        </w:rPr>
        <w:t>ě</w:t>
      </w:r>
      <w:r w:rsidR="00E84F21" w:rsidRPr="00F5279A">
        <w:t>ru od Prahy.</w:t>
      </w:r>
    </w:p>
    <w:p w:rsidR="00A4677E" w:rsidRPr="00F5279A" w:rsidRDefault="00A4677E" w:rsidP="00A4677E">
      <w:r w:rsidRPr="00F5279A">
        <w:t>Konstrukce železni</w:t>
      </w:r>
      <w:r w:rsidRPr="00F5279A">
        <w:rPr>
          <w:rFonts w:hint="eastAsia"/>
        </w:rPr>
        <w:t>č</w:t>
      </w:r>
      <w:r w:rsidRPr="00F5279A">
        <w:t>ního svršku bude umož</w:t>
      </w:r>
      <w:r w:rsidRPr="00F5279A">
        <w:rPr>
          <w:rFonts w:hint="eastAsia"/>
        </w:rPr>
        <w:t>ň</w:t>
      </w:r>
      <w:r w:rsidRPr="00F5279A">
        <w:t>ovat výše uvedené rychlosti v jednotlivých kolejích. Ve sm</w:t>
      </w:r>
      <w:r w:rsidRPr="00F5279A">
        <w:rPr>
          <w:rFonts w:hint="eastAsia"/>
        </w:rPr>
        <w:t>ě</w:t>
      </w:r>
      <w:r w:rsidRPr="00F5279A">
        <w:t xml:space="preserve">ru od Prahy a Pardubic bude k ostrovním nástupištím (koleje </w:t>
      </w:r>
      <w:r w:rsidRPr="00F5279A">
        <w:rPr>
          <w:rFonts w:hint="eastAsia"/>
        </w:rPr>
        <w:t>č</w:t>
      </w:r>
      <w:r w:rsidRPr="00F5279A">
        <w:t>. 5, 1, 2, 4, 6) použit železni</w:t>
      </w:r>
      <w:r w:rsidRPr="00F5279A">
        <w:rPr>
          <w:rFonts w:hint="eastAsia"/>
        </w:rPr>
        <w:t>č</w:t>
      </w:r>
      <w:r w:rsidRPr="00F5279A">
        <w:t>ní svršek UIC 60 na betonových pražcích (v</w:t>
      </w:r>
      <w:r w:rsidRPr="00F5279A">
        <w:rPr>
          <w:rFonts w:hint="eastAsia"/>
        </w:rPr>
        <w:t>č</w:t>
      </w:r>
      <w:r w:rsidRPr="00F5279A">
        <w:t>etn</w:t>
      </w:r>
      <w:r w:rsidRPr="00F5279A">
        <w:rPr>
          <w:rFonts w:hint="eastAsia"/>
        </w:rPr>
        <w:t>ě</w:t>
      </w:r>
      <w:r w:rsidRPr="00F5279A">
        <w:t xml:space="preserve"> výhybek). Pražce v kolejích budou s bezpodkladnicovým, pružným upevn</w:t>
      </w:r>
      <w:r w:rsidRPr="00F5279A">
        <w:rPr>
          <w:rFonts w:hint="eastAsia"/>
        </w:rPr>
        <w:t>ě</w:t>
      </w:r>
      <w:r w:rsidRPr="00F5279A">
        <w:t>ním. V ostatních kolejích bude použit svršek z kolejnic S49 na betonových, p</w:t>
      </w:r>
      <w:r w:rsidRPr="00F5279A">
        <w:rPr>
          <w:rFonts w:hint="eastAsia"/>
        </w:rPr>
        <w:t>ří</w:t>
      </w:r>
      <w:r w:rsidRPr="00F5279A">
        <w:t>padn</w:t>
      </w:r>
      <w:r w:rsidRPr="00F5279A">
        <w:rPr>
          <w:rFonts w:hint="eastAsia"/>
        </w:rPr>
        <w:t>ě</w:t>
      </w:r>
      <w:r w:rsidRPr="00F5279A">
        <w:t xml:space="preserve"> d</w:t>
      </w:r>
      <w:r w:rsidRPr="00F5279A">
        <w:rPr>
          <w:rFonts w:hint="eastAsia"/>
        </w:rPr>
        <w:t>ř</w:t>
      </w:r>
      <w:r w:rsidRPr="00F5279A">
        <w:t>ev</w:t>
      </w:r>
      <w:r w:rsidRPr="00F5279A">
        <w:rPr>
          <w:rFonts w:hint="eastAsia"/>
        </w:rPr>
        <w:t>ě</w:t>
      </w:r>
      <w:r w:rsidRPr="00F5279A">
        <w:t>ných pražcích (v oblasti výhybek umož</w:t>
      </w:r>
      <w:r w:rsidRPr="00F5279A">
        <w:rPr>
          <w:rFonts w:hint="eastAsia"/>
        </w:rPr>
        <w:t>ň</w:t>
      </w:r>
      <w:r w:rsidRPr="00F5279A">
        <w:t xml:space="preserve">ující zapojení liché nákladní skupiny). </w:t>
      </w:r>
    </w:p>
    <w:p w:rsidR="00A4677E" w:rsidRPr="00F5279A" w:rsidRDefault="00A4677E" w:rsidP="00A4677E">
      <w:r w:rsidRPr="00F5279A">
        <w:t>Osové vzdálenosti jednotlivých kolejí budou minimáln</w:t>
      </w:r>
      <w:r w:rsidRPr="00F5279A">
        <w:rPr>
          <w:rFonts w:hint="eastAsia"/>
        </w:rPr>
        <w:t>ě</w:t>
      </w:r>
      <w:r w:rsidRPr="00F5279A">
        <w:t xml:space="preserve"> 4,75 m, v míst</w:t>
      </w:r>
      <w:r w:rsidRPr="00F5279A">
        <w:rPr>
          <w:rFonts w:hint="eastAsia"/>
        </w:rPr>
        <w:t>ě</w:t>
      </w:r>
      <w:r w:rsidRPr="00F5279A">
        <w:t xml:space="preserve"> napojení do sou</w:t>
      </w:r>
      <w:r w:rsidRPr="00F5279A">
        <w:rPr>
          <w:rFonts w:hint="eastAsia"/>
        </w:rPr>
        <w:t>č</w:t>
      </w:r>
      <w:r w:rsidRPr="00F5279A">
        <w:t>asného stavu bude ponechána osová vzdálenost stávající. V oblasti ostrovních nástupiš</w:t>
      </w:r>
      <w:r w:rsidRPr="00F5279A">
        <w:rPr>
          <w:rFonts w:hint="eastAsia"/>
        </w:rPr>
        <w:t>ť</w:t>
      </w:r>
      <w:r w:rsidRPr="00F5279A">
        <w:t xml:space="preserve"> bude osová vzdálenost kolejí 9,5 m, u nového ostrovního nástupišt</w:t>
      </w:r>
      <w:r w:rsidRPr="00F5279A">
        <w:rPr>
          <w:rFonts w:hint="eastAsia"/>
        </w:rPr>
        <w:t>ě</w:t>
      </w:r>
      <w:r w:rsidRPr="00F5279A">
        <w:t xml:space="preserve"> 10,5 m. </w:t>
      </w:r>
    </w:p>
    <w:p w:rsidR="00A4677E" w:rsidRPr="00F5279A" w:rsidRDefault="00A4677E" w:rsidP="00A4677E">
      <w:r w:rsidRPr="00F5279A">
        <w:t xml:space="preserve">V rámci kolejových úprav bude </w:t>
      </w:r>
      <w:r w:rsidRPr="00F5279A">
        <w:rPr>
          <w:rFonts w:hint="eastAsia"/>
        </w:rPr>
        <w:t>ř</w:t>
      </w:r>
      <w:r w:rsidRPr="00F5279A">
        <w:t xml:space="preserve">ešen i </w:t>
      </w:r>
      <w:r w:rsidRPr="00F5279A">
        <w:rPr>
          <w:rFonts w:hint="eastAsia"/>
        </w:rPr>
        <w:t>ž</w:t>
      </w:r>
      <w:r w:rsidRPr="00F5279A">
        <w:t>elezni</w:t>
      </w:r>
      <w:r w:rsidRPr="00F5279A">
        <w:rPr>
          <w:rFonts w:hint="eastAsia"/>
        </w:rPr>
        <w:t>č</w:t>
      </w:r>
      <w:r w:rsidRPr="00F5279A">
        <w:t xml:space="preserve">ní spodek. Návrh </w:t>
      </w:r>
      <w:r w:rsidRPr="00F5279A">
        <w:rPr>
          <w:rFonts w:hint="eastAsia"/>
        </w:rPr>
        <w:t>ž</w:t>
      </w:r>
      <w:r w:rsidRPr="00F5279A">
        <w:t>elezni</w:t>
      </w:r>
      <w:r w:rsidRPr="00F5279A">
        <w:rPr>
          <w:rFonts w:hint="eastAsia"/>
        </w:rPr>
        <w:t>č</w:t>
      </w:r>
      <w:r w:rsidRPr="00F5279A">
        <w:t>ního spodku byl provád</w:t>
      </w:r>
      <w:r w:rsidRPr="00F5279A">
        <w:rPr>
          <w:rFonts w:hint="eastAsia"/>
        </w:rPr>
        <w:t>ě</w:t>
      </w:r>
      <w:r w:rsidRPr="00F5279A">
        <w:t>n na základ</w:t>
      </w:r>
      <w:r w:rsidRPr="00F5279A">
        <w:rPr>
          <w:rFonts w:hint="eastAsia"/>
        </w:rPr>
        <w:t>ě</w:t>
      </w:r>
      <w:r w:rsidRPr="00F5279A">
        <w:t xml:space="preserve"> geotechnických pr</w:t>
      </w:r>
      <w:r w:rsidRPr="00F5279A">
        <w:rPr>
          <w:rFonts w:hint="eastAsia"/>
        </w:rPr>
        <w:t>ů</w:t>
      </w:r>
      <w:r w:rsidRPr="00F5279A">
        <w:t>zkum</w:t>
      </w:r>
      <w:r w:rsidRPr="00F5279A">
        <w:rPr>
          <w:rFonts w:hint="eastAsia"/>
        </w:rPr>
        <w:t>ů</w:t>
      </w:r>
      <w:r w:rsidRPr="00F5279A">
        <w:t>, které byly realizovány v dot</w:t>
      </w:r>
      <w:r w:rsidRPr="00F5279A">
        <w:rPr>
          <w:rFonts w:hint="eastAsia"/>
        </w:rPr>
        <w:t>č</w:t>
      </w:r>
      <w:r w:rsidRPr="00F5279A">
        <w:t xml:space="preserve">eném </w:t>
      </w:r>
      <w:r w:rsidRPr="00F5279A">
        <w:rPr>
          <w:rFonts w:hint="eastAsia"/>
        </w:rPr>
        <w:t>ú</w:t>
      </w:r>
      <w:r w:rsidRPr="00F5279A">
        <w:t xml:space="preserve">zemí (07/2006). </w:t>
      </w:r>
      <w:r w:rsidRPr="00F5279A">
        <w:rPr>
          <w:rFonts w:hint="eastAsia"/>
        </w:rPr>
        <w:t>Ú</w:t>
      </w:r>
      <w:r w:rsidRPr="00F5279A">
        <w:t>pravy budou spo</w:t>
      </w:r>
      <w:r w:rsidRPr="00F5279A">
        <w:rPr>
          <w:rFonts w:hint="eastAsia"/>
        </w:rPr>
        <w:t>čí</w:t>
      </w:r>
      <w:r w:rsidRPr="00F5279A">
        <w:t>vat v odt</w:t>
      </w:r>
      <w:r w:rsidRPr="00F5279A">
        <w:rPr>
          <w:rFonts w:hint="eastAsia"/>
        </w:rPr>
        <w:t>ěž</w:t>
      </w:r>
      <w:r w:rsidRPr="00F5279A">
        <w:t xml:space="preserve">ení stávajícího </w:t>
      </w:r>
      <w:r w:rsidRPr="00F5279A">
        <w:rPr>
          <w:rFonts w:hint="eastAsia"/>
        </w:rPr>
        <w:t>š</w:t>
      </w:r>
      <w:r w:rsidRPr="00F5279A">
        <w:t>t</w:t>
      </w:r>
      <w:r w:rsidRPr="00F5279A">
        <w:rPr>
          <w:rFonts w:hint="eastAsia"/>
        </w:rPr>
        <w:t>ě</w:t>
      </w:r>
      <w:r w:rsidRPr="00F5279A">
        <w:t xml:space="preserve">rku a zeminy na </w:t>
      </w:r>
      <w:r w:rsidRPr="00F5279A">
        <w:rPr>
          <w:rFonts w:hint="eastAsia"/>
        </w:rPr>
        <w:t>ú</w:t>
      </w:r>
      <w:r w:rsidRPr="00F5279A">
        <w:t>rove</w:t>
      </w:r>
      <w:r w:rsidRPr="00F5279A">
        <w:rPr>
          <w:rFonts w:hint="eastAsia"/>
        </w:rPr>
        <w:t>ň</w:t>
      </w:r>
      <w:r w:rsidRPr="00F5279A">
        <w:t xml:space="preserve"> nové sklon</w:t>
      </w:r>
      <w:r w:rsidRPr="00F5279A">
        <w:rPr>
          <w:rFonts w:hint="eastAsia"/>
        </w:rPr>
        <w:t>ě</w:t>
      </w:r>
      <w:r w:rsidRPr="00F5279A">
        <w:t>né zemní plán</w:t>
      </w:r>
      <w:r w:rsidRPr="00F5279A">
        <w:rPr>
          <w:rFonts w:hint="eastAsia"/>
        </w:rPr>
        <w:t>ě</w:t>
      </w:r>
      <w:r w:rsidRPr="00F5279A">
        <w:t xml:space="preserve"> a vytvo</w:t>
      </w:r>
      <w:r w:rsidRPr="00F5279A">
        <w:rPr>
          <w:rFonts w:hint="eastAsia"/>
        </w:rPr>
        <w:t>ř</w:t>
      </w:r>
      <w:r w:rsidRPr="00F5279A">
        <w:t>ením nové konstruk</w:t>
      </w:r>
      <w:r w:rsidRPr="00F5279A">
        <w:rPr>
          <w:rFonts w:hint="eastAsia"/>
        </w:rPr>
        <w:t>č</w:t>
      </w:r>
      <w:r w:rsidRPr="00F5279A">
        <w:t xml:space="preserve">ní vrstvy ze </w:t>
      </w:r>
      <w:r w:rsidRPr="00F5279A">
        <w:rPr>
          <w:rFonts w:hint="eastAsia"/>
        </w:rPr>
        <w:t>š</w:t>
      </w:r>
      <w:r w:rsidRPr="00F5279A">
        <w:t>t</w:t>
      </w:r>
      <w:r w:rsidRPr="00F5279A">
        <w:rPr>
          <w:rFonts w:hint="eastAsia"/>
        </w:rPr>
        <w:t>ě</w:t>
      </w:r>
      <w:r w:rsidRPr="00F5279A">
        <w:t>rkodrt</w:t>
      </w:r>
      <w:r w:rsidRPr="00F5279A">
        <w:rPr>
          <w:rFonts w:hint="eastAsia"/>
        </w:rPr>
        <w:t>ě</w:t>
      </w:r>
      <w:r w:rsidRPr="00F5279A">
        <w:t xml:space="preserve"> s p</w:t>
      </w:r>
      <w:r w:rsidRPr="00F5279A">
        <w:rPr>
          <w:rFonts w:hint="eastAsia"/>
        </w:rPr>
        <w:t>ří</w:t>
      </w:r>
      <w:r w:rsidRPr="00F5279A">
        <w:t>padným dopln</w:t>
      </w:r>
      <w:r w:rsidRPr="00F5279A">
        <w:rPr>
          <w:rFonts w:hint="eastAsia"/>
        </w:rPr>
        <w:t>ě</w:t>
      </w:r>
      <w:r w:rsidRPr="00F5279A">
        <w:t>ním o výztužné geosyntetikum. Odvodn</w:t>
      </w:r>
      <w:r w:rsidRPr="00F5279A">
        <w:rPr>
          <w:rFonts w:hint="eastAsia"/>
        </w:rPr>
        <w:t>ě</w:t>
      </w:r>
      <w:r w:rsidRPr="00F5279A">
        <w:t>ní zhlaví a p</w:t>
      </w:r>
      <w:r w:rsidRPr="00F5279A">
        <w:rPr>
          <w:rFonts w:hint="eastAsia"/>
        </w:rPr>
        <w:t>ř</w:t>
      </w:r>
      <w:r w:rsidRPr="00F5279A">
        <w:t xml:space="preserve">ilehlých upravovaných kolejí bude </w:t>
      </w:r>
      <w:r w:rsidRPr="00F5279A">
        <w:rPr>
          <w:rFonts w:hint="eastAsia"/>
        </w:rPr>
        <w:t>ř</w:t>
      </w:r>
      <w:r w:rsidRPr="00F5279A">
        <w:t>ešeno systémem trativod</w:t>
      </w:r>
      <w:r w:rsidRPr="00F5279A">
        <w:rPr>
          <w:rFonts w:hint="eastAsia"/>
        </w:rPr>
        <w:t>ů</w:t>
      </w:r>
      <w:r w:rsidRPr="00F5279A">
        <w:t xml:space="preserve"> se zaúst</w:t>
      </w:r>
      <w:r w:rsidRPr="00F5279A">
        <w:rPr>
          <w:rFonts w:hint="eastAsia"/>
        </w:rPr>
        <w:t>ě</w:t>
      </w:r>
      <w:r w:rsidRPr="00F5279A">
        <w:t>ním do stávajících kanalizací a do nov</w:t>
      </w:r>
      <w:r w:rsidRPr="00F5279A">
        <w:rPr>
          <w:rFonts w:hint="eastAsia"/>
        </w:rPr>
        <w:t>ě</w:t>
      </w:r>
      <w:r w:rsidRPr="00F5279A">
        <w:t xml:space="preserve"> z</w:t>
      </w:r>
      <w:r w:rsidRPr="00F5279A">
        <w:rPr>
          <w:rFonts w:hint="eastAsia"/>
        </w:rPr>
        <w:t>ří</w:t>
      </w:r>
      <w:r w:rsidRPr="00F5279A">
        <w:t>zených vsakovacích objekt</w:t>
      </w:r>
      <w:r w:rsidRPr="00F5279A">
        <w:rPr>
          <w:rFonts w:hint="eastAsia"/>
        </w:rPr>
        <w:t>ů</w:t>
      </w:r>
      <w:r w:rsidRPr="00F5279A">
        <w:t xml:space="preserve"> s možností p</w:t>
      </w:r>
      <w:r w:rsidRPr="00F5279A">
        <w:rPr>
          <w:rFonts w:hint="eastAsia"/>
        </w:rPr>
        <w:t>ř</w:t>
      </w:r>
      <w:r w:rsidRPr="00F5279A">
        <w:t xml:space="preserve">epadu do stávající kanalizace. V oblasti </w:t>
      </w:r>
      <w:r w:rsidRPr="00F5279A">
        <w:rPr>
          <w:rFonts w:hint="eastAsia"/>
        </w:rPr>
        <w:t>ž</w:t>
      </w:r>
      <w:r w:rsidRPr="00F5279A">
        <w:t>elezni</w:t>
      </w:r>
      <w:r w:rsidRPr="00F5279A">
        <w:rPr>
          <w:rFonts w:hint="eastAsia"/>
        </w:rPr>
        <w:t>č</w:t>
      </w:r>
      <w:r w:rsidRPr="00F5279A">
        <w:t>ního p</w:t>
      </w:r>
      <w:r w:rsidRPr="00F5279A">
        <w:rPr>
          <w:rFonts w:hint="eastAsia"/>
        </w:rPr>
        <w:t>ř</w:t>
      </w:r>
      <w:r w:rsidRPr="00F5279A">
        <w:t>ejezdu v km 21,618 bude srážková voda z trativodní v</w:t>
      </w:r>
      <w:r w:rsidRPr="00F5279A">
        <w:rPr>
          <w:rFonts w:hint="eastAsia"/>
        </w:rPr>
        <w:t>ě</w:t>
      </w:r>
      <w:r w:rsidRPr="00F5279A">
        <w:t>tve vyúst</w:t>
      </w:r>
      <w:r w:rsidRPr="00F5279A">
        <w:rPr>
          <w:rFonts w:hint="eastAsia"/>
        </w:rPr>
        <w:t>ě</w:t>
      </w:r>
      <w:r w:rsidRPr="00F5279A">
        <w:t>na na terén.</w:t>
      </w:r>
    </w:p>
    <w:p w:rsidR="00A4677E" w:rsidRPr="00F5279A" w:rsidRDefault="00A4677E" w:rsidP="00A4677E">
      <w:r w:rsidRPr="00F5279A">
        <w:t>Aby bylo možné využít rychlosti, které umožní jižní zhlaví, provede se úprava oblouk</w:t>
      </w:r>
      <w:r w:rsidRPr="00F5279A">
        <w:rPr>
          <w:rFonts w:hint="eastAsia"/>
        </w:rPr>
        <w:t>ů</w:t>
      </w:r>
      <w:r w:rsidRPr="00F5279A">
        <w:t xml:space="preserve"> na st</w:t>
      </w:r>
      <w:r w:rsidRPr="00F5279A">
        <w:rPr>
          <w:rFonts w:hint="eastAsia"/>
        </w:rPr>
        <w:t>ř</w:t>
      </w:r>
      <w:r w:rsidRPr="00F5279A">
        <w:t>edním zhlaví, v</w:t>
      </w:r>
      <w:r w:rsidRPr="00F5279A">
        <w:rPr>
          <w:rFonts w:hint="eastAsia"/>
        </w:rPr>
        <w:t>č</w:t>
      </w:r>
      <w:r w:rsidRPr="00F5279A">
        <w:t>etn</w:t>
      </w:r>
      <w:r w:rsidRPr="00F5279A">
        <w:rPr>
          <w:rFonts w:hint="eastAsia"/>
        </w:rPr>
        <w:t>ě</w:t>
      </w:r>
      <w:r w:rsidRPr="00F5279A">
        <w:t xml:space="preserve"> drobné úpravy hrany druhého nástupišt</w:t>
      </w:r>
      <w:r w:rsidRPr="00F5279A">
        <w:rPr>
          <w:rFonts w:hint="eastAsia"/>
        </w:rPr>
        <w:t>ě</w:t>
      </w:r>
      <w:r w:rsidRPr="00F5279A">
        <w:t>.</w:t>
      </w:r>
    </w:p>
    <w:p w:rsidR="00A4677E" w:rsidRPr="00F5279A" w:rsidRDefault="00A4677E" w:rsidP="00A4677E">
      <w:r w:rsidRPr="00F5279A">
        <w:t>V rámci stavebního objektu železni</w:t>
      </w:r>
      <w:r w:rsidRPr="00F5279A">
        <w:rPr>
          <w:rFonts w:hint="eastAsia"/>
        </w:rPr>
        <w:t>č</w:t>
      </w:r>
      <w:r w:rsidRPr="00F5279A">
        <w:t>ní svršek a spodek bude upraven železni</w:t>
      </w:r>
      <w:r w:rsidRPr="00F5279A">
        <w:rPr>
          <w:rFonts w:hint="eastAsia"/>
        </w:rPr>
        <w:t>č</w:t>
      </w:r>
      <w:r w:rsidRPr="00F5279A">
        <w:t>ní p</w:t>
      </w:r>
      <w:r w:rsidRPr="00F5279A">
        <w:rPr>
          <w:rFonts w:hint="eastAsia"/>
        </w:rPr>
        <w:t>ř</w:t>
      </w:r>
      <w:r w:rsidRPr="00F5279A">
        <w:t>ejezd v km 29,128 (trati 505 Velký Osek – Lichkov), který se nachází v pravostranném oblouku za ŽST Hradec Králové v mezistani</w:t>
      </w:r>
      <w:r w:rsidRPr="00F5279A">
        <w:rPr>
          <w:rFonts w:hint="eastAsia"/>
        </w:rPr>
        <w:t>č</w:t>
      </w:r>
      <w:r w:rsidRPr="00F5279A">
        <w:t>ním úseku HK hlavní nádraží – HK Slezské p</w:t>
      </w:r>
      <w:r w:rsidRPr="00F5279A">
        <w:rPr>
          <w:rFonts w:hint="eastAsia"/>
        </w:rPr>
        <w:t>ř</w:t>
      </w:r>
      <w:r w:rsidRPr="00F5279A">
        <w:t>edm</w:t>
      </w:r>
      <w:r w:rsidRPr="00F5279A">
        <w:rPr>
          <w:rFonts w:hint="eastAsia"/>
        </w:rPr>
        <w:t>ě</w:t>
      </w:r>
      <w:r w:rsidRPr="00F5279A">
        <w:t>stí. Jedná se o k</w:t>
      </w:r>
      <w:r w:rsidRPr="00F5279A">
        <w:rPr>
          <w:rFonts w:hint="eastAsia"/>
        </w:rPr>
        <w:t>říž</w:t>
      </w:r>
      <w:r w:rsidRPr="00F5279A">
        <w:t>ení ulice U Fotochemy s jednokolejnou tratí HK hl. nádraží – HK Slezské p</w:t>
      </w:r>
      <w:r w:rsidRPr="00F5279A">
        <w:rPr>
          <w:rFonts w:hint="eastAsia"/>
        </w:rPr>
        <w:t>ř</w:t>
      </w:r>
      <w:r w:rsidRPr="00F5279A">
        <w:t>edm</w:t>
      </w:r>
      <w:r w:rsidRPr="00F5279A">
        <w:rPr>
          <w:rFonts w:hint="eastAsia"/>
        </w:rPr>
        <w:t>ě</w:t>
      </w:r>
      <w:r w:rsidRPr="00F5279A">
        <w:t>stí a zárove</w:t>
      </w:r>
      <w:r w:rsidRPr="00F5279A">
        <w:rPr>
          <w:rFonts w:hint="eastAsia"/>
        </w:rPr>
        <w:t>ň</w:t>
      </w:r>
      <w:r w:rsidRPr="00F5279A">
        <w:t xml:space="preserve"> se dv</w:t>
      </w:r>
      <w:r w:rsidRPr="00F5279A">
        <w:rPr>
          <w:rFonts w:hint="eastAsia"/>
        </w:rPr>
        <w:t>ě</w:t>
      </w:r>
      <w:r w:rsidRPr="00F5279A">
        <w:t>ma vle</w:t>
      </w:r>
      <w:r w:rsidRPr="00F5279A">
        <w:rPr>
          <w:rFonts w:hint="eastAsia"/>
        </w:rPr>
        <w:t>č</w:t>
      </w:r>
      <w:r w:rsidRPr="00F5279A">
        <w:t>kovými kolejemi situovanými vlevo od jednokolejné trat</w:t>
      </w:r>
      <w:r w:rsidRPr="00F5279A">
        <w:rPr>
          <w:rFonts w:hint="eastAsia"/>
        </w:rPr>
        <w:t>ě</w:t>
      </w:r>
      <w:r w:rsidRPr="00F5279A">
        <w:t>. Vle</w:t>
      </w:r>
      <w:r w:rsidRPr="00F5279A">
        <w:rPr>
          <w:rFonts w:hint="eastAsia"/>
        </w:rPr>
        <w:t>č</w:t>
      </w:r>
      <w:r w:rsidRPr="00F5279A">
        <w:t>kové koleje využívaly firmy Staviva, Benzina, TSS HK (MTH), nát</w:t>
      </w:r>
      <w:r w:rsidRPr="00F5279A">
        <w:rPr>
          <w:rFonts w:hint="eastAsia"/>
        </w:rPr>
        <w:t>ě</w:t>
      </w:r>
      <w:r w:rsidRPr="00F5279A">
        <w:t>rové hmoty, p</w:t>
      </w:r>
      <w:r w:rsidRPr="00F5279A">
        <w:rPr>
          <w:rFonts w:hint="eastAsia"/>
        </w:rPr>
        <w:t>ř</w:t>
      </w:r>
      <w:r w:rsidRPr="00F5279A">
        <w:t>i</w:t>
      </w:r>
      <w:r w:rsidRPr="00F5279A">
        <w:rPr>
          <w:rFonts w:hint="eastAsia"/>
        </w:rPr>
        <w:t>č</w:t>
      </w:r>
      <w:r w:rsidRPr="00F5279A">
        <w:t>emž vle</w:t>
      </w:r>
      <w:r w:rsidRPr="00F5279A">
        <w:rPr>
          <w:rFonts w:hint="eastAsia"/>
        </w:rPr>
        <w:t>č</w:t>
      </w:r>
      <w:r w:rsidRPr="00F5279A">
        <w:t>ka pat</w:t>
      </w:r>
      <w:r w:rsidRPr="00F5279A">
        <w:rPr>
          <w:rFonts w:hint="eastAsia"/>
        </w:rPr>
        <w:t>ří</w:t>
      </w:r>
      <w:r w:rsidRPr="00F5279A">
        <w:t xml:space="preserve"> firm</w:t>
      </w:r>
      <w:r w:rsidRPr="00F5279A">
        <w:rPr>
          <w:rFonts w:hint="eastAsia"/>
        </w:rPr>
        <w:t>ě</w:t>
      </w:r>
      <w:r w:rsidRPr="00F5279A">
        <w:t xml:space="preserve"> Inpoz. Provoz na vle</w:t>
      </w:r>
      <w:r w:rsidRPr="00F5279A">
        <w:rPr>
          <w:rFonts w:hint="eastAsia"/>
        </w:rPr>
        <w:t>č</w:t>
      </w:r>
      <w:r w:rsidRPr="00F5279A">
        <w:t>kových kolejích je v sou</w:t>
      </w:r>
      <w:r w:rsidRPr="00F5279A">
        <w:rPr>
          <w:rFonts w:hint="eastAsia"/>
        </w:rPr>
        <w:t>č</w:t>
      </w:r>
      <w:r w:rsidRPr="00F5279A">
        <w:t>asnosti minimální a využívaná je p</w:t>
      </w:r>
      <w:r w:rsidRPr="00F5279A">
        <w:rPr>
          <w:rFonts w:hint="eastAsia"/>
        </w:rPr>
        <w:t>ř</w:t>
      </w:r>
      <w:r w:rsidRPr="00F5279A">
        <w:t>edevším kolej se stá</w:t>
      </w:r>
      <w:r w:rsidRPr="00F5279A">
        <w:rPr>
          <w:rFonts w:hint="eastAsia"/>
        </w:rPr>
        <w:t>č</w:t>
      </w:r>
      <w:r w:rsidRPr="00F5279A">
        <w:t>ecím za</w:t>
      </w:r>
      <w:r w:rsidRPr="00F5279A">
        <w:rPr>
          <w:rFonts w:hint="eastAsia"/>
        </w:rPr>
        <w:t>ří</w:t>
      </w:r>
      <w:r w:rsidRPr="00F5279A">
        <w:t>zením vpravo od kolejí za železni</w:t>
      </w:r>
      <w:r w:rsidRPr="00F5279A">
        <w:rPr>
          <w:rFonts w:hint="eastAsia"/>
        </w:rPr>
        <w:t>č</w:t>
      </w:r>
      <w:r w:rsidRPr="00F5279A">
        <w:t>ním p</w:t>
      </w:r>
      <w:r w:rsidRPr="00F5279A">
        <w:rPr>
          <w:rFonts w:hint="eastAsia"/>
        </w:rPr>
        <w:t>ř</w:t>
      </w:r>
      <w:r w:rsidRPr="00F5279A">
        <w:t>ejezdem. Sou</w:t>
      </w:r>
      <w:r w:rsidRPr="00F5279A">
        <w:rPr>
          <w:rFonts w:hint="eastAsia"/>
        </w:rPr>
        <w:t>č</w:t>
      </w:r>
      <w:r w:rsidRPr="00F5279A">
        <w:t>asné zajížd</w:t>
      </w:r>
      <w:r w:rsidRPr="00F5279A">
        <w:rPr>
          <w:rFonts w:hint="eastAsia"/>
        </w:rPr>
        <w:t>ě</w:t>
      </w:r>
      <w:r w:rsidRPr="00F5279A">
        <w:t>ní s vozy na zmi</w:t>
      </w:r>
      <w:r w:rsidRPr="00F5279A">
        <w:rPr>
          <w:rFonts w:hint="eastAsia"/>
        </w:rPr>
        <w:t>ň</w:t>
      </w:r>
      <w:r w:rsidRPr="00F5279A">
        <w:t>ovanou kolej se odehrává úvra</w:t>
      </w:r>
      <w:r w:rsidRPr="00F5279A">
        <w:rPr>
          <w:rFonts w:hint="eastAsia"/>
        </w:rPr>
        <w:t>ť</w:t>
      </w:r>
      <w:r w:rsidRPr="00F5279A">
        <w:t>ov</w:t>
      </w:r>
      <w:r w:rsidRPr="00F5279A">
        <w:rPr>
          <w:rFonts w:hint="eastAsia"/>
        </w:rPr>
        <w:t>ě</w:t>
      </w:r>
      <w:r w:rsidRPr="00F5279A">
        <w:t xml:space="preserve"> s dvojím k</w:t>
      </w:r>
      <w:r w:rsidRPr="00F5279A">
        <w:rPr>
          <w:rFonts w:hint="eastAsia"/>
        </w:rPr>
        <w:t>říž</w:t>
      </w:r>
      <w:r w:rsidRPr="00F5279A">
        <w:t>ením železni</w:t>
      </w:r>
      <w:r w:rsidRPr="00F5279A">
        <w:rPr>
          <w:rFonts w:hint="eastAsia"/>
        </w:rPr>
        <w:t>č</w:t>
      </w:r>
      <w:r w:rsidRPr="00F5279A">
        <w:t>ního p</w:t>
      </w:r>
      <w:r w:rsidRPr="00F5279A">
        <w:rPr>
          <w:rFonts w:hint="eastAsia"/>
        </w:rPr>
        <w:t>ř</w:t>
      </w:r>
      <w:r w:rsidRPr="00F5279A">
        <w:t>ejezdu, navíc v prostoru, kde je mezi vle</w:t>
      </w:r>
      <w:r w:rsidRPr="00F5279A">
        <w:rPr>
          <w:rFonts w:hint="eastAsia"/>
        </w:rPr>
        <w:t>č</w:t>
      </w:r>
      <w:r w:rsidRPr="00F5279A">
        <w:t>kovými kolejemi odbo</w:t>
      </w:r>
      <w:r w:rsidRPr="00F5279A">
        <w:rPr>
          <w:rFonts w:hint="eastAsia"/>
        </w:rPr>
        <w:t>č</w:t>
      </w:r>
      <w:r w:rsidRPr="00F5279A">
        <w:t>ení z ulice U Fotochemy do areálu bývalé Benziny. Nov</w:t>
      </w:r>
      <w:r w:rsidRPr="00F5279A">
        <w:rPr>
          <w:rFonts w:hint="eastAsia"/>
        </w:rPr>
        <w:t>ě</w:t>
      </w:r>
      <w:r w:rsidRPr="00F5279A">
        <w:t xml:space="preserve"> je navrženo </w:t>
      </w:r>
      <w:r w:rsidRPr="00F5279A">
        <w:rPr>
          <w:rFonts w:hint="eastAsia"/>
        </w:rPr>
        <w:t>ř</w:t>
      </w:r>
      <w:r w:rsidRPr="00F5279A">
        <w:t>ešení, které tuto úvra</w:t>
      </w:r>
      <w:r w:rsidRPr="00F5279A">
        <w:rPr>
          <w:rFonts w:hint="eastAsia"/>
        </w:rPr>
        <w:t>ť</w:t>
      </w:r>
      <w:r w:rsidRPr="00F5279A">
        <w:t>ovou jízdu odstraní a sou</w:t>
      </w:r>
      <w:r w:rsidRPr="00F5279A">
        <w:rPr>
          <w:rFonts w:hint="eastAsia"/>
        </w:rPr>
        <w:t>č</w:t>
      </w:r>
      <w:r w:rsidRPr="00F5279A">
        <w:t>asn</w:t>
      </w:r>
      <w:r w:rsidRPr="00F5279A">
        <w:rPr>
          <w:rFonts w:hint="eastAsia"/>
        </w:rPr>
        <w:t>ě</w:t>
      </w:r>
      <w:r w:rsidRPr="00F5279A">
        <w:t xml:space="preserve"> zjednoduší dopravní situaci v oblasti železni</w:t>
      </w:r>
      <w:r w:rsidRPr="00F5279A">
        <w:rPr>
          <w:rFonts w:hint="eastAsia"/>
        </w:rPr>
        <w:t>č</w:t>
      </w:r>
      <w:r w:rsidRPr="00F5279A">
        <w:t>ního p</w:t>
      </w:r>
      <w:r w:rsidRPr="00F5279A">
        <w:rPr>
          <w:rFonts w:hint="eastAsia"/>
        </w:rPr>
        <w:t>ř</w:t>
      </w:r>
      <w:r w:rsidRPr="00F5279A">
        <w:t>ejezdu, a zárove</w:t>
      </w:r>
      <w:r w:rsidRPr="00F5279A">
        <w:rPr>
          <w:rFonts w:hint="eastAsia"/>
        </w:rPr>
        <w:t>ň</w:t>
      </w:r>
      <w:r w:rsidRPr="00F5279A">
        <w:t xml:space="preserve"> umožní i jeho zabezpe</w:t>
      </w:r>
      <w:r w:rsidRPr="00F5279A">
        <w:rPr>
          <w:rFonts w:hint="eastAsia"/>
        </w:rPr>
        <w:t>č</w:t>
      </w:r>
      <w:r w:rsidRPr="00F5279A">
        <w:t>ení. Do vle</w:t>
      </w:r>
      <w:r w:rsidRPr="00F5279A">
        <w:rPr>
          <w:rFonts w:hint="eastAsia"/>
        </w:rPr>
        <w:t>č</w:t>
      </w:r>
      <w:r w:rsidRPr="00F5279A">
        <w:t>kové koleje bude za železni</w:t>
      </w:r>
      <w:r w:rsidRPr="00F5279A">
        <w:rPr>
          <w:rFonts w:hint="eastAsia"/>
        </w:rPr>
        <w:t>č</w:t>
      </w:r>
      <w:r w:rsidRPr="00F5279A">
        <w:t>ním p</w:t>
      </w:r>
      <w:r w:rsidRPr="00F5279A">
        <w:rPr>
          <w:rFonts w:hint="eastAsia"/>
        </w:rPr>
        <w:t>ř</w:t>
      </w:r>
      <w:r w:rsidRPr="00F5279A">
        <w:t>ejezdem vložena výhybka, umož</w:t>
      </w:r>
      <w:r w:rsidRPr="00F5279A">
        <w:rPr>
          <w:rFonts w:hint="eastAsia"/>
        </w:rPr>
        <w:t>ň</w:t>
      </w:r>
      <w:r w:rsidRPr="00F5279A">
        <w:t>ující odbo</w:t>
      </w:r>
      <w:r w:rsidRPr="00F5279A">
        <w:rPr>
          <w:rFonts w:hint="eastAsia"/>
        </w:rPr>
        <w:t>č</w:t>
      </w:r>
      <w:r w:rsidRPr="00F5279A">
        <w:t>ení na kolej se stá</w:t>
      </w:r>
      <w:r w:rsidRPr="00F5279A">
        <w:rPr>
          <w:rFonts w:hint="eastAsia"/>
        </w:rPr>
        <w:t>č</w:t>
      </w:r>
      <w:r w:rsidRPr="00F5279A">
        <w:t>ecím za</w:t>
      </w:r>
      <w:r w:rsidRPr="00F5279A">
        <w:rPr>
          <w:rFonts w:hint="eastAsia"/>
        </w:rPr>
        <w:t>ří</w:t>
      </w:r>
      <w:r w:rsidRPr="00F5279A">
        <w:t>zením. Tím bude železni</w:t>
      </w:r>
      <w:r w:rsidRPr="00F5279A">
        <w:rPr>
          <w:rFonts w:hint="eastAsia"/>
        </w:rPr>
        <w:t>č</w:t>
      </w:r>
      <w:r w:rsidRPr="00F5279A">
        <w:t>ní p</w:t>
      </w:r>
      <w:r w:rsidRPr="00F5279A">
        <w:rPr>
          <w:rFonts w:hint="eastAsia"/>
        </w:rPr>
        <w:t>ř</w:t>
      </w:r>
      <w:r w:rsidRPr="00F5279A">
        <w:t>ejezd pouze dvoukolejný. Užite</w:t>
      </w:r>
      <w:r w:rsidRPr="00F5279A">
        <w:rPr>
          <w:rFonts w:hint="eastAsia"/>
        </w:rPr>
        <w:t>č</w:t>
      </w:r>
      <w:r w:rsidRPr="00F5279A">
        <w:t>ná délka koleje se stá</w:t>
      </w:r>
      <w:r w:rsidRPr="00F5279A">
        <w:rPr>
          <w:rFonts w:hint="eastAsia"/>
        </w:rPr>
        <w:t>č</w:t>
      </w:r>
      <w:r w:rsidRPr="00F5279A">
        <w:t>ecím za</w:t>
      </w:r>
      <w:r w:rsidRPr="00F5279A">
        <w:rPr>
          <w:rFonts w:hint="eastAsia"/>
        </w:rPr>
        <w:t>ří</w:t>
      </w:r>
      <w:r w:rsidRPr="00F5279A">
        <w:t>zením bude p</w:t>
      </w:r>
      <w:r w:rsidRPr="00F5279A">
        <w:rPr>
          <w:rFonts w:hint="eastAsia"/>
        </w:rPr>
        <w:t>ř</w:t>
      </w:r>
      <w:r w:rsidRPr="00F5279A">
        <w:t>ibližn</w:t>
      </w:r>
      <w:r w:rsidRPr="00F5279A">
        <w:rPr>
          <w:rFonts w:hint="eastAsia"/>
        </w:rPr>
        <w:t>ě</w:t>
      </w:r>
      <w:r w:rsidRPr="00F5279A">
        <w:t xml:space="preserve"> stejná jako p</w:t>
      </w:r>
      <w:r w:rsidRPr="00F5279A">
        <w:rPr>
          <w:rFonts w:hint="eastAsia"/>
        </w:rPr>
        <w:t>ř</w:t>
      </w:r>
      <w:r w:rsidRPr="00F5279A">
        <w:t>ed úpravou kolejišt</w:t>
      </w:r>
      <w:r w:rsidRPr="00F5279A">
        <w:rPr>
          <w:rFonts w:hint="eastAsia"/>
        </w:rPr>
        <w:t>ě</w:t>
      </w:r>
      <w:r w:rsidRPr="00F5279A">
        <w:t xml:space="preserve">, tedy cca </w:t>
      </w:r>
      <w:smartTag w:uri="urn:schemas-microsoft-com:office:smarttags" w:element="metricconverter">
        <w:smartTagPr>
          <w:attr w:name="ProductID" w:val="60 m"/>
        </w:smartTagPr>
        <w:r w:rsidRPr="00F5279A">
          <w:t>60 m</w:t>
        </w:r>
      </w:smartTag>
      <w:r w:rsidRPr="00F5279A">
        <w:t>. Pokra</w:t>
      </w:r>
      <w:r w:rsidRPr="00F5279A">
        <w:rPr>
          <w:rFonts w:hint="eastAsia"/>
        </w:rPr>
        <w:t>č</w:t>
      </w:r>
      <w:r w:rsidRPr="00F5279A">
        <w:t>ování vle</w:t>
      </w:r>
      <w:r w:rsidRPr="00F5279A">
        <w:rPr>
          <w:rFonts w:hint="eastAsia"/>
        </w:rPr>
        <w:t>č</w:t>
      </w:r>
      <w:r w:rsidRPr="00F5279A">
        <w:t xml:space="preserve">ky do areálu firmy Signal Mont bude bez </w:t>
      </w:r>
      <w:r w:rsidRPr="00F5279A">
        <w:rPr>
          <w:rFonts w:hint="eastAsia"/>
        </w:rPr>
        <w:t>ú</w:t>
      </w:r>
      <w:r w:rsidRPr="00F5279A">
        <w:t>prav. Vle</w:t>
      </w:r>
      <w:r w:rsidRPr="00F5279A">
        <w:rPr>
          <w:rFonts w:hint="eastAsia"/>
        </w:rPr>
        <w:t>č</w:t>
      </w:r>
      <w:r w:rsidRPr="00F5279A">
        <w:t>ková kolej vedoucí do areálu Benzina od výhybky D1 bude snesena po vrata areálu, v</w:t>
      </w:r>
      <w:r w:rsidRPr="00F5279A">
        <w:rPr>
          <w:rFonts w:hint="eastAsia"/>
        </w:rPr>
        <w:t>č</w:t>
      </w:r>
      <w:r w:rsidRPr="00F5279A">
        <w:t>etn</w:t>
      </w:r>
      <w:r w:rsidRPr="00F5279A">
        <w:rPr>
          <w:rFonts w:hint="eastAsia"/>
        </w:rPr>
        <w:t>ě</w:t>
      </w:r>
      <w:r w:rsidRPr="00F5279A">
        <w:t xml:space="preserve"> p</w:t>
      </w:r>
      <w:r w:rsidRPr="00F5279A">
        <w:rPr>
          <w:rFonts w:hint="eastAsia"/>
        </w:rPr>
        <w:t>ř</w:t>
      </w:r>
      <w:r w:rsidRPr="00F5279A">
        <w:t xml:space="preserve">ejezdové </w:t>
      </w:r>
      <w:r w:rsidRPr="00F5279A">
        <w:rPr>
          <w:rFonts w:hint="eastAsia"/>
        </w:rPr>
        <w:t>ú</w:t>
      </w:r>
      <w:r w:rsidRPr="00F5279A">
        <w:t xml:space="preserve">pravy, kde bude provedena </w:t>
      </w:r>
      <w:r w:rsidRPr="00F5279A">
        <w:rPr>
          <w:rFonts w:hint="eastAsia"/>
        </w:rPr>
        <w:t>ú</w:t>
      </w:r>
      <w:r w:rsidRPr="00F5279A">
        <w:t>prava vozovky.</w:t>
      </w:r>
    </w:p>
    <w:p w:rsidR="00C24305" w:rsidRDefault="00C24305">
      <w:pPr>
        <w:suppressAutoHyphens w:val="0"/>
        <w:spacing w:before="0" w:after="0" w:line="240" w:lineRule="auto"/>
        <w:jc w:val="left"/>
      </w:pPr>
      <w: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C24305" w:rsidTr="00C24305">
        <w:tc>
          <w:tcPr>
            <w:tcW w:w="9356" w:type="dxa"/>
          </w:tcPr>
          <w:p w:rsidR="00C24305" w:rsidRDefault="00C24305" w:rsidP="006B08CB">
            <w:pPr>
              <w:pStyle w:val="Titulek"/>
            </w:pPr>
            <w:bookmarkStart w:id="101" w:name="_Toc390958823"/>
            <w:r w:rsidRPr="0061341E">
              <w:t xml:space="preserve">Obr. </w:t>
            </w:r>
            <w:r w:rsidRPr="0061341E">
              <w:fldChar w:fldCharType="begin"/>
            </w:r>
            <w:r w:rsidRPr="0061341E">
              <w:instrText xml:space="preserve"> STYLEREF 1 \s </w:instrText>
            </w:r>
            <w:r w:rsidRPr="0061341E">
              <w:fldChar w:fldCharType="separate"/>
            </w:r>
            <w:r w:rsidR="003843F3">
              <w:rPr>
                <w:noProof/>
              </w:rPr>
              <w:t>3</w:t>
            </w:r>
            <w:r w:rsidRPr="0061341E">
              <w:fldChar w:fldCharType="end"/>
            </w:r>
            <w:r w:rsidRPr="0061341E">
              <w:noBreakHyphen/>
            </w:r>
            <w:r w:rsidRPr="0061341E">
              <w:fldChar w:fldCharType="begin"/>
            </w:r>
            <w:r w:rsidRPr="0061341E">
              <w:instrText xml:space="preserve"> SEQ Obr. \* ARABIC \s 1 </w:instrText>
            </w:r>
            <w:r w:rsidRPr="0061341E">
              <w:fldChar w:fldCharType="separate"/>
            </w:r>
            <w:r w:rsidR="003843F3">
              <w:rPr>
                <w:noProof/>
              </w:rPr>
              <w:t>17</w:t>
            </w:r>
            <w:r w:rsidRPr="0061341E">
              <w:fldChar w:fldCharType="end"/>
            </w:r>
            <w:r w:rsidRPr="0061341E">
              <w:t>: Schéma žst. Hradec Králové (var. MAX)</w:t>
            </w:r>
            <w:bookmarkEnd w:id="101"/>
          </w:p>
        </w:tc>
      </w:tr>
      <w:tr w:rsidR="00C24305" w:rsidTr="00C24305">
        <w:tc>
          <w:tcPr>
            <w:tcW w:w="9356" w:type="dxa"/>
          </w:tcPr>
          <w:p w:rsidR="00C24305" w:rsidRDefault="00C24305" w:rsidP="0063151A">
            <w:pPr>
              <w:jc w:val="center"/>
            </w:pPr>
            <w:r>
              <w:rPr>
                <w:noProof/>
                <w:lang w:eastAsia="cs-CZ"/>
              </w:rPr>
              <w:drawing>
                <wp:inline distT="0" distB="0" distL="0" distR="0" wp14:anchorId="5F6B9A6C" wp14:editId="3E101992">
                  <wp:extent cx="5859342" cy="3411110"/>
                  <wp:effectExtent l="0" t="0" r="0" b="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A8255.tmp"/>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874598" cy="3419992"/>
                          </a:xfrm>
                          <a:prstGeom prst="rect">
                            <a:avLst/>
                          </a:prstGeom>
                        </pic:spPr>
                      </pic:pic>
                    </a:graphicData>
                  </a:graphic>
                </wp:inline>
              </w:drawing>
            </w:r>
          </w:p>
        </w:tc>
      </w:tr>
    </w:tbl>
    <w:p w:rsidR="00140314" w:rsidRPr="00140314" w:rsidRDefault="00CB1F22" w:rsidP="00033B81">
      <w:pPr>
        <w:pStyle w:val="Nadpis3"/>
        <w:ind w:hanging="8234"/>
      </w:pPr>
      <w:r>
        <w:t>Investiční náklady</w:t>
      </w:r>
    </w:p>
    <w:p w:rsidR="00033B81" w:rsidRDefault="00033B81" w:rsidP="00140314">
      <w:r>
        <w:t>Celkové investiční náklady v rámci vari</w:t>
      </w:r>
      <w:r w:rsidR="00DB678B">
        <w:t>anty Maximál</w:t>
      </w:r>
      <w:r>
        <w:t xml:space="preserve">ní dosahují výše </w:t>
      </w:r>
      <w:r w:rsidR="002511BC">
        <w:t>4</w:t>
      </w:r>
      <w:r w:rsidR="00F94E47">
        <w:t> 926,549</w:t>
      </w:r>
      <w:r>
        <w:t xml:space="preserve"> mld. Kč (CÚ 201</w:t>
      </w:r>
      <w:r w:rsidR="0063151A">
        <w:t>3</w:t>
      </w:r>
      <w:r>
        <w:t>, bez DPH</w:t>
      </w:r>
      <w:r w:rsidR="002511BC">
        <w:t>) v součtu v letech 2014 až 2021</w:t>
      </w:r>
      <w:r>
        <w:t>. Sumy za jednotlivé profese jsou následující:</w:t>
      </w:r>
    </w:p>
    <w:p w:rsidR="00033B81" w:rsidRDefault="00033B81" w:rsidP="00033B81">
      <w:r>
        <w:t>přípravná a projektová dokumentace</w:t>
      </w:r>
      <w:r>
        <w:tab/>
      </w:r>
      <w:r>
        <w:tab/>
      </w:r>
      <w:r>
        <w:tab/>
      </w:r>
      <w:r>
        <w:tab/>
      </w:r>
      <w:r w:rsidR="00F94E47">
        <w:t>362</w:t>
      </w:r>
      <w:r w:rsidR="00670FE8">
        <w:t>,</w:t>
      </w:r>
      <w:r w:rsidR="00F94E47">
        <w:t>254</w:t>
      </w:r>
      <w:r>
        <w:t xml:space="preserve"> mil. Kč,</w:t>
      </w:r>
    </w:p>
    <w:p w:rsidR="00033B81" w:rsidRDefault="00033B81" w:rsidP="00033B81">
      <w:r>
        <w:t>zábory pozemků</w:t>
      </w:r>
      <w:r>
        <w:tab/>
      </w:r>
      <w:r>
        <w:tab/>
      </w:r>
      <w:r>
        <w:tab/>
      </w:r>
      <w:r>
        <w:tab/>
      </w:r>
      <w:r>
        <w:tab/>
      </w:r>
      <w:r>
        <w:tab/>
      </w:r>
      <w:r w:rsidR="00670FE8">
        <w:t>61,824</w:t>
      </w:r>
      <w:r>
        <w:t xml:space="preserve"> mil. Kč,</w:t>
      </w:r>
    </w:p>
    <w:p w:rsidR="00033B81" w:rsidRDefault="00033B81" w:rsidP="00033B81">
      <w:r>
        <w:t>stavby a konstrukce</w:t>
      </w:r>
      <w:r>
        <w:tab/>
      </w:r>
      <w:r>
        <w:tab/>
      </w:r>
      <w:r>
        <w:tab/>
      </w:r>
      <w:r>
        <w:tab/>
      </w:r>
      <w:r>
        <w:tab/>
      </w:r>
      <w:r>
        <w:tab/>
      </w:r>
      <w:r w:rsidR="00F94E47">
        <w:t>4</w:t>
      </w:r>
      <w:r w:rsidR="00670FE8">
        <w:t> </w:t>
      </w:r>
      <w:r w:rsidR="00F94E47">
        <w:t>012</w:t>
      </w:r>
      <w:r w:rsidR="00670FE8">
        <w:t>,</w:t>
      </w:r>
      <w:r w:rsidR="00F94E47">
        <w:t>334</w:t>
      </w:r>
      <w:r>
        <w:t xml:space="preserve"> mil. Kč,</w:t>
      </w:r>
    </w:p>
    <w:p w:rsidR="00033B81" w:rsidRDefault="00033B81" w:rsidP="00033B81">
      <w:r>
        <w:t>stroje a zařízení</w:t>
      </w:r>
      <w:r>
        <w:tab/>
      </w:r>
      <w:r>
        <w:tab/>
      </w:r>
      <w:r>
        <w:tab/>
      </w:r>
      <w:r>
        <w:tab/>
      </w:r>
      <w:r>
        <w:tab/>
      </w:r>
      <w:r>
        <w:tab/>
      </w:r>
      <w:r>
        <w:tab/>
      </w:r>
      <w:r w:rsidR="00670FE8">
        <w:t>0,000</w:t>
      </w:r>
      <w:r>
        <w:t xml:space="preserve"> mil. Kč,</w:t>
      </w:r>
    </w:p>
    <w:p w:rsidR="00033B81" w:rsidRDefault="00033B81" w:rsidP="00033B81">
      <w:r>
        <w:t>technická asistence, propagace dozor</w:t>
      </w:r>
      <w:r>
        <w:tab/>
      </w:r>
      <w:r>
        <w:tab/>
      </w:r>
      <w:r>
        <w:tab/>
      </w:r>
      <w:r>
        <w:tab/>
      </w:r>
      <w:r w:rsidR="00F94E47">
        <w:t>90</w:t>
      </w:r>
      <w:r w:rsidR="00670FE8">
        <w:t>,</w:t>
      </w:r>
      <w:r w:rsidR="00F94E47">
        <w:t>693</w:t>
      </w:r>
      <w:r>
        <w:t xml:space="preserve"> mil. Kč,</w:t>
      </w:r>
    </w:p>
    <w:p w:rsidR="00033B81" w:rsidRDefault="00033B81" w:rsidP="00033B81">
      <w:r>
        <w:t>rezerva 10%</w:t>
      </w:r>
      <w:r>
        <w:tab/>
      </w:r>
      <w:r>
        <w:tab/>
      </w:r>
      <w:r>
        <w:tab/>
      </w:r>
      <w:r>
        <w:tab/>
      </w:r>
      <w:r>
        <w:tab/>
      </w:r>
      <w:r>
        <w:tab/>
      </w:r>
      <w:r>
        <w:tab/>
      </w:r>
      <w:r w:rsidR="00670FE8">
        <w:t>39</w:t>
      </w:r>
      <w:r w:rsidR="00F94E47">
        <w:t>9</w:t>
      </w:r>
      <w:r w:rsidR="00670FE8">
        <w:t>,</w:t>
      </w:r>
      <w:r w:rsidR="00F94E47">
        <w:t>444</w:t>
      </w:r>
      <w:r>
        <w:t xml:space="preserve"> mil. Kč,</w:t>
      </w:r>
    </w:p>
    <w:p w:rsidR="00316C04" w:rsidRPr="00316C04" w:rsidRDefault="00033B81" w:rsidP="00316C04">
      <w:pPr>
        <w:rPr>
          <w:b/>
        </w:rPr>
      </w:pPr>
      <w:r w:rsidRPr="00316C04">
        <w:rPr>
          <w:b/>
        </w:rPr>
        <w:t>CIN bez DPH vče</w:t>
      </w:r>
      <w:r w:rsidR="00316C04">
        <w:rPr>
          <w:b/>
        </w:rPr>
        <w:t>tně rezervy (konstantní ceny)</w:t>
      </w:r>
      <w:r w:rsidR="00316C04">
        <w:rPr>
          <w:b/>
        </w:rPr>
        <w:tab/>
      </w:r>
      <w:r w:rsidR="00316C04">
        <w:rPr>
          <w:b/>
        </w:rPr>
        <w:tab/>
      </w:r>
      <w:r w:rsidR="00670FE8">
        <w:rPr>
          <w:b/>
        </w:rPr>
        <w:t>4 </w:t>
      </w:r>
      <w:r w:rsidR="00F94E47">
        <w:rPr>
          <w:b/>
        </w:rPr>
        <w:t>926</w:t>
      </w:r>
      <w:r w:rsidR="00670FE8">
        <w:rPr>
          <w:b/>
        </w:rPr>
        <w:t>,</w:t>
      </w:r>
      <w:r w:rsidR="00F94E47">
        <w:rPr>
          <w:b/>
        </w:rPr>
        <w:t>549</w:t>
      </w:r>
      <w:r w:rsidRPr="00316C04">
        <w:rPr>
          <w:b/>
        </w:rPr>
        <w:t xml:space="preserve"> mil. Kč</w:t>
      </w:r>
      <w:r w:rsidR="0063151A" w:rsidRPr="00316C04">
        <w:rPr>
          <w:b/>
        </w:rPr>
        <w:t>.</w:t>
      </w:r>
    </w:p>
    <w:p w:rsidR="00E01AD3" w:rsidRDefault="00E01AD3">
      <w:pPr>
        <w:suppressAutoHyphens w:val="0"/>
        <w:spacing w:before="0" w:after="0" w:line="240" w:lineRule="auto"/>
        <w:jc w:val="left"/>
        <w:rPr>
          <w:b/>
          <w:bCs/>
          <w:sz w:val="24"/>
        </w:rPr>
      </w:pPr>
      <w:r>
        <w:br w:type="page"/>
      </w:r>
    </w:p>
    <w:p w:rsidR="004F661E" w:rsidRDefault="004F661E" w:rsidP="00D13FB3">
      <w:pPr>
        <w:pStyle w:val="Nadpis3"/>
        <w:ind w:hanging="8234"/>
      </w:pPr>
      <w:r>
        <w:t>Náklady realizace</w:t>
      </w:r>
    </w:p>
    <w:p w:rsidR="00764FFD" w:rsidRDefault="00764FFD" w:rsidP="00764FFD">
      <w:r>
        <w:t>Rozpis nákladů realizace podle jednotlivých úseků je uveden v následující tabulce. Celkové investiční náklady se skládají z podrobně rozdružených nákladů realizace a dále z nákladů na trvalé zábory pozemků, projektovou dokumentaci, geologickou a geodetickou činnost, inženýrskou činnost a poradenství a rezervy a jsou uvedeny v příloze č. 2.</w:t>
      </w:r>
    </w:p>
    <w:tbl>
      <w:tblPr>
        <w:tblW w:w="0" w:type="auto"/>
        <w:tblInd w:w="6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397"/>
        <w:gridCol w:w="3969"/>
      </w:tblGrid>
      <w:tr w:rsidR="00C24305" w:rsidRPr="001B1D95" w:rsidTr="006E7D0A">
        <w:trPr>
          <w:cantSplit/>
          <w:trHeight w:val="340"/>
        </w:trPr>
        <w:tc>
          <w:tcPr>
            <w:tcW w:w="9366" w:type="dxa"/>
            <w:gridSpan w:val="2"/>
            <w:tcBorders>
              <w:top w:val="single" w:sz="2" w:space="0" w:color="auto"/>
              <w:left w:val="single" w:sz="2" w:space="0" w:color="auto"/>
              <w:bottom w:val="single" w:sz="2" w:space="0" w:color="auto"/>
              <w:right w:val="single" w:sz="2" w:space="0" w:color="auto"/>
            </w:tcBorders>
            <w:shd w:val="clear" w:color="auto" w:fill="auto"/>
            <w:noWrap/>
            <w:vAlign w:val="center"/>
          </w:tcPr>
          <w:p w:rsidR="00C24305" w:rsidRPr="001B1D95" w:rsidRDefault="00C24305" w:rsidP="00C24305">
            <w:pPr>
              <w:pStyle w:val="Titulek"/>
              <w:rPr>
                <w:rFonts w:ascii="Arial" w:hAnsi="Arial" w:cs="Arial"/>
                <w:color w:val="000000"/>
                <w:sz w:val="16"/>
                <w:szCs w:val="16"/>
              </w:rPr>
            </w:pPr>
            <w:bookmarkStart w:id="102" w:name="_Toc390958746"/>
            <w:bookmarkStart w:id="103" w:name="_Toc391034550"/>
            <w:r w:rsidRPr="001B1D95">
              <w:t xml:space="preserve">Tab. </w:t>
            </w:r>
            <w:r w:rsidR="000E79AE">
              <w:fldChar w:fldCharType="begin"/>
            </w:r>
            <w:r w:rsidR="000E79AE">
              <w:instrText xml:space="preserve"> STYLEREF 1 \s </w:instrText>
            </w:r>
            <w:r w:rsidR="000E79AE">
              <w:fldChar w:fldCharType="separate"/>
            </w:r>
            <w:r w:rsidR="003843F3">
              <w:rPr>
                <w:noProof/>
              </w:rPr>
              <w:t>3</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11</w:t>
            </w:r>
            <w:r w:rsidR="000E79AE">
              <w:fldChar w:fldCharType="end"/>
            </w:r>
            <w:r w:rsidRPr="001B1D95">
              <w:t>: Rozpis</w:t>
            </w:r>
            <w:r w:rsidRPr="001B1D95">
              <w:rPr>
                <w:bCs/>
                <w:sz w:val="16"/>
                <w:szCs w:val="16"/>
                <w:lang w:eastAsia="cs-CZ"/>
              </w:rPr>
              <w:t xml:space="preserve"> </w:t>
            </w:r>
            <w:r w:rsidRPr="001B1D95">
              <w:rPr>
                <w:bCs/>
                <w:lang w:eastAsia="cs-CZ"/>
              </w:rPr>
              <w:t xml:space="preserve">nákladů realizace varianty </w:t>
            </w:r>
            <w:r>
              <w:rPr>
                <w:bCs/>
                <w:lang w:eastAsia="cs-CZ"/>
              </w:rPr>
              <w:t xml:space="preserve">Maximální </w:t>
            </w:r>
            <w:r w:rsidRPr="001B1D95">
              <w:rPr>
                <w:bCs/>
                <w:lang w:eastAsia="cs-CZ"/>
              </w:rPr>
              <w:t>[mil. Kč]</w:t>
            </w:r>
            <w:bookmarkEnd w:id="102"/>
            <w:bookmarkEnd w:id="103"/>
          </w:p>
        </w:tc>
      </w:tr>
      <w:tr w:rsidR="00EA7DB4" w:rsidRPr="001B1D95" w:rsidTr="00002754">
        <w:trPr>
          <w:cantSplit/>
          <w:trHeight w:val="283"/>
        </w:trPr>
        <w:tc>
          <w:tcPr>
            <w:tcW w:w="5397" w:type="dxa"/>
            <w:tcBorders>
              <w:top w:val="single" w:sz="2" w:space="0" w:color="auto"/>
              <w:left w:val="single" w:sz="2" w:space="0" w:color="auto"/>
              <w:bottom w:val="single" w:sz="12" w:space="0" w:color="auto"/>
            </w:tcBorders>
            <w:shd w:val="clear" w:color="auto" w:fill="D9D9D9" w:themeFill="background1" w:themeFillShade="D9"/>
            <w:noWrap/>
            <w:vAlign w:val="center"/>
          </w:tcPr>
          <w:p w:rsidR="00EA7DB4" w:rsidRPr="006E7D0A" w:rsidRDefault="00EA7DB4" w:rsidP="00002754">
            <w:pPr>
              <w:spacing w:before="0" w:after="0"/>
              <w:rPr>
                <w:b/>
                <w:sz w:val="18"/>
              </w:rPr>
            </w:pPr>
            <w:r w:rsidRPr="006E7D0A">
              <w:rPr>
                <w:b/>
                <w:sz w:val="18"/>
                <w:lang w:eastAsia="cs-CZ"/>
              </w:rPr>
              <w:t>úsek</w:t>
            </w:r>
          </w:p>
        </w:tc>
        <w:tc>
          <w:tcPr>
            <w:tcW w:w="3969" w:type="dxa"/>
            <w:tcBorders>
              <w:top w:val="single" w:sz="2" w:space="0" w:color="auto"/>
              <w:right w:val="single" w:sz="2" w:space="0" w:color="auto"/>
            </w:tcBorders>
            <w:shd w:val="clear" w:color="auto" w:fill="D9D9D9" w:themeFill="background1" w:themeFillShade="D9"/>
            <w:vAlign w:val="center"/>
          </w:tcPr>
          <w:p w:rsidR="00EA7DB4" w:rsidRPr="006E7D0A" w:rsidRDefault="00EA7DB4" w:rsidP="00002754">
            <w:pPr>
              <w:spacing w:before="0" w:after="0"/>
              <w:ind w:right="639"/>
              <w:jc w:val="right"/>
              <w:rPr>
                <w:b/>
                <w:sz w:val="18"/>
              </w:rPr>
            </w:pPr>
            <w:r w:rsidRPr="006E7D0A">
              <w:rPr>
                <w:b/>
                <w:sz w:val="18"/>
                <w:lang w:eastAsia="cs-CZ"/>
              </w:rPr>
              <w:t>náklady realizace celkem</w:t>
            </w:r>
          </w:p>
        </w:tc>
      </w:tr>
      <w:tr w:rsidR="00EA7DB4" w:rsidRPr="001B1D95" w:rsidTr="00002754">
        <w:trPr>
          <w:cantSplit/>
          <w:trHeight w:val="283"/>
        </w:trPr>
        <w:tc>
          <w:tcPr>
            <w:tcW w:w="5397" w:type="dxa"/>
            <w:tcBorders>
              <w:top w:val="single" w:sz="12" w:space="0" w:color="auto"/>
              <w:left w:val="single" w:sz="2" w:space="0" w:color="auto"/>
              <w:bottom w:val="single" w:sz="2" w:space="0" w:color="auto"/>
            </w:tcBorders>
            <w:shd w:val="clear" w:color="auto" w:fill="auto"/>
            <w:noWrap/>
            <w:vAlign w:val="center"/>
          </w:tcPr>
          <w:p w:rsidR="00EA7DB4" w:rsidRPr="006E7D0A" w:rsidRDefault="00EA7DB4" w:rsidP="00002754">
            <w:pPr>
              <w:spacing w:before="0" w:after="0"/>
              <w:jc w:val="left"/>
              <w:rPr>
                <w:sz w:val="18"/>
              </w:rPr>
            </w:pPr>
            <w:r w:rsidRPr="006E7D0A">
              <w:rPr>
                <w:color w:val="000000"/>
                <w:sz w:val="18"/>
              </w:rPr>
              <w:t>žst. Pardubice hl. n.</w:t>
            </w:r>
          </w:p>
        </w:tc>
        <w:tc>
          <w:tcPr>
            <w:tcW w:w="3969" w:type="dxa"/>
            <w:tcBorders>
              <w:top w:val="single" w:sz="12" w:space="0" w:color="auto"/>
              <w:bottom w:val="single" w:sz="2" w:space="0" w:color="auto"/>
              <w:right w:val="single" w:sz="2" w:space="0" w:color="auto"/>
            </w:tcBorders>
            <w:shd w:val="clear" w:color="auto" w:fill="auto"/>
            <w:vAlign w:val="center"/>
          </w:tcPr>
          <w:p w:rsidR="00EA7DB4" w:rsidRPr="006E7D0A" w:rsidRDefault="00EA7DB4" w:rsidP="00002754">
            <w:pPr>
              <w:spacing w:before="0" w:after="0"/>
              <w:ind w:right="639"/>
              <w:jc w:val="right"/>
              <w:rPr>
                <w:sz w:val="18"/>
              </w:rPr>
            </w:pPr>
            <w:r w:rsidRPr="006E7D0A">
              <w:rPr>
                <w:color w:val="000000"/>
                <w:sz w:val="18"/>
                <w:lang w:val="sk-SK" w:eastAsia="cs-CZ"/>
              </w:rPr>
              <w:t>0,000</w:t>
            </w:r>
          </w:p>
        </w:tc>
      </w:tr>
      <w:tr w:rsidR="00EA7DB4" w:rsidRPr="001B1D95" w:rsidTr="00002754">
        <w:trPr>
          <w:cantSplit/>
          <w:trHeight w:val="283"/>
        </w:trPr>
        <w:tc>
          <w:tcPr>
            <w:tcW w:w="5397" w:type="dxa"/>
            <w:tcBorders>
              <w:top w:val="single" w:sz="2" w:space="0" w:color="auto"/>
              <w:left w:val="single" w:sz="2" w:space="0" w:color="auto"/>
              <w:bottom w:val="single" w:sz="2" w:space="0" w:color="auto"/>
            </w:tcBorders>
            <w:shd w:val="clear" w:color="auto" w:fill="auto"/>
            <w:noWrap/>
            <w:vAlign w:val="center"/>
          </w:tcPr>
          <w:p w:rsidR="00EA7DB4" w:rsidRPr="006E7D0A" w:rsidRDefault="00EA7DB4" w:rsidP="00002754">
            <w:pPr>
              <w:spacing w:before="0" w:after="0"/>
              <w:jc w:val="left"/>
              <w:rPr>
                <w:sz w:val="18"/>
              </w:rPr>
            </w:pPr>
            <w:r w:rsidRPr="006E7D0A">
              <w:rPr>
                <w:color w:val="000000"/>
                <w:sz w:val="18"/>
              </w:rPr>
              <w:t>Pardubice hl. n. (mimo) – Pard.-Rosice n. L. (mimo)</w:t>
            </w:r>
          </w:p>
        </w:tc>
        <w:tc>
          <w:tcPr>
            <w:tcW w:w="3969" w:type="dxa"/>
            <w:tcBorders>
              <w:top w:val="single" w:sz="2" w:space="0" w:color="auto"/>
              <w:bottom w:val="single" w:sz="2" w:space="0" w:color="auto"/>
              <w:right w:val="single" w:sz="2" w:space="0" w:color="auto"/>
            </w:tcBorders>
            <w:shd w:val="clear" w:color="auto" w:fill="auto"/>
            <w:vAlign w:val="center"/>
          </w:tcPr>
          <w:p w:rsidR="00EA7DB4" w:rsidRPr="006E7D0A" w:rsidRDefault="00EA7DB4" w:rsidP="00002754">
            <w:pPr>
              <w:spacing w:before="0" w:after="0"/>
              <w:ind w:right="639"/>
              <w:jc w:val="right"/>
              <w:rPr>
                <w:kern w:val="28"/>
                <w:sz w:val="18"/>
              </w:rPr>
            </w:pPr>
            <w:r w:rsidRPr="006E7D0A">
              <w:rPr>
                <w:color w:val="000000"/>
                <w:sz w:val="18"/>
                <w:lang w:val="sk-SK" w:eastAsia="cs-CZ"/>
              </w:rPr>
              <w:t>0,000</w:t>
            </w:r>
          </w:p>
        </w:tc>
      </w:tr>
      <w:tr w:rsidR="00EA7DB4" w:rsidRPr="001B1D95" w:rsidTr="00002754">
        <w:trPr>
          <w:cantSplit/>
          <w:trHeight w:val="283"/>
        </w:trPr>
        <w:tc>
          <w:tcPr>
            <w:tcW w:w="5397" w:type="dxa"/>
            <w:tcBorders>
              <w:top w:val="single" w:sz="2" w:space="0" w:color="auto"/>
              <w:left w:val="single" w:sz="2" w:space="0" w:color="auto"/>
              <w:bottom w:val="single" w:sz="2" w:space="0" w:color="auto"/>
            </w:tcBorders>
            <w:shd w:val="clear" w:color="auto" w:fill="auto"/>
            <w:noWrap/>
            <w:vAlign w:val="center"/>
          </w:tcPr>
          <w:p w:rsidR="00EA7DB4" w:rsidRPr="006E7D0A" w:rsidRDefault="00EA7DB4" w:rsidP="00002754">
            <w:pPr>
              <w:spacing w:before="0" w:after="0"/>
              <w:jc w:val="left"/>
              <w:rPr>
                <w:sz w:val="18"/>
              </w:rPr>
            </w:pPr>
            <w:r w:rsidRPr="006E7D0A">
              <w:rPr>
                <w:color w:val="000000"/>
                <w:sz w:val="18"/>
              </w:rPr>
              <w:t>žst. Pardubice-Rosice n. L.</w:t>
            </w:r>
          </w:p>
        </w:tc>
        <w:tc>
          <w:tcPr>
            <w:tcW w:w="3969" w:type="dxa"/>
            <w:tcBorders>
              <w:top w:val="single" w:sz="2" w:space="0" w:color="auto"/>
              <w:bottom w:val="single" w:sz="2" w:space="0" w:color="auto"/>
              <w:right w:val="single" w:sz="2" w:space="0" w:color="auto"/>
            </w:tcBorders>
            <w:shd w:val="clear" w:color="auto" w:fill="auto"/>
            <w:vAlign w:val="center"/>
          </w:tcPr>
          <w:p w:rsidR="00EA7DB4" w:rsidRPr="006E7D0A" w:rsidRDefault="00EA7DB4" w:rsidP="00002754">
            <w:pPr>
              <w:spacing w:before="0" w:after="0"/>
              <w:ind w:right="639"/>
              <w:jc w:val="right"/>
              <w:rPr>
                <w:sz w:val="18"/>
              </w:rPr>
            </w:pPr>
            <w:r w:rsidRPr="006E7D0A">
              <w:rPr>
                <w:sz w:val="18"/>
              </w:rPr>
              <w:t>937,719</w:t>
            </w:r>
          </w:p>
        </w:tc>
      </w:tr>
      <w:tr w:rsidR="00EA7DB4" w:rsidRPr="001B1D95" w:rsidTr="00002754">
        <w:trPr>
          <w:cantSplit/>
          <w:trHeight w:val="283"/>
        </w:trPr>
        <w:tc>
          <w:tcPr>
            <w:tcW w:w="5397" w:type="dxa"/>
            <w:tcBorders>
              <w:top w:val="single" w:sz="2" w:space="0" w:color="auto"/>
              <w:left w:val="single" w:sz="2" w:space="0" w:color="auto"/>
              <w:bottom w:val="single" w:sz="2" w:space="0" w:color="auto"/>
            </w:tcBorders>
            <w:shd w:val="clear" w:color="auto" w:fill="auto"/>
            <w:noWrap/>
            <w:vAlign w:val="center"/>
          </w:tcPr>
          <w:p w:rsidR="00EA7DB4" w:rsidRPr="006E7D0A" w:rsidRDefault="00EA7DB4" w:rsidP="00002754">
            <w:pPr>
              <w:spacing w:before="0" w:after="0"/>
              <w:jc w:val="left"/>
              <w:rPr>
                <w:sz w:val="18"/>
              </w:rPr>
            </w:pPr>
            <w:r w:rsidRPr="006E7D0A">
              <w:rPr>
                <w:color w:val="000000"/>
                <w:sz w:val="18"/>
              </w:rPr>
              <w:t>Pardubice-Rosice n. L.  (mimo) - Stéblová (mimo)</w:t>
            </w:r>
          </w:p>
        </w:tc>
        <w:tc>
          <w:tcPr>
            <w:tcW w:w="3969" w:type="dxa"/>
            <w:tcBorders>
              <w:top w:val="single" w:sz="2" w:space="0" w:color="auto"/>
              <w:bottom w:val="single" w:sz="2" w:space="0" w:color="auto"/>
              <w:right w:val="single" w:sz="2" w:space="0" w:color="auto"/>
            </w:tcBorders>
            <w:shd w:val="clear" w:color="auto" w:fill="auto"/>
            <w:vAlign w:val="center"/>
          </w:tcPr>
          <w:p w:rsidR="00EA7DB4" w:rsidRPr="006E7D0A" w:rsidRDefault="00EA7DB4" w:rsidP="00002754">
            <w:pPr>
              <w:spacing w:before="0" w:after="0"/>
              <w:ind w:right="639"/>
              <w:jc w:val="right"/>
              <w:rPr>
                <w:sz w:val="18"/>
              </w:rPr>
            </w:pPr>
            <w:r w:rsidRPr="006E7D0A">
              <w:rPr>
                <w:sz w:val="18"/>
              </w:rPr>
              <w:t>439,285</w:t>
            </w:r>
          </w:p>
        </w:tc>
      </w:tr>
      <w:tr w:rsidR="00EA7DB4" w:rsidRPr="001B1D95" w:rsidTr="00002754">
        <w:trPr>
          <w:cantSplit/>
          <w:trHeight w:val="283"/>
        </w:trPr>
        <w:tc>
          <w:tcPr>
            <w:tcW w:w="5397" w:type="dxa"/>
            <w:tcBorders>
              <w:top w:val="single" w:sz="2" w:space="0" w:color="auto"/>
              <w:left w:val="single" w:sz="2" w:space="0" w:color="auto"/>
              <w:bottom w:val="single" w:sz="2" w:space="0" w:color="auto"/>
            </w:tcBorders>
            <w:shd w:val="clear" w:color="auto" w:fill="auto"/>
            <w:noWrap/>
            <w:vAlign w:val="center"/>
          </w:tcPr>
          <w:p w:rsidR="00EA7DB4" w:rsidRPr="006E7D0A" w:rsidRDefault="00EA7DB4" w:rsidP="00002754">
            <w:pPr>
              <w:spacing w:before="0" w:after="0"/>
              <w:jc w:val="left"/>
              <w:rPr>
                <w:sz w:val="18"/>
              </w:rPr>
            </w:pPr>
            <w:r w:rsidRPr="006E7D0A">
              <w:rPr>
                <w:color w:val="000000"/>
                <w:sz w:val="18"/>
              </w:rPr>
              <w:t>žst. Stéblová</w:t>
            </w:r>
          </w:p>
        </w:tc>
        <w:tc>
          <w:tcPr>
            <w:tcW w:w="3969" w:type="dxa"/>
            <w:tcBorders>
              <w:top w:val="single" w:sz="2" w:space="0" w:color="auto"/>
              <w:bottom w:val="single" w:sz="2" w:space="0" w:color="auto"/>
              <w:right w:val="single" w:sz="2" w:space="0" w:color="auto"/>
            </w:tcBorders>
            <w:shd w:val="clear" w:color="auto" w:fill="auto"/>
            <w:vAlign w:val="center"/>
          </w:tcPr>
          <w:p w:rsidR="00EA7DB4" w:rsidRPr="006E7D0A" w:rsidRDefault="00EA7DB4" w:rsidP="00002754">
            <w:pPr>
              <w:spacing w:before="0" w:after="0"/>
              <w:ind w:right="639"/>
              <w:jc w:val="right"/>
              <w:rPr>
                <w:kern w:val="28"/>
                <w:sz w:val="18"/>
              </w:rPr>
            </w:pPr>
            <w:r w:rsidRPr="006E7D0A">
              <w:rPr>
                <w:sz w:val="18"/>
              </w:rPr>
              <w:t>243,215</w:t>
            </w:r>
          </w:p>
        </w:tc>
      </w:tr>
      <w:tr w:rsidR="00EA7DB4" w:rsidRPr="001B1D95" w:rsidTr="00002754">
        <w:trPr>
          <w:cantSplit/>
          <w:trHeight w:val="283"/>
        </w:trPr>
        <w:tc>
          <w:tcPr>
            <w:tcW w:w="5397" w:type="dxa"/>
            <w:tcBorders>
              <w:top w:val="single" w:sz="2" w:space="0" w:color="auto"/>
              <w:left w:val="single" w:sz="2" w:space="0" w:color="auto"/>
              <w:bottom w:val="single" w:sz="2" w:space="0" w:color="auto"/>
            </w:tcBorders>
            <w:shd w:val="clear" w:color="auto" w:fill="auto"/>
            <w:noWrap/>
            <w:vAlign w:val="center"/>
          </w:tcPr>
          <w:p w:rsidR="00EA7DB4" w:rsidRPr="006E7D0A" w:rsidRDefault="00EA7DB4" w:rsidP="00002754">
            <w:pPr>
              <w:spacing w:before="0" w:after="0"/>
              <w:jc w:val="left"/>
              <w:rPr>
                <w:sz w:val="18"/>
              </w:rPr>
            </w:pPr>
            <w:r w:rsidRPr="006E7D0A">
              <w:rPr>
                <w:color w:val="000000"/>
                <w:sz w:val="18"/>
              </w:rPr>
              <w:t>Stéblová (mimo) - Opatovice (mimo)</w:t>
            </w:r>
          </w:p>
        </w:tc>
        <w:tc>
          <w:tcPr>
            <w:tcW w:w="3969" w:type="dxa"/>
            <w:tcBorders>
              <w:top w:val="single" w:sz="2" w:space="0" w:color="auto"/>
              <w:bottom w:val="single" w:sz="2" w:space="0" w:color="auto"/>
              <w:right w:val="single" w:sz="2" w:space="0" w:color="auto"/>
            </w:tcBorders>
            <w:shd w:val="clear" w:color="auto" w:fill="auto"/>
            <w:vAlign w:val="center"/>
          </w:tcPr>
          <w:p w:rsidR="00EA7DB4" w:rsidRPr="006E7D0A" w:rsidRDefault="00EA7DB4" w:rsidP="00002754">
            <w:pPr>
              <w:spacing w:before="0" w:after="0"/>
              <w:ind w:right="639"/>
              <w:jc w:val="right"/>
              <w:rPr>
                <w:kern w:val="28"/>
                <w:sz w:val="18"/>
              </w:rPr>
            </w:pPr>
            <w:r w:rsidRPr="006E7D0A">
              <w:rPr>
                <w:sz w:val="18"/>
              </w:rPr>
              <w:t>379,115</w:t>
            </w:r>
          </w:p>
        </w:tc>
      </w:tr>
      <w:tr w:rsidR="00EA7DB4" w:rsidRPr="001B1D95" w:rsidTr="00002754">
        <w:trPr>
          <w:cantSplit/>
          <w:trHeight w:val="283"/>
        </w:trPr>
        <w:tc>
          <w:tcPr>
            <w:tcW w:w="5397" w:type="dxa"/>
            <w:tcBorders>
              <w:top w:val="single" w:sz="2" w:space="0" w:color="auto"/>
              <w:left w:val="single" w:sz="2" w:space="0" w:color="auto"/>
              <w:bottom w:val="single" w:sz="2" w:space="0" w:color="auto"/>
            </w:tcBorders>
            <w:shd w:val="clear" w:color="auto" w:fill="auto"/>
            <w:noWrap/>
            <w:vAlign w:val="center"/>
          </w:tcPr>
          <w:p w:rsidR="00EA7DB4" w:rsidRPr="006E7D0A" w:rsidRDefault="00EA7DB4" w:rsidP="00002754">
            <w:pPr>
              <w:spacing w:before="0" w:after="0"/>
              <w:jc w:val="left"/>
              <w:rPr>
                <w:sz w:val="18"/>
              </w:rPr>
            </w:pPr>
            <w:r w:rsidRPr="006E7D0A">
              <w:rPr>
                <w:color w:val="000000"/>
                <w:sz w:val="18"/>
              </w:rPr>
              <w:t>žst. Opatovice n. L.</w:t>
            </w:r>
          </w:p>
        </w:tc>
        <w:tc>
          <w:tcPr>
            <w:tcW w:w="3969" w:type="dxa"/>
            <w:tcBorders>
              <w:top w:val="single" w:sz="2" w:space="0" w:color="auto"/>
              <w:bottom w:val="single" w:sz="2" w:space="0" w:color="auto"/>
              <w:right w:val="single" w:sz="2" w:space="0" w:color="auto"/>
            </w:tcBorders>
            <w:shd w:val="clear" w:color="auto" w:fill="auto"/>
            <w:vAlign w:val="center"/>
          </w:tcPr>
          <w:p w:rsidR="00EA7DB4" w:rsidRPr="006E7D0A" w:rsidRDefault="00EA7DB4" w:rsidP="00002754">
            <w:pPr>
              <w:spacing w:before="0" w:after="0"/>
              <w:ind w:right="639"/>
              <w:jc w:val="right"/>
              <w:rPr>
                <w:sz w:val="18"/>
              </w:rPr>
            </w:pPr>
            <w:r w:rsidRPr="006E7D0A">
              <w:rPr>
                <w:sz w:val="18"/>
              </w:rPr>
              <w:t>667,633</w:t>
            </w:r>
          </w:p>
        </w:tc>
      </w:tr>
      <w:tr w:rsidR="00EA7DB4" w:rsidRPr="001B1D95" w:rsidTr="00002754">
        <w:trPr>
          <w:cantSplit/>
          <w:trHeight w:val="283"/>
        </w:trPr>
        <w:tc>
          <w:tcPr>
            <w:tcW w:w="5397" w:type="dxa"/>
            <w:tcBorders>
              <w:top w:val="single" w:sz="2" w:space="0" w:color="auto"/>
              <w:left w:val="single" w:sz="2" w:space="0" w:color="auto"/>
              <w:bottom w:val="single" w:sz="2" w:space="0" w:color="auto"/>
            </w:tcBorders>
            <w:shd w:val="clear" w:color="auto" w:fill="auto"/>
            <w:noWrap/>
            <w:vAlign w:val="center"/>
          </w:tcPr>
          <w:p w:rsidR="00EA7DB4" w:rsidRPr="006E7D0A" w:rsidRDefault="00EA7DB4" w:rsidP="00002754">
            <w:pPr>
              <w:spacing w:before="0" w:after="0"/>
              <w:jc w:val="left"/>
              <w:rPr>
                <w:sz w:val="18"/>
              </w:rPr>
            </w:pPr>
            <w:r w:rsidRPr="006E7D0A">
              <w:rPr>
                <w:color w:val="000000"/>
                <w:sz w:val="18"/>
              </w:rPr>
              <w:t>Opatovice n- L-  - Hradec Králové (mimo)</w:t>
            </w:r>
          </w:p>
        </w:tc>
        <w:tc>
          <w:tcPr>
            <w:tcW w:w="3969" w:type="dxa"/>
            <w:tcBorders>
              <w:top w:val="single" w:sz="2" w:space="0" w:color="auto"/>
              <w:bottom w:val="single" w:sz="2" w:space="0" w:color="auto"/>
              <w:right w:val="single" w:sz="2" w:space="0" w:color="auto"/>
            </w:tcBorders>
            <w:shd w:val="clear" w:color="auto" w:fill="auto"/>
            <w:vAlign w:val="center"/>
          </w:tcPr>
          <w:p w:rsidR="00EA7DB4" w:rsidRPr="006E7D0A" w:rsidRDefault="00EA7DB4" w:rsidP="00002754">
            <w:pPr>
              <w:spacing w:before="0" w:after="0"/>
              <w:ind w:right="639"/>
              <w:jc w:val="right"/>
              <w:rPr>
                <w:sz w:val="18"/>
              </w:rPr>
            </w:pPr>
            <w:r w:rsidRPr="006E7D0A">
              <w:rPr>
                <w:sz w:val="18"/>
              </w:rPr>
              <w:t>318,308</w:t>
            </w:r>
          </w:p>
        </w:tc>
      </w:tr>
      <w:tr w:rsidR="00EA7DB4" w:rsidRPr="001B1D95" w:rsidTr="00002754">
        <w:trPr>
          <w:cantSplit/>
          <w:trHeight w:val="283"/>
        </w:trPr>
        <w:tc>
          <w:tcPr>
            <w:tcW w:w="5397" w:type="dxa"/>
            <w:tcBorders>
              <w:top w:val="single" w:sz="2" w:space="0" w:color="auto"/>
              <w:left w:val="single" w:sz="2" w:space="0" w:color="auto"/>
              <w:bottom w:val="single" w:sz="2" w:space="0" w:color="auto"/>
            </w:tcBorders>
            <w:shd w:val="clear" w:color="auto" w:fill="auto"/>
            <w:noWrap/>
            <w:vAlign w:val="center"/>
          </w:tcPr>
          <w:p w:rsidR="00EA7DB4" w:rsidRPr="006E7D0A" w:rsidRDefault="00EA7DB4" w:rsidP="00002754">
            <w:pPr>
              <w:spacing w:before="0" w:after="0"/>
              <w:jc w:val="left"/>
              <w:rPr>
                <w:sz w:val="18"/>
              </w:rPr>
            </w:pPr>
            <w:r w:rsidRPr="006E7D0A">
              <w:rPr>
                <w:color w:val="000000"/>
                <w:sz w:val="18"/>
              </w:rPr>
              <w:t>žst. Hradec Králové hl. n. - jižní zhlaví</w:t>
            </w:r>
          </w:p>
        </w:tc>
        <w:tc>
          <w:tcPr>
            <w:tcW w:w="3969" w:type="dxa"/>
            <w:tcBorders>
              <w:top w:val="single" w:sz="2" w:space="0" w:color="auto"/>
              <w:bottom w:val="single" w:sz="2" w:space="0" w:color="auto"/>
              <w:right w:val="single" w:sz="2" w:space="0" w:color="auto"/>
            </w:tcBorders>
            <w:shd w:val="clear" w:color="auto" w:fill="auto"/>
            <w:vAlign w:val="center"/>
          </w:tcPr>
          <w:p w:rsidR="00EA7DB4" w:rsidRPr="006E7D0A" w:rsidRDefault="00EA7DB4" w:rsidP="00002754">
            <w:pPr>
              <w:spacing w:before="0" w:after="0"/>
              <w:ind w:right="639"/>
              <w:jc w:val="right"/>
              <w:rPr>
                <w:kern w:val="28"/>
                <w:sz w:val="18"/>
              </w:rPr>
            </w:pPr>
            <w:r w:rsidRPr="006E7D0A">
              <w:rPr>
                <w:sz w:val="18"/>
              </w:rPr>
              <w:t>1 027,059</w:t>
            </w:r>
          </w:p>
        </w:tc>
      </w:tr>
      <w:tr w:rsidR="00EA7DB4" w:rsidRPr="001B1D95" w:rsidTr="00002754">
        <w:trPr>
          <w:cantSplit/>
          <w:trHeight w:val="283"/>
        </w:trPr>
        <w:tc>
          <w:tcPr>
            <w:tcW w:w="5397" w:type="dxa"/>
            <w:tcBorders>
              <w:top w:val="single" w:sz="2" w:space="0" w:color="auto"/>
              <w:left w:val="single" w:sz="2" w:space="0" w:color="auto"/>
              <w:bottom w:val="single" w:sz="2" w:space="0" w:color="auto"/>
            </w:tcBorders>
            <w:shd w:val="clear" w:color="auto" w:fill="auto"/>
            <w:noWrap/>
            <w:vAlign w:val="center"/>
          </w:tcPr>
          <w:p w:rsidR="00EA7DB4" w:rsidRPr="006E7D0A" w:rsidRDefault="00EA7DB4" w:rsidP="00002754">
            <w:pPr>
              <w:spacing w:before="0" w:after="0"/>
              <w:jc w:val="left"/>
              <w:rPr>
                <w:b/>
                <w:sz w:val="18"/>
              </w:rPr>
            </w:pPr>
            <w:r w:rsidRPr="006E7D0A">
              <w:rPr>
                <w:b/>
                <w:color w:val="000000"/>
                <w:sz w:val="18"/>
              </w:rPr>
              <w:t>varianta MAXIMÁLNÍ</w:t>
            </w:r>
          </w:p>
        </w:tc>
        <w:tc>
          <w:tcPr>
            <w:tcW w:w="3969" w:type="dxa"/>
            <w:tcBorders>
              <w:top w:val="single" w:sz="2" w:space="0" w:color="auto"/>
              <w:bottom w:val="single" w:sz="2" w:space="0" w:color="auto"/>
              <w:right w:val="single" w:sz="2" w:space="0" w:color="auto"/>
            </w:tcBorders>
            <w:shd w:val="clear" w:color="auto" w:fill="auto"/>
            <w:vAlign w:val="center"/>
          </w:tcPr>
          <w:p w:rsidR="00EA7DB4" w:rsidRPr="006E7D0A" w:rsidRDefault="00EA7DB4" w:rsidP="00002754">
            <w:pPr>
              <w:spacing w:before="0" w:after="0"/>
              <w:ind w:right="639"/>
              <w:jc w:val="right"/>
              <w:rPr>
                <w:b/>
                <w:kern w:val="28"/>
                <w:sz w:val="18"/>
              </w:rPr>
            </w:pPr>
            <w:r w:rsidRPr="006E7D0A">
              <w:rPr>
                <w:b/>
                <w:sz w:val="18"/>
              </w:rPr>
              <w:t>4 012,334</w:t>
            </w:r>
          </w:p>
        </w:tc>
      </w:tr>
    </w:tbl>
    <w:p w:rsidR="00D92957" w:rsidRDefault="00D92957" w:rsidP="00D92957">
      <w:pPr>
        <w:pStyle w:val="Nadpis2"/>
      </w:pPr>
      <w:bookmarkStart w:id="104" w:name="_Toc390958697"/>
      <w:r>
        <w:t xml:space="preserve">Posouzení </w:t>
      </w:r>
      <w:r w:rsidR="004461FB">
        <w:t xml:space="preserve">modernizace </w:t>
      </w:r>
      <w:r>
        <w:t xml:space="preserve">z hlediska </w:t>
      </w:r>
      <w:r w:rsidR="00FE4338">
        <w:t>interoperability</w:t>
      </w:r>
      <w:bookmarkEnd w:id="104"/>
    </w:p>
    <w:p w:rsidR="004461FB" w:rsidRDefault="00972F7A" w:rsidP="00D13FB3">
      <w:pPr>
        <w:pStyle w:val="Nadpis3"/>
        <w:ind w:hanging="8234"/>
      </w:pPr>
      <w:r>
        <w:t>Legislativní rámec problematiky</w:t>
      </w:r>
    </w:p>
    <w:p w:rsidR="00FE4338" w:rsidRDefault="00133081">
      <w:r>
        <w:t xml:space="preserve">Podle platného českého Zákona č. 266/1994 Sb., o dráhách, v platném znění náleží každá železniční trať </w:t>
      </w:r>
      <w:r w:rsidR="00FE4338">
        <w:t xml:space="preserve">na českém území </w:t>
      </w:r>
      <w:r>
        <w:t xml:space="preserve">do jedné z následujících kategorií: dráha celostátní, dráha regionální, vlečka a dráha speciální. </w:t>
      </w:r>
    </w:p>
    <w:p w:rsidR="00D92957" w:rsidRDefault="00FE4338">
      <w:r>
        <w:t>P</w:t>
      </w:r>
      <w:r w:rsidRPr="002101F5">
        <w:t>odle</w:t>
      </w:r>
      <w:r>
        <w:t xml:space="preserve"> </w:t>
      </w:r>
      <w:r w:rsidRPr="00133081">
        <w:t>Směrnice Evropského parlamentu a Rady č. 2008/57/ES o interoperabilitě železničního systému ve Společenství, ve znění směrnice č. 2009/131/ES</w:t>
      </w:r>
      <w:r>
        <w:t xml:space="preserve"> musí v</w:t>
      </w:r>
      <w:r w:rsidR="00133081">
        <w:t>šechny tzv. železniční strukturální subsystémy</w:t>
      </w:r>
      <w:r w:rsidR="00133081" w:rsidRPr="002101F5">
        <w:t xml:space="preserve"> </w:t>
      </w:r>
      <w:r>
        <w:t xml:space="preserve">na území EU </w:t>
      </w:r>
      <w:r w:rsidR="00133081">
        <w:t xml:space="preserve">splňovat pravidla interoperability </w:t>
      </w:r>
      <w:r w:rsidR="00133081" w:rsidRPr="002101F5">
        <w:t>evropského železničního systému</w:t>
      </w:r>
      <w:r w:rsidR="00133081" w:rsidRPr="00133081">
        <w:t>.</w:t>
      </w:r>
      <w:r w:rsidR="00133081">
        <w:t xml:space="preserve"> </w:t>
      </w:r>
      <w:r w:rsidR="00133081" w:rsidRPr="002101F5">
        <w:t>V České republice byla uplatněna výjimka z této směrnice</w:t>
      </w:r>
      <w:r w:rsidR="00133081">
        <w:t xml:space="preserve"> v tom smyslu, že</w:t>
      </w:r>
      <w:r w:rsidR="00133081" w:rsidRPr="002101F5">
        <w:t xml:space="preserve"> výše uvedený předpis se vztahuje pouze na celostátní dráhy.</w:t>
      </w:r>
    </w:p>
    <w:p w:rsidR="00FE4338" w:rsidRDefault="00133081" w:rsidP="00FE4338">
      <w:r>
        <w:t>R</w:t>
      </w:r>
      <w:r w:rsidRPr="002101F5">
        <w:t xml:space="preserve">ozhodnutí </w:t>
      </w:r>
      <w:r>
        <w:t>Evropského parlamentu a Rady č. </w:t>
      </w:r>
      <w:r w:rsidRPr="002101F5">
        <w:t>2010/661/EU</w:t>
      </w:r>
      <w:r>
        <w:t xml:space="preserve"> ze dne 7.</w:t>
      </w:r>
      <w:r w:rsidR="00FE4338">
        <w:t xml:space="preserve"> </w:t>
      </w:r>
      <w:r>
        <w:t>7.</w:t>
      </w:r>
      <w:r w:rsidR="00FE4338">
        <w:t xml:space="preserve"> </w:t>
      </w:r>
      <w:r>
        <w:t xml:space="preserve">2010 o hlavních směrech Unie pro rozvoj transevropských dopravních sítí </w:t>
      </w:r>
      <w:r w:rsidR="00FE4338">
        <w:t>definovalo tratě tvořící tzv. transevropský železniční systém, což je jediný systém, na který se v současné době vztahuje působnost tzv. technických specifikací interoperability, zatímco na ostatní součásti celostátní dráhy se tyto specifikace nevztahují.</w:t>
      </w:r>
    </w:p>
    <w:p w:rsidR="00FE4338" w:rsidRDefault="00FE4338" w:rsidP="00FE4338">
      <w:r w:rsidRPr="002101F5">
        <w:t xml:space="preserve">V průběhu novelizací </w:t>
      </w:r>
      <w:r>
        <w:t>TSI se předpokládá, že</w:t>
      </w:r>
      <w:r w:rsidRPr="002101F5">
        <w:t xml:space="preserve"> dojde k rozšíření zeměpisné oblasti </w:t>
      </w:r>
      <w:r>
        <w:t xml:space="preserve">jejich </w:t>
      </w:r>
      <w:r w:rsidR="00A0422E">
        <w:t xml:space="preserve">působnosti </w:t>
      </w:r>
      <w:r w:rsidRPr="002101F5">
        <w:t xml:space="preserve">na </w:t>
      </w:r>
      <w:r w:rsidR="00A0422E">
        <w:t>celý</w:t>
      </w:r>
      <w:r>
        <w:t xml:space="preserve"> </w:t>
      </w:r>
      <w:r w:rsidR="00A0422E">
        <w:t>evropský železniční systém</w:t>
      </w:r>
      <w:r>
        <w:t xml:space="preserve"> (</w:t>
      </w:r>
      <w:r w:rsidRPr="002101F5">
        <w:t xml:space="preserve">tj. </w:t>
      </w:r>
      <w:r>
        <w:t xml:space="preserve">na </w:t>
      </w:r>
      <w:r w:rsidRPr="002101F5">
        <w:t>všech</w:t>
      </w:r>
      <w:r w:rsidR="00A0422E">
        <w:t>ny celostátní dráhy</w:t>
      </w:r>
      <w:r>
        <w:t>)</w:t>
      </w:r>
      <w:r w:rsidR="00A0422E">
        <w:t xml:space="preserve">. </w:t>
      </w:r>
      <w:r w:rsidR="00004A37">
        <w:t xml:space="preserve">Proto </w:t>
      </w:r>
      <w:r w:rsidR="00A0422E">
        <w:t>lze v budoucn</w:t>
      </w:r>
      <w:r w:rsidR="00004A37">
        <w:t>osti</w:t>
      </w:r>
      <w:r w:rsidR="00A0422E">
        <w:t xml:space="preserve"> očekávat povinnost splnění požadavků jednotlivých TSI. </w:t>
      </w:r>
      <w:r w:rsidR="00004A37">
        <w:t xml:space="preserve">Dosažení plné interoperability je žádoucí i z důvodu potenciálního využití tratě pro doklonovou vozbu. </w:t>
      </w:r>
      <w:r w:rsidR="00A0422E">
        <w:t>Z toho důvodu předkládá zpracovatel přehled parametrů a jejich hodnot, které by bylo nutné výhledově plnit, tak, jak jej upravuje stávající znění TSI pro infrastrukturu konvenčního evropského železničního systému (Směrnice 2008/57/ES</w:t>
      </w:r>
      <w:r w:rsidR="004461FB">
        <w:t>)</w:t>
      </w:r>
      <w:r w:rsidR="00A0422E">
        <w:t>.</w:t>
      </w:r>
    </w:p>
    <w:p w:rsidR="00C24305" w:rsidRDefault="00C24305">
      <w:pPr>
        <w:suppressAutoHyphens w:val="0"/>
        <w:spacing w:before="0" w:after="0" w:line="240" w:lineRule="auto"/>
        <w:jc w:val="left"/>
        <w:rPr>
          <w:b/>
          <w:bCs/>
          <w:sz w:val="24"/>
        </w:rPr>
      </w:pPr>
      <w:r>
        <w:br w:type="page"/>
      </w:r>
    </w:p>
    <w:p w:rsidR="004461FB" w:rsidRDefault="004461FB" w:rsidP="00D13FB3">
      <w:pPr>
        <w:pStyle w:val="Nadpis3"/>
        <w:ind w:hanging="8234"/>
      </w:pPr>
      <w:r>
        <w:t>Základní parametry</w:t>
      </w:r>
    </w:p>
    <w:p w:rsidR="004461FB" w:rsidRDefault="004461FB" w:rsidP="004461FB">
      <w:pPr>
        <w:rPr>
          <w:rFonts w:eastAsia="MS Mincho"/>
          <w:bCs/>
        </w:rPr>
      </w:pPr>
      <w:r w:rsidRPr="000E24F7">
        <w:t xml:space="preserve">Základními parametry pro dosažení provozní a technické propojenosti evropského železničního systému (dále jen "interoperabilita"), které musí být definovány v souladu s technickými specifikacemi propojenosti (dále jen "technické specifikace interoperability") v technické dokumentaci staveb dráhy, technických podmínkách technologických zařízení dopravní cesty dráhy nebo technických podmínkách kolejových vozidel, </w:t>
      </w:r>
      <w:r>
        <w:t xml:space="preserve">dle </w:t>
      </w:r>
      <w:r>
        <w:rPr>
          <w:rFonts w:eastAsia="MS Mincho"/>
          <w:bCs/>
        </w:rPr>
        <w:t xml:space="preserve">vyhlášky </w:t>
      </w:r>
      <w:r w:rsidRPr="000E24F7">
        <w:rPr>
          <w:rFonts w:eastAsia="MS Mincho"/>
          <w:bCs/>
        </w:rPr>
        <w:t>352/2004 Sb. o provozní a technické propojenosti evropského železniční</w:t>
      </w:r>
      <w:r>
        <w:rPr>
          <w:rFonts w:eastAsia="MS Mincho"/>
          <w:bCs/>
        </w:rPr>
        <w:t xml:space="preserve">ho systému </w:t>
      </w:r>
      <w:r w:rsidRPr="000E24F7">
        <w:rPr>
          <w:rFonts w:eastAsia="MS Mincho"/>
          <w:bCs/>
        </w:rPr>
        <w:t>ve znění vyhlášky č.  377/2006 Sb.</w:t>
      </w:r>
      <w:r>
        <w:rPr>
          <w:rFonts w:eastAsia="MS Mincho"/>
          <w:bCs/>
        </w:rPr>
        <w:t xml:space="preserve"> </w:t>
      </w:r>
      <w:r w:rsidRPr="000E24F7">
        <w:t>jsou:</w:t>
      </w:r>
    </w:p>
    <w:p w:rsidR="00631EAB" w:rsidRDefault="004461FB" w:rsidP="00D20948">
      <w:pPr>
        <w:pStyle w:val="Odstavecseseznamem"/>
        <w:numPr>
          <w:ilvl w:val="0"/>
          <w:numId w:val="29"/>
        </w:numPr>
        <w:spacing w:before="120" w:after="120"/>
        <w:ind w:left="1060" w:hanging="703"/>
        <w:rPr>
          <w:rFonts w:eastAsia="MS Mincho"/>
        </w:rPr>
      </w:pPr>
      <w:r w:rsidRPr="004162DD">
        <w:rPr>
          <w:rFonts w:eastAsia="MS Mincho"/>
        </w:rPr>
        <w:t>průjezdný průřez,</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minimální poloměr oblouku koleje,</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rozchod koleje,</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maximální zatížení koleje,</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minimální délka nástupiště,</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výška nástupiště,</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napájecí napětí trolejového vedení,</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geometrie trolejového vedení,</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vlastnosti evropského systému řízení železničního provozu (ve zkratce "ERTMS"),</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hmotnost na nápravu,</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maximální délka vlaku,</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statický a kinematický obrys kolejového vozidla,</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minimální brzdné vlastnosti,</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mezní elektrické hodnoty pro kolejové vozidlo,</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mezní mechanické hodnoty pro kolejové vozidlo,</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provozní vlastnosti spojené s bezpečností vlakové dopravy,</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mezní hodnoty pro vnější hluk,</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mezní hodnoty pro vnější vibrace,</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mezní hodnoty pro vnější elektromagnetické rušení,</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mezní hodnoty pro vnitřní hluk,</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mezní hodnoty pro klimatizaci,</w:t>
      </w:r>
    </w:p>
    <w:p w:rsidR="00631EAB" w:rsidRDefault="004461FB" w:rsidP="00D20948">
      <w:pPr>
        <w:pStyle w:val="Odstavecseseznamem"/>
        <w:numPr>
          <w:ilvl w:val="0"/>
          <w:numId w:val="29"/>
        </w:numPr>
        <w:spacing w:before="120" w:after="120"/>
        <w:ind w:left="1060" w:hanging="703"/>
        <w:rPr>
          <w:rFonts w:eastAsia="MS Mincho"/>
          <w:bCs/>
        </w:rPr>
      </w:pPr>
      <w:r>
        <w:rPr>
          <w:rFonts w:eastAsia="MS Mincho"/>
        </w:rPr>
        <w:t>zajišťování podmínek pro přepravu osob s omezenou schopností pohybu a orientace.</w:t>
      </w:r>
    </w:p>
    <w:p w:rsidR="004461FB" w:rsidRDefault="004461FB" w:rsidP="004461FB">
      <w:pPr>
        <w:rPr>
          <w:rFonts w:eastAsia="MS Mincho"/>
        </w:rPr>
      </w:pPr>
      <w:r>
        <w:rPr>
          <w:rFonts w:eastAsia="MS Mincho"/>
        </w:rPr>
        <w:t>Základní parametry jsou spolu s dalšími podrobněji specifikovány v kapitolách o jednotlivých subsystémech. V průběhu procesu tvorby projektové dokumentace pro návrh novostavby / modernizace / optimalizace / revitalizace železniční trati je třeba prověřit vyhovění bodům a) až m) a p) až s).</w:t>
      </w:r>
    </w:p>
    <w:p w:rsidR="00C65DA3" w:rsidRDefault="00C65DA3">
      <w:pPr>
        <w:suppressAutoHyphens w:val="0"/>
        <w:spacing w:before="0" w:after="0" w:line="240" w:lineRule="auto"/>
        <w:jc w:val="left"/>
        <w:rPr>
          <w:b/>
          <w:bCs/>
          <w:sz w:val="24"/>
        </w:rPr>
      </w:pPr>
      <w:r>
        <w:br w:type="page"/>
      </w:r>
    </w:p>
    <w:p w:rsidR="004461FB" w:rsidRDefault="004461FB" w:rsidP="00D13FB3">
      <w:pPr>
        <w:pStyle w:val="Nadpis3"/>
        <w:ind w:hanging="8234"/>
      </w:pPr>
      <w:r>
        <w:t>Subsystémy evropského konvenčního železničního systému</w:t>
      </w:r>
    </w:p>
    <w:p w:rsidR="004461FB" w:rsidRDefault="004461FB" w:rsidP="004461FB">
      <w:r>
        <w:t>Evropský železniční systém se dělí na subsystémy</w:t>
      </w:r>
    </w:p>
    <w:p w:rsidR="00631EAB" w:rsidRDefault="004461FB" w:rsidP="00D20948">
      <w:pPr>
        <w:pStyle w:val="Odstavecseseznamem"/>
        <w:numPr>
          <w:ilvl w:val="0"/>
          <w:numId w:val="30"/>
        </w:numPr>
        <w:spacing w:before="120" w:after="120"/>
      </w:pPr>
      <w:r>
        <w:t>ve strukturální oblasti:</w:t>
      </w:r>
    </w:p>
    <w:p w:rsidR="00631EAB" w:rsidRDefault="004461FB" w:rsidP="00D20948">
      <w:pPr>
        <w:pStyle w:val="Odstavecseseznamem"/>
        <w:numPr>
          <w:ilvl w:val="1"/>
          <w:numId w:val="30"/>
        </w:numPr>
        <w:spacing w:before="120" w:after="120"/>
      </w:pPr>
      <w:r>
        <w:t>dopravní cesta dráhy („infrastruktura“) – „TSI INF“</w:t>
      </w:r>
    </w:p>
    <w:p w:rsidR="00631EAB" w:rsidRDefault="004461FB" w:rsidP="00D20948">
      <w:pPr>
        <w:pStyle w:val="Odstavecseseznamem"/>
        <w:numPr>
          <w:ilvl w:val="1"/>
          <w:numId w:val="30"/>
        </w:numPr>
        <w:spacing w:before="120" w:after="120"/>
      </w:pPr>
      <w:r>
        <w:t>energie – „TSI ENE“</w:t>
      </w:r>
    </w:p>
    <w:p w:rsidR="00631EAB" w:rsidRDefault="004461FB" w:rsidP="00D20948">
      <w:pPr>
        <w:pStyle w:val="Odstavecseseznamem"/>
        <w:numPr>
          <w:ilvl w:val="1"/>
          <w:numId w:val="30"/>
        </w:numPr>
        <w:spacing w:before="120" w:after="120"/>
      </w:pPr>
      <w:r>
        <w:t>řízení a zabezpečení – „TSI CCS“</w:t>
      </w:r>
    </w:p>
    <w:p w:rsidR="00631EAB" w:rsidRDefault="004461FB" w:rsidP="00D20948">
      <w:pPr>
        <w:pStyle w:val="Odstavecseseznamem"/>
        <w:numPr>
          <w:ilvl w:val="1"/>
          <w:numId w:val="30"/>
        </w:numPr>
        <w:spacing w:before="120" w:after="120"/>
      </w:pPr>
      <w:r>
        <w:t>provozování dráhy a organizace drážní dopravy („provoz“) – „TSI OPE“</w:t>
      </w:r>
    </w:p>
    <w:p w:rsidR="00631EAB" w:rsidRDefault="004461FB" w:rsidP="00D20948">
      <w:pPr>
        <w:pStyle w:val="Odstavecseseznamem"/>
        <w:numPr>
          <w:ilvl w:val="1"/>
          <w:numId w:val="30"/>
        </w:numPr>
        <w:spacing w:before="120" w:after="120"/>
      </w:pPr>
      <w:r>
        <w:t>kolejová vozidla – „TSI CR“</w:t>
      </w:r>
    </w:p>
    <w:p w:rsidR="00631EAB" w:rsidRDefault="004461FB" w:rsidP="00D20948">
      <w:pPr>
        <w:pStyle w:val="Odstavecseseznamem"/>
        <w:numPr>
          <w:ilvl w:val="0"/>
          <w:numId w:val="30"/>
        </w:numPr>
        <w:spacing w:before="120" w:after="120"/>
      </w:pPr>
      <w:r>
        <w:t>v provozní oblasti</w:t>
      </w:r>
    </w:p>
    <w:p w:rsidR="00631EAB" w:rsidRDefault="004461FB" w:rsidP="00D20948">
      <w:pPr>
        <w:pStyle w:val="Odstavecseseznamem"/>
        <w:numPr>
          <w:ilvl w:val="1"/>
          <w:numId w:val="30"/>
        </w:numPr>
        <w:spacing w:before="120" w:after="120"/>
      </w:pPr>
      <w:r>
        <w:t>údržba – „TSI MAI“</w:t>
      </w:r>
    </w:p>
    <w:p w:rsidR="00631EAB" w:rsidRDefault="004461FB" w:rsidP="00D20948">
      <w:pPr>
        <w:pStyle w:val="Odstavecseseznamem"/>
        <w:numPr>
          <w:ilvl w:val="1"/>
          <w:numId w:val="30"/>
        </w:numPr>
        <w:spacing w:before="120" w:after="120"/>
      </w:pPr>
      <w:r>
        <w:t>využití integrace přenosu a zpracování dat a souvisejících informací v osobní a nákladní dopravě („telematika“) – „TSI TAF“.</w:t>
      </w:r>
    </w:p>
    <w:p w:rsidR="004461FB" w:rsidRDefault="004461FB" w:rsidP="00D13FB3">
      <w:pPr>
        <w:pStyle w:val="Nadpis3"/>
        <w:ind w:hanging="8234"/>
      </w:pPr>
      <w:r>
        <w:t>Popis subsystémů</w:t>
      </w:r>
    </w:p>
    <w:p w:rsidR="004461FB" w:rsidRPr="00DB4CDB" w:rsidRDefault="004461FB" w:rsidP="004461FB">
      <w:r>
        <w:rPr>
          <w:rFonts w:eastAsia="MS Mincho"/>
        </w:rPr>
        <w:t xml:space="preserve">Subsystémy evropského železničního systému ve </w:t>
      </w:r>
      <w:r w:rsidRPr="00DB4CDB">
        <w:rPr>
          <w:rFonts w:eastAsia="MS Mincho"/>
          <w:b/>
        </w:rPr>
        <w:t>strukturální</w:t>
      </w:r>
      <w:r>
        <w:rPr>
          <w:rFonts w:eastAsia="MS Mincho"/>
        </w:rPr>
        <w:t xml:space="preserve"> oblasti zahrnují</w:t>
      </w:r>
    </w:p>
    <w:p w:rsidR="00631EAB" w:rsidRDefault="004461FB" w:rsidP="00D20948">
      <w:pPr>
        <w:pStyle w:val="Odstavecseseznamem"/>
        <w:numPr>
          <w:ilvl w:val="0"/>
          <w:numId w:val="31"/>
        </w:numPr>
        <w:spacing w:before="120" w:after="120"/>
        <w:rPr>
          <w:rFonts w:eastAsia="MS Mincho"/>
        </w:rPr>
      </w:pPr>
      <w:r w:rsidRPr="004162DD">
        <w:rPr>
          <w:rFonts w:eastAsia="MS Mincho"/>
        </w:rPr>
        <w:t>infrastrukturu, tvořenou železničním spodkem, sv</w:t>
      </w:r>
      <w:r>
        <w:rPr>
          <w:rFonts w:eastAsia="MS Mincho"/>
        </w:rPr>
        <w:t xml:space="preserve">rškem a umělými stavbami, tj. </w:t>
      </w:r>
      <w:r w:rsidRPr="004162DD">
        <w:rPr>
          <w:rFonts w:eastAsia="MS Mincho"/>
        </w:rPr>
        <w:t>zejména trať, kolejnice, pražce, výhybky, zvlá</w:t>
      </w:r>
      <w:r>
        <w:rPr>
          <w:rFonts w:eastAsia="MS Mincho"/>
        </w:rPr>
        <w:t xml:space="preserve">štní konstrukce a konstrukční </w:t>
      </w:r>
      <w:r w:rsidRPr="004162DD">
        <w:rPr>
          <w:rFonts w:eastAsia="MS Mincho"/>
        </w:rPr>
        <w:t>prvky, inženýrské stavby, např. mosty,</w:t>
      </w:r>
      <w:r>
        <w:rPr>
          <w:rFonts w:eastAsia="MS Mincho"/>
        </w:rPr>
        <w:t xml:space="preserve"> tunely, související staniční </w:t>
      </w:r>
      <w:r w:rsidRPr="004162DD">
        <w:rPr>
          <w:rFonts w:eastAsia="MS Mincho"/>
        </w:rPr>
        <w:t>infrastrukturu, např. nástupiště, přístupové cesty včetně zařízení pro osoby</w:t>
      </w:r>
      <w:r>
        <w:rPr>
          <w:rFonts w:eastAsia="MS Mincho"/>
        </w:rPr>
        <w:t xml:space="preserve"> s </w:t>
      </w:r>
      <w:r w:rsidRPr="004162DD">
        <w:rPr>
          <w:rFonts w:eastAsia="MS Mincho"/>
        </w:rPr>
        <w:t>omezenou schopností pohybu a orientace, bezp</w:t>
      </w:r>
      <w:r>
        <w:rPr>
          <w:rFonts w:eastAsia="MS Mincho"/>
        </w:rPr>
        <w:t xml:space="preserve">ečnostní a ochranná zařízení, </w:t>
      </w:r>
      <w:r w:rsidRPr="004162DD">
        <w:rPr>
          <w:rFonts w:eastAsia="MS Mincho"/>
        </w:rPr>
        <w:t>např. oplocení, zábradlí, protihlukové stěny,</w:t>
      </w:r>
    </w:p>
    <w:p w:rsidR="00631EAB" w:rsidRDefault="004461FB" w:rsidP="00D20948">
      <w:pPr>
        <w:pStyle w:val="Odstavecseseznamem"/>
        <w:numPr>
          <w:ilvl w:val="0"/>
          <w:numId w:val="31"/>
        </w:numPr>
        <w:spacing w:before="120" w:after="120"/>
        <w:rPr>
          <w:rFonts w:eastAsia="MS Mincho"/>
        </w:rPr>
      </w:pPr>
      <w:r w:rsidRPr="004162DD">
        <w:rPr>
          <w:rFonts w:eastAsia="MS Mincho"/>
        </w:rPr>
        <w:t>energie, tj. elektrizační zařízení včetně sp</w:t>
      </w:r>
      <w:r>
        <w:rPr>
          <w:rFonts w:eastAsia="MS Mincho"/>
        </w:rPr>
        <w:t xml:space="preserve">olupráce trolejového vedení a </w:t>
      </w:r>
      <w:r w:rsidRPr="004162DD">
        <w:rPr>
          <w:rFonts w:eastAsia="MS Mincho"/>
        </w:rPr>
        <w:t>sběrače proudu, podmínky elektrických napájec</w:t>
      </w:r>
      <w:r>
        <w:rPr>
          <w:rFonts w:eastAsia="MS Mincho"/>
        </w:rPr>
        <w:t xml:space="preserve">ích systémů a zásobování </w:t>
      </w:r>
      <w:r w:rsidRPr="004162DD">
        <w:rPr>
          <w:rFonts w:eastAsia="MS Mincho"/>
        </w:rPr>
        <w:t>elektřinou a jinými energiemi,</w:t>
      </w:r>
    </w:p>
    <w:p w:rsidR="00631EAB" w:rsidRDefault="004461FB" w:rsidP="00D20948">
      <w:pPr>
        <w:pStyle w:val="Odstavecseseznamem"/>
        <w:numPr>
          <w:ilvl w:val="0"/>
          <w:numId w:val="31"/>
        </w:numPr>
        <w:spacing w:before="120" w:after="120"/>
        <w:rPr>
          <w:rFonts w:eastAsia="MS Mincho"/>
        </w:rPr>
      </w:pPr>
      <w:r w:rsidRPr="004162DD">
        <w:rPr>
          <w:rFonts w:eastAsia="MS Mincho"/>
        </w:rPr>
        <w:t>řízení a zabezpečení, tj. veškeré zařízení ne</w:t>
      </w:r>
      <w:r>
        <w:rPr>
          <w:rFonts w:eastAsia="MS Mincho"/>
        </w:rPr>
        <w:t xml:space="preserve">zbytné k zajištění komunikace </w:t>
      </w:r>
      <w:r w:rsidRPr="004162DD">
        <w:rPr>
          <w:rFonts w:eastAsia="MS Mincho"/>
        </w:rPr>
        <w:t>mezi řízením dopravy a vlakovým personálem, k zaj</w:t>
      </w:r>
      <w:r>
        <w:rPr>
          <w:rFonts w:eastAsia="MS Mincho"/>
        </w:rPr>
        <w:t xml:space="preserve">ištění bezpečného provozování </w:t>
      </w:r>
      <w:r w:rsidRPr="004162DD">
        <w:rPr>
          <w:rFonts w:eastAsia="MS Mincho"/>
        </w:rPr>
        <w:t>dráhy a drážní dopravy, jakož i k ovládání a říze</w:t>
      </w:r>
      <w:r>
        <w:rPr>
          <w:rFonts w:eastAsia="MS Mincho"/>
        </w:rPr>
        <w:t xml:space="preserve">ní pohybu vlaků oprávněných k </w:t>
      </w:r>
      <w:r w:rsidRPr="004162DD">
        <w:rPr>
          <w:rFonts w:eastAsia="MS Mincho"/>
        </w:rPr>
        <w:t>jízdě po dráze,</w:t>
      </w:r>
    </w:p>
    <w:p w:rsidR="00631EAB" w:rsidRDefault="004461FB" w:rsidP="00D20948">
      <w:pPr>
        <w:pStyle w:val="Odstavecseseznamem"/>
        <w:numPr>
          <w:ilvl w:val="0"/>
          <w:numId w:val="31"/>
        </w:numPr>
        <w:spacing w:before="120" w:after="120"/>
        <w:rPr>
          <w:rFonts w:eastAsia="MS Mincho"/>
        </w:rPr>
      </w:pPr>
      <w:r w:rsidRPr="00DB4CDB">
        <w:rPr>
          <w:rFonts w:eastAsia="MS Mincho"/>
        </w:rPr>
        <w:t>provoz, tj. postupy a související zařízení um</w:t>
      </w:r>
      <w:r>
        <w:rPr>
          <w:rFonts w:eastAsia="MS Mincho"/>
        </w:rPr>
        <w:t xml:space="preserve">ožňující nepřetržitou činnost </w:t>
      </w:r>
      <w:r w:rsidRPr="00DB4CDB">
        <w:rPr>
          <w:rFonts w:eastAsia="MS Mincho"/>
        </w:rPr>
        <w:t>různých strukturálních subsystémů jak běhe</w:t>
      </w:r>
      <w:r>
        <w:rPr>
          <w:rFonts w:eastAsia="MS Mincho"/>
        </w:rPr>
        <w:t xml:space="preserve">m normálního, tak mimořádného </w:t>
      </w:r>
      <w:r w:rsidRPr="00DB4CDB">
        <w:rPr>
          <w:rFonts w:eastAsia="MS Mincho"/>
        </w:rPr>
        <w:t>provozování systému, zejména plánování, organiza</w:t>
      </w:r>
      <w:r>
        <w:rPr>
          <w:rFonts w:eastAsia="MS Mincho"/>
        </w:rPr>
        <w:t xml:space="preserve">ce a řízení dopravy. Součástí </w:t>
      </w:r>
      <w:r w:rsidRPr="00DB4CDB">
        <w:rPr>
          <w:rFonts w:eastAsia="MS Mincho"/>
        </w:rPr>
        <w:t>je odborná způsobilost, která může být vyžado</w:t>
      </w:r>
      <w:r>
        <w:rPr>
          <w:rFonts w:eastAsia="MS Mincho"/>
        </w:rPr>
        <w:t xml:space="preserve">vána provozovatelem dráhy pro </w:t>
      </w:r>
      <w:r w:rsidRPr="00DB4CDB">
        <w:rPr>
          <w:rFonts w:eastAsia="MS Mincho"/>
        </w:rPr>
        <w:t>provozování mezinárodní drážní dopravy,</w:t>
      </w:r>
    </w:p>
    <w:p w:rsidR="00631EAB" w:rsidRDefault="004461FB" w:rsidP="00D20948">
      <w:pPr>
        <w:pStyle w:val="Odstavecseseznamem"/>
        <w:numPr>
          <w:ilvl w:val="0"/>
          <w:numId w:val="31"/>
        </w:numPr>
        <w:spacing w:before="120" w:after="120"/>
        <w:rPr>
          <w:rFonts w:eastAsia="MS Mincho"/>
        </w:rPr>
      </w:pPr>
      <w:r w:rsidRPr="00DB4CDB">
        <w:rPr>
          <w:rFonts w:eastAsia="MS Mincho"/>
        </w:rPr>
        <w:t>kolejová vozidla, jejichž součástí je strukt</w:t>
      </w:r>
      <w:r>
        <w:rPr>
          <w:rFonts w:eastAsia="MS Mincho"/>
        </w:rPr>
        <w:t>ura vozidlového parku, systémy o</w:t>
      </w:r>
      <w:r w:rsidRPr="00DB4CDB">
        <w:rPr>
          <w:rFonts w:eastAsia="MS Mincho"/>
        </w:rPr>
        <w:t>vládání a řízení veškerých zařízení na kolejovýc</w:t>
      </w:r>
      <w:r>
        <w:rPr>
          <w:rFonts w:eastAsia="MS Mincho"/>
        </w:rPr>
        <w:t xml:space="preserve">h vozidlech, trakční jednotky </w:t>
      </w:r>
      <w:r w:rsidRPr="00DB4CDB">
        <w:rPr>
          <w:rFonts w:eastAsia="MS Mincho"/>
        </w:rPr>
        <w:t>a agregáty na přeměnu energie, brzdové, spřáhlové a pojezdové mechanismy (podvozky, nápravy atd.) a jejich zavěšení, dveře vozidel, rozhraní člověk - stroj (např. rozhraní mezi osobou řídící kolejové vozidlo, doprovodem vlaku a  cestujícími včetně zařízení pro osoby s omezenou schopností pohybu a orientace), pasivní nebo aktivní bezpečnostní zařízení ve vozidlech a opatření pro ochranu zdraví cestujících a doprovodu vlaku.</w:t>
      </w:r>
    </w:p>
    <w:p w:rsidR="00C65DA3" w:rsidRDefault="00C65DA3">
      <w:pPr>
        <w:suppressAutoHyphens w:val="0"/>
        <w:spacing w:before="0" w:after="0" w:line="240" w:lineRule="auto"/>
        <w:jc w:val="left"/>
        <w:rPr>
          <w:rFonts w:eastAsia="MS Mincho"/>
        </w:rPr>
      </w:pPr>
      <w:r>
        <w:rPr>
          <w:rFonts w:eastAsia="MS Mincho"/>
        </w:rPr>
        <w:br w:type="page"/>
      </w:r>
    </w:p>
    <w:p w:rsidR="004461FB" w:rsidRDefault="004461FB" w:rsidP="004461FB">
      <w:pPr>
        <w:rPr>
          <w:rFonts w:eastAsia="MS Mincho"/>
        </w:rPr>
      </w:pPr>
      <w:r>
        <w:rPr>
          <w:rFonts w:eastAsia="MS Mincho"/>
        </w:rPr>
        <w:t xml:space="preserve">Subsystémy evropského železničního systému v </w:t>
      </w:r>
      <w:r w:rsidRPr="00DB4CDB">
        <w:rPr>
          <w:rFonts w:eastAsia="MS Mincho"/>
          <w:b/>
        </w:rPr>
        <w:t>provozní</w:t>
      </w:r>
      <w:r>
        <w:rPr>
          <w:rFonts w:eastAsia="MS Mincho"/>
        </w:rPr>
        <w:t xml:space="preserve"> oblasti zahrnují</w:t>
      </w:r>
    </w:p>
    <w:p w:rsidR="00631EAB" w:rsidRDefault="004461FB" w:rsidP="00D20948">
      <w:pPr>
        <w:pStyle w:val="Odstavecseseznamem"/>
        <w:numPr>
          <w:ilvl w:val="0"/>
          <w:numId w:val="32"/>
        </w:numPr>
        <w:spacing w:before="120" w:after="120"/>
        <w:rPr>
          <w:rFonts w:eastAsia="MS Mincho"/>
        </w:rPr>
      </w:pPr>
      <w:r w:rsidRPr="00DB4CDB">
        <w:rPr>
          <w:rFonts w:eastAsia="MS Mincho"/>
        </w:rPr>
        <w:t>údržbu, sestávající se z postupů, souvise</w:t>
      </w:r>
      <w:r>
        <w:rPr>
          <w:rFonts w:eastAsia="MS Mincho"/>
        </w:rPr>
        <w:t xml:space="preserve">jících zařízení, logistických </w:t>
      </w:r>
      <w:r w:rsidRPr="00DB4CDB">
        <w:rPr>
          <w:rFonts w:eastAsia="MS Mincho"/>
        </w:rPr>
        <w:t>pracovišť pro údržbu včetně rezerv um</w:t>
      </w:r>
      <w:r>
        <w:rPr>
          <w:rFonts w:eastAsia="MS Mincho"/>
        </w:rPr>
        <w:t xml:space="preserve">ožňujících povinnou opravnou a </w:t>
      </w:r>
      <w:r w:rsidRPr="00DB4CDB">
        <w:rPr>
          <w:rFonts w:eastAsia="MS Mincho"/>
        </w:rPr>
        <w:t>preventivní údržbu k zajištění interoperability s</w:t>
      </w:r>
      <w:r>
        <w:rPr>
          <w:rFonts w:eastAsia="MS Mincho"/>
        </w:rPr>
        <w:t xml:space="preserve">ystému železniční dopravy a k </w:t>
      </w:r>
      <w:r w:rsidRPr="00DB4CDB">
        <w:rPr>
          <w:rFonts w:eastAsia="MS Mincho"/>
        </w:rPr>
        <w:t>zaručení požadovaného výkonu,</w:t>
      </w:r>
    </w:p>
    <w:p w:rsidR="00631EAB" w:rsidRDefault="004461FB" w:rsidP="00D20948">
      <w:pPr>
        <w:pStyle w:val="Odstavecseseznamem"/>
        <w:numPr>
          <w:ilvl w:val="0"/>
          <w:numId w:val="32"/>
        </w:numPr>
        <w:spacing w:before="120" w:after="120"/>
        <w:rPr>
          <w:rFonts w:eastAsia="MS Mincho"/>
        </w:rPr>
      </w:pPr>
      <w:r w:rsidRPr="00DB4CDB">
        <w:rPr>
          <w:rFonts w:eastAsia="MS Mincho"/>
        </w:rPr>
        <w:t>využití telematiky, přičemž se tento subsystém skládá ze dvou prvků:</w:t>
      </w:r>
    </w:p>
    <w:p w:rsidR="00631EAB" w:rsidRDefault="004461FB" w:rsidP="00D20948">
      <w:pPr>
        <w:pStyle w:val="Odstavecseseznamem"/>
        <w:numPr>
          <w:ilvl w:val="0"/>
          <w:numId w:val="33"/>
        </w:numPr>
        <w:spacing w:before="120" w:after="120"/>
        <w:rPr>
          <w:rFonts w:eastAsia="MS Mincho"/>
        </w:rPr>
      </w:pPr>
      <w:r w:rsidRPr="00DB4CDB">
        <w:rPr>
          <w:rFonts w:eastAsia="MS Mincho"/>
        </w:rPr>
        <w:t>využití v osobní dopravě, zejména provozování systémů poskytujících cestujícím informace před a po cestě, reze</w:t>
      </w:r>
      <w:r>
        <w:rPr>
          <w:rFonts w:eastAsia="MS Mincho"/>
        </w:rPr>
        <w:t xml:space="preserve">rvačních a platebních systémů, </w:t>
      </w:r>
      <w:r w:rsidRPr="00DB4CDB">
        <w:rPr>
          <w:rFonts w:eastAsia="MS Mincho"/>
        </w:rPr>
        <w:t>sledování, organizování a řízení přepravy zavazadel, zajišťování návaznosti spojení mezi vlaky a ostatními druhy dopravy,</w:t>
      </w:r>
    </w:p>
    <w:p w:rsidR="00631EAB" w:rsidRDefault="004461FB" w:rsidP="00D20948">
      <w:pPr>
        <w:pStyle w:val="Odstavecseseznamem"/>
        <w:numPr>
          <w:ilvl w:val="0"/>
          <w:numId w:val="33"/>
        </w:numPr>
        <w:spacing w:before="120" w:after="120"/>
        <w:rPr>
          <w:rFonts w:eastAsia="MS Mincho"/>
        </w:rPr>
      </w:pPr>
      <w:r w:rsidRPr="00DB4CDB">
        <w:rPr>
          <w:rFonts w:eastAsia="MS Mincho"/>
        </w:rPr>
        <w:t>využití v nákladní dopravě, zejména provozování informačních systémů pro sledování nákladu a vlaku, systémů seřaďování, rezervačních, platebních a fakturačních systémů, zabezpečování návaznosti přepravy s ostatními druhy dopravy, vyhotovení a přenos elektronických doprovodných dokumentů.</w:t>
      </w:r>
    </w:p>
    <w:p w:rsidR="004461FB" w:rsidRDefault="004461FB" w:rsidP="00887E61">
      <w:pPr>
        <w:pStyle w:val="Nadpis3"/>
        <w:tabs>
          <w:tab w:val="clear" w:pos="8234"/>
          <w:tab w:val="num" w:pos="6804"/>
        </w:tabs>
        <w:ind w:hanging="8234"/>
      </w:pPr>
      <w:r>
        <w:t>Subsystém „infrastruktura“ konvenčního evropského žel</w:t>
      </w:r>
      <w:r w:rsidR="00887E61">
        <w:t>.</w:t>
      </w:r>
      <w:r>
        <w:t xml:space="preserve"> systému</w:t>
      </w:r>
    </w:p>
    <w:p w:rsidR="004461FB" w:rsidRDefault="004461FB" w:rsidP="004461FB">
      <w:r>
        <w:t xml:space="preserve">V rámci návrhu trasy a základního uspořádání </w:t>
      </w:r>
      <w:r w:rsidR="00B0245A">
        <w:t>modernizo</w:t>
      </w:r>
      <w:r>
        <w:t>vané tratě byla provedena orientační analýza podmínek TSI (technick</w:t>
      </w:r>
      <w:r w:rsidR="00B0245A">
        <w:t xml:space="preserve">é specifikace interoperability). </w:t>
      </w:r>
      <w:r>
        <w:t xml:space="preserve">Ve stupni studie je </w:t>
      </w:r>
      <w:r w:rsidR="00B0245A">
        <w:t>relevantní brát</w:t>
      </w:r>
      <w:r>
        <w:t xml:space="preserve"> v úvahu část požadovaných parametrů především ze subsystému „Infrastruktura“.</w:t>
      </w:r>
    </w:p>
    <w:p w:rsidR="004461FB" w:rsidRDefault="004461FB" w:rsidP="004461FB">
      <w:r>
        <w:t>Níže je uveden přehled všech možných kategorií tratí dle TSI INF</w:t>
      </w:r>
      <w:r w:rsidR="00B0245A">
        <w:t xml:space="preserve"> (Směrnice 2008/57/ES)</w:t>
      </w:r>
      <w:r>
        <w:t>:</w:t>
      </w:r>
    </w:p>
    <w:tbl>
      <w:tblPr>
        <w:tblW w:w="9371" w:type="dxa"/>
        <w:tblInd w:w="55" w:type="dxa"/>
        <w:tblCellMar>
          <w:left w:w="70" w:type="dxa"/>
          <w:right w:w="70" w:type="dxa"/>
        </w:tblCellMar>
        <w:tblLook w:val="04A0" w:firstRow="1" w:lastRow="0" w:firstColumn="1" w:lastColumn="0" w:noHBand="0" w:noVBand="1"/>
      </w:tblPr>
      <w:tblGrid>
        <w:gridCol w:w="1291"/>
        <w:gridCol w:w="1843"/>
        <w:gridCol w:w="6237"/>
      </w:tblGrid>
      <w:tr w:rsidR="000716CC" w:rsidRPr="001D771A" w:rsidTr="000716CC">
        <w:trPr>
          <w:trHeight w:val="340"/>
        </w:trPr>
        <w:tc>
          <w:tcPr>
            <w:tcW w:w="9371" w:type="dxa"/>
            <w:gridSpan w:val="3"/>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0716CC" w:rsidRPr="00C65DA3" w:rsidRDefault="000716CC" w:rsidP="006B08CB">
            <w:pPr>
              <w:pStyle w:val="Titulek"/>
            </w:pPr>
            <w:bookmarkStart w:id="105" w:name="_Toc390958747"/>
            <w:bookmarkStart w:id="106" w:name="_Toc391034551"/>
            <w:r w:rsidRPr="00C65DA3">
              <w:t xml:space="preserve">Tab. </w:t>
            </w:r>
            <w:r w:rsidR="000E79AE">
              <w:fldChar w:fldCharType="begin"/>
            </w:r>
            <w:r w:rsidR="000E79AE">
              <w:instrText xml:space="preserve"> STYLEREF 1 \s </w:instrText>
            </w:r>
            <w:r w:rsidR="000E79AE">
              <w:fldChar w:fldCharType="separate"/>
            </w:r>
            <w:r w:rsidR="003843F3">
              <w:rPr>
                <w:noProof/>
              </w:rPr>
              <w:t>3</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12</w:t>
            </w:r>
            <w:r w:rsidR="000E79AE">
              <w:fldChar w:fldCharType="end"/>
            </w:r>
            <w:r w:rsidRPr="00C65DA3">
              <w:t>: Přehled kategorií tratí dle TSI INF</w:t>
            </w:r>
            <w:bookmarkEnd w:id="105"/>
            <w:bookmarkEnd w:id="106"/>
          </w:p>
        </w:tc>
      </w:tr>
      <w:tr w:rsidR="000716CC" w:rsidRPr="001D771A" w:rsidTr="000716CC">
        <w:trPr>
          <w:trHeight w:val="340"/>
        </w:trPr>
        <w:tc>
          <w:tcPr>
            <w:tcW w:w="1291" w:type="dxa"/>
            <w:tcBorders>
              <w:top w:val="single" w:sz="4" w:space="0" w:color="auto"/>
              <w:left w:val="single" w:sz="4" w:space="0" w:color="auto"/>
              <w:bottom w:val="single" w:sz="12" w:space="0" w:color="auto"/>
              <w:right w:val="single" w:sz="4" w:space="0" w:color="auto"/>
            </w:tcBorders>
            <w:shd w:val="clear" w:color="000000" w:fill="D8D8D8"/>
            <w:noWrap/>
            <w:vAlign w:val="center"/>
          </w:tcPr>
          <w:p w:rsidR="000716CC" w:rsidRPr="009A48DF" w:rsidRDefault="000716CC" w:rsidP="004461FB">
            <w:pPr>
              <w:suppressAutoHyphens w:val="0"/>
              <w:spacing w:before="0" w:after="0" w:line="240" w:lineRule="auto"/>
              <w:jc w:val="left"/>
              <w:rPr>
                <w:bCs/>
                <w:color w:val="000000"/>
                <w:lang w:eastAsia="cs-CZ"/>
              </w:rPr>
            </w:pPr>
            <w:r w:rsidRPr="009A48DF">
              <w:rPr>
                <w:bCs/>
                <w:color w:val="000000"/>
                <w:lang w:eastAsia="cs-CZ"/>
              </w:rPr>
              <w:t>Kategorie</w:t>
            </w:r>
          </w:p>
        </w:tc>
        <w:tc>
          <w:tcPr>
            <w:tcW w:w="1843" w:type="dxa"/>
            <w:tcBorders>
              <w:top w:val="single" w:sz="4" w:space="0" w:color="auto"/>
              <w:left w:val="nil"/>
              <w:bottom w:val="single" w:sz="12" w:space="0" w:color="auto"/>
              <w:right w:val="single" w:sz="12" w:space="0" w:color="auto"/>
            </w:tcBorders>
            <w:shd w:val="clear" w:color="000000" w:fill="D8D8D8"/>
            <w:noWrap/>
            <w:vAlign w:val="center"/>
          </w:tcPr>
          <w:p w:rsidR="000716CC" w:rsidRPr="009A48DF" w:rsidRDefault="000716CC" w:rsidP="004461FB">
            <w:pPr>
              <w:suppressAutoHyphens w:val="0"/>
              <w:spacing w:before="0" w:after="0" w:line="240" w:lineRule="auto"/>
              <w:jc w:val="left"/>
              <w:rPr>
                <w:bCs/>
                <w:color w:val="000000"/>
                <w:lang w:eastAsia="cs-CZ"/>
              </w:rPr>
            </w:pPr>
            <w:r w:rsidRPr="009A48DF">
              <w:rPr>
                <w:bCs/>
                <w:color w:val="000000"/>
                <w:lang w:eastAsia="cs-CZ"/>
              </w:rPr>
              <w:t>Druh systému</w:t>
            </w:r>
          </w:p>
        </w:tc>
        <w:tc>
          <w:tcPr>
            <w:tcW w:w="6237" w:type="dxa"/>
            <w:tcBorders>
              <w:top w:val="single" w:sz="4" w:space="0" w:color="auto"/>
              <w:left w:val="single" w:sz="12" w:space="0" w:color="auto"/>
              <w:bottom w:val="single" w:sz="12" w:space="0" w:color="auto"/>
              <w:right w:val="single" w:sz="4" w:space="0" w:color="auto"/>
            </w:tcBorders>
            <w:shd w:val="clear" w:color="000000" w:fill="D8D8D8"/>
            <w:vAlign w:val="center"/>
          </w:tcPr>
          <w:p w:rsidR="000716CC" w:rsidRPr="009A48DF" w:rsidRDefault="000716CC" w:rsidP="004461FB">
            <w:pPr>
              <w:suppressAutoHyphens w:val="0"/>
              <w:spacing w:before="0" w:after="0" w:line="240" w:lineRule="auto"/>
              <w:jc w:val="left"/>
              <w:rPr>
                <w:color w:val="000000"/>
                <w:lang w:eastAsia="cs-CZ"/>
              </w:rPr>
            </w:pPr>
            <w:r w:rsidRPr="009A48DF">
              <w:rPr>
                <w:bCs/>
                <w:color w:val="000000"/>
                <w:lang w:eastAsia="cs-CZ"/>
              </w:rPr>
              <w:t>Popis kategorie</w:t>
            </w:r>
          </w:p>
        </w:tc>
      </w:tr>
      <w:tr w:rsidR="000716CC" w:rsidRPr="001D771A" w:rsidTr="000716CC">
        <w:trPr>
          <w:trHeight w:val="340"/>
        </w:trPr>
        <w:tc>
          <w:tcPr>
            <w:tcW w:w="1291" w:type="dxa"/>
            <w:tcBorders>
              <w:top w:val="single" w:sz="12" w:space="0" w:color="auto"/>
              <w:left w:val="single" w:sz="4" w:space="0" w:color="auto"/>
              <w:bottom w:val="single" w:sz="4" w:space="0" w:color="auto"/>
              <w:right w:val="single" w:sz="4" w:space="0" w:color="auto"/>
            </w:tcBorders>
            <w:shd w:val="clear" w:color="000000" w:fill="D8D8D8"/>
            <w:noWrap/>
            <w:vAlign w:val="center"/>
          </w:tcPr>
          <w:p w:rsidR="000716CC" w:rsidRPr="001D771A" w:rsidRDefault="000716CC" w:rsidP="004461FB">
            <w:pPr>
              <w:suppressAutoHyphens w:val="0"/>
              <w:spacing w:before="0" w:after="0" w:line="240" w:lineRule="auto"/>
              <w:jc w:val="center"/>
              <w:rPr>
                <w:b/>
                <w:bCs/>
                <w:color w:val="000000"/>
                <w:sz w:val="18"/>
                <w:szCs w:val="18"/>
                <w:lang w:eastAsia="cs-CZ"/>
              </w:rPr>
            </w:pPr>
            <w:r w:rsidRPr="001D771A">
              <w:rPr>
                <w:b/>
                <w:bCs/>
                <w:color w:val="000000"/>
                <w:sz w:val="18"/>
                <w:szCs w:val="18"/>
                <w:lang w:eastAsia="cs-CZ"/>
              </w:rPr>
              <w:t>I</w:t>
            </w:r>
          </w:p>
        </w:tc>
        <w:tc>
          <w:tcPr>
            <w:tcW w:w="1843" w:type="dxa"/>
            <w:tcBorders>
              <w:top w:val="single" w:sz="12" w:space="0" w:color="auto"/>
              <w:left w:val="nil"/>
              <w:bottom w:val="single" w:sz="4" w:space="0" w:color="auto"/>
              <w:right w:val="single" w:sz="12" w:space="0" w:color="auto"/>
            </w:tcBorders>
            <w:shd w:val="clear" w:color="000000" w:fill="D8D8D8"/>
            <w:noWrap/>
            <w:vAlign w:val="center"/>
          </w:tcPr>
          <w:p w:rsidR="000716CC" w:rsidRPr="001D771A" w:rsidRDefault="000716CC" w:rsidP="004461FB">
            <w:pPr>
              <w:suppressAutoHyphens w:val="0"/>
              <w:spacing w:before="0" w:after="0" w:line="240" w:lineRule="auto"/>
              <w:jc w:val="left"/>
              <w:rPr>
                <w:b/>
                <w:bCs/>
                <w:color w:val="000000"/>
                <w:sz w:val="18"/>
                <w:szCs w:val="18"/>
                <w:lang w:eastAsia="cs-CZ"/>
              </w:rPr>
            </w:pPr>
            <w:r w:rsidRPr="001D771A">
              <w:rPr>
                <w:b/>
                <w:bCs/>
                <w:color w:val="000000"/>
                <w:sz w:val="18"/>
                <w:szCs w:val="18"/>
                <w:lang w:eastAsia="cs-CZ"/>
              </w:rPr>
              <w:t>vysokorychlostní</w:t>
            </w:r>
          </w:p>
        </w:tc>
        <w:tc>
          <w:tcPr>
            <w:tcW w:w="6237" w:type="dxa"/>
            <w:tcBorders>
              <w:top w:val="single" w:sz="12" w:space="0" w:color="auto"/>
              <w:left w:val="single" w:sz="12" w:space="0" w:color="auto"/>
              <w:bottom w:val="single" w:sz="4" w:space="0" w:color="auto"/>
              <w:right w:val="single" w:sz="4" w:space="0" w:color="auto"/>
            </w:tcBorders>
            <w:shd w:val="clear" w:color="000000" w:fill="D8D8D8"/>
          </w:tcPr>
          <w:p w:rsidR="000716CC" w:rsidRPr="001D771A" w:rsidRDefault="000716CC" w:rsidP="004461FB">
            <w:pPr>
              <w:suppressAutoHyphens w:val="0"/>
              <w:spacing w:before="0" w:after="0" w:line="240" w:lineRule="auto"/>
              <w:jc w:val="left"/>
              <w:rPr>
                <w:color w:val="000000"/>
                <w:sz w:val="18"/>
                <w:szCs w:val="18"/>
                <w:lang w:eastAsia="cs-CZ"/>
              </w:rPr>
            </w:pPr>
            <w:r w:rsidRPr="001D771A">
              <w:rPr>
                <w:color w:val="000000"/>
                <w:sz w:val="18"/>
                <w:szCs w:val="18"/>
                <w:lang w:eastAsia="cs-CZ"/>
              </w:rPr>
              <w:t xml:space="preserve">zvláště vybudované vysokorychlostní tratě vybavené pro rychlosti zpravidla </w:t>
            </w:r>
            <w:smartTag w:uri="urn:schemas-microsoft-com:office:smarttags" w:element="metricconverter">
              <w:smartTagPr>
                <w:attr w:name="ProductID" w:val="250ﾠkm/h"/>
              </w:smartTagPr>
              <w:r w:rsidRPr="001D771A">
                <w:rPr>
                  <w:color w:val="000000"/>
                  <w:sz w:val="18"/>
                  <w:szCs w:val="18"/>
                  <w:lang w:eastAsia="cs-CZ"/>
                </w:rPr>
                <w:t>250 km/h</w:t>
              </w:r>
            </w:smartTag>
            <w:r w:rsidRPr="001D771A">
              <w:rPr>
                <w:color w:val="000000"/>
                <w:sz w:val="18"/>
                <w:szCs w:val="18"/>
                <w:lang w:eastAsia="cs-CZ"/>
              </w:rPr>
              <w:t xml:space="preserve"> nebo vyšší</w:t>
            </w:r>
          </w:p>
        </w:tc>
      </w:tr>
      <w:tr w:rsidR="000716CC" w:rsidRPr="001D771A" w:rsidTr="000716CC">
        <w:trPr>
          <w:trHeight w:val="340"/>
        </w:trPr>
        <w:tc>
          <w:tcPr>
            <w:tcW w:w="1291" w:type="dxa"/>
            <w:tcBorders>
              <w:top w:val="nil"/>
              <w:left w:val="single" w:sz="4" w:space="0" w:color="auto"/>
              <w:bottom w:val="single" w:sz="4" w:space="0" w:color="auto"/>
              <w:right w:val="single" w:sz="4" w:space="0" w:color="auto"/>
            </w:tcBorders>
            <w:shd w:val="clear" w:color="000000" w:fill="D8D8D8"/>
            <w:noWrap/>
            <w:vAlign w:val="center"/>
          </w:tcPr>
          <w:p w:rsidR="000716CC" w:rsidRPr="001D771A" w:rsidRDefault="000716CC" w:rsidP="004461FB">
            <w:pPr>
              <w:suppressAutoHyphens w:val="0"/>
              <w:spacing w:before="0" w:after="0" w:line="240" w:lineRule="auto"/>
              <w:jc w:val="center"/>
              <w:rPr>
                <w:b/>
                <w:bCs/>
                <w:color w:val="000000"/>
                <w:sz w:val="18"/>
                <w:szCs w:val="18"/>
                <w:lang w:eastAsia="cs-CZ"/>
              </w:rPr>
            </w:pPr>
            <w:r w:rsidRPr="001D771A">
              <w:rPr>
                <w:b/>
                <w:bCs/>
                <w:color w:val="000000"/>
                <w:sz w:val="18"/>
                <w:szCs w:val="18"/>
                <w:lang w:eastAsia="cs-CZ"/>
              </w:rPr>
              <w:t>II</w:t>
            </w:r>
          </w:p>
        </w:tc>
        <w:tc>
          <w:tcPr>
            <w:tcW w:w="1843" w:type="dxa"/>
            <w:tcBorders>
              <w:top w:val="nil"/>
              <w:left w:val="nil"/>
              <w:bottom w:val="single" w:sz="4" w:space="0" w:color="auto"/>
              <w:right w:val="single" w:sz="12" w:space="0" w:color="auto"/>
            </w:tcBorders>
            <w:shd w:val="clear" w:color="000000" w:fill="D8D8D8"/>
            <w:noWrap/>
            <w:vAlign w:val="center"/>
          </w:tcPr>
          <w:p w:rsidR="000716CC" w:rsidRPr="001D771A" w:rsidRDefault="000716CC" w:rsidP="004461FB">
            <w:pPr>
              <w:suppressAutoHyphens w:val="0"/>
              <w:spacing w:before="0" w:after="0" w:line="240" w:lineRule="auto"/>
              <w:jc w:val="left"/>
              <w:rPr>
                <w:b/>
                <w:bCs/>
                <w:color w:val="000000"/>
                <w:sz w:val="18"/>
                <w:szCs w:val="18"/>
                <w:lang w:eastAsia="cs-CZ"/>
              </w:rPr>
            </w:pPr>
            <w:r w:rsidRPr="001D771A">
              <w:rPr>
                <w:b/>
                <w:bCs/>
                <w:color w:val="000000"/>
                <w:sz w:val="18"/>
                <w:szCs w:val="18"/>
                <w:lang w:eastAsia="cs-CZ"/>
              </w:rPr>
              <w:t>vysokorychlostní</w:t>
            </w:r>
          </w:p>
        </w:tc>
        <w:tc>
          <w:tcPr>
            <w:tcW w:w="6237" w:type="dxa"/>
            <w:tcBorders>
              <w:top w:val="nil"/>
              <w:left w:val="single" w:sz="12" w:space="0" w:color="auto"/>
              <w:bottom w:val="single" w:sz="4" w:space="0" w:color="auto"/>
              <w:right w:val="single" w:sz="4" w:space="0" w:color="auto"/>
            </w:tcBorders>
            <w:shd w:val="clear" w:color="000000" w:fill="D8D8D8"/>
          </w:tcPr>
          <w:p w:rsidR="000716CC" w:rsidRPr="001D771A" w:rsidRDefault="000716CC" w:rsidP="004461FB">
            <w:pPr>
              <w:suppressAutoHyphens w:val="0"/>
              <w:spacing w:before="0" w:after="0" w:line="240" w:lineRule="auto"/>
              <w:jc w:val="left"/>
              <w:rPr>
                <w:color w:val="000000"/>
                <w:sz w:val="18"/>
                <w:szCs w:val="18"/>
                <w:lang w:eastAsia="cs-CZ"/>
              </w:rPr>
            </w:pPr>
            <w:r w:rsidRPr="001D771A">
              <w:rPr>
                <w:color w:val="000000"/>
                <w:sz w:val="18"/>
                <w:szCs w:val="18"/>
                <w:lang w:eastAsia="cs-CZ"/>
              </w:rPr>
              <w:t xml:space="preserve">zvláště modernizované vysokorychlostní tratě vybavené pro rychlosti v řádu </w:t>
            </w:r>
            <w:smartTag w:uri="urn:schemas-microsoft-com:office:smarttags" w:element="metricconverter">
              <w:smartTagPr>
                <w:attr w:name="ProductID" w:val="200ﾠkm/h"/>
              </w:smartTagPr>
              <w:r w:rsidRPr="001D771A">
                <w:rPr>
                  <w:color w:val="000000"/>
                  <w:sz w:val="18"/>
                  <w:szCs w:val="18"/>
                  <w:lang w:eastAsia="cs-CZ"/>
                </w:rPr>
                <w:t>200 km/h</w:t>
              </w:r>
            </w:smartTag>
          </w:p>
        </w:tc>
      </w:tr>
      <w:tr w:rsidR="000716CC" w:rsidRPr="001D771A" w:rsidTr="000716CC">
        <w:trPr>
          <w:trHeight w:val="340"/>
        </w:trPr>
        <w:tc>
          <w:tcPr>
            <w:tcW w:w="1291" w:type="dxa"/>
            <w:tcBorders>
              <w:top w:val="nil"/>
              <w:left w:val="single" w:sz="4" w:space="0" w:color="auto"/>
              <w:bottom w:val="single" w:sz="4" w:space="0" w:color="auto"/>
              <w:right w:val="single" w:sz="4" w:space="0" w:color="auto"/>
            </w:tcBorders>
            <w:shd w:val="clear" w:color="000000" w:fill="D8D8D8"/>
            <w:noWrap/>
            <w:vAlign w:val="center"/>
          </w:tcPr>
          <w:p w:rsidR="000716CC" w:rsidRPr="001D771A" w:rsidRDefault="000716CC" w:rsidP="004461FB">
            <w:pPr>
              <w:suppressAutoHyphens w:val="0"/>
              <w:spacing w:before="0" w:after="0" w:line="240" w:lineRule="auto"/>
              <w:jc w:val="center"/>
              <w:rPr>
                <w:b/>
                <w:bCs/>
                <w:color w:val="000000"/>
                <w:sz w:val="18"/>
                <w:szCs w:val="18"/>
                <w:lang w:eastAsia="cs-CZ"/>
              </w:rPr>
            </w:pPr>
            <w:r w:rsidRPr="001D771A">
              <w:rPr>
                <w:b/>
                <w:bCs/>
                <w:color w:val="000000"/>
                <w:sz w:val="18"/>
                <w:szCs w:val="18"/>
                <w:lang w:eastAsia="cs-CZ"/>
              </w:rPr>
              <w:t>III</w:t>
            </w:r>
          </w:p>
        </w:tc>
        <w:tc>
          <w:tcPr>
            <w:tcW w:w="1843" w:type="dxa"/>
            <w:tcBorders>
              <w:top w:val="nil"/>
              <w:left w:val="nil"/>
              <w:bottom w:val="single" w:sz="4" w:space="0" w:color="auto"/>
              <w:right w:val="single" w:sz="12" w:space="0" w:color="auto"/>
            </w:tcBorders>
            <w:shd w:val="clear" w:color="000000" w:fill="D8D8D8"/>
            <w:noWrap/>
            <w:vAlign w:val="center"/>
          </w:tcPr>
          <w:p w:rsidR="000716CC" w:rsidRPr="001D771A" w:rsidRDefault="000716CC" w:rsidP="004461FB">
            <w:pPr>
              <w:suppressAutoHyphens w:val="0"/>
              <w:spacing w:before="0" w:after="0" w:line="240" w:lineRule="auto"/>
              <w:jc w:val="left"/>
              <w:rPr>
                <w:b/>
                <w:bCs/>
                <w:color w:val="000000"/>
                <w:sz w:val="18"/>
                <w:szCs w:val="18"/>
                <w:lang w:eastAsia="cs-CZ"/>
              </w:rPr>
            </w:pPr>
            <w:r w:rsidRPr="001D771A">
              <w:rPr>
                <w:b/>
                <w:bCs/>
                <w:color w:val="000000"/>
                <w:sz w:val="18"/>
                <w:szCs w:val="18"/>
                <w:lang w:eastAsia="cs-CZ"/>
              </w:rPr>
              <w:t>vysokorychlostní</w:t>
            </w:r>
          </w:p>
        </w:tc>
        <w:tc>
          <w:tcPr>
            <w:tcW w:w="6237" w:type="dxa"/>
            <w:tcBorders>
              <w:top w:val="nil"/>
              <w:left w:val="single" w:sz="12" w:space="0" w:color="auto"/>
              <w:bottom w:val="single" w:sz="4" w:space="0" w:color="auto"/>
              <w:right w:val="single" w:sz="4" w:space="0" w:color="auto"/>
            </w:tcBorders>
            <w:shd w:val="clear" w:color="000000" w:fill="D8D8D8"/>
          </w:tcPr>
          <w:p w:rsidR="000716CC" w:rsidRPr="001D771A" w:rsidRDefault="000716CC" w:rsidP="004461FB">
            <w:pPr>
              <w:suppressAutoHyphens w:val="0"/>
              <w:spacing w:before="0" w:after="0" w:line="240" w:lineRule="auto"/>
              <w:jc w:val="left"/>
              <w:rPr>
                <w:color w:val="000000"/>
                <w:sz w:val="18"/>
                <w:szCs w:val="18"/>
                <w:lang w:eastAsia="cs-CZ"/>
              </w:rPr>
            </w:pPr>
            <w:r w:rsidRPr="001D771A">
              <w:rPr>
                <w:color w:val="000000"/>
                <w:sz w:val="18"/>
                <w:szCs w:val="18"/>
                <w:lang w:eastAsia="cs-CZ"/>
              </w:rPr>
              <w:t>zvláště modernizované vysokorychlostní tratě nebo zvláště vybudované vysokorychlostní tratě se zvláštními vlastnostmi danými topografickými, terénními, ekologickými nebo urbanistickými omezeními, jímž musí být rychlost v každém jednotlivém případě přizpůsobena</w:t>
            </w:r>
          </w:p>
        </w:tc>
      </w:tr>
      <w:tr w:rsidR="000716CC" w:rsidRPr="001D771A" w:rsidTr="000716CC">
        <w:trPr>
          <w:trHeight w:val="340"/>
        </w:trPr>
        <w:tc>
          <w:tcPr>
            <w:tcW w:w="1291" w:type="dxa"/>
            <w:tcBorders>
              <w:top w:val="nil"/>
              <w:left w:val="single" w:sz="4" w:space="0" w:color="auto"/>
              <w:bottom w:val="single" w:sz="4" w:space="0" w:color="auto"/>
              <w:right w:val="single" w:sz="4" w:space="0" w:color="auto"/>
            </w:tcBorders>
            <w:shd w:val="clear" w:color="auto" w:fill="auto"/>
            <w:noWrap/>
            <w:vAlign w:val="center"/>
          </w:tcPr>
          <w:p w:rsidR="000716CC" w:rsidRPr="001D771A" w:rsidRDefault="000716CC" w:rsidP="004461FB">
            <w:pPr>
              <w:suppressAutoHyphens w:val="0"/>
              <w:spacing w:before="0" w:after="0" w:line="240" w:lineRule="auto"/>
              <w:jc w:val="center"/>
              <w:rPr>
                <w:b/>
                <w:bCs/>
                <w:color w:val="000000"/>
                <w:sz w:val="18"/>
                <w:szCs w:val="18"/>
                <w:lang w:eastAsia="cs-CZ"/>
              </w:rPr>
            </w:pPr>
            <w:r w:rsidRPr="001D771A">
              <w:rPr>
                <w:b/>
                <w:bCs/>
                <w:color w:val="000000"/>
                <w:sz w:val="18"/>
                <w:szCs w:val="18"/>
                <w:lang w:eastAsia="cs-CZ"/>
              </w:rPr>
              <w:t>IV-P, F, M</w:t>
            </w:r>
          </w:p>
        </w:tc>
        <w:tc>
          <w:tcPr>
            <w:tcW w:w="1843" w:type="dxa"/>
            <w:tcBorders>
              <w:top w:val="nil"/>
              <w:left w:val="nil"/>
              <w:bottom w:val="single" w:sz="4" w:space="0" w:color="auto"/>
              <w:right w:val="single" w:sz="12" w:space="0" w:color="auto"/>
            </w:tcBorders>
            <w:shd w:val="clear" w:color="auto" w:fill="auto"/>
            <w:noWrap/>
            <w:vAlign w:val="center"/>
          </w:tcPr>
          <w:p w:rsidR="000716CC" w:rsidRPr="001D771A" w:rsidRDefault="000716CC" w:rsidP="004461FB">
            <w:pPr>
              <w:suppressAutoHyphens w:val="0"/>
              <w:spacing w:before="0" w:after="0" w:line="240" w:lineRule="auto"/>
              <w:jc w:val="left"/>
              <w:rPr>
                <w:b/>
                <w:bCs/>
                <w:color w:val="000000"/>
                <w:sz w:val="18"/>
                <w:szCs w:val="18"/>
                <w:lang w:eastAsia="cs-CZ"/>
              </w:rPr>
            </w:pPr>
            <w:r w:rsidRPr="001D771A">
              <w:rPr>
                <w:b/>
                <w:bCs/>
                <w:color w:val="000000"/>
                <w:sz w:val="18"/>
                <w:szCs w:val="18"/>
                <w:lang w:eastAsia="cs-CZ"/>
              </w:rPr>
              <w:t>konvenční</w:t>
            </w:r>
          </w:p>
        </w:tc>
        <w:tc>
          <w:tcPr>
            <w:tcW w:w="6237" w:type="dxa"/>
            <w:tcBorders>
              <w:top w:val="nil"/>
              <w:left w:val="single" w:sz="12" w:space="0" w:color="auto"/>
              <w:bottom w:val="single" w:sz="4" w:space="0" w:color="auto"/>
              <w:right w:val="single" w:sz="4" w:space="0" w:color="auto"/>
            </w:tcBorders>
            <w:shd w:val="clear" w:color="auto" w:fill="auto"/>
          </w:tcPr>
          <w:p w:rsidR="000716CC" w:rsidRPr="001D771A" w:rsidRDefault="000716CC" w:rsidP="004461FB">
            <w:pPr>
              <w:suppressAutoHyphens w:val="0"/>
              <w:spacing w:before="0" w:after="0" w:line="240" w:lineRule="auto"/>
              <w:jc w:val="left"/>
              <w:rPr>
                <w:color w:val="000000"/>
                <w:sz w:val="18"/>
                <w:szCs w:val="18"/>
                <w:lang w:eastAsia="cs-CZ"/>
              </w:rPr>
            </w:pPr>
            <w:r w:rsidRPr="001D771A">
              <w:rPr>
                <w:color w:val="000000"/>
                <w:sz w:val="18"/>
                <w:szCs w:val="18"/>
                <w:lang w:eastAsia="cs-CZ"/>
              </w:rPr>
              <w:t>nové hlavní tratě TEN, rozlišují se tratě pro osobní přepravu (P), nákladní přepravu (F) a smíšené (M)</w:t>
            </w:r>
          </w:p>
        </w:tc>
      </w:tr>
      <w:tr w:rsidR="000716CC" w:rsidRPr="001D771A" w:rsidTr="000716CC">
        <w:trPr>
          <w:trHeight w:val="340"/>
        </w:trPr>
        <w:tc>
          <w:tcPr>
            <w:tcW w:w="1291" w:type="dxa"/>
            <w:tcBorders>
              <w:top w:val="nil"/>
              <w:left w:val="single" w:sz="4" w:space="0" w:color="auto"/>
              <w:bottom w:val="single" w:sz="4" w:space="0" w:color="auto"/>
              <w:right w:val="single" w:sz="4" w:space="0" w:color="auto"/>
            </w:tcBorders>
            <w:shd w:val="clear" w:color="auto" w:fill="auto"/>
            <w:noWrap/>
            <w:vAlign w:val="center"/>
          </w:tcPr>
          <w:p w:rsidR="000716CC" w:rsidRPr="001D771A" w:rsidRDefault="000716CC" w:rsidP="004461FB">
            <w:pPr>
              <w:suppressAutoHyphens w:val="0"/>
              <w:spacing w:before="0" w:after="0" w:line="240" w:lineRule="auto"/>
              <w:jc w:val="center"/>
              <w:rPr>
                <w:b/>
                <w:bCs/>
                <w:color w:val="000000"/>
                <w:sz w:val="18"/>
                <w:szCs w:val="18"/>
                <w:lang w:eastAsia="cs-CZ"/>
              </w:rPr>
            </w:pPr>
            <w:r w:rsidRPr="001D771A">
              <w:rPr>
                <w:b/>
                <w:bCs/>
                <w:color w:val="000000"/>
                <w:sz w:val="18"/>
                <w:szCs w:val="18"/>
                <w:lang w:eastAsia="cs-CZ"/>
              </w:rPr>
              <w:t>V-P, F, M</w:t>
            </w:r>
          </w:p>
        </w:tc>
        <w:tc>
          <w:tcPr>
            <w:tcW w:w="1843" w:type="dxa"/>
            <w:tcBorders>
              <w:top w:val="nil"/>
              <w:left w:val="nil"/>
              <w:bottom w:val="single" w:sz="4" w:space="0" w:color="auto"/>
              <w:right w:val="single" w:sz="12" w:space="0" w:color="auto"/>
            </w:tcBorders>
            <w:shd w:val="clear" w:color="auto" w:fill="auto"/>
            <w:noWrap/>
            <w:vAlign w:val="center"/>
          </w:tcPr>
          <w:p w:rsidR="000716CC" w:rsidRPr="001D771A" w:rsidRDefault="000716CC" w:rsidP="004461FB">
            <w:pPr>
              <w:suppressAutoHyphens w:val="0"/>
              <w:spacing w:before="0" w:after="0" w:line="240" w:lineRule="auto"/>
              <w:jc w:val="left"/>
              <w:rPr>
                <w:b/>
                <w:bCs/>
                <w:color w:val="000000"/>
                <w:sz w:val="18"/>
                <w:szCs w:val="18"/>
                <w:lang w:eastAsia="cs-CZ"/>
              </w:rPr>
            </w:pPr>
            <w:r w:rsidRPr="001D771A">
              <w:rPr>
                <w:b/>
                <w:bCs/>
                <w:color w:val="000000"/>
                <w:sz w:val="18"/>
                <w:szCs w:val="18"/>
                <w:lang w:eastAsia="cs-CZ"/>
              </w:rPr>
              <w:t>konvenční</w:t>
            </w:r>
          </w:p>
        </w:tc>
        <w:tc>
          <w:tcPr>
            <w:tcW w:w="6237" w:type="dxa"/>
            <w:tcBorders>
              <w:top w:val="nil"/>
              <w:left w:val="single" w:sz="12" w:space="0" w:color="auto"/>
              <w:bottom w:val="single" w:sz="4" w:space="0" w:color="auto"/>
              <w:right w:val="single" w:sz="4" w:space="0" w:color="auto"/>
            </w:tcBorders>
            <w:shd w:val="clear" w:color="auto" w:fill="auto"/>
          </w:tcPr>
          <w:p w:rsidR="000716CC" w:rsidRPr="001D771A" w:rsidRDefault="000716CC" w:rsidP="004461FB">
            <w:pPr>
              <w:suppressAutoHyphens w:val="0"/>
              <w:spacing w:before="0" w:after="0" w:line="240" w:lineRule="auto"/>
              <w:jc w:val="left"/>
              <w:rPr>
                <w:color w:val="000000"/>
                <w:sz w:val="18"/>
                <w:szCs w:val="18"/>
                <w:lang w:eastAsia="cs-CZ"/>
              </w:rPr>
            </w:pPr>
            <w:r w:rsidRPr="001D771A">
              <w:rPr>
                <w:color w:val="000000"/>
                <w:sz w:val="18"/>
                <w:szCs w:val="18"/>
                <w:lang w:eastAsia="cs-CZ"/>
              </w:rPr>
              <w:t>rekonstruované hlavní tratě TEN, rozlišují se tratě pro osobní přepravu (P), nákladní přepravu (F) a smíšené (M)</w:t>
            </w:r>
          </w:p>
        </w:tc>
      </w:tr>
      <w:tr w:rsidR="000716CC" w:rsidRPr="001D771A" w:rsidTr="000716CC">
        <w:trPr>
          <w:trHeight w:val="340"/>
        </w:trPr>
        <w:tc>
          <w:tcPr>
            <w:tcW w:w="1291" w:type="dxa"/>
            <w:tcBorders>
              <w:top w:val="nil"/>
              <w:left w:val="single" w:sz="4" w:space="0" w:color="auto"/>
              <w:bottom w:val="single" w:sz="4" w:space="0" w:color="auto"/>
              <w:right w:val="single" w:sz="4" w:space="0" w:color="auto"/>
            </w:tcBorders>
            <w:shd w:val="clear" w:color="auto" w:fill="auto"/>
            <w:vAlign w:val="center"/>
          </w:tcPr>
          <w:p w:rsidR="000716CC" w:rsidRPr="001D771A" w:rsidRDefault="000716CC" w:rsidP="004461FB">
            <w:pPr>
              <w:suppressAutoHyphens w:val="0"/>
              <w:spacing w:before="0" w:after="0" w:line="240" w:lineRule="auto"/>
              <w:jc w:val="center"/>
              <w:rPr>
                <w:b/>
                <w:bCs/>
                <w:color w:val="000000"/>
                <w:sz w:val="18"/>
                <w:szCs w:val="18"/>
                <w:lang w:eastAsia="cs-CZ"/>
              </w:rPr>
            </w:pPr>
            <w:r w:rsidRPr="001D771A">
              <w:rPr>
                <w:b/>
                <w:bCs/>
                <w:color w:val="000000"/>
                <w:sz w:val="18"/>
                <w:szCs w:val="18"/>
                <w:lang w:eastAsia="cs-CZ"/>
              </w:rPr>
              <w:t>VI-P, F, M</w:t>
            </w:r>
          </w:p>
        </w:tc>
        <w:tc>
          <w:tcPr>
            <w:tcW w:w="1843" w:type="dxa"/>
            <w:tcBorders>
              <w:top w:val="nil"/>
              <w:left w:val="nil"/>
              <w:bottom w:val="single" w:sz="4" w:space="0" w:color="auto"/>
              <w:right w:val="single" w:sz="12" w:space="0" w:color="auto"/>
            </w:tcBorders>
            <w:shd w:val="clear" w:color="auto" w:fill="auto"/>
            <w:noWrap/>
            <w:vAlign w:val="center"/>
          </w:tcPr>
          <w:p w:rsidR="000716CC" w:rsidRPr="001D771A" w:rsidRDefault="000716CC" w:rsidP="004461FB">
            <w:pPr>
              <w:suppressAutoHyphens w:val="0"/>
              <w:spacing w:before="0" w:after="0" w:line="240" w:lineRule="auto"/>
              <w:jc w:val="left"/>
              <w:rPr>
                <w:b/>
                <w:bCs/>
                <w:color w:val="000000"/>
                <w:sz w:val="18"/>
                <w:szCs w:val="18"/>
                <w:lang w:eastAsia="cs-CZ"/>
              </w:rPr>
            </w:pPr>
            <w:r w:rsidRPr="001D771A">
              <w:rPr>
                <w:b/>
                <w:bCs/>
                <w:color w:val="000000"/>
                <w:sz w:val="18"/>
                <w:szCs w:val="18"/>
                <w:lang w:eastAsia="cs-CZ"/>
              </w:rPr>
              <w:t>konvenční</w:t>
            </w:r>
          </w:p>
        </w:tc>
        <w:tc>
          <w:tcPr>
            <w:tcW w:w="6237" w:type="dxa"/>
            <w:tcBorders>
              <w:top w:val="nil"/>
              <w:left w:val="single" w:sz="12" w:space="0" w:color="auto"/>
              <w:bottom w:val="single" w:sz="4" w:space="0" w:color="auto"/>
              <w:right w:val="single" w:sz="4" w:space="0" w:color="auto"/>
            </w:tcBorders>
            <w:shd w:val="clear" w:color="auto" w:fill="auto"/>
          </w:tcPr>
          <w:p w:rsidR="000716CC" w:rsidRPr="001D771A" w:rsidRDefault="000716CC" w:rsidP="004461FB">
            <w:pPr>
              <w:suppressAutoHyphens w:val="0"/>
              <w:spacing w:before="0" w:after="0" w:line="240" w:lineRule="auto"/>
              <w:jc w:val="left"/>
              <w:rPr>
                <w:color w:val="000000"/>
                <w:sz w:val="18"/>
                <w:szCs w:val="18"/>
                <w:lang w:eastAsia="cs-CZ"/>
              </w:rPr>
            </w:pPr>
            <w:r w:rsidRPr="001D771A">
              <w:rPr>
                <w:color w:val="000000"/>
                <w:sz w:val="18"/>
                <w:szCs w:val="18"/>
                <w:lang w:eastAsia="cs-CZ"/>
              </w:rPr>
              <w:t>nové ostatní tratě TEN, rozlišují se tratě pro osobní přepravu (P), nákladní přepravu (F) a smíšené (M)</w:t>
            </w:r>
          </w:p>
        </w:tc>
      </w:tr>
      <w:tr w:rsidR="000716CC" w:rsidRPr="001D771A" w:rsidTr="000716CC">
        <w:trPr>
          <w:trHeight w:val="340"/>
        </w:trPr>
        <w:tc>
          <w:tcPr>
            <w:tcW w:w="1291" w:type="dxa"/>
            <w:tcBorders>
              <w:top w:val="nil"/>
              <w:left w:val="single" w:sz="4" w:space="0" w:color="auto"/>
              <w:bottom w:val="single" w:sz="4" w:space="0" w:color="auto"/>
              <w:right w:val="single" w:sz="4" w:space="0" w:color="auto"/>
            </w:tcBorders>
            <w:shd w:val="clear" w:color="auto" w:fill="auto"/>
            <w:vAlign w:val="center"/>
          </w:tcPr>
          <w:p w:rsidR="000716CC" w:rsidRPr="001D771A" w:rsidRDefault="000716CC" w:rsidP="004461FB">
            <w:pPr>
              <w:suppressAutoHyphens w:val="0"/>
              <w:spacing w:before="0" w:after="0" w:line="240" w:lineRule="auto"/>
              <w:jc w:val="center"/>
              <w:rPr>
                <w:b/>
                <w:bCs/>
                <w:color w:val="000000"/>
                <w:sz w:val="18"/>
                <w:szCs w:val="18"/>
                <w:lang w:eastAsia="cs-CZ"/>
              </w:rPr>
            </w:pPr>
            <w:r w:rsidRPr="001D771A">
              <w:rPr>
                <w:b/>
                <w:bCs/>
                <w:color w:val="000000"/>
                <w:sz w:val="18"/>
                <w:szCs w:val="18"/>
                <w:lang w:eastAsia="cs-CZ"/>
              </w:rPr>
              <w:t>VII-P, F, M</w:t>
            </w:r>
          </w:p>
        </w:tc>
        <w:tc>
          <w:tcPr>
            <w:tcW w:w="1843" w:type="dxa"/>
            <w:tcBorders>
              <w:top w:val="nil"/>
              <w:left w:val="nil"/>
              <w:bottom w:val="single" w:sz="4" w:space="0" w:color="auto"/>
              <w:right w:val="single" w:sz="12" w:space="0" w:color="auto"/>
            </w:tcBorders>
            <w:shd w:val="clear" w:color="auto" w:fill="auto"/>
            <w:noWrap/>
            <w:vAlign w:val="center"/>
          </w:tcPr>
          <w:p w:rsidR="000716CC" w:rsidRPr="001D771A" w:rsidRDefault="000716CC" w:rsidP="004461FB">
            <w:pPr>
              <w:suppressAutoHyphens w:val="0"/>
              <w:spacing w:before="0" w:after="0" w:line="240" w:lineRule="auto"/>
              <w:jc w:val="left"/>
              <w:rPr>
                <w:b/>
                <w:bCs/>
                <w:color w:val="000000"/>
                <w:sz w:val="18"/>
                <w:szCs w:val="18"/>
                <w:lang w:eastAsia="cs-CZ"/>
              </w:rPr>
            </w:pPr>
            <w:r w:rsidRPr="001D771A">
              <w:rPr>
                <w:b/>
                <w:bCs/>
                <w:color w:val="000000"/>
                <w:sz w:val="18"/>
                <w:szCs w:val="18"/>
                <w:lang w:eastAsia="cs-CZ"/>
              </w:rPr>
              <w:t>konvenční</w:t>
            </w:r>
          </w:p>
        </w:tc>
        <w:tc>
          <w:tcPr>
            <w:tcW w:w="6237" w:type="dxa"/>
            <w:tcBorders>
              <w:top w:val="nil"/>
              <w:left w:val="single" w:sz="12" w:space="0" w:color="auto"/>
              <w:bottom w:val="single" w:sz="4" w:space="0" w:color="auto"/>
              <w:right w:val="single" w:sz="4" w:space="0" w:color="auto"/>
            </w:tcBorders>
            <w:shd w:val="clear" w:color="auto" w:fill="auto"/>
          </w:tcPr>
          <w:p w:rsidR="000716CC" w:rsidRPr="001D771A" w:rsidRDefault="000716CC" w:rsidP="004461FB">
            <w:pPr>
              <w:suppressAutoHyphens w:val="0"/>
              <w:spacing w:before="0" w:after="0" w:line="240" w:lineRule="auto"/>
              <w:jc w:val="left"/>
              <w:rPr>
                <w:color w:val="000000"/>
                <w:sz w:val="18"/>
                <w:szCs w:val="18"/>
                <w:lang w:eastAsia="cs-CZ"/>
              </w:rPr>
            </w:pPr>
            <w:r w:rsidRPr="001D771A">
              <w:rPr>
                <w:color w:val="000000"/>
                <w:sz w:val="18"/>
                <w:szCs w:val="18"/>
                <w:lang w:eastAsia="cs-CZ"/>
              </w:rPr>
              <w:t>rekonstruované ostatní tratě TEN, rozlišují se tratě pro osobní přepravu (P), nákladní přepravu (F) a smíšené (M)</w:t>
            </w:r>
          </w:p>
        </w:tc>
      </w:tr>
    </w:tbl>
    <w:p w:rsidR="00C65DA3" w:rsidRDefault="00C65DA3" w:rsidP="004461FB"/>
    <w:p w:rsidR="00C65DA3" w:rsidRDefault="00C65DA3">
      <w:pPr>
        <w:suppressAutoHyphens w:val="0"/>
        <w:spacing w:before="0" w:after="0" w:line="240" w:lineRule="auto"/>
        <w:jc w:val="left"/>
      </w:pPr>
      <w:r>
        <w:br w:type="page"/>
      </w:r>
    </w:p>
    <w:p w:rsidR="004461FB" w:rsidRPr="00BD554E" w:rsidRDefault="004461FB" w:rsidP="004461FB">
      <w:r>
        <w:t>Následuje přehled zá</w:t>
      </w:r>
      <w:r w:rsidR="00B0245A">
        <w:t>kladních parametrů pro kategorie tratí</w:t>
      </w:r>
      <w:r>
        <w:t xml:space="preserve"> V-M</w:t>
      </w:r>
      <w:r w:rsidR="00B0245A">
        <w:t xml:space="preserve"> a VII-M</w:t>
      </w:r>
      <w:r>
        <w:t xml:space="preserve">, </w:t>
      </w:r>
      <w:r w:rsidR="00B0245A">
        <w:t xml:space="preserve">z nichž </w:t>
      </w:r>
      <w:r>
        <w:t xml:space="preserve">do </w:t>
      </w:r>
      <w:r w:rsidR="00B0245A">
        <w:t>jedné by pravděpodobně byla</w:t>
      </w:r>
      <w:r>
        <w:t xml:space="preserve"> zařazena trať </w:t>
      </w:r>
      <w:r w:rsidR="00B0245A">
        <w:t>Pardubice hl. n. – Hradec Králové hl. n</w:t>
      </w:r>
      <w:r>
        <w:t>.</w:t>
      </w:r>
    </w:p>
    <w:tbl>
      <w:tblPr>
        <w:tblW w:w="9370"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41"/>
        <w:gridCol w:w="1701"/>
        <w:gridCol w:w="1842"/>
        <w:gridCol w:w="1843"/>
        <w:gridCol w:w="1843"/>
      </w:tblGrid>
      <w:tr w:rsidR="000716CC" w:rsidRPr="00AB29A9" w:rsidTr="000716CC">
        <w:trPr>
          <w:trHeight w:val="340"/>
        </w:trPr>
        <w:tc>
          <w:tcPr>
            <w:tcW w:w="9370" w:type="dxa"/>
            <w:gridSpan w:val="5"/>
            <w:shd w:val="clear" w:color="auto" w:fill="FFFFFF" w:themeFill="background1"/>
            <w:noWrap/>
            <w:vAlign w:val="center"/>
          </w:tcPr>
          <w:p w:rsidR="000716CC" w:rsidRPr="00C65DA3" w:rsidRDefault="000716CC" w:rsidP="006B08CB">
            <w:pPr>
              <w:pStyle w:val="Titulek"/>
            </w:pPr>
            <w:bookmarkStart w:id="107" w:name="_Toc390958748"/>
            <w:bookmarkStart w:id="108" w:name="_Toc391034552"/>
            <w:r w:rsidRPr="00C65DA3">
              <w:t xml:space="preserve">Tab. </w:t>
            </w:r>
            <w:r w:rsidR="000E79AE">
              <w:fldChar w:fldCharType="begin"/>
            </w:r>
            <w:r w:rsidR="000E79AE">
              <w:instrText xml:space="preserve"> STYLEREF 1 \s </w:instrText>
            </w:r>
            <w:r w:rsidR="000E79AE">
              <w:fldChar w:fldCharType="separate"/>
            </w:r>
            <w:r w:rsidR="003843F3">
              <w:rPr>
                <w:noProof/>
              </w:rPr>
              <w:t>3</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13</w:t>
            </w:r>
            <w:r w:rsidR="000E79AE">
              <w:fldChar w:fldCharType="end"/>
            </w:r>
            <w:r w:rsidRPr="00C65DA3">
              <w:t>: Základní technické parametry tratě Pardubice hl. n. – Hradec Králové hl. n. dle TSI INF</w:t>
            </w:r>
            <w:bookmarkEnd w:id="107"/>
            <w:bookmarkEnd w:id="108"/>
          </w:p>
        </w:tc>
      </w:tr>
      <w:tr w:rsidR="000716CC" w:rsidRPr="00AB29A9" w:rsidTr="000716CC">
        <w:trPr>
          <w:trHeight w:val="591"/>
        </w:trPr>
        <w:tc>
          <w:tcPr>
            <w:tcW w:w="2141" w:type="dxa"/>
            <w:tcBorders>
              <w:bottom w:val="single" w:sz="12" w:space="0" w:color="auto"/>
              <w:right w:val="single" w:sz="12" w:space="0" w:color="auto"/>
            </w:tcBorders>
            <w:shd w:val="clear" w:color="auto" w:fill="D9D9D9"/>
            <w:noWrap/>
            <w:vAlign w:val="bottom"/>
          </w:tcPr>
          <w:p w:rsidR="000716CC" w:rsidRPr="000716CC" w:rsidRDefault="000716CC" w:rsidP="004461FB">
            <w:pPr>
              <w:jc w:val="left"/>
              <w:rPr>
                <w:sz w:val="18"/>
                <w:szCs w:val="18"/>
                <w:lang w:eastAsia="cs-CZ"/>
              </w:rPr>
            </w:pPr>
            <w:r w:rsidRPr="000716CC">
              <w:rPr>
                <w:sz w:val="18"/>
                <w:szCs w:val="18"/>
                <w:lang w:eastAsia="cs-CZ"/>
              </w:rPr>
              <w:t>Dílčí parametr</w:t>
            </w:r>
          </w:p>
        </w:tc>
        <w:tc>
          <w:tcPr>
            <w:tcW w:w="1701" w:type="dxa"/>
            <w:tcBorders>
              <w:left w:val="single" w:sz="12" w:space="0" w:color="auto"/>
              <w:bottom w:val="single" w:sz="12" w:space="0" w:color="auto"/>
            </w:tcBorders>
            <w:shd w:val="clear" w:color="auto" w:fill="D9D9D9"/>
            <w:noWrap/>
            <w:vAlign w:val="center"/>
          </w:tcPr>
          <w:p w:rsidR="000716CC" w:rsidRPr="000716CC" w:rsidRDefault="000716CC" w:rsidP="004461FB">
            <w:pPr>
              <w:jc w:val="center"/>
              <w:rPr>
                <w:bCs/>
                <w:sz w:val="18"/>
                <w:szCs w:val="18"/>
                <w:lang w:eastAsia="cs-CZ"/>
              </w:rPr>
            </w:pPr>
            <w:r w:rsidRPr="000716CC">
              <w:rPr>
                <w:bCs/>
                <w:sz w:val="18"/>
                <w:szCs w:val="18"/>
                <w:lang w:eastAsia="cs-CZ"/>
              </w:rPr>
              <w:t>Požadavek</w:t>
            </w:r>
          </w:p>
        </w:tc>
        <w:tc>
          <w:tcPr>
            <w:tcW w:w="1842" w:type="dxa"/>
            <w:tcBorders>
              <w:bottom w:val="single" w:sz="12" w:space="0" w:color="auto"/>
            </w:tcBorders>
            <w:shd w:val="clear" w:color="auto" w:fill="D9D9D9"/>
          </w:tcPr>
          <w:p w:rsidR="000716CC" w:rsidRPr="000716CC" w:rsidRDefault="000716CC" w:rsidP="004461FB">
            <w:pPr>
              <w:jc w:val="center"/>
              <w:rPr>
                <w:bCs/>
                <w:sz w:val="18"/>
                <w:szCs w:val="18"/>
                <w:lang w:eastAsia="cs-CZ"/>
              </w:rPr>
            </w:pPr>
            <w:r w:rsidRPr="000716CC">
              <w:rPr>
                <w:bCs/>
                <w:sz w:val="18"/>
                <w:szCs w:val="18"/>
                <w:lang w:eastAsia="cs-CZ"/>
              </w:rPr>
              <w:t>Požadavek</w:t>
            </w:r>
          </w:p>
        </w:tc>
        <w:tc>
          <w:tcPr>
            <w:tcW w:w="1843" w:type="dxa"/>
            <w:tcBorders>
              <w:bottom w:val="single" w:sz="12" w:space="0" w:color="auto"/>
            </w:tcBorders>
            <w:shd w:val="clear" w:color="auto" w:fill="D9D9D9"/>
            <w:vAlign w:val="center"/>
          </w:tcPr>
          <w:p w:rsidR="000716CC" w:rsidRPr="000716CC" w:rsidRDefault="000716CC" w:rsidP="004461FB">
            <w:pPr>
              <w:jc w:val="center"/>
              <w:rPr>
                <w:bCs/>
                <w:sz w:val="18"/>
                <w:szCs w:val="18"/>
                <w:lang w:eastAsia="cs-CZ"/>
              </w:rPr>
            </w:pPr>
            <w:r w:rsidRPr="000716CC">
              <w:rPr>
                <w:bCs/>
                <w:sz w:val="18"/>
                <w:szCs w:val="18"/>
                <w:lang w:eastAsia="cs-CZ"/>
              </w:rPr>
              <w:t>Stávající stav</w:t>
            </w:r>
          </w:p>
        </w:tc>
        <w:tc>
          <w:tcPr>
            <w:tcW w:w="1843" w:type="dxa"/>
            <w:tcBorders>
              <w:bottom w:val="single" w:sz="12" w:space="0" w:color="auto"/>
            </w:tcBorders>
            <w:shd w:val="clear" w:color="auto" w:fill="D9D9D9"/>
            <w:noWrap/>
            <w:vAlign w:val="center"/>
          </w:tcPr>
          <w:p w:rsidR="000716CC" w:rsidRPr="000716CC" w:rsidRDefault="000716CC" w:rsidP="004461FB">
            <w:pPr>
              <w:jc w:val="center"/>
              <w:rPr>
                <w:bCs/>
                <w:sz w:val="18"/>
                <w:szCs w:val="18"/>
                <w:lang w:eastAsia="cs-CZ"/>
              </w:rPr>
            </w:pPr>
            <w:r w:rsidRPr="000716CC">
              <w:rPr>
                <w:bCs/>
                <w:sz w:val="18"/>
                <w:szCs w:val="18"/>
                <w:lang w:eastAsia="cs-CZ"/>
              </w:rPr>
              <w:t>Návrh</w:t>
            </w:r>
          </w:p>
        </w:tc>
      </w:tr>
      <w:tr w:rsidR="000716CC" w:rsidRPr="00AB29A9" w:rsidTr="000716CC">
        <w:trPr>
          <w:trHeight w:val="86"/>
        </w:trPr>
        <w:tc>
          <w:tcPr>
            <w:tcW w:w="2141" w:type="dxa"/>
            <w:tcBorders>
              <w:top w:val="single" w:sz="12" w:space="0" w:color="auto"/>
              <w:right w:val="single" w:sz="12" w:space="0" w:color="auto"/>
            </w:tcBorders>
            <w:shd w:val="clear" w:color="auto" w:fill="D9D9D9"/>
            <w:vAlign w:val="center"/>
          </w:tcPr>
          <w:p w:rsidR="000716CC" w:rsidRPr="000716CC" w:rsidRDefault="000716CC" w:rsidP="004461FB">
            <w:pPr>
              <w:spacing w:before="20" w:after="20" w:line="240" w:lineRule="auto"/>
              <w:jc w:val="left"/>
              <w:rPr>
                <w:rFonts w:cs="Arial"/>
                <w:sz w:val="18"/>
                <w:szCs w:val="18"/>
                <w:lang w:eastAsia="cs-CZ"/>
              </w:rPr>
            </w:pPr>
            <w:r w:rsidRPr="000716CC">
              <w:rPr>
                <w:rFonts w:cs="Arial"/>
                <w:sz w:val="18"/>
                <w:szCs w:val="18"/>
                <w:lang w:eastAsia="cs-CZ"/>
              </w:rPr>
              <w:t>Kategorie</w:t>
            </w:r>
          </w:p>
        </w:tc>
        <w:tc>
          <w:tcPr>
            <w:tcW w:w="1701" w:type="dxa"/>
            <w:tcBorders>
              <w:top w:val="single" w:sz="12" w:space="0" w:color="auto"/>
              <w:left w:val="single" w:sz="12" w:space="0" w:color="auto"/>
            </w:tcBorders>
            <w:shd w:val="clear" w:color="auto" w:fill="auto"/>
            <w:noWrap/>
            <w:vAlign w:val="center"/>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V-M</w:t>
            </w:r>
          </w:p>
        </w:tc>
        <w:tc>
          <w:tcPr>
            <w:tcW w:w="1842" w:type="dxa"/>
            <w:tcBorders>
              <w:top w:val="single" w:sz="12" w:space="0" w:color="auto"/>
            </w:tcBorders>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VII-M</w:t>
            </w:r>
          </w:p>
        </w:tc>
        <w:tc>
          <w:tcPr>
            <w:tcW w:w="1843" w:type="dxa"/>
            <w:tcBorders>
              <w:top w:val="single" w:sz="12" w:space="0" w:color="auto"/>
            </w:tcBorders>
            <w:vAlign w:val="center"/>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w:t>
            </w:r>
          </w:p>
        </w:tc>
        <w:tc>
          <w:tcPr>
            <w:tcW w:w="1843" w:type="dxa"/>
            <w:tcBorders>
              <w:top w:val="single" w:sz="12" w:space="0" w:color="auto"/>
            </w:tcBorders>
            <w:shd w:val="clear" w:color="auto" w:fill="auto"/>
            <w:noWrap/>
            <w:vAlign w:val="center"/>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w:t>
            </w:r>
          </w:p>
        </w:tc>
      </w:tr>
      <w:tr w:rsidR="000716CC" w:rsidRPr="00AB29A9" w:rsidTr="000716CC">
        <w:trPr>
          <w:trHeight w:val="65"/>
        </w:trPr>
        <w:tc>
          <w:tcPr>
            <w:tcW w:w="2141" w:type="dxa"/>
            <w:tcBorders>
              <w:right w:val="single" w:sz="12" w:space="0" w:color="auto"/>
            </w:tcBorders>
            <w:shd w:val="clear" w:color="auto" w:fill="D9D9D9"/>
            <w:noWrap/>
            <w:vAlign w:val="center"/>
          </w:tcPr>
          <w:p w:rsidR="000716CC" w:rsidRPr="000716CC" w:rsidRDefault="000716CC" w:rsidP="004461FB">
            <w:pPr>
              <w:spacing w:before="20" w:after="20" w:line="240" w:lineRule="auto"/>
              <w:jc w:val="left"/>
              <w:rPr>
                <w:rFonts w:cs="Arial"/>
                <w:sz w:val="18"/>
                <w:szCs w:val="18"/>
                <w:lang w:eastAsia="cs-CZ"/>
              </w:rPr>
            </w:pPr>
            <w:r w:rsidRPr="000716CC">
              <w:rPr>
                <w:rFonts w:cs="Arial"/>
                <w:sz w:val="18"/>
                <w:szCs w:val="18"/>
                <w:lang w:eastAsia="cs-CZ"/>
              </w:rPr>
              <w:t>Tratě</w:t>
            </w:r>
          </w:p>
        </w:tc>
        <w:tc>
          <w:tcPr>
            <w:tcW w:w="1701" w:type="dxa"/>
            <w:tcBorders>
              <w:left w:val="single" w:sz="12" w:space="0" w:color="auto"/>
            </w:tcBorders>
            <w:shd w:val="clear" w:color="auto" w:fill="auto"/>
            <w:noWrap/>
            <w:vAlign w:val="center"/>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konvenční</w:t>
            </w:r>
          </w:p>
        </w:tc>
        <w:tc>
          <w:tcPr>
            <w:tcW w:w="1842" w:type="dxa"/>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konvenční</w:t>
            </w:r>
          </w:p>
        </w:tc>
        <w:tc>
          <w:tcPr>
            <w:tcW w:w="1843" w:type="dxa"/>
            <w:vAlign w:val="center"/>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konvenční</w:t>
            </w:r>
          </w:p>
        </w:tc>
        <w:tc>
          <w:tcPr>
            <w:tcW w:w="1843" w:type="dxa"/>
            <w:shd w:val="clear" w:color="auto" w:fill="auto"/>
            <w:noWrap/>
            <w:vAlign w:val="center"/>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konvenční</w:t>
            </w:r>
          </w:p>
        </w:tc>
      </w:tr>
      <w:tr w:rsidR="000716CC" w:rsidRPr="00AB29A9" w:rsidTr="000716CC">
        <w:trPr>
          <w:trHeight w:val="65"/>
        </w:trPr>
        <w:tc>
          <w:tcPr>
            <w:tcW w:w="2141" w:type="dxa"/>
            <w:tcBorders>
              <w:right w:val="single" w:sz="12" w:space="0" w:color="auto"/>
            </w:tcBorders>
            <w:shd w:val="clear" w:color="auto" w:fill="D9D9D9"/>
            <w:noWrap/>
            <w:vAlign w:val="center"/>
          </w:tcPr>
          <w:p w:rsidR="000716CC" w:rsidRPr="000716CC" w:rsidRDefault="000716CC" w:rsidP="004461FB">
            <w:pPr>
              <w:spacing w:before="20" w:after="20" w:line="240" w:lineRule="auto"/>
              <w:jc w:val="left"/>
              <w:rPr>
                <w:rFonts w:cs="Arial"/>
                <w:sz w:val="18"/>
                <w:szCs w:val="18"/>
                <w:lang w:eastAsia="cs-CZ"/>
              </w:rPr>
            </w:pPr>
            <w:r w:rsidRPr="000716CC">
              <w:rPr>
                <w:rFonts w:cs="Arial"/>
                <w:sz w:val="18"/>
                <w:szCs w:val="18"/>
                <w:lang w:eastAsia="cs-CZ"/>
              </w:rPr>
              <w:t>Poznámka</w:t>
            </w:r>
          </w:p>
        </w:tc>
        <w:tc>
          <w:tcPr>
            <w:tcW w:w="1701" w:type="dxa"/>
            <w:tcBorders>
              <w:left w:val="single" w:sz="12" w:space="0" w:color="auto"/>
            </w:tcBorders>
            <w:shd w:val="clear" w:color="auto" w:fill="auto"/>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modernizované hlavní tratě TEN</w:t>
            </w:r>
          </w:p>
        </w:tc>
        <w:tc>
          <w:tcPr>
            <w:tcW w:w="1842" w:type="dxa"/>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modernizované jiné tratě TEN-T</w:t>
            </w:r>
          </w:p>
        </w:tc>
        <w:tc>
          <w:tcPr>
            <w:tcW w:w="1843" w:type="dxa"/>
            <w:vAlign w:val="center"/>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w:t>
            </w:r>
          </w:p>
        </w:tc>
        <w:tc>
          <w:tcPr>
            <w:tcW w:w="1843" w:type="dxa"/>
            <w:shd w:val="clear" w:color="auto" w:fill="auto"/>
            <w:noWrap/>
            <w:vAlign w:val="center"/>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w:t>
            </w:r>
          </w:p>
        </w:tc>
      </w:tr>
      <w:tr w:rsidR="000716CC" w:rsidRPr="00AB29A9" w:rsidTr="000716CC">
        <w:trPr>
          <w:trHeight w:val="113"/>
        </w:trPr>
        <w:tc>
          <w:tcPr>
            <w:tcW w:w="2141" w:type="dxa"/>
            <w:tcBorders>
              <w:right w:val="single" w:sz="12" w:space="0" w:color="auto"/>
            </w:tcBorders>
            <w:shd w:val="clear" w:color="auto" w:fill="D9D9D9"/>
            <w:vAlign w:val="center"/>
          </w:tcPr>
          <w:p w:rsidR="000716CC" w:rsidRPr="000716CC" w:rsidRDefault="000716CC" w:rsidP="004461FB">
            <w:pPr>
              <w:spacing w:before="20" w:after="20" w:line="240" w:lineRule="auto"/>
              <w:jc w:val="left"/>
              <w:rPr>
                <w:rFonts w:cs="Arial"/>
                <w:sz w:val="18"/>
                <w:szCs w:val="18"/>
                <w:lang w:eastAsia="cs-CZ"/>
              </w:rPr>
            </w:pPr>
            <w:r w:rsidRPr="000716CC">
              <w:rPr>
                <w:rFonts w:cs="Arial"/>
                <w:sz w:val="18"/>
                <w:szCs w:val="18"/>
                <w:lang w:eastAsia="cs-CZ"/>
              </w:rPr>
              <w:t>Průjezdný průřez</w:t>
            </w:r>
          </w:p>
        </w:tc>
        <w:tc>
          <w:tcPr>
            <w:tcW w:w="1701" w:type="dxa"/>
            <w:tcBorders>
              <w:left w:val="single" w:sz="12" w:space="0" w:color="auto"/>
            </w:tcBorders>
            <w:shd w:val="clear" w:color="auto" w:fill="auto"/>
            <w:vAlign w:val="center"/>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GB</w:t>
            </w:r>
          </w:p>
        </w:tc>
        <w:tc>
          <w:tcPr>
            <w:tcW w:w="1842" w:type="dxa"/>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GA</w:t>
            </w:r>
          </w:p>
        </w:tc>
        <w:tc>
          <w:tcPr>
            <w:tcW w:w="1843" w:type="dxa"/>
            <w:vAlign w:val="center"/>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GC</w:t>
            </w:r>
          </w:p>
        </w:tc>
        <w:tc>
          <w:tcPr>
            <w:tcW w:w="1843" w:type="dxa"/>
            <w:shd w:val="clear" w:color="auto" w:fill="auto"/>
            <w:noWrap/>
            <w:vAlign w:val="center"/>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GC</w:t>
            </w:r>
          </w:p>
        </w:tc>
      </w:tr>
      <w:tr w:rsidR="000716CC" w:rsidRPr="00AB29A9" w:rsidTr="000716CC">
        <w:trPr>
          <w:trHeight w:val="65"/>
        </w:trPr>
        <w:tc>
          <w:tcPr>
            <w:tcW w:w="2141" w:type="dxa"/>
            <w:tcBorders>
              <w:right w:val="single" w:sz="12" w:space="0" w:color="auto"/>
            </w:tcBorders>
            <w:shd w:val="clear" w:color="auto" w:fill="D9D9D9"/>
            <w:vAlign w:val="center"/>
          </w:tcPr>
          <w:p w:rsidR="000716CC" w:rsidRPr="000716CC" w:rsidRDefault="000716CC" w:rsidP="004461FB">
            <w:pPr>
              <w:spacing w:before="20" w:after="20" w:line="240" w:lineRule="auto"/>
              <w:jc w:val="left"/>
              <w:rPr>
                <w:rFonts w:cs="Arial"/>
                <w:sz w:val="18"/>
                <w:szCs w:val="18"/>
                <w:lang w:eastAsia="cs-CZ"/>
              </w:rPr>
            </w:pPr>
            <w:r w:rsidRPr="000716CC">
              <w:rPr>
                <w:rFonts w:cs="Arial"/>
                <w:sz w:val="18"/>
                <w:szCs w:val="18"/>
                <w:lang w:eastAsia="cs-CZ"/>
              </w:rPr>
              <w:t>Nápravová hmotnost</w:t>
            </w:r>
          </w:p>
        </w:tc>
        <w:tc>
          <w:tcPr>
            <w:tcW w:w="1701" w:type="dxa"/>
            <w:tcBorders>
              <w:left w:val="single" w:sz="12" w:space="0" w:color="auto"/>
            </w:tcBorders>
            <w:shd w:val="clear" w:color="auto" w:fill="auto"/>
            <w:vAlign w:val="center"/>
          </w:tcPr>
          <w:p w:rsidR="000716CC" w:rsidRPr="000716CC" w:rsidRDefault="000716CC" w:rsidP="00F3255B">
            <w:pPr>
              <w:spacing w:before="20" w:after="20" w:line="240" w:lineRule="auto"/>
              <w:jc w:val="center"/>
              <w:rPr>
                <w:rFonts w:cs="Arial"/>
                <w:sz w:val="18"/>
                <w:szCs w:val="18"/>
                <w:lang w:eastAsia="cs-CZ"/>
              </w:rPr>
            </w:pPr>
            <w:r w:rsidRPr="000716CC">
              <w:rPr>
                <w:rFonts w:cs="Arial"/>
                <w:sz w:val="18"/>
                <w:szCs w:val="18"/>
                <w:lang w:eastAsia="cs-CZ"/>
              </w:rPr>
              <w:t>22,5 t</w:t>
            </w:r>
          </w:p>
        </w:tc>
        <w:tc>
          <w:tcPr>
            <w:tcW w:w="1842" w:type="dxa"/>
            <w:vAlign w:val="center"/>
          </w:tcPr>
          <w:p w:rsidR="000716CC" w:rsidRPr="000716CC" w:rsidRDefault="000716CC" w:rsidP="00F3255B">
            <w:pPr>
              <w:spacing w:before="20" w:after="20" w:line="240" w:lineRule="auto"/>
              <w:jc w:val="center"/>
              <w:rPr>
                <w:rFonts w:cs="Arial"/>
                <w:sz w:val="18"/>
                <w:szCs w:val="18"/>
                <w:lang w:eastAsia="cs-CZ"/>
              </w:rPr>
            </w:pPr>
            <w:r w:rsidRPr="000716CC">
              <w:rPr>
                <w:rFonts w:cs="Arial"/>
                <w:sz w:val="18"/>
                <w:szCs w:val="18"/>
                <w:lang w:eastAsia="cs-CZ"/>
              </w:rPr>
              <w:t>20,0 t</w:t>
            </w:r>
          </w:p>
        </w:tc>
        <w:tc>
          <w:tcPr>
            <w:tcW w:w="1843" w:type="dxa"/>
            <w:vAlign w:val="center"/>
          </w:tcPr>
          <w:p w:rsidR="000716CC" w:rsidRPr="000716CC" w:rsidRDefault="000716CC" w:rsidP="00F3255B">
            <w:pPr>
              <w:spacing w:before="20" w:after="20" w:line="240" w:lineRule="auto"/>
              <w:jc w:val="center"/>
              <w:rPr>
                <w:rFonts w:cs="Arial"/>
                <w:sz w:val="18"/>
                <w:szCs w:val="18"/>
                <w:lang w:eastAsia="cs-CZ"/>
              </w:rPr>
            </w:pPr>
            <w:r w:rsidRPr="000716CC">
              <w:rPr>
                <w:rFonts w:cs="Arial"/>
                <w:sz w:val="18"/>
                <w:szCs w:val="18"/>
                <w:lang w:eastAsia="cs-CZ"/>
              </w:rPr>
              <w:t>22,5 t</w:t>
            </w:r>
          </w:p>
        </w:tc>
        <w:tc>
          <w:tcPr>
            <w:tcW w:w="1843" w:type="dxa"/>
            <w:shd w:val="clear" w:color="auto" w:fill="auto"/>
            <w:noWrap/>
            <w:vAlign w:val="center"/>
          </w:tcPr>
          <w:p w:rsidR="000716CC" w:rsidRPr="000716CC" w:rsidRDefault="000716CC" w:rsidP="00F3255B">
            <w:pPr>
              <w:spacing w:before="20" w:after="20" w:line="240" w:lineRule="auto"/>
              <w:jc w:val="center"/>
              <w:rPr>
                <w:rFonts w:cs="Arial"/>
                <w:sz w:val="18"/>
                <w:szCs w:val="18"/>
                <w:lang w:eastAsia="cs-CZ"/>
              </w:rPr>
            </w:pPr>
            <w:r w:rsidRPr="000716CC">
              <w:rPr>
                <w:rFonts w:cs="Arial"/>
                <w:sz w:val="18"/>
                <w:szCs w:val="18"/>
                <w:lang w:eastAsia="cs-CZ"/>
              </w:rPr>
              <w:t>22,5 t</w:t>
            </w:r>
          </w:p>
        </w:tc>
      </w:tr>
      <w:tr w:rsidR="000716CC" w:rsidRPr="00AB29A9" w:rsidTr="000716CC">
        <w:trPr>
          <w:trHeight w:val="65"/>
        </w:trPr>
        <w:tc>
          <w:tcPr>
            <w:tcW w:w="2141" w:type="dxa"/>
            <w:tcBorders>
              <w:right w:val="single" w:sz="12" w:space="0" w:color="auto"/>
            </w:tcBorders>
            <w:shd w:val="clear" w:color="auto" w:fill="D9D9D9"/>
            <w:noWrap/>
            <w:vAlign w:val="center"/>
          </w:tcPr>
          <w:p w:rsidR="000716CC" w:rsidRPr="000716CC" w:rsidRDefault="000716CC" w:rsidP="004461FB">
            <w:pPr>
              <w:spacing w:before="20" w:after="20" w:line="240" w:lineRule="auto"/>
              <w:jc w:val="left"/>
              <w:rPr>
                <w:rFonts w:cs="Arial"/>
                <w:sz w:val="18"/>
                <w:szCs w:val="18"/>
                <w:lang w:eastAsia="cs-CZ"/>
              </w:rPr>
            </w:pPr>
            <w:r w:rsidRPr="000716CC">
              <w:rPr>
                <w:rFonts w:cs="Arial"/>
                <w:sz w:val="18"/>
                <w:szCs w:val="18"/>
                <w:lang w:eastAsia="cs-CZ"/>
              </w:rPr>
              <w:t>Traťová rychlost</w:t>
            </w:r>
          </w:p>
        </w:tc>
        <w:tc>
          <w:tcPr>
            <w:tcW w:w="1701" w:type="dxa"/>
            <w:tcBorders>
              <w:left w:val="single" w:sz="12" w:space="0" w:color="auto"/>
            </w:tcBorders>
            <w:shd w:val="clear" w:color="auto" w:fill="auto"/>
            <w:noWrap/>
            <w:vAlign w:val="center"/>
          </w:tcPr>
          <w:p w:rsidR="000716CC" w:rsidRPr="000716CC" w:rsidRDefault="000716CC" w:rsidP="004461FB">
            <w:pPr>
              <w:spacing w:before="20" w:after="20" w:line="240" w:lineRule="auto"/>
              <w:jc w:val="center"/>
              <w:rPr>
                <w:rFonts w:cs="Arial"/>
                <w:sz w:val="18"/>
                <w:szCs w:val="18"/>
                <w:lang w:eastAsia="cs-CZ"/>
              </w:rPr>
            </w:pPr>
            <w:smartTag w:uri="urn:schemas-microsoft-com:office:smarttags" w:element="metricconverter">
              <w:smartTagPr>
                <w:attr w:name="ProductID" w:val="160 km/h"/>
              </w:smartTagPr>
              <w:r w:rsidRPr="000716CC">
                <w:rPr>
                  <w:rFonts w:cs="Arial"/>
                  <w:sz w:val="18"/>
                  <w:szCs w:val="18"/>
                  <w:lang w:eastAsia="cs-CZ"/>
                </w:rPr>
                <w:t>160 km/h</w:t>
              </w:r>
            </w:smartTag>
          </w:p>
        </w:tc>
        <w:tc>
          <w:tcPr>
            <w:tcW w:w="1842" w:type="dxa"/>
          </w:tcPr>
          <w:p w:rsidR="000716CC" w:rsidRPr="000716CC" w:rsidRDefault="000716CC" w:rsidP="004461FB">
            <w:pPr>
              <w:spacing w:before="20" w:after="20" w:line="240" w:lineRule="auto"/>
              <w:jc w:val="center"/>
              <w:rPr>
                <w:rFonts w:cs="Arial"/>
                <w:sz w:val="18"/>
                <w:szCs w:val="18"/>
                <w:lang w:eastAsia="cs-CZ"/>
              </w:rPr>
            </w:pPr>
            <w:smartTag w:uri="urn:schemas-microsoft-com:office:smarttags" w:element="metricconverter">
              <w:smartTagPr>
                <w:attr w:name="ProductID" w:val="120 km/h"/>
              </w:smartTagPr>
              <w:r w:rsidRPr="000716CC">
                <w:rPr>
                  <w:rFonts w:cs="Arial"/>
                  <w:sz w:val="18"/>
                  <w:szCs w:val="18"/>
                  <w:lang w:eastAsia="cs-CZ"/>
                </w:rPr>
                <w:t>120 km/h</w:t>
              </w:r>
            </w:smartTag>
          </w:p>
        </w:tc>
        <w:tc>
          <w:tcPr>
            <w:tcW w:w="1843" w:type="dxa"/>
            <w:vAlign w:val="center"/>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 xml:space="preserve">do </w:t>
            </w:r>
            <w:smartTag w:uri="urn:schemas-microsoft-com:office:smarttags" w:element="metricconverter">
              <w:smartTagPr>
                <w:attr w:name="ProductID" w:val="100 km/h"/>
              </w:smartTagPr>
              <w:r w:rsidRPr="000716CC">
                <w:rPr>
                  <w:rFonts w:cs="Arial"/>
                  <w:sz w:val="18"/>
                  <w:szCs w:val="18"/>
                  <w:lang w:eastAsia="cs-CZ"/>
                </w:rPr>
                <w:t>100 km/h</w:t>
              </w:r>
            </w:smartTag>
          </w:p>
        </w:tc>
        <w:tc>
          <w:tcPr>
            <w:tcW w:w="1843" w:type="dxa"/>
            <w:shd w:val="clear" w:color="auto" w:fill="auto"/>
            <w:noWrap/>
            <w:vAlign w:val="center"/>
          </w:tcPr>
          <w:p w:rsidR="000716CC" w:rsidRPr="000716CC" w:rsidRDefault="000716CC" w:rsidP="004461FB">
            <w:pPr>
              <w:spacing w:before="20" w:after="20" w:line="240" w:lineRule="auto"/>
              <w:jc w:val="center"/>
              <w:rPr>
                <w:rFonts w:cs="Arial"/>
                <w:sz w:val="18"/>
                <w:szCs w:val="18"/>
                <w:lang w:eastAsia="cs-CZ"/>
              </w:rPr>
            </w:pPr>
            <w:r w:rsidRPr="000716CC">
              <w:rPr>
                <w:rFonts w:cs="Arial"/>
                <w:sz w:val="18"/>
                <w:szCs w:val="18"/>
                <w:lang w:eastAsia="cs-CZ"/>
              </w:rPr>
              <w:t xml:space="preserve">až </w:t>
            </w:r>
            <w:smartTag w:uri="urn:schemas-microsoft-com:office:smarttags" w:element="metricconverter">
              <w:smartTagPr>
                <w:attr w:name="ProductID" w:val="160 km/h"/>
              </w:smartTagPr>
              <w:r w:rsidRPr="000716CC">
                <w:rPr>
                  <w:rFonts w:cs="Arial"/>
                  <w:sz w:val="18"/>
                  <w:szCs w:val="18"/>
                  <w:lang w:eastAsia="cs-CZ"/>
                </w:rPr>
                <w:t>160 km/h</w:t>
              </w:r>
            </w:smartTag>
          </w:p>
        </w:tc>
      </w:tr>
      <w:tr w:rsidR="000716CC" w:rsidRPr="00AB29A9" w:rsidTr="000716CC">
        <w:trPr>
          <w:trHeight w:val="65"/>
        </w:trPr>
        <w:tc>
          <w:tcPr>
            <w:tcW w:w="2141" w:type="dxa"/>
            <w:tcBorders>
              <w:right w:val="single" w:sz="12" w:space="0" w:color="auto"/>
            </w:tcBorders>
            <w:shd w:val="clear" w:color="auto" w:fill="D9D9D9"/>
            <w:noWrap/>
            <w:vAlign w:val="center"/>
          </w:tcPr>
          <w:p w:rsidR="000716CC" w:rsidRPr="000716CC" w:rsidRDefault="000716CC" w:rsidP="004461FB">
            <w:pPr>
              <w:spacing w:before="20" w:after="20" w:line="240" w:lineRule="auto"/>
              <w:jc w:val="left"/>
              <w:rPr>
                <w:rFonts w:cs="Arial"/>
                <w:sz w:val="18"/>
                <w:szCs w:val="18"/>
                <w:lang w:eastAsia="cs-CZ"/>
              </w:rPr>
            </w:pPr>
            <w:r w:rsidRPr="000716CC">
              <w:rPr>
                <w:rFonts w:cs="Arial"/>
                <w:sz w:val="18"/>
                <w:szCs w:val="18"/>
                <w:lang w:eastAsia="cs-CZ"/>
              </w:rPr>
              <w:t>Normativ délky vlaku</w:t>
            </w:r>
          </w:p>
        </w:tc>
        <w:tc>
          <w:tcPr>
            <w:tcW w:w="1701" w:type="dxa"/>
            <w:tcBorders>
              <w:left w:val="single" w:sz="12" w:space="0" w:color="auto"/>
            </w:tcBorders>
            <w:shd w:val="clear" w:color="auto" w:fill="auto"/>
            <w:noWrap/>
            <w:vAlign w:val="center"/>
          </w:tcPr>
          <w:p w:rsidR="000716CC" w:rsidRPr="000716CC" w:rsidRDefault="000716CC" w:rsidP="00F3255B">
            <w:pPr>
              <w:spacing w:before="20" w:after="20" w:line="240" w:lineRule="auto"/>
              <w:jc w:val="center"/>
              <w:rPr>
                <w:rFonts w:cs="Arial"/>
                <w:sz w:val="18"/>
                <w:szCs w:val="18"/>
                <w:lang w:eastAsia="cs-CZ"/>
              </w:rPr>
            </w:pPr>
            <w:smartTag w:uri="urn:schemas-microsoft-com:office:smarttags" w:element="metricconverter">
              <w:smartTagPr>
                <w:attr w:name="ProductID" w:val="600 m"/>
              </w:smartTagPr>
              <w:r w:rsidRPr="000716CC">
                <w:rPr>
                  <w:rFonts w:cs="Arial"/>
                  <w:sz w:val="18"/>
                  <w:szCs w:val="18"/>
                  <w:lang w:eastAsia="cs-CZ"/>
                </w:rPr>
                <w:t>600 m</w:t>
              </w:r>
            </w:smartTag>
          </w:p>
        </w:tc>
        <w:tc>
          <w:tcPr>
            <w:tcW w:w="1842" w:type="dxa"/>
            <w:vAlign w:val="center"/>
          </w:tcPr>
          <w:p w:rsidR="000716CC" w:rsidRPr="000716CC" w:rsidRDefault="000716CC" w:rsidP="00F3255B">
            <w:pPr>
              <w:spacing w:before="20" w:after="20" w:line="240" w:lineRule="auto"/>
              <w:jc w:val="center"/>
              <w:rPr>
                <w:rFonts w:cs="Arial"/>
                <w:sz w:val="18"/>
                <w:szCs w:val="18"/>
                <w:lang w:eastAsia="cs-CZ"/>
              </w:rPr>
            </w:pPr>
            <w:smartTag w:uri="urn:schemas-microsoft-com:office:smarttags" w:element="metricconverter">
              <w:smartTagPr>
                <w:attr w:name="ProductID" w:val="500 m"/>
              </w:smartTagPr>
              <w:r w:rsidRPr="000716CC">
                <w:rPr>
                  <w:rFonts w:cs="Arial"/>
                  <w:sz w:val="18"/>
                  <w:szCs w:val="18"/>
                  <w:lang w:eastAsia="cs-CZ"/>
                </w:rPr>
                <w:t>500 m</w:t>
              </w:r>
            </w:smartTag>
          </w:p>
        </w:tc>
        <w:tc>
          <w:tcPr>
            <w:tcW w:w="1843" w:type="dxa"/>
            <w:vAlign w:val="center"/>
          </w:tcPr>
          <w:p w:rsidR="000716CC" w:rsidRPr="000716CC" w:rsidRDefault="000716CC" w:rsidP="00F3255B">
            <w:pPr>
              <w:spacing w:before="20" w:after="20" w:line="240" w:lineRule="auto"/>
              <w:jc w:val="center"/>
              <w:rPr>
                <w:rFonts w:cs="Arial"/>
                <w:sz w:val="18"/>
                <w:szCs w:val="18"/>
                <w:lang w:eastAsia="cs-CZ"/>
              </w:rPr>
            </w:pPr>
            <w:smartTag w:uri="urn:schemas-microsoft-com:office:smarttags" w:element="metricconverter">
              <w:smartTagPr>
                <w:attr w:name="ProductID" w:val="600 m"/>
              </w:smartTagPr>
              <w:r w:rsidRPr="000716CC">
                <w:rPr>
                  <w:rFonts w:cs="Arial"/>
                  <w:sz w:val="18"/>
                  <w:szCs w:val="18"/>
                  <w:lang w:eastAsia="cs-CZ"/>
                </w:rPr>
                <w:t>600 m</w:t>
              </w:r>
            </w:smartTag>
            <w:r w:rsidRPr="000716CC">
              <w:rPr>
                <w:rFonts w:cs="Arial"/>
                <w:sz w:val="18"/>
                <w:szCs w:val="18"/>
                <w:lang w:eastAsia="cs-CZ"/>
              </w:rPr>
              <w:t xml:space="preserve"> (120 náprav)</w:t>
            </w:r>
          </w:p>
        </w:tc>
        <w:tc>
          <w:tcPr>
            <w:tcW w:w="1843" w:type="dxa"/>
            <w:shd w:val="clear" w:color="auto" w:fill="auto"/>
            <w:noWrap/>
            <w:vAlign w:val="center"/>
          </w:tcPr>
          <w:p w:rsidR="000716CC" w:rsidRPr="000716CC" w:rsidRDefault="000716CC" w:rsidP="00F3255B">
            <w:pPr>
              <w:spacing w:before="20" w:after="20" w:line="240" w:lineRule="auto"/>
              <w:jc w:val="center"/>
              <w:rPr>
                <w:rFonts w:cs="Arial"/>
                <w:sz w:val="18"/>
                <w:szCs w:val="18"/>
                <w:lang w:eastAsia="cs-CZ"/>
              </w:rPr>
            </w:pPr>
            <w:smartTag w:uri="urn:schemas-microsoft-com:office:smarttags" w:element="metricconverter">
              <w:smartTagPr>
                <w:attr w:name="ProductID" w:val="600 m"/>
              </w:smartTagPr>
              <w:r w:rsidRPr="000716CC">
                <w:rPr>
                  <w:rFonts w:cs="Arial"/>
                  <w:sz w:val="18"/>
                  <w:szCs w:val="18"/>
                  <w:lang w:eastAsia="cs-CZ"/>
                </w:rPr>
                <w:t>600 m</w:t>
              </w:r>
            </w:smartTag>
            <w:r w:rsidRPr="000716CC">
              <w:rPr>
                <w:rFonts w:cs="Arial"/>
                <w:sz w:val="18"/>
                <w:szCs w:val="18"/>
                <w:lang w:eastAsia="cs-CZ"/>
              </w:rPr>
              <w:t xml:space="preserve"> (120 náprav)</w:t>
            </w:r>
          </w:p>
        </w:tc>
      </w:tr>
    </w:tbl>
    <w:p w:rsidR="00F3255B" w:rsidRDefault="00F3255B" w:rsidP="004461FB">
      <w:r>
        <w:t xml:space="preserve">Z tabulky vyplývá, že úseky či celé stavby, které se dle příslušných variant navrhují na rychlost </w:t>
      </w:r>
      <w:smartTag w:uri="urn:schemas-microsoft-com:office:smarttags" w:element="metricconverter">
        <w:smartTagPr>
          <w:attr w:name="ProductID" w:val="160 km/h"/>
        </w:smartTagPr>
        <w:r>
          <w:t>160 km/h</w:t>
        </w:r>
      </w:smartTag>
      <w:r>
        <w:t>, beze zbytku stoprocentně vyhoví základním parametrům TSI (pro obě uvedené kategorie). Pro ty úseky, kde se předpokládá nižší rychlost</w:t>
      </w:r>
      <w:r w:rsidR="006D219D">
        <w:t>, tak by dle kategorie trati TSI bylo či nebylo nutné žádat výjimku pro parametr rychlosti.</w:t>
      </w:r>
    </w:p>
    <w:p w:rsidR="004461FB" w:rsidRDefault="006D219D" w:rsidP="004461FB">
      <w:r>
        <w:t>Následuje přehled</w:t>
      </w:r>
      <w:r w:rsidR="004461FB">
        <w:t xml:space="preserve"> para</w:t>
      </w:r>
      <w:r>
        <w:t>metrů</w:t>
      </w:r>
      <w:r w:rsidR="004461FB">
        <w:t xml:space="preserve">, </w:t>
      </w:r>
      <w:r>
        <w:t>které jsou relevantní k posouzení již ve stupni „studie“. J</w:t>
      </w:r>
      <w:r w:rsidR="004461FB">
        <w:t>sou</w:t>
      </w:r>
      <w:r>
        <w:t xml:space="preserve"> to</w:t>
      </w:r>
      <w:r w:rsidR="004461FB">
        <w:t xml:space="preserve"> Prostorové uspořádání (A), Parametry koleje (B) a Nástupiště (G). Splnění ostatních parametrů (C Výhybky a výhybkové konstrukce, D Odolnost koleje vůči uvažovanému zatížení, E Odolnost konstrukcí vůči zatížení dopravou, F Geometrická kvalita koleje a meze ojedinělých závad, H Ochrana zdraví, bezpečnost a životní prostředí, I Zajištění provozu, J Pevná zařízení pro provozní ošetřování vlaků) se předpokládá v rámci stavby automaticky (irelevantní pro stupeň studie). Technické normativy národní legislativy jsou v souladu s body Prostorové uspořádání (A), Parametry koleje (B) a Nástupiště (G), navrhovaná řešení lze z tohoto pohledu považovat za interoperabilní. Přehled požadavků na tyto tři body je uveden níže:</w:t>
      </w:r>
    </w:p>
    <w:tbl>
      <w:tblPr>
        <w:tblW w:w="4928"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29"/>
        <w:gridCol w:w="5039"/>
        <w:gridCol w:w="2288"/>
      </w:tblGrid>
      <w:tr w:rsidR="000716CC" w:rsidRPr="006B3A5B" w:rsidTr="000716CC">
        <w:trPr>
          <w:trHeight w:val="330"/>
        </w:trPr>
        <w:tc>
          <w:tcPr>
            <w:tcW w:w="5000" w:type="pct"/>
            <w:gridSpan w:val="3"/>
            <w:shd w:val="clear" w:color="auto" w:fill="FFFFFF" w:themeFill="background1"/>
            <w:vAlign w:val="center"/>
          </w:tcPr>
          <w:p w:rsidR="000716CC" w:rsidRDefault="000716CC" w:rsidP="000716CC">
            <w:pPr>
              <w:pStyle w:val="Titulek"/>
              <w:rPr>
                <w:lang w:eastAsia="cs-CZ"/>
              </w:rPr>
            </w:pPr>
            <w:bookmarkStart w:id="109" w:name="_Toc390958749"/>
            <w:bookmarkStart w:id="110" w:name="_Toc391034553"/>
            <w:r w:rsidRPr="00C65DA3">
              <w:t xml:space="preserve">Tab. </w:t>
            </w:r>
            <w:r w:rsidR="000E79AE">
              <w:fldChar w:fldCharType="begin"/>
            </w:r>
            <w:r w:rsidR="000E79AE">
              <w:instrText xml:space="preserve"> STYLEREF 1 \s </w:instrText>
            </w:r>
            <w:r w:rsidR="000E79AE">
              <w:fldChar w:fldCharType="separate"/>
            </w:r>
            <w:r w:rsidR="003843F3">
              <w:rPr>
                <w:noProof/>
              </w:rPr>
              <w:t>3</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14</w:t>
            </w:r>
            <w:r w:rsidR="000E79AE">
              <w:fldChar w:fldCharType="end"/>
            </w:r>
            <w:r w:rsidRPr="00C65DA3">
              <w:t>: Prostorové uspořádání trati (A)</w:t>
            </w:r>
            <w:bookmarkEnd w:id="109"/>
            <w:bookmarkEnd w:id="110"/>
          </w:p>
        </w:tc>
      </w:tr>
      <w:tr w:rsidR="004461FB" w:rsidRPr="006B3A5B" w:rsidTr="000716CC">
        <w:trPr>
          <w:trHeight w:val="330"/>
        </w:trPr>
        <w:tc>
          <w:tcPr>
            <w:tcW w:w="1084" w:type="pct"/>
            <w:tcBorders>
              <w:bottom w:val="single" w:sz="12" w:space="0" w:color="auto"/>
              <w:right w:val="single" w:sz="12" w:space="0" w:color="auto"/>
            </w:tcBorders>
            <w:shd w:val="clear" w:color="auto" w:fill="D9D9D9"/>
            <w:vAlign w:val="center"/>
          </w:tcPr>
          <w:p w:rsidR="004461FB" w:rsidRPr="000716CC" w:rsidRDefault="004461FB" w:rsidP="000716CC">
            <w:pPr>
              <w:spacing w:before="100" w:beforeAutospacing="1" w:after="100" w:afterAutospacing="1" w:line="264" w:lineRule="auto"/>
              <w:rPr>
                <w:sz w:val="18"/>
                <w:szCs w:val="18"/>
                <w:lang w:eastAsia="cs-CZ"/>
              </w:rPr>
            </w:pPr>
            <w:r w:rsidRPr="000716CC">
              <w:rPr>
                <w:sz w:val="18"/>
                <w:szCs w:val="18"/>
                <w:lang w:eastAsia="cs-CZ"/>
              </w:rPr>
              <w:t>Dílčí parametr</w:t>
            </w:r>
          </w:p>
        </w:tc>
        <w:tc>
          <w:tcPr>
            <w:tcW w:w="2693" w:type="pct"/>
            <w:tcBorders>
              <w:left w:val="single" w:sz="12" w:space="0" w:color="auto"/>
              <w:bottom w:val="single" w:sz="12" w:space="0" w:color="auto"/>
            </w:tcBorders>
            <w:shd w:val="clear" w:color="auto" w:fill="D9D9D9"/>
            <w:vAlign w:val="center"/>
          </w:tcPr>
          <w:p w:rsidR="004461FB" w:rsidRPr="000716CC" w:rsidRDefault="004461FB" w:rsidP="000716CC">
            <w:pPr>
              <w:spacing w:before="100" w:beforeAutospacing="1" w:after="100" w:afterAutospacing="1" w:line="264" w:lineRule="auto"/>
              <w:jc w:val="center"/>
              <w:rPr>
                <w:sz w:val="18"/>
                <w:szCs w:val="18"/>
                <w:lang w:eastAsia="cs-CZ"/>
              </w:rPr>
            </w:pPr>
            <w:r w:rsidRPr="000716CC">
              <w:rPr>
                <w:sz w:val="18"/>
                <w:szCs w:val="18"/>
                <w:lang w:eastAsia="cs-CZ"/>
              </w:rPr>
              <w:t>Požadavek</w:t>
            </w:r>
          </w:p>
        </w:tc>
        <w:tc>
          <w:tcPr>
            <w:tcW w:w="1223" w:type="pct"/>
            <w:tcBorders>
              <w:bottom w:val="single" w:sz="12" w:space="0" w:color="auto"/>
            </w:tcBorders>
            <w:shd w:val="clear" w:color="auto" w:fill="D9D9D9"/>
            <w:noWrap/>
            <w:vAlign w:val="center"/>
          </w:tcPr>
          <w:p w:rsidR="004461FB" w:rsidRPr="000716CC" w:rsidRDefault="004461FB" w:rsidP="000716CC">
            <w:pPr>
              <w:spacing w:before="100" w:beforeAutospacing="1" w:after="100" w:afterAutospacing="1" w:line="264" w:lineRule="auto"/>
              <w:jc w:val="center"/>
              <w:rPr>
                <w:sz w:val="18"/>
                <w:szCs w:val="18"/>
                <w:lang w:eastAsia="cs-CZ"/>
              </w:rPr>
            </w:pPr>
            <w:r w:rsidRPr="000716CC">
              <w:rPr>
                <w:sz w:val="18"/>
                <w:szCs w:val="18"/>
                <w:lang w:eastAsia="cs-CZ"/>
              </w:rPr>
              <w:t>Stav</w:t>
            </w:r>
          </w:p>
        </w:tc>
      </w:tr>
      <w:tr w:rsidR="004461FB" w:rsidRPr="006B3A5B" w:rsidTr="000716CC">
        <w:trPr>
          <w:trHeight w:val="330"/>
        </w:trPr>
        <w:tc>
          <w:tcPr>
            <w:tcW w:w="1084" w:type="pct"/>
            <w:tcBorders>
              <w:top w:val="single" w:sz="12" w:space="0" w:color="auto"/>
              <w:right w:val="single" w:sz="12" w:space="0" w:color="auto"/>
            </w:tcBorders>
            <w:shd w:val="clear" w:color="auto" w:fill="D9D9D9"/>
            <w:vAlign w:val="center"/>
          </w:tcPr>
          <w:p w:rsidR="004461FB" w:rsidRPr="000716CC" w:rsidRDefault="004461FB" w:rsidP="000716CC">
            <w:pPr>
              <w:suppressAutoHyphens w:val="0"/>
              <w:spacing w:before="100" w:beforeAutospacing="1" w:after="100" w:afterAutospacing="1" w:line="264" w:lineRule="auto"/>
              <w:jc w:val="left"/>
              <w:rPr>
                <w:rFonts w:cs="Arial"/>
                <w:sz w:val="18"/>
                <w:szCs w:val="18"/>
                <w:lang w:eastAsia="cs-CZ"/>
              </w:rPr>
            </w:pPr>
            <w:r w:rsidRPr="000716CC">
              <w:rPr>
                <w:rFonts w:cs="Arial"/>
                <w:sz w:val="18"/>
                <w:szCs w:val="18"/>
                <w:lang w:eastAsia="cs-CZ"/>
              </w:rPr>
              <w:t>Obrys vozidla</w:t>
            </w:r>
          </w:p>
        </w:tc>
        <w:tc>
          <w:tcPr>
            <w:tcW w:w="2693" w:type="pct"/>
            <w:tcBorders>
              <w:top w:val="single" w:sz="12" w:space="0" w:color="auto"/>
              <w:left w:val="single" w:sz="12" w:space="0" w:color="auto"/>
            </w:tcBorders>
            <w:shd w:val="clear" w:color="auto" w:fill="auto"/>
            <w:vAlign w:val="center"/>
          </w:tcPr>
          <w:p w:rsidR="004461FB" w:rsidRPr="000716CC" w:rsidRDefault="004461FB" w:rsidP="000716CC">
            <w:pPr>
              <w:suppressAutoHyphens w:val="0"/>
              <w:spacing w:before="100" w:beforeAutospacing="1" w:after="100" w:afterAutospacing="1" w:line="264" w:lineRule="auto"/>
              <w:jc w:val="center"/>
              <w:rPr>
                <w:rFonts w:cs="Arial"/>
                <w:sz w:val="18"/>
                <w:szCs w:val="18"/>
                <w:lang w:eastAsia="cs-CZ"/>
              </w:rPr>
            </w:pPr>
            <w:r w:rsidRPr="000716CC">
              <w:rPr>
                <w:rFonts w:cs="Arial"/>
                <w:sz w:val="18"/>
                <w:szCs w:val="18"/>
                <w:lang w:eastAsia="cs-CZ"/>
              </w:rPr>
              <w:t>dle průjezdného průřezu</w:t>
            </w:r>
          </w:p>
        </w:tc>
        <w:tc>
          <w:tcPr>
            <w:tcW w:w="1223" w:type="pct"/>
            <w:tcBorders>
              <w:top w:val="single" w:sz="12" w:space="0" w:color="auto"/>
            </w:tcBorders>
            <w:shd w:val="clear" w:color="auto" w:fill="auto"/>
            <w:noWrap/>
            <w:vAlign w:val="center"/>
          </w:tcPr>
          <w:p w:rsidR="004461FB" w:rsidRPr="000716CC" w:rsidRDefault="00327BE1" w:rsidP="000716CC">
            <w:pPr>
              <w:suppressAutoHyphens w:val="0"/>
              <w:spacing w:before="100" w:beforeAutospacing="1" w:after="100" w:afterAutospacing="1" w:line="264" w:lineRule="auto"/>
              <w:jc w:val="center"/>
              <w:rPr>
                <w:rFonts w:cs="Arial"/>
                <w:sz w:val="18"/>
                <w:szCs w:val="18"/>
                <w:highlight w:val="yellow"/>
                <w:lang w:eastAsia="cs-CZ"/>
              </w:rPr>
            </w:pPr>
            <w:r w:rsidRPr="000716CC">
              <w:rPr>
                <w:rFonts w:cs="Arial"/>
                <w:sz w:val="18"/>
                <w:szCs w:val="18"/>
                <w:lang w:eastAsia="cs-CZ"/>
              </w:rPr>
              <w:t>GC</w:t>
            </w:r>
          </w:p>
        </w:tc>
      </w:tr>
      <w:tr w:rsidR="004461FB" w:rsidRPr="006B3A5B" w:rsidTr="000716CC">
        <w:trPr>
          <w:trHeight w:val="315"/>
        </w:trPr>
        <w:tc>
          <w:tcPr>
            <w:tcW w:w="1084" w:type="pct"/>
            <w:tcBorders>
              <w:right w:val="single" w:sz="12" w:space="0" w:color="auto"/>
            </w:tcBorders>
            <w:shd w:val="clear" w:color="auto" w:fill="D9D9D9"/>
            <w:noWrap/>
            <w:vAlign w:val="center"/>
          </w:tcPr>
          <w:p w:rsidR="004461FB" w:rsidRPr="000716CC" w:rsidRDefault="004461FB" w:rsidP="000716CC">
            <w:pPr>
              <w:suppressAutoHyphens w:val="0"/>
              <w:spacing w:before="100" w:beforeAutospacing="1" w:after="100" w:afterAutospacing="1" w:line="264" w:lineRule="auto"/>
              <w:jc w:val="left"/>
              <w:rPr>
                <w:rFonts w:cs="Arial"/>
                <w:sz w:val="18"/>
                <w:szCs w:val="18"/>
                <w:lang w:eastAsia="cs-CZ"/>
              </w:rPr>
            </w:pPr>
            <w:r w:rsidRPr="000716CC">
              <w:rPr>
                <w:rFonts w:cs="Arial"/>
                <w:sz w:val="18"/>
                <w:szCs w:val="18"/>
                <w:lang w:eastAsia="cs-CZ"/>
              </w:rPr>
              <w:t>Osová vzdálenost</w:t>
            </w:r>
          </w:p>
        </w:tc>
        <w:tc>
          <w:tcPr>
            <w:tcW w:w="2693" w:type="pct"/>
            <w:tcBorders>
              <w:left w:val="single" w:sz="12" w:space="0" w:color="auto"/>
            </w:tcBorders>
            <w:shd w:val="clear" w:color="auto" w:fill="auto"/>
            <w:vAlign w:val="center"/>
          </w:tcPr>
          <w:p w:rsidR="004461FB" w:rsidRPr="000716CC" w:rsidRDefault="004461FB" w:rsidP="000716CC">
            <w:pPr>
              <w:suppressAutoHyphens w:val="0"/>
              <w:spacing w:before="100" w:beforeAutospacing="1" w:after="100" w:afterAutospacing="1" w:line="264" w:lineRule="auto"/>
              <w:jc w:val="center"/>
              <w:rPr>
                <w:rFonts w:cs="Arial"/>
                <w:sz w:val="18"/>
                <w:szCs w:val="18"/>
                <w:lang w:eastAsia="cs-CZ"/>
              </w:rPr>
            </w:pPr>
            <w:r w:rsidRPr="000716CC">
              <w:rPr>
                <w:rFonts w:cs="Arial"/>
                <w:sz w:val="18"/>
                <w:szCs w:val="18"/>
                <w:lang w:eastAsia="cs-CZ"/>
              </w:rPr>
              <w:t>dle průjezdného průřezu</w:t>
            </w:r>
          </w:p>
        </w:tc>
        <w:tc>
          <w:tcPr>
            <w:tcW w:w="1223" w:type="pct"/>
            <w:shd w:val="clear" w:color="auto" w:fill="auto"/>
            <w:noWrap/>
            <w:vAlign w:val="center"/>
          </w:tcPr>
          <w:p w:rsidR="004461FB" w:rsidRPr="000716CC" w:rsidRDefault="00327BE1" w:rsidP="000716CC">
            <w:pPr>
              <w:suppressAutoHyphens w:val="0"/>
              <w:spacing w:before="100" w:beforeAutospacing="1" w:after="100" w:afterAutospacing="1" w:line="264" w:lineRule="auto"/>
              <w:jc w:val="center"/>
              <w:rPr>
                <w:rFonts w:cs="Arial"/>
                <w:sz w:val="18"/>
                <w:szCs w:val="18"/>
                <w:highlight w:val="yellow"/>
                <w:lang w:eastAsia="cs-CZ"/>
              </w:rPr>
            </w:pPr>
            <w:r w:rsidRPr="000716CC">
              <w:rPr>
                <w:rFonts w:cs="Arial"/>
                <w:sz w:val="18"/>
                <w:szCs w:val="18"/>
                <w:lang w:eastAsia="cs-CZ"/>
              </w:rPr>
              <w:t>-</w:t>
            </w:r>
          </w:p>
        </w:tc>
      </w:tr>
      <w:tr w:rsidR="004461FB" w:rsidRPr="006B3A5B" w:rsidTr="000716CC">
        <w:trPr>
          <w:trHeight w:val="300"/>
        </w:trPr>
        <w:tc>
          <w:tcPr>
            <w:tcW w:w="1084" w:type="pct"/>
            <w:vMerge w:val="restart"/>
            <w:tcBorders>
              <w:right w:val="single" w:sz="12" w:space="0" w:color="auto"/>
            </w:tcBorders>
            <w:shd w:val="clear" w:color="auto" w:fill="D9D9D9"/>
            <w:vAlign w:val="center"/>
          </w:tcPr>
          <w:p w:rsidR="004461FB" w:rsidRPr="000716CC" w:rsidRDefault="004461FB" w:rsidP="000716CC">
            <w:pPr>
              <w:suppressAutoHyphens w:val="0"/>
              <w:spacing w:before="100" w:beforeAutospacing="1" w:after="100" w:afterAutospacing="1" w:line="264" w:lineRule="auto"/>
              <w:jc w:val="left"/>
              <w:rPr>
                <w:rFonts w:cs="Arial"/>
                <w:sz w:val="18"/>
                <w:szCs w:val="18"/>
                <w:lang w:eastAsia="cs-CZ"/>
              </w:rPr>
            </w:pPr>
            <w:r w:rsidRPr="000716CC">
              <w:rPr>
                <w:rFonts w:cs="Arial"/>
                <w:sz w:val="18"/>
                <w:szCs w:val="18"/>
                <w:lang w:eastAsia="cs-CZ"/>
              </w:rPr>
              <w:t>Maximální sklony</w:t>
            </w:r>
          </w:p>
        </w:tc>
        <w:tc>
          <w:tcPr>
            <w:tcW w:w="2693" w:type="pct"/>
            <w:tcBorders>
              <w:left w:val="single" w:sz="12" w:space="0" w:color="auto"/>
            </w:tcBorders>
            <w:shd w:val="clear" w:color="auto" w:fill="auto"/>
            <w:vAlign w:val="center"/>
          </w:tcPr>
          <w:p w:rsidR="004461FB" w:rsidRPr="000716CC" w:rsidRDefault="004461FB" w:rsidP="000716CC">
            <w:pPr>
              <w:suppressAutoHyphens w:val="0"/>
              <w:spacing w:before="100" w:beforeAutospacing="1" w:after="100" w:afterAutospacing="1" w:line="264" w:lineRule="auto"/>
              <w:jc w:val="center"/>
              <w:rPr>
                <w:rFonts w:cs="Arial"/>
                <w:sz w:val="18"/>
                <w:szCs w:val="18"/>
                <w:lang w:eastAsia="cs-CZ"/>
              </w:rPr>
            </w:pPr>
            <w:r w:rsidRPr="000716CC">
              <w:rPr>
                <w:rFonts w:cs="Arial"/>
                <w:sz w:val="18"/>
                <w:szCs w:val="18"/>
                <w:lang w:eastAsia="cs-CZ"/>
              </w:rPr>
              <w:t>dle stávajících parametrů</w:t>
            </w:r>
          </w:p>
        </w:tc>
        <w:tc>
          <w:tcPr>
            <w:tcW w:w="1223" w:type="pct"/>
            <w:shd w:val="clear" w:color="auto" w:fill="auto"/>
            <w:noWrap/>
            <w:vAlign w:val="center"/>
          </w:tcPr>
          <w:p w:rsidR="004461FB" w:rsidRPr="000716CC" w:rsidRDefault="00327BE1" w:rsidP="000716CC">
            <w:pPr>
              <w:suppressAutoHyphens w:val="0"/>
              <w:spacing w:before="100" w:beforeAutospacing="1" w:after="100" w:afterAutospacing="1" w:line="264" w:lineRule="auto"/>
              <w:jc w:val="center"/>
              <w:rPr>
                <w:rFonts w:cs="Arial"/>
                <w:sz w:val="18"/>
                <w:szCs w:val="18"/>
                <w:highlight w:val="yellow"/>
                <w:lang w:eastAsia="cs-CZ"/>
              </w:rPr>
            </w:pPr>
            <w:r w:rsidRPr="000716CC">
              <w:rPr>
                <w:rFonts w:cs="Arial"/>
                <w:sz w:val="18"/>
                <w:szCs w:val="18"/>
                <w:lang w:eastAsia="cs-CZ"/>
              </w:rPr>
              <w:t>max. 9,62 ‰ v mezistaničním úseku, 1,75</w:t>
            </w:r>
            <w:r w:rsidR="004461FB" w:rsidRPr="000716CC">
              <w:rPr>
                <w:rFonts w:cs="Arial"/>
                <w:sz w:val="18"/>
                <w:szCs w:val="18"/>
                <w:lang w:eastAsia="cs-CZ"/>
              </w:rPr>
              <w:t> ‰ ve stanici</w:t>
            </w:r>
          </w:p>
        </w:tc>
      </w:tr>
      <w:tr w:rsidR="004461FB" w:rsidRPr="006B3A5B" w:rsidTr="000716CC">
        <w:trPr>
          <w:trHeight w:val="780"/>
        </w:trPr>
        <w:tc>
          <w:tcPr>
            <w:tcW w:w="1084" w:type="pct"/>
            <w:vMerge/>
            <w:tcBorders>
              <w:right w:val="single" w:sz="12" w:space="0" w:color="auto"/>
            </w:tcBorders>
            <w:shd w:val="clear" w:color="auto" w:fill="D9D9D9"/>
            <w:vAlign w:val="center"/>
          </w:tcPr>
          <w:p w:rsidR="004461FB" w:rsidRPr="000716CC" w:rsidRDefault="004461FB" w:rsidP="000716CC">
            <w:pPr>
              <w:suppressAutoHyphens w:val="0"/>
              <w:spacing w:before="100" w:beforeAutospacing="1" w:after="100" w:afterAutospacing="1" w:line="264" w:lineRule="auto"/>
              <w:jc w:val="left"/>
              <w:rPr>
                <w:rFonts w:cs="Arial"/>
                <w:sz w:val="18"/>
                <w:szCs w:val="18"/>
                <w:lang w:eastAsia="cs-CZ"/>
              </w:rPr>
            </w:pPr>
          </w:p>
        </w:tc>
        <w:tc>
          <w:tcPr>
            <w:tcW w:w="2693" w:type="pct"/>
            <w:tcBorders>
              <w:left w:val="single" w:sz="12" w:space="0" w:color="auto"/>
            </w:tcBorders>
            <w:shd w:val="clear" w:color="auto" w:fill="auto"/>
            <w:vAlign w:val="center"/>
          </w:tcPr>
          <w:p w:rsidR="004461FB" w:rsidRPr="000716CC" w:rsidRDefault="004461FB" w:rsidP="000716CC">
            <w:pPr>
              <w:suppressAutoHyphens w:val="0"/>
              <w:spacing w:before="100" w:beforeAutospacing="1" w:after="100" w:afterAutospacing="1" w:line="264" w:lineRule="auto"/>
              <w:jc w:val="center"/>
              <w:rPr>
                <w:rFonts w:cs="Arial"/>
                <w:sz w:val="18"/>
                <w:szCs w:val="18"/>
                <w:lang w:eastAsia="cs-CZ"/>
              </w:rPr>
            </w:pPr>
            <w:r w:rsidRPr="000716CC">
              <w:rPr>
                <w:rFonts w:cs="Arial"/>
                <w:sz w:val="18"/>
                <w:szCs w:val="18"/>
                <w:lang w:eastAsia="cs-CZ"/>
              </w:rPr>
              <w:t>sklony odstavných kolejí určených pro stání kolejových vozidel nesmí být větší než 2,5 ‰, pokud nejsou přijata zvláštní opatření bránící kolejovým vozidlům v samovolném odjetí; sklony a místa lomů sklonů se zveřejní v registru infrastruktury, u odstavných kolejí pouze v případě sklonů větších než 2,5 ‰</w:t>
            </w:r>
          </w:p>
        </w:tc>
        <w:tc>
          <w:tcPr>
            <w:tcW w:w="1223" w:type="pct"/>
            <w:shd w:val="clear" w:color="auto" w:fill="auto"/>
            <w:noWrap/>
            <w:vAlign w:val="center"/>
          </w:tcPr>
          <w:p w:rsidR="004461FB" w:rsidRPr="000716CC" w:rsidRDefault="00327BE1" w:rsidP="000716CC">
            <w:pPr>
              <w:suppressAutoHyphens w:val="0"/>
              <w:spacing w:before="100" w:beforeAutospacing="1" w:after="100" w:afterAutospacing="1" w:line="264" w:lineRule="auto"/>
              <w:jc w:val="center"/>
              <w:rPr>
                <w:rFonts w:cs="Arial"/>
                <w:sz w:val="18"/>
                <w:szCs w:val="18"/>
                <w:highlight w:val="yellow"/>
                <w:lang w:eastAsia="cs-CZ"/>
              </w:rPr>
            </w:pPr>
            <w:r w:rsidRPr="000716CC">
              <w:rPr>
                <w:rFonts w:cs="Arial"/>
                <w:sz w:val="18"/>
                <w:szCs w:val="18"/>
                <w:lang w:eastAsia="cs-CZ"/>
              </w:rPr>
              <w:t>max. 9,62 ‰ v mezistaničním úseku, 1,75 ‰ ve stanici</w:t>
            </w:r>
          </w:p>
        </w:tc>
      </w:tr>
      <w:tr w:rsidR="004461FB" w:rsidRPr="006B3A5B" w:rsidTr="000716CC">
        <w:trPr>
          <w:trHeight w:val="315"/>
        </w:trPr>
        <w:tc>
          <w:tcPr>
            <w:tcW w:w="1084" w:type="pct"/>
            <w:tcBorders>
              <w:right w:val="single" w:sz="12" w:space="0" w:color="auto"/>
            </w:tcBorders>
            <w:shd w:val="clear" w:color="auto" w:fill="D9D9D9"/>
            <w:vAlign w:val="center"/>
          </w:tcPr>
          <w:p w:rsidR="004461FB" w:rsidRPr="000716CC" w:rsidRDefault="004461FB" w:rsidP="000716CC">
            <w:pPr>
              <w:suppressAutoHyphens w:val="0"/>
              <w:spacing w:before="100" w:beforeAutospacing="1" w:after="100" w:afterAutospacing="1" w:line="264" w:lineRule="auto"/>
              <w:jc w:val="left"/>
              <w:rPr>
                <w:rFonts w:cs="Arial"/>
                <w:sz w:val="18"/>
                <w:szCs w:val="18"/>
                <w:lang w:eastAsia="cs-CZ"/>
              </w:rPr>
            </w:pPr>
            <w:r w:rsidRPr="000716CC">
              <w:rPr>
                <w:rFonts w:cs="Arial"/>
                <w:sz w:val="18"/>
                <w:szCs w:val="18"/>
                <w:lang w:eastAsia="cs-CZ"/>
              </w:rPr>
              <w:t>Minimální poloměr směrového oblouku</w:t>
            </w:r>
          </w:p>
        </w:tc>
        <w:tc>
          <w:tcPr>
            <w:tcW w:w="2693" w:type="pct"/>
            <w:tcBorders>
              <w:left w:val="single" w:sz="12" w:space="0" w:color="auto"/>
            </w:tcBorders>
            <w:shd w:val="clear" w:color="auto" w:fill="auto"/>
            <w:vAlign w:val="center"/>
          </w:tcPr>
          <w:p w:rsidR="004461FB" w:rsidRPr="000716CC" w:rsidRDefault="004461FB" w:rsidP="000716CC">
            <w:pPr>
              <w:suppressAutoHyphens w:val="0"/>
              <w:spacing w:before="100" w:beforeAutospacing="1" w:after="100" w:afterAutospacing="1" w:line="264" w:lineRule="auto"/>
              <w:jc w:val="center"/>
              <w:rPr>
                <w:rFonts w:cs="Arial"/>
                <w:sz w:val="18"/>
                <w:szCs w:val="18"/>
                <w:lang w:eastAsia="cs-CZ"/>
              </w:rPr>
            </w:pPr>
            <w:r w:rsidRPr="000716CC">
              <w:rPr>
                <w:rFonts w:cs="Arial"/>
                <w:sz w:val="18"/>
                <w:szCs w:val="18"/>
                <w:lang w:eastAsia="cs-CZ"/>
              </w:rPr>
              <w:t>dle navrhované rychlosti</w:t>
            </w:r>
          </w:p>
        </w:tc>
        <w:tc>
          <w:tcPr>
            <w:tcW w:w="1223" w:type="pct"/>
            <w:shd w:val="clear" w:color="auto" w:fill="auto"/>
            <w:noWrap/>
            <w:vAlign w:val="center"/>
          </w:tcPr>
          <w:p w:rsidR="004461FB" w:rsidRPr="000716CC" w:rsidRDefault="00327BE1" w:rsidP="000716CC">
            <w:pPr>
              <w:suppressAutoHyphens w:val="0"/>
              <w:spacing w:before="100" w:beforeAutospacing="1" w:after="100" w:afterAutospacing="1" w:line="264" w:lineRule="auto"/>
              <w:jc w:val="center"/>
              <w:rPr>
                <w:rFonts w:cs="Arial"/>
                <w:sz w:val="18"/>
                <w:szCs w:val="18"/>
                <w:highlight w:val="yellow"/>
                <w:lang w:eastAsia="cs-CZ"/>
              </w:rPr>
            </w:pPr>
            <w:smartTag w:uri="urn:schemas-microsoft-com:office:smarttags" w:element="metricconverter">
              <w:smartTagPr>
                <w:attr w:name="ProductID" w:val="250 m"/>
              </w:smartTagPr>
              <w:r w:rsidRPr="000716CC">
                <w:rPr>
                  <w:rFonts w:cs="Arial"/>
                  <w:sz w:val="18"/>
                  <w:szCs w:val="18"/>
                  <w:lang w:eastAsia="cs-CZ"/>
                </w:rPr>
                <w:t>250 m</w:t>
              </w:r>
            </w:smartTag>
            <w:r w:rsidRPr="000716CC">
              <w:rPr>
                <w:rFonts w:cs="Arial"/>
                <w:sz w:val="18"/>
                <w:szCs w:val="18"/>
                <w:lang w:eastAsia="cs-CZ"/>
              </w:rPr>
              <w:t xml:space="preserve"> (V=4</w:t>
            </w:r>
            <w:r w:rsidR="004461FB" w:rsidRPr="000716CC">
              <w:rPr>
                <w:rFonts w:cs="Arial"/>
                <w:sz w:val="18"/>
                <w:szCs w:val="18"/>
                <w:lang w:eastAsia="cs-CZ"/>
              </w:rPr>
              <w:t>0 km/h)</w:t>
            </w:r>
          </w:p>
        </w:tc>
      </w:tr>
      <w:tr w:rsidR="004461FB" w:rsidRPr="006B3A5B" w:rsidTr="000716CC">
        <w:trPr>
          <w:trHeight w:val="315"/>
        </w:trPr>
        <w:tc>
          <w:tcPr>
            <w:tcW w:w="1084" w:type="pct"/>
            <w:tcBorders>
              <w:right w:val="single" w:sz="12" w:space="0" w:color="auto"/>
            </w:tcBorders>
            <w:shd w:val="clear" w:color="auto" w:fill="D9D9D9"/>
            <w:vAlign w:val="center"/>
          </w:tcPr>
          <w:p w:rsidR="004461FB" w:rsidRPr="000716CC" w:rsidRDefault="004461FB" w:rsidP="000716CC">
            <w:pPr>
              <w:suppressAutoHyphens w:val="0"/>
              <w:spacing w:before="100" w:beforeAutospacing="1" w:after="100" w:afterAutospacing="1" w:line="264" w:lineRule="auto"/>
              <w:jc w:val="left"/>
              <w:rPr>
                <w:rFonts w:cs="Arial"/>
                <w:sz w:val="18"/>
                <w:szCs w:val="18"/>
                <w:lang w:eastAsia="cs-CZ"/>
              </w:rPr>
            </w:pPr>
            <w:r w:rsidRPr="000716CC">
              <w:rPr>
                <w:rFonts w:cs="Arial"/>
                <w:sz w:val="18"/>
                <w:szCs w:val="18"/>
                <w:lang w:eastAsia="cs-CZ"/>
              </w:rPr>
              <w:t>Minimální poloměr zakružovacího oblouku</w:t>
            </w:r>
          </w:p>
        </w:tc>
        <w:tc>
          <w:tcPr>
            <w:tcW w:w="2693" w:type="pct"/>
            <w:tcBorders>
              <w:left w:val="single" w:sz="12" w:space="0" w:color="auto"/>
            </w:tcBorders>
            <w:shd w:val="clear" w:color="auto" w:fill="auto"/>
            <w:vAlign w:val="center"/>
          </w:tcPr>
          <w:p w:rsidR="004461FB" w:rsidRPr="000716CC" w:rsidRDefault="004461FB" w:rsidP="000716CC">
            <w:pPr>
              <w:suppressAutoHyphens w:val="0"/>
              <w:spacing w:before="100" w:beforeAutospacing="1" w:after="100" w:afterAutospacing="1" w:line="264" w:lineRule="auto"/>
              <w:jc w:val="center"/>
              <w:rPr>
                <w:rFonts w:cs="Arial"/>
                <w:sz w:val="18"/>
                <w:szCs w:val="18"/>
                <w:lang w:eastAsia="cs-CZ"/>
              </w:rPr>
            </w:pPr>
            <w:smartTag w:uri="urn:schemas-microsoft-com:office:smarttags" w:element="metricconverter">
              <w:smartTagPr>
                <w:attr w:name="ProductID" w:val="600 m"/>
              </w:smartTagPr>
              <w:r w:rsidRPr="000716CC">
                <w:rPr>
                  <w:rFonts w:cs="Arial"/>
                  <w:sz w:val="18"/>
                  <w:szCs w:val="18"/>
                  <w:lang w:eastAsia="cs-CZ"/>
                </w:rPr>
                <w:t>600 m</w:t>
              </w:r>
            </w:smartTag>
            <w:r w:rsidRPr="000716CC">
              <w:rPr>
                <w:rFonts w:cs="Arial"/>
                <w:sz w:val="18"/>
                <w:szCs w:val="18"/>
                <w:lang w:eastAsia="cs-CZ"/>
              </w:rPr>
              <w:t xml:space="preserve"> vrcholový, </w:t>
            </w:r>
            <w:smartTag w:uri="urn:schemas-microsoft-com:office:smarttags" w:element="metricconverter">
              <w:smartTagPr>
                <w:attr w:name="ProductID" w:val="900 m"/>
              </w:smartTagPr>
              <w:r w:rsidRPr="000716CC">
                <w:rPr>
                  <w:rFonts w:cs="Arial"/>
                  <w:sz w:val="18"/>
                  <w:szCs w:val="18"/>
                  <w:lang w:eastAsia="cs-CZ"/>
                </w:rPr>
                <w:t>900 m</w:t>
              </w:r>
            </w:smartTag>
            <w:r w:rsidRPr="000716CC">
              <w:rPr>
                <w:rFonts w:cs="Arial"/>
                <w:sz w:val="18"/>
                <w:szCs w:val="18"/>
                <w:lang w:eastAsia="cs-CZ"/>
              </w:rPr>
              <w:t xml:space="preserve"> údolnicový</w:t>
            </w:r>
          </w:p>
        </w:tc>
        <w:tc>
          <w:tcPr>
            <w:tcW w:w="1223" w:type="pct"/>
            <w:shd w:val="clear" w:color="auto" w:fill="auto"/>
            <w:noWrap/>
            <w:vAlign w:val="center"/>
          </w:tcPr>
          <w:p w:rsidR="004461FB" w:rsidRPr="000716CC" w:rsidRDefault="00327BE1" w:rsidP="000716CC">
            <w:pPr>
              <w:suppressAutoHyphens w:val="0"/>
              <w:spacing w:before="100" w:beforeAutospacing="1" w:after="100" w:afterAutospacing="1" w:line="264" w:lineRule="auto"/>
              <w:jc w:val="center"/>
              <w:rPr>
                <w:rFonts w:cs="Arial"/>
                <w:sz w:val="18"/>
                <w:szCs w:val="18"/>
                <w:highlight w:val="yellow"/>
                <w:lang w:eastAsia="cs-CZ"/>
              </w:rPr>
            </w:pPr>
            <w:r w:rsidRPr="000716CC">
              <w:rPr>
                <w:rFonts w:cs="Arial"/>
                <w:sz w:val="18"/>
                <w:szCs w:val="18"/>
                <w:lang w:eastAsia="cs-CZ"/>
              </w:rPr>
              <w:t>nezjištěno</w:t>
            </w:r>
          </w:p>
        </w:tc>
      </w:tr>
    </w:tbl>
    <w:p w:rsidR="00C65DA3" w:rsidRDefault="00C65DA3">
      <w:pPr>
        <w:suppressAutoHyphens w:val="0"/>
        <w:spacing w:before="0" w:after="0" w:line="240" w:lineRule="auto"/>
        <w:jc w:val="left"/>
      </w:pPr>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00"/>
        <w:gridCol w:w="5200"/>
        <w:gridCol w:w="2193"/>
      </w:tblGrid>
      <w:tr w:rsidR="000716CC" w:rsidRPr="006B3A5B" w:rsidTr="000716CC">
        <w:trPr>
          <w:trHeight w:val="315"/>
        </w:trPr>
        <w:tc>
          <w:tcPr>
            <w:tcW w:w="5000" w:type="pct"/>
            <w:gridSpan w:val="3"/>
            <w:shd w:val="clear" w:color="auto" w:fill="FFFFFF" w:themeFill="background1"/>
            <w:vAlign w:val="center"/>
          </w:tcPr>
          <w:p w:rsidR="000716CC" w:rsidRPr="000716CC" w:rsidRDefault="000716CC" w:rsidP="000716CC">
            <w:pPr>
              <w:pStyle w:val="Titulek"/>
              <w:rPr>
                <w:szCs w:val="18"/>
                <w:lang w:eastAsia="cs-CZ"/>
              </w:rPr>
            </w:pPr>
            <w:bookmarkStart w:id="111" w:name="_Toc390958750"/>
            <w:bookmarkStart w:id="112" w:name="_Toc391034554"/>
            <w:r w:rsidRPr="00C65DA3">
              <w:t xml:space="preserve">Tab. </w:t>
            </w:r>
            <w:r w:rsidR="000E79AE">
              <w:fldChar w:fldCharType="begin"/>
            </w:r>
            <w:r w:rsidR="000E79AE">
              <w:instrText xml:space="preserve"> STYLEREF 1 \s </w:instrText>
            </w:r>
            <w:r w:rsidR="000E79AE">
              <w:fldChar w:fldCharType="separate"/>
            </w:r>
            <w:r w:rsidR="003843F3">
              <w:rPr>
                <w:noProof/>
              </w:rPr>
              <w:t>3</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15</w:t>
            </w:r>
            <w:r w:rsidR="000E79AE">
              <w:fldChar w:fldCharType="end"/>
            </w:r>
            <w:r w:rsidRPr="00C65DA3">
              <w:t>: Parametry koleje (B)</w:t>
            </w:r>
            <w:bookmarkEnd w:id="111"/>
            <w:bookmarkEnd w:id="112"/>
          </w:p>
        </w:tc>
      </w:tr>
      <w:tr w:rsidR="004461FB" w:rsidRPr="006B3A5B" w:rsidTr="000716CC">
        <w:trPr>
          <w:trHeight w:val="315"/>
        </w:trPr>
        <w:tc>
          <w:tcPr>
            <w:tcW w:w="1106" w:type="pct"/>
            <w:tcBorders>
              <w:bottom w:val="single" w:sz="12" w:space="0" w:color="auto"/>
              <w:right w:val="single" w:sz="12" w:space="0" w:color="auto"/>
            </w:tcBorders>
            <w:shd w:val="clear" w:color="auto" w:fill="D9D9D9"/>
            <w:vAlign w:val="center"/>
          </w:tcPr>
          <w:p w:rsidR="004461FB" w:rsidRPr="000716CC" w:rsidRDefault="004461FB" w:rsidP="000716CC">
            <w:pPr>
              <w:spacing w:before="0" w:after="0" w:line="264" w:lineRule="auto"/>
              <w:rPr>
                <w:sz w:val="18"/>
                <w:szCs w:val="18"/>
                <w:lang w:eastAsia="cs-CZ"/>
              </w:rPr>
            </w:pPr>
            <w:r w:rsidRPr="000716CC">
              <w:rPr>
                <w:sz w:val="18"/>
                <w:szCs w:val="18"/>
                <w:lang w:eastAsia="cs-CZ"/>
              </w:rPr>
              <w:t>Dílčí parametr</w:t>
            </w:r>
          </w:p>
        </w:tc>
        <w:tc>
          <w:tcPr>
            <w:tcW w:w="2739" w:type="pct"/>
            <w:tcBorders>
              <w:left w:val="single" w:sz="12" w:space="0" w:color="auto"/>
              <w:bottom w:val="single" w:sz="12" w:space="0" w:color="auto"/>
            </w:tcBorders>
            <w:shd w:val="clear" w:color="auto" w:fill="D9D9D9"/>
            <w:vAlign w:val="center"/>
          </w:tcPr>
          <w:p w:rsidR="004461FB" w:rsidRPr="000716CC" w:rsidRDefault="004461FB" w:rsidP="000716CC">
            <w:pPr>
              <w:spacing w:before="0" w:after="0" w:line="264" w:lineRule="auto"/>
              <w:jc w:val="center"/>
              <w:rPr>
                <w:sz w:val="18"/>
                <w:szCs w:val="18"/>
                <w:lang w:eastAsia="cs-CZ"/>
              </w:rPr>
            </w:pPr>
            <w:r w:rsidRPr="000716CC">
              <w:rPr>
                <w:sz w:val="18"/>
                <w:szCs w:val="18"/>
                <w:lang w:eastAsia="cs-CZ"/>
              </w:rPr>
              <w:t>Požadavek</w:t>
            </w:r>
          </w:p>
        </w:tc>
        <w:tc>
          <w:tcPr>
            <w:tcW w:w="1155" w:type="pct"/>
            <w:tcBorders>
              <w:bottom w:val="single" w:sz="12" w:space="0" w:color="auto"/>
            </w:tcBorders>
            <w:shd w:val="clear" w:color="auto" w:fill="D9D9D9"/>
            <w:vAlign w:val="center"/>
          </w:tcPr>
          <w:p w:rsidR="004461FB" w:rsidRPr="000716CC" w:rsidRDefault="004461FB" w:rsidP="000716CC">
            <w:pPr>
              <w:spacing w:before="0" w:after="0" w:line="264" w:lineRule="auto"/>
              <w:jc w:val="center"/>
              <w:rPr>
                <w:sz w:val="18"/>
                <w:szCs w:val="18"/>
                <w:lang w:eastAsia="cs-CZ"/>
              </w:rPr>
            </w:pPr>
            <w:r w:rsidRPr="000716CC">
              <w:rPr>
                <w:sz w:val="18"/>
                <w:szCs w:val="18"/>
                <w:lang w:eastAsia="cs-CZ"/>
              </w:rPr>
              <w:t>Stav</w:t>
            </w:r>
          </w:p>
        </w:tc>
      </w:tr>
      <w:tr w:rsidR="004461FB" w:rsidRPr="006B3A5B" w:rsidTr="000716CC">
        <w:trPr>
          <w:trHeight w:val="315"/>
        </w:trPr>
        <w:tc>
          <w:tcPr>
            <w:tcW w:w="1106" w:type="pct"/>
            <w:tcBorders>
              <w:top w:val="single" w:sz="12" w:space="0" w:color="auto"/>
              <w:right w:val="single" w:sz="12" w:space="0" w:color="auto"/>
            </w:tcBorders>
            <w:shd w:val="clear" w:color="auto" w:fill="D9D9D9"/>
            <w:vAlign w:val="center"/>
          </w:tcPr>
          <w:p w:rsidR="004461FB" w:rsidRPr="000716CC" w:rsidRDefault="004461FB" w:rsidP="000716CC">
            <w:pPr>
              <w:suppressAutoHyphens w:val="0"/>
              <w:spacing w:before="0" w:after="0" w:line="264" w:lineRule="auto"/>
              <w:jc w:val="left"/>
              <w:rPr>
                <w:rFonts w:cs="Arial"/>
                <w:sz w:val="18"/>
                <w:szCs w:val="18"/>
                <w:lang w:eastAsia="cs-CZ"/>
              </w:rPr>
            </w:pPr>
            <w:r w:rsidRPr="000716CC">
              <w:rPr>
                <w:rFonts w:cs="Arial"/>
                <w:sz w:val="18"/>
                <w:szCs w:val="18"/>
                <w:lang w:eastAsia="cs-CZ"/>
              </w:rPr>
              <w:t>Jmenovitý rozchod</w:t>
            </w:r>
          </w:p>
        </w:tc>
        <w:tc>
          <w:tcPr>
            <w:tcW w:w="2739" w:type="pct"/>
            <w:tcBorders>
              <w:top w:val="single" w:sz="12" w:space="0" w:color="auto"/>
              <w:left w:val="single" w:sz="12" w:space="0" w:color="auto"/>
            </w:tcBorders>
            <w:shd w:val="clear" w:color="auto" w:fill="auto"/>
            <w:vAlign w:val="center"/>
          </w:tcPr>
          <w:p w:rsidR="004461FB" w:rsidRPr="000716CC" w:rsidRDefault="004461FB" w:rsidP="000716CC">
            <w:pPr>
              <w:suppressAutoHyphens w:val="0"/>
              <w:spacing w:before="0" w:after="0" w:line="264" w:lineRule="auto"/>
              <w:jc w:val="center"/>
              <w:rPr>
                <w:rFonts w:cs="Arial"/>
                <w:sz w:val="18"/>
                <w:szCs w:val="18"/>
                <w:lang w:eastAsia="cs-CZ"/>
              </w:rPr>
            </w:pPr>
            <w:smartTag w:uri="urn:schemas-microsoft-com:office:smarttags" w:element="metricconverter">
              <w:smartTagPr>
                <w:attr w:name="ProductID" w:val="1435 mm"/>
              </w:smartTagPr>
              <w:r w:rsidRPr="000716CC">
                <w:rPr>
                  <w:rFonts w:cs="Arial"/>
                  <w:sz w:val="18"/>
                  <w:szCs w:val="18"/>
                  <w:lang w:eastAsia="cs-CZ"/>
                </w:rPr>
                <w:t>1435 mm</w:t>
              </w:r>
            </w:smartTag>
          </w:p>
        </w:tc>
        <w:tc>
          <w:tcPr>
            <w:tcW w:w="1155" w:type="pct"/>
            <w:tcBorders>
              <w:top w:val="single" w:sz="12" w:space="0" w:color="auto"/>
            </w:tcBorders>
            <w:shd w:val="clear" w:color="auto" w:fill="auto"/>
            <w:vAlign w:val="center"/>
          </w:tcPr>
          <w:p w:rsidR="004461FB" w:rsidRPr="000716CC" w:rsidRDefault="004461FB" w:rsidP="000716CC">
            <w:pPr>
              <w:suppressAutoHyphens w:val="0"/>
              <w:spacing w:before="0" w:after="0" w:line="264" w:lineRule="auto"/>
              <w:jc w:val="center"/>
              <w:rPr>
                <w:rFonts w:cs="Arial"/>
                <w:sz w:val="18"/>
                <w:szCs w:val="18"/>
                <w:lang w:eastAsia="cs-CZ"/>
              </w:rPr>
            </w:pPr>
            <w:smartTag w:uri="urn:schemas-microsoft-com:office:smarttags" w:element="metricconverter">
              <w:smartTagPr>
                <w:attr w:name="ProductID" w:val="1435 mm"/>
              </w:smartTagPr>
              <w:r w:rsidRPr="000716CC">
                <w:rPr>
                  <w:rFonts w:cs="Arial"/>
                  <w:sz w:val="18"/>
                  <w:szCs w:val="18"/>
                  <w:lang w:eastAsia="cs-CZ"/>
                </w:rPr>
                <w:t>1435 mm</w:t>
              </w:r>
            </w:smartTag>
          </w:p>
        </w:tc>
      </w:tr>
      <w:tr w:rsidR="004461FB" w:rsidRPr="006B3A5B" w:rsidTr="000716CC">
        <w:trPr>
          <w:trHeight w:val="315"/>
        </w:trPr>
        <w:tc>
          <w:tcPr>
            <w:tcW w:w="1106" w:type="pct"/>
            <w:tcBorders>
              <w:right w:val="single" w:sz="12" w:space="0" w:color="auto"/>
            </w:tcBorders>
            <w:shd w:val="clear" w:color="auto" w:fill="D9D9D9"/>
            <w:noWrap/>
            <w:vAlign w:val="center"/>
          </w:tcPr>
          <w:p w:rsidR="004461FB" w:rsidRPr="000716CC" w:rsidRDefault="004461FB" w:rsidP="000716CC">
            <w:pPr>
              <w:suppressAutoHyphens w:val="0"/>
              <w:spacing w:before="0" w:after="0" w:line="264" w:lineRule="auto"/>
              <w:jc w:val="left"/>
              <w:rPr>
                <w:rFonts w:cs="Arial"/>
                <w:sz w:val="18"/>
                <w:szCs w:val="18"/>
                <w:lang w:eastAsia="cs-CZ"/>
              </w:rPr>
            </w:pPr>
            <w:r w:rsidRPr="000716CC">
              <w:rPr>
                <w:rFonts w:cs="Arial"/>
                <w:sz w:val="18"/>
                <w:szCs w:val="18"/>
                <w:lang w:eastAsia="cs-CZ"/>
              </w:rPr>
              <w:t>Převýšení [mm]</w:t>
            </w:r>
          </w:p>
        </w:tc>
        <w:tc>
          <w:tcPr>
            <w:tcW w:w="2739" w:type="pct"/>
            <w:tcBorders>
              <w:left w:val="single" w:sz="12" w:space="0" w:color="auto"/>
            </w:tcBorders>
            <w:shd w:val="clear" w:color="auto" w:fill="auto"/>
            <w:vAlign w:val="center"/>
          </w:tcPr>
          <w:p w:rsidR="004461FB" w:rsidRPr="000716CC" w:rsidRDefault="004461FB" w:rsidP="000716CC">
            <w:pPr>
              <w:suppressAutoHyphens w:val="0"/>
              <w:spacing w:before="0" w:after="0" w:line="264" w:lineRule="auto"/>
              <w:jc w:val="center"/>
              <w:rPr>
                <w:rFonts w:cs="Arial"/>
                <w:sz w:val="18"/>
                <w:szCs w:val="18"/>
                <w:lang w:eastAsia="cs-CZ"/>
              </w:rPr>
            </w:pPr>
            <w:smartTag w:uri="urn:schemas-microsoft-com:office:smarttags" w:element="metricconverter">
              <w:smartTagPr>
                <w:attr w:name="ProductID" w:val="160 mm"/>
              </w:smartTagPr>
              <w:r w:rsidRPr="000716CC">
                <w:rPr>
                  <w:rFonts w:cs="Arial"/>
                  <w:sz w:val="18"/>
                  <w:szCs w:val="18"/>
                  <w:lang w:eastAsia="cs-CZ"/>
                </w:rPr>
                <w:t>160 mm</w:t>
              </w:r>
            </w:smartTag>
            <w:r w:rsidRPr="000716CC">
              <w:rPr>
                <w:rFonts w:cs="Arial"/>
                <w:sz w:val="18"/>
                <w:szCs w:val="18"/>
                <w:lang w:eastAsia="cs-CZ"/>
              </w:rPr>
              <w:t xml:space="preserve">, u nástupiště </w:t>
            </w:r>
            <w:smartTag w:uri="urn:schemas-microsoft-com:office:smarttags" w:element="metricconverter">
              <w:smartTagPr>
                <w:attr w:name="ProductID" w:val="110 mm"/>
              </w:smartTagPr>
              <w:r w:rsidRPr="000716CC">
                <w:rPr>
                  <w:rFonts w:cs="Arial"/>
                  <w:sz w:val="18"/>
                  <w:szCs w:val="18"/>
                  <w:lang w:eastAsia="cs-CZ"/>
                </w:rPr>
                <w:t>110 mm</w:t>
              </w:r>
            </w:smartTag>
          </w:p>
        </w:tc>
        <w:tc>
          <w:tcPr>
            <w:tcW w:w="1155" w:type="pct"/>
            <w:shd w:val="clear" w:color="auto" w:fill="auto"/>
            <w:vAlign w:val="center"/>
          </w:tcPr>
          <w:p w:rsidR="004461FB" w:rsidRPr="000716CC" w:rsidRDefault="00327BE1" w:rsidP="000716CC">
            <w:pPr>
              <w:suppressAutoHyphens w:val="0"/>
              <w:spacing w:before="0" w:after="0" w:line="264" w:lineRule="auto"/>
              <w:jc w:val="center"/>
              <w:rPr>
                <w:rFonts w:cs="Arial"/>
                <w:sz w:val="18"/>
                <w:szCs w:val="18"/>
                <w:lang w:eastAsia="cs-CZ"/>
              </w:rPr>
            </w:pPr>
            <w:r w:rsidRPr="000716CC">
              <w:rPr>
                <w:rFonts w:cs="Arial"/>
                <w:sz w:val="18"/>
                <w:szCs w:val="18"/>
                <w:lang w:eastAsia="cs-CZ"/>
              </w:rPr>
              <w:t xml:space="preserve">max. </w:t>
            </w:r>
            <w:smartTag w:uri="urn:schemas-microsoft-com:office:smarttags" w:element="metricconverter">
              <w:smartTagPr>
                <w:attr w:name="ProductID" w:val="60 mm"/>
              </w:smartTagPr>
              <w:r w:rsidR="004461FB" w:rsidRPr="000716CC">
                <w:rPr>
                  <w:rFonts w:cs="Arial"/>
                  <w:sz w:val="18"/>
                  <w:szCs w:val="18"/>
                  <w:lang w:eastAsia="cs-CZ"/>
                </w:rPr>
                <w:t>6</w:t>
              </w:r>
              <w:r w:rsidRPr="000716CC">
                <w:rPr>
                  <w:rFonts w:cs="Arial"/>
                  <w:sz w:val="18"/>
                  <w:szCs w:val="18"/>
                  <w:lang w:eastAsia="cs-CZ"/>
                </w:rPr>
                <w:t>0 mm</w:t>
              </w:r>
            </w:smartTag>
            <w:r w:rsidRPr="000716CC">
              <w:rPr>
                <w:rFonts w:cs="Arial"/>
                <w:sz w:val="18"/>
                <w:szCs w:val="18"/>
                <w:lang w:eastAsia="cs-CZ"/>
              </w:rPr>
              <w:t xml:space="preserve">, u nástupiště </w:t>
            </w:r>
            <w:smartTag w:uri="urn:schemas-microsoft-com:office:smarttags" w:element="metricconverter">
              <w:smartTagPr>
                <w:attr w:name="ProductID" w:val="0 mm"/>
              </w:smartTagPr>
              <w:r w:rsidRPr="000716CC">
                <w:rPr>
                  <w:rFonts w:cs="Arial"/>
                  <w:sz w:val="18"/>
                  <w:szCs w:val="18"/>
                  <w:lang w:eastAsia="cs-CZ"/>
                </w:rPr>
                <w:t>0</w:t>
              </w:r>
              <w:r w:rsidR="004461FB" w:rsidRPr="000716CC">
                <w:rPr>
                  <w:rFonts w:cs="Arial"/>
                  <w:sz w:val="18"/>
                  <w:szCs w:val="18"/>
                  <w:lang w:eastAsia="cs-CZ"/>
                </w:rPr>
                <w:t xml:space="preserve"> mm</w:t>
              </w:r>
            </w:smartTag>
          </w:p>
        </w:tc>
      </w:tr>
      <w:tr w:rsidR="004461FB" w:rsidRPr="006B3A5B" w:rsidTr="000716CC">
        <w:trPr>
          <w:trHeight w:val="525"/>
        </w:trPr>
        <w:tc>
          <w:tcPr>
            <w:tcW w:w="1106" w:type="pct"/>
            <w:tcBorders>
              <w:right w:val="single" w:sz="12" w:space="0" w:color="auto"/>
            </w:tcBorders>
            <w:shd w:val="clear" w:color="auto" w:fill="D9D9D9"/>
            <w:vAlign w:val="center"/>
          </w:tcPr>
          <w:p w:rsidR="004461FB" w:rsidRPr="000716CC" w:rsidRDefault="004461FB" w:rsidP="000716CC">
            <w:pPr>
              <w:suppressAutoHyphens w:val="0"/>
              <w:spacing w:before="0" w:after="0" w:line="264" w:lineRule="auto"/>
              <w:jc w:val="left"/>
              <w:rPr>
                <w:rFonts w:cs="Arial"/>
                <w:sz w:val="18"/>
                <w:szCs w:val="18"/>
                <w:lang w:eastAsia="cs-CZ"/>
              </w:rPr>
            </w:pPr>
            <w:r w:rsidRPr="000716CC">
              <w:rPr>
                <w:rFonts w:cs="Arial"/>
                <w:sz w:val="18"/>
                <w:szCs w:val="18"/>
                <w:lang w:eastAsia="cs-CZ"/>
              </w:rPr>
              <w:t>Maximální časová změna převýšení v přechodnici</w:t>
            </w:r>
          </w:p>
        </w:tc>
        <w:tc>
          <w:tcPr>
            <w:tcW w:w="2739" w:type="pct"/>
            <w:tcBorders>
              <w:left w:val="single" w:sz="12" w:space="0" w:color="auto"/>
            </w:tcBorders>
            <w:shd w:val="clear" w:color="auto" w:fill="auto"/>
            <w:vAlign w:val="center"/>
          </w:tcPr>
          <w:p w:rsidR="004461FB" w:rsidRPr="000716CC" w:rsidRDefault="004461FB" w:rsidP="000716CC">
            <w:pPr>
              <w:suppressAutoHyphens w:val="0"/>
              <w:spacing w:before="0" w:after="0" w:line="264" w:lineRule="auto"/>
              <w:jc w:val="center"/>
              <w:rPr>
                <w:rFonts w:cs="Arial"/>
                <w:b/>
                <w:bCs/>
                <w:sz w:val="18"/>
                <w:szCs w:val="18"/>
                <w:lang w:eastAsia="cs-CZ"/>
              </w:rPr>
            </w:pPr>
            <w:r w:rsidRPr="000716CC">
              <w:rPr>
                <w:rFonts w:cs="Arial"/>
                <w:b/>
                <w:bCs/>
                <w:sz w:val="18"/>
                <w:szCs w:val="18"/>
                <w:lang w:eastAsia="cs-CZ"/>
              </w:rPr>
              <w:t>70 mm/s</w:t>
            </w:r>
            <w:r w:rsidRPr="000716CC">
              <w:rPr>
                <w:rFonts w:cs="Arial"/>
                <w:sz w:val="18"/>
                <w:szCs w:val="18"/>
                <w:lang w:eastAsia="cs-CZ"/>
              </w:rPr>
              <w:t xml:space="preserve"> pro soupravy bez NS; lze zvýšit až na </w:t>
            </w:r>
            <w:r w:rsidRPr="000716CC">
              <w:rPr>
                <w:rFonts w:cs="Arial"/>
                <w:b/>
                <w:bCs/>
                <w:sz w:val="18"/>
                <w:szCs w:val="18"/>
                <w:lang w:eastAsia="cs-CZ"/>
              </w:rPr>
              <w:t>85 mm/s</w:t>
            </w:r>
            <w:r w:rsidRPr="000716CC">
              <w:rPr>
                <w:rFonts w:cs="Arial"/>
                <w:sz w:val="18"/>
                <w:szCs w:val="18"/>
                <w:lang w:eastAsia="cs-CZ"/>
              </w:rPr>
              <w:t xml:space="preserve"> pro I&lt;150mm na konci přechodnice</w:t>
            </w:r>
          </w:p>
        </w:tc>
        <w:tc>
          <w:tcPr>
            <w:tcW w:w="1155" w:type="pct"/>
            <w:shd w:val="clear" w:color="auto" w:fill="auto"/>
            <w:vAlign w:val="center"/>
          </w:tcPr>
          <w:p w:rsidR="004461FB" w:rsidRPr="000716CC" w:rsidRDefault="00684B44" w:rsidP="000716CC">
            <w:pPr>
              <w:suppressAutoHyphens w:val="0"/>
              <w:spacing w:before="0" w:after="0" w:line="264" w:lineRule="auto"/>
              <w:jc w:val="center"/>
              <w:rPr>
                <w:rFonts w:cs="Arial"/>
                <w:sz w:val="18"/>
                <w:szCs w:val="18"/>
                <w:lang w:eastAsia="cs-CZ"/>
              </w:rPr>
            </w:pPr>
            <w:r w:rsidRPr="000716CC">
              <w:rPr>
                <w:rFonts w:cs="Arial"/>
                <w:sz w:val="18"/>
                <w:szCs w:val="18"/>
                <w:lang w:eastAsia="cs-CZ"/>
              </w:rPr>
              <w:t>18</w:t>
            </w:r>
            <w:r w:rsidR="004461FB" w:rsidRPr="000716CC">
              <w:rPr>
                <w:rFonts w:cs="Arial"/>
                <w:sz w:val="18"/>
                <w:szCs w:val="18"/>
                <w:lang w:eastAsia="cs-CZ"/>
              </w:rPr>
              <w:t xml:space="preserve"> mm/s</w:t>
            </w:r>
          </w:p>
        </w:tc>
      </w:tr>
      <w:tr w:rsidR="004461FB" w:rsidRPr="006B3A5B" w:rsidTr="000716CC">
        <w:trPr>
          <w:trHeight w:val="780"/>
        </w:trPr>
        <w:tc>
          <w:tcPr>
            <w:tcW w:w="1106" w:type="pct"/>
            <w:tcBorders>
              <w:right w:val="single" w:sz="12" w:space="0" w:color="auto"/>
            </w:tcBorders>
            <w:shd w:val="clear" w:color="auto" w:fill="D9D9D9"/>
            <w:vAlign w:val="center"/>
          </w:tcPr>
          <w:p w:rsidR="004461FB" w:rsidRPr="000716CC" w:rsidRDefault="004461FB" w:rsidP="000716CC">
            <w:pPr>
              <w:suppressAutoHyphens w:val="0"/>
              <w:spacing w:before="0" w:after="0" w:line="264" w:lineRule="auto"/>
              <w:jc w:val="left"/>
              <w:rPr>
                <w:rFonts w:cs="Arial"/>
                <w:sz w:val="18"/>
                <w:szCs w:val="18"/>
                <w:lang w:eastAsia="cs-CZ"/>
              </w:rPr>
            </w:pPr>
            <w:r w:rsidRPr="000716CC">
              <w:rPr>
                <w:rFonts w:cs="Arial"/>
                <w:sz w:val="18"/>
                <w:szCs w:val="18"/>
                <w:lang w:eastAsia="cs-CZ"/>
              </w:rPr>
              <w:t>Nedostatek převýšení - běžná kolej a hlavní větev výhybky</w:t>
            </w:r>
          </w:p>
        </w:tc>
        <w:tc>
          <w:tcPr>
            <w:tcW w:w="2739" w:type="pct"/>
            <w:tcBorders>
              <w:left w:val="single" w:sz="12" w:space="0" w:color="auto"/>
            </w:tcBorders>
            <w:shd w:val="clear" w:color="auto" w:fill="auto"/>
            <w:vAlign w:val="center"/>
          </w:tcPr>
          <w:p w:rsidR="004461FB" w:rsidRPr="000716CC" w:rsidRDefault="004461FB" w:rsidP="000716CC">
            <w:pPr>
              <w:suppressAutoHyphens w:val="0"/>
              <w:spacing w:before="0" w:after="0" w:line="264" w:lineRule="auto"/>
              <w:jc w:val="center"/>
              <w:rPr>
                <w:rFonts w:cs="Arial"/>
                <w:sz w:val="18"/>
                <w:szCs w:val="18"/>
                <w:lang w:eastAsia="cs-CZ"/>
              </w:rPr>
            </w:pPr>
            <w:r w:rsidRPr="000716CC">
              <w:rPr>
                <w:rFonts w:cs="Arial"/>
                <w:sz w:val="18"/>
                <w:szCs w:val="18"/>
                <w:lang w:eastAsia="cs-CZ"/>
              </w:rPr>
              <w:t xml:space="preserve">na tratích s V do </w:t>
            </w:r>
            <w:smartTag w:uri="urn:schemas-microsoft-com:office:smarttags" w:element="metricconverter">
              <w:smartTagPr>
                <w:attr w:name="ProductID" w:val="200 km/h"/>
              </w:smartTagPr>
              <w:r w:rsidRPr="000716CC">
                <w:rPr>
                  <w:rFonts w:cs="Arial"/>
                  <w:sz w:val="18"/>
                  <w:szCs w:val="18"/>
                  <w:lang w:eastAsia="cs-CZ"/>
                </w:rPr>
                <w:t>200 km/h</w:t>
              </w:r>
            </w:smartTag>
            <w:r w:rsidRPr="000716CC">
              <w:rPr>
                <w:rFonts w:cs="Arial"/>
                <w:sz w:val="18"/>
                <w:szCs w:val="18"/>
                <w:lang w:eastAsia="cs-CZ"/>
              </w:rPr>
              <w:t xml:space="preserve"> pro klasické soupravy: </w:t>
            </w:r>
            <w:smartTag w:uri="urn:schemas-microsoft-com:office:smarttags" w:element="metricconverter">
              <w:smartTagPr>
                <w:attr w:name="ProductID" w:val="130 mm"/>
              </w:smartTagPr>
              <w:r w:rsidRPr="000716CC">
                <w:rPr>
                  <w:rFonts w:cs="Arial"/>
                  <w:b/>
                  <w:bCs/>
                  <w:sz w:val="18"/>
                  <w:szCs w:val="18"/>
                  <w:lang w:eastAsia="cs-CZ"/>
                </w:rPr>
                <w:t>130 mm</w:t>
              </w:r>
            </w:smartTag>
            <w:r w:rsidRPr="000716CC">
              <w:rPr>
                <w:rFonts w:cs="Arial"/>
                <w:sz w:val="18"/>
                <w:szCs w:val="18"/>
                <w:lang w:eastAsia="cs-CZ"/>
              </w:rPr>
              <w:t xml:space="preserve"> (0,85 m/s2 nevyrovnaného bočního zrychlení) pro nákladní vagony (TSI WAG); </w:t>
            </w:r>
            <w:smartTag w:uri="urn:schemas-microsoft-com:office:smarttags" w:element="metricconverter">
              <w:smartTagPr>
                <w:attr w:name="ProductID" w:val="150 mm"/>
              </w:smartTagPr>
              <w:r w:rsidRPr="000716CC">
                <w:rPr>
                  <w:rFonts w:cs="Arial"/>
                  <w:b/>
                  <w:bCs/>
                  <w:sz w:val="18"/>
                  <w:szCs w:val="18"/>
                  <w:lang w:eastAsia="cs-CZ"/>
                </w:rPr>
                <w:t>150 mm</w:t>
              </w:r>
            </w:smartTag>
            <w:r w:rsidRPr="000716CC">
              <w:rPr>
                <w:rFonts w:cs="Arial"/>
                <w:sz w:val="18"/>
                <w:szCs w:val="18"/>
                <w:lang w:eastAsia="cs-CZ"/>
              </w:rPr>
              <w:t xml:space="preserve"> (1,0 m/s2 an) pro lokomotivy a osobní vozy (TSI LOC&amp;PAS); u vlaků s naklápěcí technikou a nižší hmotností na nápravu může být povoleno i </w:t>
            </w:r>
            <w:r w:rsidRPr="000716CC">
              <w:rPr>
                <w:rFonts w:cs="Arial"/>
                <w:b/>
                <w:bCs/>
                <w:sz w:val="18"/>
                <w:szCs w:val="18"/>
                <w:lang w:eastAsia="cs-CZ"/>
              </w:rPr>
              <w:t>více</w:t>
            </w:r>
            <w:r w:rsidRPr="000716CC">
              <w:rPr>
                <w:rFonts w:cs="Arial"/>
                <w:sz w:val="18"/>
                <w:szCs w:val="18"/>
                <w:lang w:eastAsia="cs-CZ"/>
              </w:rPr>
              <w:t xml:space="preserve"> (při prokázání bezpečnosti)</w:t>
            </w:r>
          </w:p>
        </w:tc>
        <w:tc>
          <w:tcPr>
            <w:tcW w:w="1155" w:type="pct"/>
            <w:shd w:val="clear" w:color="auto" w:fill="auto"/>
            <w:vAlign w:val="center"/>
          </w:tcPr>
          <w:p w:rsidR="004461FB" w:rsidRPr="000716CC" w:rsidRDefault="004461FB" w:rsidP="000716CC">
            <w:pPr>
              <w:suppressAutoHyphens w:val="0"/>
              <w:spacing w:before="0" w:after="0" w:line="264" w:lineRule="auto"/>
              <w:jc w:val="center"/>
              <w:rPr>
                <w:rFonts w:cs="Arial"/>
                <w:sz w:val="18"/>
                <w:szCs w:val="18"/>
                <w:lang w:eastAsia="cs-CZ"/>
              </w:rPr>
            </w:pPr>
            <w:smartTag w:uri="urn:schemas-microsoft-com:office:smarttags" w:element="metricconverter">
              <w:smartTagPr>
                <w:attr w:name="ProductID" w:val="100 mm"/>
              </w:smartTagPr>
              <w:r w:rsidRPr="000716CC">
                <w:rPr>
                  <w:rFonts w:cs="Arial"/>
                  <w:sz w:val="18"/>
                  <w:szCs w:val="18"/>
                  <w:lang w:eastAsia="cs-CZ"/>
                </w:rPr>
                <w:t>100 mm</w:t>
              </w:r>
            </w:smartTag>
          </w:p>
        </w:tc>
      </w:tr>
      <w:tr w:rsidR="004461FB" w:rsidRPr="006B3A5B" w:rsidTr="000716CC">
        <w:trPr>
          <w:trHeight w:val="525"/>
        </w:trPr>
        <w:tc>
          <w:tcPr>
            <w:tcW w:w="1106" w:type="pct"/>
            <w:tcBorders>
              <w:right w:val="single" w:sz="12" w:space="0" w:color="auto"/>
            </w:tcBorders>
            <w:shd w:val="clear" w:color="auto" w:fill="D9D9D9"/>
            <w:vAlign w:val="center"/>
          </w:tcPr>
          <w:p w:rsidR="004461FB" w:rsidRPr="000716CC" w:rsidRDefault="004461FB" w:rsidP="000716CC">
            <w:pPr>
              <w:suppressAutoHyphens w:val="0"/>
              <w:spacing w:before="0" w:after="0" w:line="264" w:lineRule="auto"/>
              <w:jc w:val="left"/>
              <w:rPr>
                <w:rFonts w:cs="Arial"/>
                <w:sz w:val="18"/>
                <w:szCs w:val="18"/>
                <w:lang w:eastAsia="cs-CZ"/>
              </w:rPr>
            </w:pPr>
            <w:r w:rsidRPr="000716CC">
              <w:rPr>
                <w:rFonts w:cs="Arial"/>
                <w:sz w:val="18"/>
                <w:szCs w:val="18"/>
                <w:lang w:eastAsia="cs-CZ"/>
              </w:rPr>
              <w:t>Nedostatek převýšení - odbočná větev výhybky</w:t>
            </w:r>
          </w:p>
        </w:tc>
        <w:tc>
          <w:tcPr>
            <w:tcW w:w="2739" w:type="pct"/>
            <w:tcBorders>
              <w:left w:val="single" w:sz="12" w:space="0" w:color="auto"/>
            </w:tcBorders>
            <w:shd w:val="clear" w:color="auto" w:fill="auto"/>
            <w:vAlign w:val="center"/>
          </w:tcPr>
          <w:p w:rsidR="004461FB" w:rsidRPr="000716CC" w:rsidRDefault="004461FB" w:rsidP="000716CC">
            <w:pPr>
              <w:suppressAutoHyphens w:val="0"/>
              <w:spacing w:before="0" w:after="0" w:line="264" w:lineRule="auto"/>
              <w:jc w:val="center"/>
              <w:rPr>
                <w:rFonts w:cs="Arial"/>
                <w:b/>
                <w:bCs/>
                <w:sz w:val="18"/>
                <w:szCs w:val="18"/>
                <w:lang w:eastAsia="cs-CZ"/>
              </w:rPr>
            </w:pPr>
            <w:smartTag w:uri="urn:schemas-microsoft-com:office:smarttags" w:element="metricconverter">
              <w:smartTagPr>
                <w:attr w:name="ProductID" w:val="120 mm"/>
              </w:smartTagPr>
              <w:r w:rsidRPr="000716CC">
                <w:rPr>
                  <w:rFonts w:cs="Arial"/>
                  <w:b/>
                  <w:bCs/>
                  <w:sz w:val="18"/>
                  <w:szCs w:val="18"/>
                  <w:lang w:eastAsia="cs-CZ"/>
                </w:rPr>
                <w:t>120 mm</w:t>
              </w:r>
            </w:smartTag>
            <w:r w:rsidRPr="000716CC">
              <w:rPr>
                <w:rFonts w:cs="Arial"/>
                <w:sz w:val="18"/>
                <w:szCs w:val="18"/>
                <w:lang w:eastAsia="cs-CZ"/>
              </w:rPr>
              <w:t xml:space="preserve"> pro </w:t>
            </w:r>
            <w:smartTag w:uri="urn:schemas-microsoft-com:office:smarttags" w:element="metricconverter">
              <w:smartTagPr>
                <w:attr w:name="ProductID" w:val="30 km/h"/>
              </w:smartTagPr>
              <w:r w:rsidRPr="000716CC">
                <w:rPr>
                  <w:rFonts w:cs="Arial"/>
                  <w:sz w:val="18"/>
                  <w:szCs w:val="18"/>
                  <w:lang w:eastAsia="cs-CZ"/>
                </w:rPr>
                <w:t>30 km/h</w:t>
              </w:r>
            </w:smartTag>
            <w:r w:rsidRPr="000716CC">
              <w:rPr>
                <w:rFonts w:cs="Arial"/>
                <w:sz w:val="18"/>
                <w:szCs w:val="18"/>
                <w:lang w:eastAsia="cs-CZ"/>
              </w:rPr>
              <w:t xml:space="preserve"> ≤ V ≤ </w:t>
            </w:r>
            <w:smartTag w:uri="urn:schemas-microsoft-com:office:smarttags" w:element="metricconverter">
              <w:smartTagPr>
                <w:attr w:name="ProductID" w:val="70 km/h"/>
              </w:smartTagPr>
              <w:r w:rsidRPr="000716CC">
                <w:rPr>
                  <w:rFonts w:cs="Arial"/>
                  <w:sz w:val="18"/>
                  <w:szCs w:val="18"/>
                  <w:lang w:eastAsia="cs-CZ"/>
                </w:rPr>
                <w:t>70 km/h</w:t>
              </w:r>
            </w:smartTag>
            <w:r w:rsidRPr="000716CC">
              <w:rPr>
                <w:rFonts w:cs="Arial"/>
                <w:sz w:val="18"/>
                <w:szCs w:val="18"/>
                <w:lang w:eastAsia="cs-CZ"/>
              </w:rPr>
              <w:t xml:space="preserve">; </w:t>
            </w:r>
            <w:smartTag w:uri="urn:schemas-microsoft-com:office:smarttags" w:element="metricconverter">
              <w:smartTagPr>
                <w:attr w:name="ProductID" w:val="105 mm"/>
              </w:smartTagPr>
              <w:r w:rsidRPr="000716CC">
                <w:rPr>
                  <w:rFonts w:cs="Arial"/>
                  <w:b/>
                  <w:bCs/>
                  <w:sz w:val="18"/>
                  <w:szCs w:val="18"/>
                  <w:lang w:eastAsia="cs-CZ"/>
                </w:rPr>
                <w:t>105 mm</w:t>
              </w:r>
            </w:smartTag>
            <w:r w:rsidRPr="000716CC">
              <w:rPr>
                <w:rFonts w:cs="Arial"/>
                <w:sz w:val="18"/>
                <w:szCs w:val="18"/>
                <w:lang w:eastAsia="cs-CZ"/>
              </w:rPr>
              <w:t xml:space="preserve"> pro 70 &lt; V ≤ </w:t>
            </w:r>
            <w:smartTag w:uri="urn:schemas-microsoft-com:office:smarttags" w:element="metricconverter">
              <w:smartTagPr>
                <w:attr w:name="ProductID" w:val="170 km/h"/>
              </w:smartTagPr>
              <w:r w:rsidRPr="000716CC">
                <w:rPr>
                  <w:rFonts w:cs="Arial"/>
                  <w:sz w:val="18"/>
                  <w:szCs w:val="18"/>
                  <w:lang w:eastAsia="cs-CZ"/>
                </w:rPr>
                <w:t>170 km/h</w:t>
              </w:r>
            </w:smartTag>
            <w:r w:rsidRPr="000716CC">
              <w:rPr>
                <w:rFonts w:cs="Arial"/>
                <w:sz w:val="18"/>
                <w:szCs w:val="18"/>
                <w:lang w:eastAsia="cs-CZ"/>
              </w:rPr>
              <w:t xml:space="preserve">; </w:t>
            </w:r>
            <w:smartTag w:uri="urn:schemas-microsoft-com:office:smarttags" w:element="metricconverter">
              <w:smartTagPr>
                <w:attr w:name="ProductID" w:val="85 mm"/>
              </w:smartTagPr>
              <w:r w:rsidRPr="000716CC">
                <w:rPr>
                  <w:rFonts w:cs="Arial"/>
                  <w:b/>
                  <w:bCs/>
                  <w:sz w:val="18"/>
                  <w:szCs w:val="18"/>
                  <w:lang w:eastAsia="cs-CZ"/>
                </w:rPr>
                <w:t>85 mm</w:t>
              </w:r>
            </w:smartTag>
            <w:r w:rsidRPr="000716CC">
              <w:rPr>
                <w:rFonts w:cs="Arial"/>
                <w:sz w:val="18"/>
                <w:szCs w:val="18"/>
                <w:lang w:eastAsia="cs-CZ"/>
              </w:rPr>
              <w:t xml:space="preserve"> pro 170 &lt; V ≤ </w:t>
            </w:r>
            <w:smartTag w:uri="urn:schemas-microsoft-com:office:smarttags" w:element="metricconverter">
              <w:smartTagPr>
                <w:attr w:name="ProductID" w:val="200 km/h"/>
              </w:smartTagPr>
              <w:r w:rsidRPr="000716CC">
                <w:rPr>
                  <w:rFonts w:cs="Arial"/>
                  <w:sz w:val="18"/>
                  <w:szCs w:val="18"/>
                  <w:lang w:eastAsia="cs-CZ"/>
                </w:rPr>
                <w:t>200 km/h</w:t>
              </w:r>
            </w:smartTag>
            <w:r w:rsidRPr="000716CC">
              <w:rPr>
                <w:rFonts w:cs="Arial"/>
                <w:sz w:val="18"/>
                <w:szCs w:val="18"/>
                <w:lang w:eastAsia="cs-CZ"/>
              </w:rPr>
              <w:t xml:space="preserve">; u stávajících výhybkových konstrukcí lze připustit hodnoty </w:t>
            </w:r>
            <w:r w:rsidRPr="000716CC">
              <w:rPr>
                <w:rFonts w:cs="Arial"/>
                <w:b/>
                <w:bCs/>
                <w:sz w:val="18"/>
                <w:szCs w:val="18"/>
                <w:lang w:eastAsia="cs-CZ"/>
              </w:rPr>
              <w:t xml:space="preserve">o </w:t>
            </w:r>
            <w:smartTag w:uri="urn:schemas-microsoft-com:office:smarttags" w:element="metricconverter">
              <w:smartTagPr>
                <w:attr w:name="ProductID" w:val="20 mm"/>
              </w:smartTagPr>
              <w:r w:rsidRPr="000716CC">
                <w:rPr>
                  <w:rFonts w:cs="Arial"/>
                  <w:b/>
                  <w:bCs/>
                  <w:sz w:val="18"/>
                  <w:szCs w:val="18"/>
                  <w:lang w:eastAsia="cs-CZ"/>
                </w:rPr>
                <w:t>20 mm</w:t>
              </w:r>
            </w:smartTag>
            <w:r w:rsidRPr="000716CC">
              <w:rPr>
                <w:rFonts w:cs="Arial"/>
                <w:b/>
                <w:bCs/>
                <w:sz w:val="18"/>
                <w:szCs w:val="18"/>
                <w:lang w:eastAsia="cs-CZ"/>
              </w:rPr>
              <w:t xml:space="preserve"> větší</w:t>
            </w:r>
          </w:p>
        </w:tc>
        <w:tc>
          <w:tcPr>
            <w:tcW w:w="1155" w:type="pct"/>
            <w:shd w:val="clear" w:color="auto" w:fill="auto"/>
            <w:vAlign w:val="center"/>
          </w:tcPr>
          <w:p w:rsidR="004461FB" w:rsidRPr="000716CC" w:rsidRDefault="004461FB" w:rsidP="000716CC">
            <w:pPr>
              <w:suppressAutoHyphens w:val="0"/>
              <w:spacing w:before="0" w:after="0" w:line="264" w:lineRule="auto"/>
              <w:jc w:val="center"/>
              <w:rPr>
                <w:rFonts w:cs="Arial"/>
                <w:sz w:val="18"/>
                <w:szCs w:val="18"/>
                <w:lang w:eastAsia="cs-CZ"/>
              </w:rPr>
            </w:pPr>
            <w:smartTag w:uri="urn:schemas-microsoft-com:office:smarttags" w:element="metricconverter">
              <w:smartTagPr>
                <w:attr w:name="ProductID" w:val="100 mm"/>
              </w:smartTagPr>
              <w:r w:rsidRPr="000716CC">
                <w:rPr>
                  <w:rFonts w:cs="Arial"/>
                  <w:sz w:val="18"/>
                  <w:szCs w:val="18"/>
                  <w:lang w:eastAsia="cs-CZ"/>
                </w:rPr>
                <w:t>100 mm</w:t>
              </w:r>
            </w:smartTag>
          </w:p>
        </w:tc>
      </w:tr>
      <w:tr w:rsidR="004461FB" w:rsidRPr="006B3A5B" w:rsidTr="000716CC">
        <w:trPr>
          <w:trHeight w:val="780"/>
        </w:trPr>
        <w:tc>
          <w:tcPr>
            <w:tcW w:w="1106" w:type="pct"/>
            <w:tcBorders>
              <w:right w:val="single" w:sz="12" w:space="0" w:color="auto"/>
            </w:tcBorders>
            <w:shd w:val="clear" w:color="auto" w:fill="D9D9D9"/>
            <w:vAlign w:val="center"/>
          </w:tcPr>
          <w:p w:rsidR="004461FB" w:rsidRPr="000716CC" w:rsidRDefault="004461FB" w:rsidP="000716CC">
            <w:pPr>
              <w:suppressAutoHyphens w:val="0"/>
              <w:spacing w:before="0" w:after="0" w:line="264" w:lineRule="auto"/>
              <w:jc w:val="left"/>
              <w:rPr>
                <w:rFonts w:cs="Arial"/>
                <w:sz w:val="18"/>
                <w:szCs w:val="18"/>
                <w:lang w:eastAsia="cs-CZ"/>
              </w:rPr>
            </w:pPr>
            <w:r w:rsidRPr="000716CC">
              <w:rPr>
                <w:rFonts w:cs="Arial"/>
                <w:sz w:val="18"/>
                <w:szCs w:val="18"/>
                <w:lang w:eastAsia="cs-CZ"/>
              </w:rPr>
              <w:t>Ekvivalentní konicita (kuželovitost)</w:t>
            </w:r>
          </w:p>
        </w:tc>
        <w:tc>
          <w:tcPr>
            <w:tcW w:w="2739" w:type="pct"/>
            <w:tcBorders>
              <w:left w:val="single" w:sz="12" w:space="0" w:color="auto"/>
            </w:tcBorders>
            <w:shd w:val="clear" w:color="auto" w:fill="auto"/>
            <w:vAlign w:val="center"/>
          </w:tcPr>
          <w:p w:rsidR="004461FB" w:rsidRPr="000716CC" w:rsidRDefault="004461FB" w:rsidP="000716CC">
            <w:pPr>
              <w:suppressAutoHyphens w:val="0"/>
              <w:spacing w:before="0" w:after="0" w:line="264" w:lineRule="auto"/>
              <w:jc w:val="center"/>
              <w:rPr>
                <w:rFonts w:cs="Arial"/>
                <w:b/>
                <w:bCs/>
                <w:sz w:val="18"/>
                <w:szCs w:val="18"/>
                <w:lang w:eastAsia="cs-CZ"/>
              </w:rPr>
            </w:pPr>
            <w:r w:rsidRPr="000716CC">
              <w:rPr>
                <w:rFonts w:cs="Arial"/>
                <w:b/>
                <w:bCs/>
                <w:sz w:val="18"/>
                <w:szCs w:val="18"/>
                <w:lang w:eastAsia="cs-CZ"/>
              </w:rPr>
              <w:t xml:space="preserve">nevyžaduje se </w:t>
            </w:r>
            <w:r w:rsidRPr="000716CC">
              <w:rPr>
                <w:rFonts w:cs="Arial"/>
                <w:sz w:val="18"/>
                <w:szCs w:val="18"/>
                <w:lang w:eastAsia="cs-CZ"/>
              </w:rPr>
              <w:t xml:space="preserve">pro V ≤ </w:t>
            </w:r>
            <w:smartTag w:uri="urn:schemas-microsoft-com:office:smarttags" w:element="metricconverter">
              <w:smartTagPr>
                <w:attr w:name="ProductID" w:val="60 km/h"/>
              </w:smartTagPr>
              <w:r w:rsidRPr="000716CC">
                <w:rPr>
                  <w:rFonts w:cs="Arial"/>
                  <w:sz w:val="18"/>
                  <w:szCs w:val="18"/>
                  <w:lang w:eastAsia="cs-CZ"/>
                </w:rPr>
                <w:t>60 km/h</w:t>
              </w:r>
            </w:smartTag>
            <w:r w:rsidRPr="000716CC">
              <w:rPr>
                <w:rFonts w:cs="Arial"/>
                <w:sz w:val="18"/>
                <w:szCs w:val="18"/>
                <w:lang w:eastAsia="cs-CZ"/>
              </w:rPr>
              <w:t>,</w:t>
            </w:r>
            <w:r w:rsidRPr="000716CC">
              <w:rPr>
                <w:rFonts w:cs="Arial"/>
                <w:b/>
                <w:bCs/>
                <w:sz w:val="18"/>
                <w:szCs w:val="18"/>
                <w:lang w:eastAsia="cs-CZ"/>
              </w:rPr>
              <w:t xml:space="preserve"> 0,25</w:t>
            </w:r>
            <w:r w:rsidRPr="000716CC">
              <w:rPr>
                <w:rFonts w:cs="Arial"/>
                <w:sz w:val="18"/>
                <w:szCs w:val="18"/>
                <w:lang w:eastAsia="cs-CZ"/>
              </w:rPr>
              <w:t xml:space="preserve"> pro 60 &lt; V ≤ </w:t>
            </w:r>
            <w:smartTag w:uri="urn:schemas-microsoft-com:office:smarttags" w:element="metricconverter">
              <w:smartTagPr>
                <w:attr w:name="ProductID" w:val="200 km/h"/>
              </w:smartTagPr>
              <w:r w:rsidRPr="000716CC">
                <w:rPr>
                  <w:rFonts w:cs="Arial"/>
                  <w:sz w:val="18"/>
                  <w:szCs w:val="18"/>
                  <w:lang w:eastAsia="cs-CZ"/>
                </w:rPr>
                <w:t>200 km/h</w:t>
              </w:r>
            </w:smartTag>
            <w:r w:rsidRPr="000716CC">
              <w:rPr>
                <w:rFonts w:cs="Arial"/>
                <w:sz w:val="18"/>
                <w:szCs w:val="18"/>
                <w:lang w:eastAsia="cs-CZ"/>
              </w:rPr>
              <w:t xml:space="preserve">; vychází se z amplitudy bočního posunu dvojkolí 2 až </w:t>
            </w:r>
            <w:smartTag w:uri="urn:schemas-microsoft-com:office:smarttags" w:element="metricconverter">
              <w:smartTagPr>
                <w:attr w:name="ProductID" w:val="3 mm"/>
              </w:smartTagPr>
              <w:r w:rsidRPr="000716CC">
                <w:rPr>
                  <w:rFonts w:cs="Arial"/>
                  <w:sz w:val="18"/>
                  <w:szCs w:val="18"/>
                  <w:lang w:eastAsia="cs-CZ"/>
                </w:rPr>
                <w:t>3 mm</w:t>
              </w:r>
            </w:smartTag>
            <w:r w:rsidRPr="000716CC">
              <w:rPr>
                <w:rFonts w:cs="Arial"/>
                <w:sz w:val="18"/>
                <w:szCs w:val="18"/>
                <w:lang w:eastAsia="cs-CZ"/>
              </w:rPr>
              <w:t xml:space="preserve">; min. stř. hodnota rozchodu pro kolej v přímé a obloucích o R&gt;10 000m: </w:t>
            </w:r>
            <w:r w:rsidRPr="000716CC">
              <w:rPr>
                <w:rFonts w:cs="Arial"/>
                <w:b/>
                <w:bCs/>
                <w:sz w:val="18"/>
                <w:szCs w:val="18"/>
                <w:lang w:eastAsia="cs-CZ"/>
              </w:rPr>
              <w:t>nevyžaduje se</w:t>
            </w:r>
            <w:r w:rsidRPr="000716CC">
              <w:rPr>
                <w:rFonts w:cs="Arial"/>
                <w:sz w:val="18"/>
                <w:szCs w:val="18"/>
                <w:lang w:eastAsia="cs-CZ"/>
              </w:rPr>
              <w:t xml:space="preserve"> pro V ≤ </w:t>
            </w:r>
            <w:smartTag w:uri="urn:schemas-microsoft-com:office:smarttags" w:element="metricconverter">
              <w:smartTagPr>
                <w:attr w:name="ProductID" w:val="60 km/h"/>
              </w:smartTagPr>
              <w:r w:rsidRPr="000716CC">
                <w:rPr>
                  <w:rFonts w:cs="Arial"/>
                  <w:sz w:val="18"/>
                  <w:szCs w:val="18"/>
                  <w:lang w:eastAsia="cs-CZ"/>
                </w:rPr>
                <w:t>60 km/h</w:t>
              </w:r>
            </w:smartTag>
            <w:r w:rsidRPr="000716CC">
              <w:rPr>
                <w:rFonts w:cs="Arial"/>
                <w:sz w:val="18"/>
                <w:szCs w:val="18"/>
                <w:lang w:eastAsia="cs-CZ"/>
              </w:rPr>
              <w:t xml:space="preserve">, </w:t>
            </w:r>
            <w:smartTag w:uri="urn:schemas-microsoft-com:office:smarttags" w:element="metricconverter">
              <w:smartTagPr>
                <w:attr w:name="ProductID" w:val="1430 mm"/>
              </w:smartTagPr>
              <w:r w:rsidRPr="000716CC">
                <w:rPr>
                  <w:rFonts w:cs="Arial"/>
                  <w:b/>
                  <w:bCs/>
                  <w:sz w:val="18"/>
                  <w:szCs w:val="18"/>
                  <w:lang w:eastAsia="cs-CZ"/>
                </w:rPr>
                <w:t>1430 mm</w:t>
              </w:r>
            </w:smartTag>
            <w:r w:rsidRPr="000716CC">
              <w:rPr>
                <w:rFonts w:cs="Arial"/>
                <w:sz w:val="18"/>
                <w:szCs w:val="18"/>
                <w:lang w:eastAsia="cs-CZ"/>
              </w:rPr>
              <w:t xml:space="preserve"> pro 60 &lt; V ≤ </w:t>
            </w:r>
            <w:smartTag w:uri="urn:schemas-microsoft-com:office:smarttags" w:element="metricconverter">
              <w:smartTagPr>
                <w:attr w:name="ProductID" w:val="200 km/h"/>
              </w:smartTagPr>
              <w:r w:rsidRPr="000716CC">
                <w:rPr>
                  <w:rFonts w:cs="Arial"/>
                  <w:sz w:val="18"/>
                  <w:szCs w:val="18"/>
                  <w:lang w:eastAsia="cs-CZ"/>
                </w:rPr>
                <w:t>200 km/h</w:t>
              </w:r>
            </w:smartTag>
          </w:p>
        </w:tc>
        <w:tc>
          <w:tcPr>
            <w:tcW w:w="1155" w:type="pct"/>
            <w:shd w:val="clear" w:color="auto" w:fill="auto"/>
            <w:vAlign w:val="center"/>
          </w:tcPr>
          <w:p w:rsidR="004461FB" w:rsidRPr="000716CC" w:rsidRDefault="00327BE1" w:rsidP="000716CC">
            <w:pPr>
              <w:suppressAutoHyphens w:val="0"/>
              <w:spacing w:before="0" w:after="0" w:line="264" w:lineRule="auto"/>
              <w:jc w:val="center"/>
              <w:rPr>
                <w:rFonts w:cs="Arial"/>
                <w:sz w:val="18"/>
                <w:szCs w:val="18"/>
                <w:lang w:eastAsia="cs-CZ"/>
              </w:rPr>
            </w:pPr>
            <w:r w:rsidRPr="000716CC">
              <w:rPr>
                <w:rFonts w:cs="Arial"/>
                <w:sz w:val="18"/>
                <w:szCs w:val="18"/>
                <w:lang w:eastAsia="cs-CZ"/>
              </w:rPr>
              <w:t>nezjištěno</w:t>
            </w:r>
          </w:p>
        </w:tc>
      </w:tr>
      <w:tr w:rsidR="004461FB" w:rsidRPr="006B3A5B" w:rsidTr="000716CC">
        <w:trPr>
          <w:trHeight w:val="799"/>
        </w:trPr>
        <w:tc>
          <w:tcPr>
            <w:tcW w:w="1106" w:type="pct"/>
            <w:tcBorders>
              <w:right w:val="single" w:sz="12" w:space="0" w:color="auto"/>
            </w:tcBorders>
            <w:shd w:val="clear" w:color="auto" w:fill="D9D9D9"/>
            <w:vAlign w:val="center"/>
          </w:tcPr>
          <w:p w:rsidR="004461FB" w:rsidRPr="000716CC" w:rsidRDefault="004461FB" w:rsidP="000716CC">
            <w:pPr>
              <w:suppressAutoHyphens w:val="0"/>
              <w:spacing w:before="0" w:after="0" w:line="264" w:lineRule="auto"/>
              <w:jc w:val="left"/>
              <w:rPr>
                <w:rFonts w:cs="Arial"/>
                <w:sz w:val="18"/>
                <w:szCs w:val="18"/>
                <w:lang w:eastAsia="cs-CZ"/>
              </w:rPr>
            </w:pPr>
            <w:r w:rsidRPr="000716CC">
              <w:rPr>
                <w:rFonts w:cs="Arial"/>
                <w:sz w:val="18"/>
                <w:szCs w:val="18"/>
                <w:lang w:eastAsia="cs-CZ"/>
              </w:rPr>
              <w:t>Profil hlavy kolejnice</w:t>
            </w:r>
          </w:p>
        </w:tc>
        <w:tc>
          <w:tcPr>
            <w:tcW w:w="2739" w:type="pct"/>
            <w:tcBorders>
              <w:left w:val="single" w:sz="12" w:space="0" w:color="auto"/>
            </w:tcBorders>
            <w:shd w:val="clear" w:color="auto" w:fill="auto"/>
            <w:vAlign w:val="center"/>
          </w:tcPr>
          <w:p w:rsidR="004461FB" w:rsidRPr="000716CC" w:rsidRDefault="004461FB" w:rsidP="000716CC">
            <w:pPr>
              <w:suppressAutoHyphens w:val="0"/>
              <w:spacing w:before="0" w:after="0" w:line="264" w:lineRule="auto"/>
              <w:jc w:val="center"/>
              <w:rPr>
                <w:rFonts w:cs="Arial"/>
                <w:sz w:val="18"/>
                <w:szCs w:val="18"/>
                <w:lang w:eastAsia="cs-CZ"/>
              </w:rPr>
            </w:pPr>
            <w:r w:rsidRPr="000716CC">
              <w:rPr>
                <w:rFonts w:cs="Arial"/>
                <w:sz w:val="18"/>
                <w:szCs w:val="18"/>
                <w:lang w:eastAsia="cs-CZ"/>
              </w:rPr>
              <w:t xml:space="preserve">zkosení boku hlavy kolejnice v úklonu do 1/16 vzhledem ke svislé ose hlavy kolejnice; svislá vzdálenost mezi horním (tečným) bodem tohoto úklonu a temenem kolejnice musí být menší než </w:t>
            </w:r>
            <w:smartTag w:uri="urn:schemas-microsoft-com:office:smarttags" w:element="metricconverter">
              <w:smartTagPr>
                <w:attr w:name="ProductID" w:val="15 mm"/>
              </w:smartTagPr>
              <w:r w:rsidRPr="000716CC">
                <w:rPr>
                  <w:rFonts w:cs="Arial"/>
                  <w:sz w:val="18"/>
                  <w:szCs w:val="18"/>
                  <w:lang w:eastAsia="cs-CZ"/>
                </w:rPr>
                <w:t>15 mm</w:t>
              </w:r>
            </w:smartTag>
            <w:r w:rsidRPr="000716CC">
              <w:rPr>
                <w:rFonts w:cs="Arial"/>
                <w:sz w:val="18"/>
                <w:szCs w:val="18"/>
                <w:lang w:eastAsia="cs-CZ"/>
              </w:rPr>
              <w:t xml:space="preserve">; poloměr pojížděné hrany nejméně </w:t>
            </w:r>
            <w:smartTag w:uri="urn:schemas-microsoft-com:office:smarttags" w:element="metricconverter">
              <w:smartTagPr>
                <w:attr w:name="ProductID" w:val="12 mm"/>
              </w:smartTagPr>
              <w:r w:rsidRPr="000716CC">
                <w:rPr>
                  <w:rFonts w:cs="Arial"/>
                  <w:sz w:val="18"/>
                  <w:szCs w:val="18"/>
                  <w:lang w:eastAsia="cs-CZ"/>
                </w:rPr>
                <w:t>12 mm</w:t>
              </w:r>
            </w:smartTag>
            <w:r w:rsidRPr="000716CC">
              <w:rPr>
                <w:rFonts w:cs="Arial"/>
                <w:sz w:val="18"/>
                <w:szCs w:val="18"/>
                <w:lang w:eastAsia="cs-CZ"/>
              </w:rPr>
              <w:t xml:space="preserve">; vodorovná vzdálenost mezi temenem kolejnice a horní hranou tečného zaoblení musí být v rozmezí od 31 do </w:t>
            </w:r>
            <w:smartTag w:uri="urn:schemas-microsoft-com:office:smarttags" w:element="metricconverter">
              <w:smartTagPr>
                <w:attr w:name="ProductID" w:val="37 mm"/>
              </w:smartTagPr>
              <w:r w:rsidRPr="000716CC">
                <w:rPr>
                  <w:rFonts w:cs="Arial"/>
                  <w:sz w:val="18"/>
                  <w:szCs w:val="18"/>
                  <w:lang w:eastAsia="cs-CZ"/>
                </w:rPr>
                <w:t>37 mm</w:t>
              </w:r>
            </w:smartTag>
          </w:p>
        </w:tc>
        <w:tc>
          <w:tcPr>
            <w:tcW w:w="1155" w:type="pct"/>
            <w:shd w:val="clear" w:color="auto" w:fill="auto"/>
            <w:vAlign w:val="center"/>
          </w:tcPr>
          <w:p w:rsidR="004461FB" w:rsidRPr="000716CC" w:rsidRDefault="00327BE1" w:rsidP="000716CC">
            <w:pPr>
              <w:suppressAutoHyphens w:val="0"/>
              <w:spacing w:before="0" w:after="0" w:line="264" w:lineRule="auto"/>
              <w:jc w:val="center"/>
              <w:rPr>
                <w:rFonts w:cs="Arial"/>
                <w:sz w:val="18"/>
                <w:szCs w:val="18"/>
                <w:lang w:eastAsia="cs-CZ"/>
              </w:rPr>
            </w:pPr>
            <w:r w:rsidRPr="000716CC">
              <w:rPr>
                <w:rFonts w:cs="Arial"/>
                <w:sz w:val="18"/>
                <w:szCs w:val="18"/>
                <w:lang w:eastAsia="cs-CZ"/>
              </w:rPr>
              <w:t>nezjištěno</w:t>
            </w:r>
          </w:p>
        </w:tc>
      </w:tr>
      <w:tr w:rsidR="004461FB" w:rsidRPr="006B3A5B" w:rsidTr="000716CC">
        <w:trPr>
          <w:trHeight w:val="315"/>
        </w:trPr>
        <w:tc>
          <w:tcPr>
            <w:tcW w:w="1106" w:type="pct"/>
            <w:tcBorders>
              <w:right w:val="single" w:sz="12" w:space="0" w:color="auto"/>
            </w:tcBorders>
            <w:shd w:val="clear" w:color="auto" w:fill="D9D9D9"/>
            <w:vAlign w:val="center"/>
          </w:tcPr>
          <w:p w:rsidR="004461FB" w:rsidRPr="000716CC" w:rsidRDefault="004461FB" w:rsidP="000716CC">
            <w:pPr>
              <w:suppressAutoHyphens w:val="0"/>
              <w:spacing w:before="0" w:after="0" w:line="264" w:lineRule="auto"/>
              <w:jc w:val="left"/>
              <w:rPr>
                <w:rFonts w:cs="Arial"/>
                <w:sz w:val="18"/>
                <w:szCs w:val="18"/>
                <w:lang w:eastAsia="cs-CZ"/>
              </w:rPr>
            </w:pPr>
            <w:r w:rsidRPr="000716CC">
              <w:rPr>
                <w:rFonts w:cs="Arial"/>
                <w:sz w:val="18"/>
                <w:szCs w:val="18"/>
                <w:lang w:eastAsia="cs-CZ"/>
              </w:rPr>
              <w:t>Úklon kolejnice</w:t>
            </w:r>
          </w:p>
        </w:tc>
        <w:tc>
          <w:tcPr>
            <w:tcW w:w="2739" w:type="pct"/>
            <w:tcBorders>
              <w:left w:val="single" w:sz="12" w:space="0" w:color="auto"/>
            </w:tcBorders>
            <w:shd w:val="clear" w:color="auto" w:fill="auto"/>
            <w:vAlign w:val="center"/>
          </w:tcPr>
          <w:p w:rsidR="004461FB" w:rsidRPr="000716CC" w:rsidRDefault="004461FB" w:rsidP="000716CC">
            <w:pPr>
              <w:suppressAutoHyphens w:val="0"/>
              <w:spacing w:before="0" w:after="0" w:line="264" w:lineRule="auto"/>
              <w:jc w:val="center"/>
              <w:rPr>
                <w:rFonts w:cs="Arial"/>
                <w:sz w:val="18"/>
                <w:szCs w:val="18"/>
                <w:lang w:eastAsia="cs-CZ"/>
              </w:rPr>
            </w:pPr>
            <w:r w:rsidRPr="000716CC">
              <w:rPr>
                <w:rFonts w:cs="Arial"/>
                <w:sz w:val="18"/>
                <w:szCs w:val="18"/>
                <w:lang w:eastAsia="cs-CZ"/>
              </w:rPr>
              <w:t>od 1/20 do 1/40 směrem k ose koleje; ve výhybkových konstrukcích a krátkých úsecích mezi nimi možno i bez úklonu</w:t>
            </w:r>
          </w:p>
        </w:tc>
        <w:tc>
          <w:tcPr>
            <w:tcW w:w="1155" w:type="pct"/>
            <w:shd w:val="clear" w:color="auto" w:fill="auto"/>
            <w:vAlign w:val="center"/>
          </w:tcPr>
          <w:p w:rsidR="004461FB" w:rsidRPr="000716CC" w:rsidRDefault="004461FB" w:rsidP="000716CC">
            <w:pPr>
              <w:suppressAutoHyphens w:val="0"/>
              <w:spacing w:before="0" w:after="0" w:line="264" w:lineRule="auto"/>
              <w:jc w:val="center"/>
              <w:rPr>
                <w:rFonts w:cs="Arial"/>
                <w:sz w:val="18"/>
                <w:szCs w:val="18"/>
                <w:lang w:eastAsia="cs-CZ"/>
              </w:rPr>
            </w:pPr>
            <w:r w:rsidRPr="000716CC">
              <w:rPr>
                <w:rFonts w:cs="Arial"/>
                <w:sz w:val="18"/>
                <w:szCs w:val="18"/>
                <w:lang w:eastAsia="cs-CZ"/>
              </w:rPr>
              <w:t>1/20</w:t>
            </w:r>
          </w:p>
        </w:tc>
      </w:tr>
      <w:tr w:rsidR="004461FB" w:rsidRPr="006B3A5B" w:rsidTr="000716CC">
        <w:trPr>
          <w:trHeight w:val="315"/>
        </w:trPr>
        <w:tc>
          <w:tcPr>
            <w:tcW w:w="1106" w:type="pct"/>
            <w:tcBorders>
              <w:right w:val="single" w:sz="12" w:space="0" w:color="auto"/>
            </w:tcBorders>
            <w:shd w:val="clear" w:color="auto" w:fill="D9D9D9"/>
            <w:vAlign w:val="center"/>
          </w:tcPr>
          <w:p w:rsidR="004461FB" w:rsidRPr="000716CC" w:rsidRDefault="004461FB" w:rsidP="000716CC">
            <w:pPr>
              <w:suppressAutoHyphens w:val="0"/>
              <w:spacing w:before="0" w:after="0" w:line="264" w:lineRule="auto"/>
              <w:jc w:val="left"/>
              <w:rPr>
                <w:rFonts w:cs="Arial"/>
                <w:sz w:val="18"/>
                <w:szCs w:val="18"/>
                <w:lang w:eastAsia="cs-CZ"/>
              </w:rPr>
            </w:pPr>
            <w:r w:rsidRPr="000716CC">
              <w:rPr>
                <w:rFonts w:cs="Arial"/>
                <w:sz w:val="18"/>
                <w:szCs w:val="18"/>
                <w:lang w:eastAsia="cs-CZ"/>
              </w:rPr>
              <w:t>Tuhost koleje</w:t>
            </w:r>
          </w:p>
        </w:tc>
        <w:tc>
          <w:tcPr>
            <w:tcW w:w="2739" w:type="pct"/>
            <w:tcBorders>
              <w:left w:val="single" w:sz="12" w:space="0" w:color="auto"/>
            </w:tcBorders>
            <w:shd w:val="clear" w:color="auto" w:fill="auto"/>
            <w:vAlign w:val="center"/>
          </w:tcPr>
          <w:p w:rsidR="004461FB" w:rsidRPr="000716CC" w:rsidRDefault="004461FB" w:rsidP="000716CC">
            <w:pPr>
              <w:suppressAutoHyphens w:val="0"/>
              <w:spacing w:before="0" w:after="0" w:line="264" w:lineRule="auto"/>
              <w:jc w:val="center"/>
              <w:rPr>
                <w:rFonts w:cs="Arial"/>
                <w:sz w:val="18"/>
                <w:szCs w:val="18"/>
                <w:lang w:eastAsia="cs-CZ"/>
              </w:rPr>
            </w:pPr>
            <w:r w:rsidRPr="000716CC">
              <w:rPr>
                <w:rFonts w:cs="Arial"/>
                <w:sz w:val="18"/>
                <w:szCs w:val="18"/>
                <w:lang w:eastAsia="cs-CZ"/>
              </w:rPr>
              <w:t>otevřený bod</w:t>
            </w:r>
          </w:p>
        </w:tc>
        <w:tc>
          <w:tcPr>
            <w:tcW w:w="1155" w:type="pct"/>
            <w:shd w:val="clear" w:color="auto" w:fill="auto"/>
            <w:vAlign w:val="center"/>
          </w:tcPr>
          <w:p w:rsidR="004461FB" w:rsidRPr="000716CC" w:rsidRDefault="004461FB" w:rsidP="000716CC">
            <w:pPr>
              <w:suppressAutoHyphens w:val="0"/>
              <w:spacing w:before="0" w:after="0" w:line="264" w:lineRule="auto"/>
              <w:jc w:val="center"/>
              <w:rPr>
                <w:rFonts w:cs="Arial"/>
                <w:sz w:val="18"/>
                <w:szCs w:val="18"/>
                <w:lang w:eastAsia="cs-CZ"/>
              </w:rPr>
            </w:pPr>
            <w:r w:rsidRPr="000716CC">
              <w:rPr>
                <w:rFonts w:cs="Arial"/>
                <w:sz w:val="18"/>
                <w:szCs w:val="18"/>
                <w:lang w:eastAsia="cs-CZ"/>
              </w:rPr>
              <w:t>-</w:t>
            </w:r>
          </w:p>
        </w:tc>
      </w:tr>
    </w:tbl>
    <w:p w:rsidR="00C65DA3" w:rsidRDefault="00C65DA3">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72"/>
        <w:gridCol w:w="6096"/>
        <w:gridCol w:w="1625"/>
      </w:tblGrid>
      <w:tr w:rsidR="000716CC" w:rsidRPr="006B3A5B" w:rsidTr="000716CC">
        <w:trPr>
          <w:trHeight w:val="315"/>
        </w:trPr>
        <w:tc>
          <w:tcPr>
            <w:tcW w:w="5000" w:type="pct"/>
            <w:gridSpan w:val="3"/>
            <w:shd w:val="clear" w:color="auto" w:fill="FFFFFF" w:themeFill="background1"/>
            <w:vAlign w:val="center"/>
          </w:tcPr>
          <w:p w:rsidR="000716CC" w:rsidRDefault="000716CC" w:rsidP="000716CC">
            <w:pPr>
              <w:pStyle w:val="Titulek"/>
              <w:rPr>
                <w:lang w:eastAsia="cs-CZ"/>
              </w:rPr>
            </w:pPr>
            <w:bookmarkStart w:id="113" w:name="_Toc390958751"/>
            <w:bookmarkStart w:id="114" w:name="_Toc391034555"/>
            <w:r w:rsidRPr="00C65DA3">
              <w:t xml:space="preserve">Tab. </w:t>
            </w:r>
            <w:r w:rsidR="000E79AE">
              <w:fldChar w:fldCharType="begin"/>
            </w:r>
            <w:r w:rsidR="000E79AE">
              <w:instrText xml:space="preserve"> STYLEREF 1 \s </w:instrText>
            </w:r>
            <w:r w:rsidR="000E79AE">
              <w:fldChar w:fldCharType="separate"/>
            </w:r>
            <w:r w:rsidR="003843F3">
              <w:rPr>
                <w:noProof/>
              </w:rPr>
              <w:t>3</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16</w:t>
            </w:r>
            <w:r w:rsidR="000E79AE">
              <w:fldChar w:fldCharType="end"/>
            </w:r>
            <w:r w:rsidRPr="00C65DA3">
              <w:t>: Parametry nástupišť (G)</w:t>
            </w:r>
            <w:bookmarkEnd w:id="113"/>
            <w:bookmarkEnd w:id="114"/>
          </w:p>
        </w:tc>
      </w:tr>
      <w:tr w:rsidR="004461FB" w:rsidRPr="006B3A5B" w:rsidTr="00490463">
        <w:trPr>
          <w:trHeight w:val="315"/>
        </w:trPr>
        <w:tc>
          <w:tcPr>
            <w:tcW w:w="933" w:type="pct"/>
            <w:shd w:val="clear" w:color="auto" w:fill="D9D9D9"/>
            <w:vAlign w:val="center"/>
          </w:tcPr>
          <w:p w:rsidR="004461FB" w:rsidRPr="000716CC" w:rsidRDefault="004461FB" w:rsidP="000716CC">
            <w:pPr>
              <w:spacing w:before="0" w:after="0" w:line="264" w:lineRule="auto"/>
              <w:rPr>
                <w:sz w:val="18"/>
                <w:lang w:eastAsia="cs-CZ"/>
              </w:rPr>
            </w:pPr>
            <w:r w:rsidRPr="000716CC">
              <w:rPr>
                <w:sz w:val="18"/>
                <w:lang w:eastAsia="cs-CZ"/>
              </w:rPr>
              <w:t>Dílčí parametr</w:t>
            </w:r>
          </w:p>
        </w:tc>
        <w:tc>
          <w:tcPr>
            <w:tcW w:w="3211" w:type="pct"/>
            <w:shd w:val="clear" w:color="auto" w:fill="D9D9D9"/>
            <w:vAlign w:val="center"/>
          </w:tcPr>
          <w:p w:rsidR="004461FB" w:rsidRPr="000716CC" w:rsidRDefault="004461FB" w:rsidP="000716CC">
            <w:pPr>
              <w:spacing w:before="0" w:after="0" w:line="264" w:lineRule="auto"/>
              <w:jc w:val="center"/>
              <w:rPr>
                <w:sz w:val="18"/>
                <w:lang w:eastAsia="cs-CZ"/>
              </w:rPr>
            </w:pPr>
            <w:r w:rsidRPr="000716CC">
              <w:rPr>
                <w:sz w:val="18"/>
                <w:lang w:eastAsia="cs-CZ"/>
              </w:rPr>
              <w:t>Požadavek</w:t>
            </w:r>
          </w:p>
        </w:tc>
        <w:tc>
          <w:tcPr>
            <w:tcW w:w="856" w:type="pct"/>
            <w:shd w:val="clear" w:color="auto" w:fill="D9D9D9"/>
            <w:vAlign w:val="center"/>
          </w:tcPr>
          <w:p w:rsidR="004461FB" w:rsidRPr="000716CC" w:rsidRDefault="004461FB" w:rsidP="000716CC">
            <w:pPr>
              <w:spacing w:before="0" w:after="0" w:line="264" w:lineRule="auto"/>
              <w:jc w:val="center"/>
              <w:rPr>
                <w:sz w:val="18"/>
                <w:lang w:eastAsia="cs-CZ"/>
              </w:rPr>
            </w:pPr>
            <w:r w:rsidRPr="000716CC">
              <w:rPr>
                <w:sz w:val="18"/>
                <w:lang w:eastAsia="cs-CZ"/>
              </w:rPr>
              <w:t>Stav</w:t>
            </w:r>
          </w:p>
        </w:tc>
      </w:tr>
      <w:tr w:rsidR="004461FB" w:rsidRPr="006A3F37" w:rsidTr="00490463">
        <w:trPr>
          <w:trHeight w:val="315"/>
        </w:trPr>
        <w:tc>
          <w:tcPr>
            <w:tcW w:w="933" w:type="pct"/>
            <w:shd w:val="clear" w:color="auto" w:fill="D9D9D9"/>
            <w:vAlign w:val="center"/>
          </w:tcPr>
          <w:p w:rsidR="004461FB" w:rsidRPr="000716CC" w:rsidRDefault="004461FB" w:rsidP="000716CC">
            <w:pPr>
              <w:spacing w:before="0" w:after="0" w:line="264" w:lineRule="auto"/>
              <w:jc w:val="left"/>
              <w:rPr>
                <w:sz w:val="18"/>
                <w:szCs w:val="18"/>
              </w:rPr>
            </w:pPr>
            <w:r w:rsidRPr="000716CC">
              <w:rPr>
                <w:sz w:val="18"/>
                <w:szCs w:val="18"/>
              </w:rPr>
              <w:t>Užitná délka nástupiště</w:t>
            </w:r>
          </w:p>
        </w:tc>
        <w:tc>
          <w:tcPr>
            <w:tcW w:w="3211" w:type="pct"/>
            <w:shd w:val="clear" w:color="auto" w:fill="auto"/>
            <w:vAlign w:val="center"/>
          </w:tcPr>
          <w:p w:rsidR="004461FB" w:rsidRPr="000716CC" w:rsidRDefault="004461FB" w:rsidP="000716CC">
            <w:pPr>
              <w:spacing w:before="0" w:after="0" w:line="264" w:lineRule="auto"/>
              <w:jc w:val="center"/>
              <w:rPr>
                <w:sz w:val="18"/>
                <w:szCs w:val="18"/>
              </w:rPr>
            </w:pPr>
            <w:r w:rsidRPr="000716CC">
              <w:rPr>
                <w:sz w:val="18"/>
                <w:szCs w:val="18"/>
              </w:rPr>
              <w:t>musí odpovídat nejdelším běžně zastavujícím interoperabilním vlakům (bere se ohled na současné provozní požadavky, tak i ty očekávané ve výhledu 10 let po uvedení nástupiště do provozu; je dovoleno stavět nástupiště v délce odpovídající stávajícím provozním požadavkům za předpokladu, že jsou vytvořeny podmínky pro jejich pozdější prodloužení)</w:t>
            </w:r>
          </w:p>
        </w:tc>
        <w:tc>
          <w:tcPr>
            <w:tcW w:w="856" w:type="pct"/>
            <w:shd w:val="clear" w:color="auto" w:fill="auto"/>
            <w:vAlign w:val="center"/>
          </w:tcPr>
          <w:p w:rsidR="004461FB" w:rsidRPr="000716CC" w:rsidRDefault="004461FB" w:rsidP="000716CC">
            <w:pPr>
              <w:suppressAutoHyphens w:val="0"/>
              <w:spacing w:before="0" w:after="0" w:line="264" w:lineRule="auto"/>
              <w:jc w:val="center"/>
              <w:rPr>
                <w:rFonts w:cs="Arial"/>
                <w:sz w:val="18"/>
                <w:szCs w:val="18"/>
                <w:highlight w:val="yellow"/>
                <w:lang w:eastAsia="cs-CZ"/>
              </w:rPr>
            </w:pPr>
            <w:r w:rsidRPr="000716CC">
              <w:rPr>
                <w:rFonts w:cs="Arial"/>
                <w:sz w:val="18"/>
                <w:szCs w:val="18"/>
                <w:lang w:eastAsia="cs-CZ"/>
              </w:rPr>
              <w:t>odpovídá</w:t>
            </w:r>
          </w:p>
        </w:tc>
      </w:tr>
      <w:tr w:rsidR="004461FB" w:rsidRPr="006A3F37" w:rsidTr="00490463">
        <w:trPr>
          <w:trHeight w:val="315"/>
        </w:trPr>
        <w:tc>
          <w:tcPr>
            <w:tcW w:w="933" w:type="pct"/>
            <w:shd w:val="clear" w:color="auto" w:fill="D9D9D9"/>
            <w:noWrap/>
            <w:vAlign w:val="center"/>
          </w:tcPr>
          <w:p w:rsidR="004461FB" w:rsidRPr="000716CC" w:rsidRDefault="004461FB" w:rsidP="000716CC">
            <w:pPr>
              <w:spacing w:before="0" w:after="0" w:line="264" w:lineRule="auto"/>
              <w:jc w:val="left"/>
              <w:rPr>
                <w:sz w:val="18"/>
                <w:szCs w:val="18"/>
              </w:rPr>
            </w:pPr>
            <w:r w:rsidRPr="000716CC">
              <w:rPr>
                <w:sz w:val="18"/>
                <w:szCs w:val="18"/>
              </w:rPr>
              <w:t>Šířka a hrana nástupiště</w:t>
            </w:r>
          </w:p>
        </w:tc>
        <w:tc>
          <w:tcPr>
            <w:tcW w:w="3211" w:type="pct"/>
            <w:shd w:val="clear" w:color="auto" w:fill="auto"/>
            <w:vAlign w:val="center"/>
          </w:tcPr>
          <w:p w:rsidR="004461FB" w:rsidRPr="000716CC" w:rsidRDefault="004461FB" w:rsidP="000716CC">
            <w:pPr>
              <w:spacing w:before="0" w:after="0" w:line="264" w:lineRule="auto"/>
              <w:jc w:val="center"/>
              <w:rPr>
                <w:sz w:val="18"/>
                <w:szCs w:val="18"/>
              </w:rPr>
            </w:pPr>
            <w:r w:rsidRPr="000716CC">
              <w:rPr>
                <w:sz w:val="18"/>
                <w:szCs w:val="18"/>
              </w:rPr>
              <w:t xml:space="preserve">stanoveno v TSI PRM: šířka může být proměnlivá, minimálně </w:t>
            </w:r>
            <w:smartTag w:uri="urn:schemas-microsoft-com:office:smarttags" w:element="metricconverter">
              <w:smartTagPr>
                <w:attr w:name="ProductID" w:val="2500 mm"/>
              </w:smartTagPr>
              <w:r w:rsidRPr="000716CC">
                <w:rPr>
                  <w:sz w:val="18"/>
                  <w:szCs w:val="18"/>
                </w:rPr>
                <w:t>2500 mm</w:t>
              </w:r>
            </w:smartTag>
            <w:r w:rsidRPr="000716CC">
              <w:rPr>
                <w:sz w:val="18"/>
                <w:szCs w:val="18"/>
              </w:rPr>
              <w:t xml:space="preserve"> jednostranného, </w:t>
            </w:r>
            <w:smartTag w:uri="urn:schemas-microsoft-com:office:smarttags" w:element="metricconverter">
              <w:smartTagPr>
                <w:attr w:name="ProductID" w:val="3300 mm"/>
              </w:smartTagPr>
              <w:r w:rsidRPr="000716CC">
                <w:rPr>
                  <w:sz w:val="18"/>
                  <w:szCs w:val="18"/>
                </w:rPr>
                <w:t>3300 mm</w:t>
              </w:r>
            </w:smartTag>
            <w:r w:rsidRPr="000716CC">
              <w:rPr>
                <w:sz w:val="18"/>
                <w:szCs w:val="18"/>
              </w:rPr>
              <w:t xml:space="preserve"> ostrovního (</w:t>
            </w:r>
            <w:smartTag w:uri="urn:schemas-microsoft-com:office:smarttags" w:element="metricconverter">
              <w:smartTagPr>
                <w:attr w:name="ProductID" w:val="2500 mm"/>
              </w:smartTagPr>
              <w:r w:rsidRPr="000716CC">
                <w:rPr>
                  <w:sz w:val="18"/>
                  <w:szCs w:val="18"/>
                </w:rPr>
                <w:t>2500 mm</w:t>
              </w:r>
            </w:smartTag>
            <w:r w:rsidRPr="000716CC">
              <w:rPr>
                <w:sz w:val="18"/>
                <w:szCs w:val="18"/>
              </w:rPr>
              <w:t xml:space="preserve"> na koncích) nebo šířka nebezpečné oblasti +2x800 mm;</w:t>
            </w:r>
          </w:p>
          <w:p w:rsidR="004461FB" w:rsidRPr="000716CC" w:rsidRDefault="004461FB" w:rsidP="000716CC">
            <w:pPr>
              <w:spacing w:before="0" w:after="0" w:line="264" w:lineRule="auto"/>
              <w:jc w:val="center"/>
              <w:rPr>
                <w:sz w:val="18"/>
                <w:szCs w:val="18"/>
              </w:rPr>
            </w:pPr>
            <w:r w:rsidRPr="000716CC">
              <w:rPr>
                <w:sz w:val="18"/>
                <w:szCs w:val="18"/>
              </w:rPr>
              <w:t>Požadavek na minimální šířku nezohledňuje dodatečnou šířku, která může být zapotřebí pro průchod cestujících.</w:t>
            </w:r>
          </w:p>
          <w:p w:rsidR="004461FB" w:rsidRPr="000716CC" w:rsidRDefault="004461FB" w:rsidP="000716CC">
            <w:pPr>
              <w:spacing w:before="0" w:after="0" w:line="264" w:lineRule="auto"/>
              <w:jc w:val="center"/>
              <w:rPr>
                <w:sz w:val="18"/>
                <w:szCs w:val="18"/>
              </w:rPr>
            </w:pPr>
            <w:r w:rsidRPr="000716CC">
              <w:rPr>
                <w:sz w:val="18"/>
                <w:szCs w:val="18"/>
              </w:rPr>
              <w:t xml:space="preserve">Je přípustné, aby se v rámci tohoto volného průchodu o šířce </w:t>
            </w:r>
            <w:smartTag w:uri="urn:schemas-microsoft-com:office:smarttags" w:element="metricconverter">
              <w:smartTagPr>
                <w:attr w:name="ProductID" w:val="1 600 mm"/>
              </w:smartTagPr>
              <w:r w:rsidRPr="000716CC">
                <w:rPr>
                  <w:sz w:val="18"/>
                  <w:szCs w:val="18"/>
                </w:rPr>
                <w:t>1 600 mm</w:t>
              </w:r>
            </w:smartTag>
            <w:r w:rsidRPr="000716CC">
              <w:rPr>
                <w:sz w:val="18"/>
                <w:szCs w:val="18"/>
              </w:rPr>
              <w:t xml:space="preserve"> nacházely malé překážky o délce menší než </w:t>
            </w:r>
            <w:smartTag w:uri="urn:schemas-microsoft-com:office:smarttags" w:element="metricconverter">
              <w:smartTagPr>
                <w:attr w:name="ProductID" w:val="1 000 mm"/>
              </w:smartTagPr>
              <w:r w:rsidRPr="000716CC">
                <w:rPr>
                  <w:sz w:val="18"/>
                  <w:szCs w:val="18"/>
                </w:rPr>
                <w:t>1 000 mm</w:t>
              </w:r>
            </w:smartTag>
            <w:r w:rsidRPr="000716CC">
              <w:rPr>
                <w:sz w:val="18"/>
                <w:szCs w:val="18"/>
              </w:rPr>
              <w:t xml:space="preserve"> (například: stožáry, sloupy, přístřešky, sedadla). Vzdálenost od hrany nástupiště k překážce musí být nejméně </w:t>
            </w:r>
            <w:smartTag w:uri="urn:schemas-microsoft-com:office:smarttags" w:element="metricconverter">
              <w:smartTagPr>
                <w:attr w:name="ProductID" w:val="1 600 mm"/>
              </w:smartTagPr>
              <w:r w:rsidRPr="000716CC">
                <w:rPr>
                  <w:sz w:val="18"/>
                  <w:szCs w:val="18"/>
                </w:rPr>
                <w:t>1 600 mm</w:t>
              </w:r>
            </w:smartTag>
            <w:r w:rsidRPr="000716CC">
              <w:rPr>
                <w:sz w:val="18"/>
                <w:szCs w:val="18"/>
              </w:rPr>
              <w:t xml:space="preserve"> a od okraje překážky k nebezpečné oblasti musí být volný průchod o šířce nejméně </w:t>
            </w:r>
            <w:smartTag w:uri="urn:schemas-microsoft-com:office:smarttags" w:element="metricconverter">
              <w:smartTagPr>
                <w:attr w:name="ProductID" w:val="800 mm"/>
              </w:smartTagPr>
              <w:r w:rsidRPr="000716CC">
                <w:rPr>
                  <w:sz w:val="18"/>
                  <w:szCs w:val="18"/>
                </w:rPr>
                <w:t>800 mm</w:t>
              </w:r>
            </w:smartTag>
            <w:r w:rsidRPr="000716CC">
              <w:rPr>
                <w:sz w:val="18"/>
                <w:szCs w:val="18"/>
              </w:rPr>
              <w:t>.</w:t>
            </w:r>
          </w:p>
          <w:p w:rsidR="004461FB" w:rsidRPr="000716CC" w:rsidRDefault="004461FB" w:rsidP="000716CC">
            <w:pPr>
              <w:spacing w:before="0" w:after="0" w:line="264" w:lineRule="auto"/>
              <w:jc w:val="center"/>
              <w:rPr>
                <w:sz w:val="18"/>
                <w:szCs w:val="18"/>
              </w:rPr>
            </w:pPr>
            <w:r w:rsidRPr="000716CC">
              <w:rPr>
                <w:sz w:val="18"/>
                <w:szCs w:val="18"/>
              </w:rPr>
              <w:t xml:space="preserve">Je-li vzdálenost mezi jakýmikoli dvěma překážkami menší než </w:t>
            </w:r>
            <w:smartTag w:uri="urn:schemas-microsoft-com:office:smarttags" w:element="metricconverter">
              <w:smartTagPr>
                <w:attr w:name="ProductID" w:val="2 400 mm"/>
              </w:smartTagPr>
              <w:r w:rsidRPr="000716CC">
                <w:rPr>
                  <w:sz w:val="18"/>
                  <w:szCs w:val="18"/>
                </w:rPr>
                <w:t>2 400 mm</w:t>
              </w:r>
            </w:smartTag>
            <w:r w:rsidRPr="000716CC">
              <w:rPr>
                <w:sz w:val="18"/>
                <w:szCs w:val="18"/>
              </w:rPr>
              <w:t>, považují se za jednu velkou překážku.</w:t>
            </w:r>
          </w:p>
          <w:p w:rsidR="004461FB" w:rsidRPr="000716CC" w:rsidRDefault="004461FB" w:rsidP="000716CC">
            <w:pPr>
              <w:spacing w:before="0" w:after="0" w:line="264" w:lineRule="auto"/>
              <w:jc w:val="center"/>
              <w:rPr>
                <w:sz w:val="18"/>
                <w:szCs w:val="18"/>
              </w:rPr>
            </w:pPr>
            <w:r w:rsidRPr="000716CC">
              <w:rPr>
                <w:sz w:val="18"/>
                <w:szCs w:val="18"/>
              </w:rPr>
              <w:t xml:space="preserve">Vzdálenost mezi okrajem překážek, jako jsou stěny, místa k sezení, výtahy a schodiště, které jsou delší než </w:t>
            </w:r>
            <w:smartTag w:uri="urn:schemas-microsoft-com:office:smarttags" w:element="metricconverter">
              <w:smartTagPr>
                <w:attr w:name="ProductID" w:val="1 000 mm"/>
              </w:smartTagPr>
              <w:r w:rsidRPr="000716CC">
                <w:rPr>
                  <w:sz w:val="18"/>
                  <w:szCs w:val="18"/>
                </w:rPr>
                <w:t>1 000 mm</w:t>
              </w:r>
            </w:smartTag>
            <w:r w:rsidRPr="000716CC">
              <w:rPr>
                <w:sz w:val="18"/>
                <w:szCs w:val="18"/>
              </w:rPr>
              <w:t xml:space="preserve"> avšak kratší než </w:t>
            </w:r>
            <w:smartTag w:uri="urn:schemas-microsoft-com:office:smarttags" w:element="metricconverter">
              <w:smartTagPr>
                <w:attr w:name="ProductID" w:val="10 000 mm"/>
              </w:smartTagPr>
              <w:r w:rsidRPr="000716CC">
                <w:rPr>
                  <w:sz w:val="18"/>
                  <w:szCs w:val="18"/>
                </w:rPr>
                <w:t>10 000 mm</w:t>
              </w:r>
            </w:smartTag>
            <w:r w:rsidRPr="000716CC">
              <w:rPr>
                <w:sz w:val="18"/>
                <w:szCs w:val="18"/>
              </w:rPr>
              <w:t xml:space="preserve">, a okrajem nebezpečné oblasti nesmí být menší než </w:t>
            </w:r>
            <w:smartTag w:uri="urn:schemas-microsoft-com:office:smarttags" w:element="metricconverter">
              <w:smartTagPr>
                <w:attr w:name="ProductID" w:val="1 200 mm"/>
              </w:smartTagPr>
              <w:r w:rsidRPr="000716CC">
                <w:rPr>
                  <w:sz w:val="18"/>
                  <w:szCs w:val="18"/>
                </w:rPr>
                <w:t>1 200 mm</w:t>
              </w:r>
            </w:smartTag>
            <w:r w:rsidRPr="000716CC">
              <w:rPr>
                <w:sz w:val="18"/>
                <w:szCs w:val="18"/>
              </w:rPr>
              <w:t>.</w:t>
            </w:r>
          </w:p>
          <w:p w:rsidR="004461FB" w:rsidRPr="000716CC" w:rsidRDefault="004461FB" w:rsidP="000716CC">
            <w:pPr>
              <w:spacing w:before="0" w:after="0" w:line="264" w:lineRule="auto"/>
              <w:jc w:val="center"/>
              <w:rPr>
                <w:sz w:val="18"/>
                <w:szCs w:val="18"/>
              </w:rPr>
            </w:pPr>
            <w:r w:rsidRPr="000716CC">
              <w:rPr>
                <w:sz w:val="18"/>
                <w:szCs w:val="18"/>
              </w:rPr>
              <w:t xml:space="preserve">Vzdálenost mezi hranou nástupiště a okrajem této překážky nesmí být menší než </w:t>
            </w:r>
            <w:smartTag w:uri="urn:schemas-microsoft-com:office:smarttags" w:element="metricconverter">
              <w:smartTagPr>
                <w:attr w:name="ProductID" w:val="2 000 mm"/>
              </w:smartTagPr>
              <w:r w:rsidRPr="000716CC">
                <w:rPr>
                  <w:sz w:val="18"/>
                  <w:szCs w:val="18"/>
                </w:rPr>
                <w:t>2 000 mm</w:t>
              </w:r>
            </w:smartTag>
            <w:r w:rsidRPr="000716CC">
              <w:rPr>
                <w:sz w:val="18"/>
                <w:szCs w:val="18"/>
              </w:rPr>
              <w:t>.</w:t>
            </w:r>
          </w:p>
          <w:p w:rsidR="004461FB" w:rsidRPr="000716CC" w:rsidRDefault="004461FB" w:rsidP="000716CC">
            <w:pPr>
              <w:spacing w:before="0" w:after="0" w:line="264" w:lineRule="auto"/>
              <w:jc w:val="center"/>
              <w:rPr>
                <w:sz w:val="18"/>
                <w:szCs w:val="18"/>
              </w:rPr>
            </w:pPr>
            <w:r w:rsidRPr="000716CC">
              <w:rPr>
                <w:sz w:val="18"/>
                <w:szCs w:val="18"/>
              </w:rPr>
              <w:t xml:space="preserve">Vzdálenost mezi okrajem překážek, jako jsou stěny, místa k sezení, pohyblivé chodníky a schodiště, které jsou delší než </w:t>
            </w:r>
            <w:smartTag w:uri="urn:schemas-microsoft-com:office:smarttags" w:element="metricconverter">
              <w:smartTagPr>
                <w:attr w:name="ProductID" w:val="10 000 mm"/>
              </w:smartTagPr>
              <w:r w:rsidRPr="000716CC">
                <w:rPr>
                  <w:sz w:val="18"/>
                  <w:szCs w:val="18"/>
                </w:rPr>
                <w:t>10 000 mm</w:t>
              </w:r>
            </w:smartTag>
            <w:r w:rsidRPr="000716CC">
              <w:rPr>
                <w:sz w:val="18"/>
                <w:szCs w:val="18"/>
              </w:rPr>
              <w:t xml:space="preserve">, a okrajem nebezpečné oblasti nesmí být menší než </w:t>
            </w:r>
            <w:smartTag w:uri="urn:schemas-microsoft-com:office:smarttags" w:element="metricconverter">
              <w:smartTagPr>
                <w:attr w:name="ProductID" w:val="1 600 mm"/>
              </w:smartTagPr>
              <w:r w:rsidRPr="000716CC">
                <w:rPr>
                  <w:sz w:val="18"/>
                  <w:szCs w:val="18"/>
                </w:rPr>
                <w:t>1 600 mm</w:t>
              </w:r>
            </w:smartTag>
            <w:r w:rsidRPr="000716CC">
              <w:rPr>
                <w:sz w:val="18"/>
                <w:szCs w:val="18"/>
              </w:rPr>
              <w:t xml:space="preserve">. Vzdálenost mezi hranou nástupiště a okrajem této překážky nesmí být menší než </w:t>
            </w:r>
            <w:smartTag w:uri="urn:schemas-microsoft-com:office:smarttags" w:element="metricconverter">
              <w:smartTagPr>
                <w:attr w:name="ProductID" w:val="2 400 mm"/>
              </w:smartTagPr>
              <w:r w:rsidRPr="000716CC">
                <w:rPr>
                  <w:sz w:val="18"/>
                  <w:szCs w:val="18"/>
                </w:rPr>
                <w:t>2 400 mm</w:t>
              </w:r>
            </w:smartTag>
            <w:r w:rsidRPr="000716CC">
              <w:rPr>
                <w:sz w:val="18"/>
                <w:szCs w:val="18"/>
              </w:rPr>
              <w:t>.</w:t>
            </w:r>
          </w:p>
          <w:p w:rsidR="004461FB" w:rsidRPr="000716CC" w:rsidRDefault="004461FB" w:rsidP="000716CC">
            <w:pPr>
              <w:spacing w:before="0" w:after="0" w:line="264" w:lineRule="auto"/>
              <w:jc w:val="center"/>
              <w:rPr>
                <w:sz w:val="18"/>
                <w:szCs w:val="18"/>
              </w:rPr>
            </w:pPr>
            <w:r w:rsidRPr="000716CC">
              <w:rPr>
                <w:sz w:val="18"/>
                <w:szCs w:val="18"/>
              </w:rPr>
              <w:t xml:space="preserve">Pokud jsou na palubě vlaků nebo na nástupištích doplňková zařízení, která umožňují osobám na vozíku pro invalidy nastoupit do vlaku nebo vystoupit z vlaku, musí být v místě, kde se toto zařízení pravděpodobně bude používat, mezi okrajem zařízení, kde se vozík pro invalidy nakládá nebo vykládá, na úrovni nástupiště a nejbližší překážkou na nástupišti nebo protější nebezpečnou oblastí zajištěn volný prostor nejméně </w:t>
            </w:r>
            <w:smartTag w:uri="urn:schemas-microsoft-com:office:smarttags" w:element="metricconverter">
              <w:smartTagPr>
                <w:attr w:name="ProductID" w:val="1 500 mm"/>
              </w:smartTagPr>
              <w:r w:rsidRPr="000716CC">
                <w:rPr>
                  <w:sz w:val="18"/>
                  <w:szCs w:val="18"/>
                </w:rPr>
                <w:t>1 500 mm</w:t>
              </w:r>
            </w:smartTag>
            <w:r w:rsidRPr="000716CC">
              <w:rPr>
                <w:sz w:val="18"/>
                <w:szCs w:val="18"/>
              </w:rPr>
              <w:t>. Nové stanice musí tento požadavek splňovat pro všechny vlaky, které budou zastavovat u nástupiště.</w:t>
            </w:r>
          </w:p>
          <w:p w:rsidR="004461FB" w:rsidRPr="000716CC" w:rsidRDefault="004461FB" w:rsidP="000716CC">
            <w:pPr>
              <w:spacing w:before="0" w:after="0" w:line="264" w:lineRule="auto"/>
              <w:jc w:val="center"/>
              <w:rPr>
                <w:sz w:val="18"/>
                <w:szCs w:val="18"/>
              </w:rPr>
            </w:pPr>
            <w:r w:rsidRPr="000716CC">
              <w:rPr>
                <w:sz w:val="18"/>
                <w:szCs w:val="18"/>
              </w:rPr>
              <w:t>Nebezpečná oblast nástupiště začíná hranou nástupiště přilehlou ke koleji a je definována jako oblast, kde mohou být cestující vystaveni nebezpečným silám z důvodu aerodynamického efektu projíždějících vlaků, v závislosti na jejich rychlosti. U konvenčního železničního systému musí být tato nebezpečná oblast v souladu s vnitrostátními předpisy.</w:t>
            </w:r>
          </w:p>
          <w:p w:rsidR="004461FB" w:rsidRPr="000716CC" w:rsidRDefault="004461FB" w:rsidP="000716CC">
            <w:pPr>
              <w:spacing w:before="0" w:after="0" w:line="264" w:lineRule="auto"/>
              <w:jc w:val="center"/>
              <w:rPr>
                <w:sz w:val="18"/>
                <w:szCs w:val="18"/>
              </w:rPr>
            </w:pPr>
            <w:r w:rsidRPr="000716CC">
              <w:rPr>
                <w:sz w:val="18"/>
                <w:szCs w:val="18"/>
              </w:rPr>
              <w:t>Hranice nebezpečné oblasti, nejvzdálenější od hrany nástupiště přilehlé ke koleji, musí být označena vizuálními i hmatovými výstrahami. Hmatové značení musí být v souladu s vnitrostátními předpisy.</w:t>
            </w:r>
          </w:p>
          <w:p w:rsidR="004461FB" w:rsidRPr="000716CC" w:rsidRDefault="004461FB" w:rsidP="000716CC">
            <w:pPr>
              <w:spacing w:before="0" w:after="0" w:line="264" w:lineRule="auto"/>
              <w:jc w:val="center"/>
              <w:rPr>
                <w:sz w:val="18"/>
                <w:szCs w:val="18"/>
              </w:rPr>
            </w:pPr>
            <w:r w:rsidRPr="000716CC">
              <w:rPr>
                <w:sz w:val="18"/>
                <w:szCs w:val="18"/>
              </w:rPr>
              <w:t xml:space="preserve">Vizuální výstrahou musí být barevně kontrastní, protiskluzový, výstražný pruh o šířce nejméně </w:t>
            </w:r>
            <w:smartTag w:uri="urn:schemas-microsoft-com:office:smarttags" w:element="metricconverter">
              <w:smartTagPr>
                <w:attr w:name="ProductID" w:val="100 mm"/>
              </w:smartTagPr>
              <w:r w:rsidRPr="000716CC">
                <w:rPr>
                  <w:sz w:val="18"/>
                  <w:szCs w:val="18"/>
                </w:rPr>
                <w:t>100 mm</w:t>
              </w:r>
            </w:smartTag>
            <w:r w:rsidRPr="000716CC">
              <w:rPr>
                <w:sz w:val="18"/>
                <w:szCs w:val="18"/>
              </w:rPr>
              <w:t>. Barva materiálu na hraně okraje nástupiště přilehlé ke kolejím musí opticky kontrastovat s tmavým kolejovým prostorem. Tento materiál musí být protiskluzový.</w:t>
            </w:r>
          </w:p>
        </w:tc>
        <w:tc>
          <w:tcPr>
            <w:tcW w:w="856" w:type="pct"/>
            <w:shd w:val="clear" w:color="auto" w:fill="auto"/>
            <w:vAlign w:val="center"/>
          </w:tcPr>
          <w:p w:rsidR="004461FB" w:rsidRPr="000716CC" w:rsidRDefault="00684B44" w:rsidP="000716CC">
            <w:pPr>
              <w:suppressAutoHyphens w:val="0"/>
              <w:spacing w:before="0" w:after="0" w:line="264" w:lineRule="auto"/>
              <w:jc w:val="center"/>
              <w:rPr>
                <w:rFonts w:cs="Arial"/>
                <w:sz w:val="18"/>
                <w:szCs w:val="18"/>
                <w:lang w:eastAsia="cs-CZ"/>
              </w:rPr>
            </w:pPr>
            <w:r w:rsidRPr="000716CC">
              <w:rPr>
                <w:rFonts w:cs="Arial"/>
                <w:sz w:val="18"/>
                <w:szCs w:val="18"/>
                <w:lang w:eastAsia="cs-CZ"/>
              </w:rPr>
              <w:t>šířkou</w:t>
            </w:r>
            <w:r w:rsidR="004461FB" w:rsidRPr="000716CC">
              <w:rPr>
                <w:rFonts w:cs="Arial"/>
                <w:sz w:val="18"/>
                <w:szCs w:val="18"/>
                <w:lang w:eastAsia="cs-CZ"/>
              </w:rPr>
              <w:t>, materiálem plochy a</w:t>
            </w:r>
            <w:r w:rsidRPr="000716CC">
              <w:rPr>
                <w:rFonts w:cs="Arial"/>
                <w:sz w:val="18"/>
                <w:szCs w:val="18"/>
                <w:lang w:eastAsia="cs-CZ"/>
              </w:rPr>
              <w:t>ni</w:t>
            </w:r>
            <w:r w:rsidR="004461FB" w:rsidRPr="000716CC">
              <w:rPr>
                <w:rFonts w:cs="Arial"/>
                <w:sz w:val="18"/>
                <w:szCs w:val="18"/>
                <w:lang w:eastAsia="cs-CZ"/>
              </w:rPr>
              <w:t xml:space="preserve"> absencí vizuálních doplňků neodpovídá</w:t>
            </w:r>
          </w:p>
        </w:tc>
      </w:tr>
      <w:tr w:rsidR="004461FB" w:rsidRPr="006A3F37" w:rsidTr="00490463">
        <w:trPr>
          <w:trHeight w:val="525"/>
        </w:trPr>
        <w:tc>
          <w:tcPr>
            <w:tcW w:w="933" w:type="pct"/>
            <w:shd w:val="clear" w:color="auto" w:fill="D9D9D9"/>
            <w:vAlign w:val="center"/>
          </w:tcPr>
          <w:p w:rsidR="004461FB" w:rsidRPr="000716CC" w:rsidRDefault="004461FB" w:rsidP="000716CC">
            <w:pPr>
              <w:spacing w:before="0" w:after="0" w:line="264" w:lineRule="auto"/>
              <w:jc w:val="left"/>
              <w:rPr>
                <w:sz w:val="18"/>
                <w:szCs w:val="18"/>
              </w:rPr>
            </w:pPr>
            <w:r w:rsidRPr="000716CC">
              <w:rPr>
                <w:sz w:val="18"/>
                <w:szCs w:val="18"/>
              </w:rPr>
              <w:t>Konec nástupiště</w:t>
            </w:r>
          </w:p>
        </w:tc>
        <w:tc>
          <w:tcPr>
            <w:tcW w:w="3211" w:type="pct"/>
            <w:shd w:val="clear" w:color="auto" w:fill="auto"/>
            <w:vAlign w:val="center"/>
          </w:tcPr>
          <w:p w:rsidR="004461FB" w:rsidRPr="000716CC" w:rsidRDefault="004461FB" w:rsidP="000716CC">
            <w:pPr>
              <w:spacing w:before="0" w:after="0" w:line="264" w:lineRule="auto"/>
              <w:jc w:val="center"/>
              <w:rPr>
                <w:sz w:val="18"/>
                <w:szCs w:val="18"/>
              </w:rPr>
            </w:pPr>
            <w:r w:rsidRPr="000716CC">
              <w:rPr>
                <w:sz w:val="18"/>
                <w:szCs w:val="18"/>
              </w:rPr>
              <w:t>stanoveno v TSI PRM: konec musí mít vizuální i hmatové značení</w:t>
            </w:r>
          </w:p>
        </w:tc>
        <w:tc>
          <w:tcPr>
            <w:tcW w:w="856" w:type="pct"/>
            <w:shd w:val="clear" w:color="auto" w:fill="auto"/>
            <w:vAlign w:val="center"/>
          </w:tcPr>
          <w:p w:rsidR="004461FB" w:rsidRPr="000716CC" w:rsidRDefault="004461FB" w:rsidP="000716CC">
            <w:pPr>
              <w:suppressAutoHyphens w:val="0"/>
              <w:spacing w:before="0" w:after="0" w:line="264" w:lineRule="auto"/>
              <w:jc w:val="center"/>
              <w:rPr>
                <w:rFonts w:cs="Arial"/>
                <w:sz w:val="18"/>
                <w:szCs w:val="18"/>
                <w:lang w:eastAsia="cs-CZ"/>
              </w:rPr>
            </w:pPr>
            <w:r w:rsidRPr="000716CC">
              <w:rPr>
                <w:rFonts w:cs="Arial"/>
                <w:sz w:val="18"/>
                <w:szCs w:val="18"/>
                <w:lang w:eastAsia="cs-CZ"/>
              </w:rPr>
              <w:t>nemá - neodpovídá</w:t>
            </w:r>
          </w:p>
        </w:tc>
      </w:tr>
      <w:tr w:rsidR="004461FB" w:rsidRPr="006A3F37" w:rsidTr="00490463">
        <w:trPr>
          <w:trHeight w:val="274"/>
        </w:trPr>
        <w:tc>
          <w:tcPr>
            <w:tcW w:w="933" w:type="pct"/>
            <w:shd w:val="clear" w:color="auto" w:fill="D9D9D9"/>
            <w:vAlign w:val="center"/>
          </w:tcPr>
          <w:p w:rsidR="004461FB" w:rsidRPr="000716CC" w:rsidRDefault="004461FB" w:rsidP="000716CC">
            <w:pPr>
              <w:spacing w:before="0" w:after="0" w:line="264" w:lineRule="auto"/>
              <w:jc w:val="left"/>
              <w:rPr>
                <w:sz w:val="18"/>
                <w:szCs w:val="18"/>
              </w:rPr>
            </w:pPr>
            <w:r w:rsidRPr="000716CC">
              <w:rPr>
                <w:sz w:val="18"/>
                <w:szCs w:val="18"/>
              </w:rPr>
              <w:t>Výška nástupiště</w:t>
            </w:r>
          </w:p>
        </w:tc>
        <w:tc>
          <w:tcPr>
            <w:tcW w:w="3211" w:type="pct"/>
            <w:shd w:val="clear" w:color="auto" w:fill="auto"/>
            <w:vAlign w:val="center"/>
          </w:tcPr>
          <w:p w:rsidR="004461FB" w:rsidRPr="000716CC" w:rsidRDefault="004461FB" w:rsidP="000716CC">
            <w:pPr>
              <w:spacing w:before="0" w:after="0" w:line="264" w:lineRule="auto"/>
              <w:jc w:val="center"/>
              <w:rPr>
                <w:sz w:val="18"/>
                <w:szCs w:val="18"/>
              </w:rPr>
            </w:pPr>
            <w:r w:rsidRPr="000716CC">
              <w:rPr>
                <w:sz w:val="18"/>
                <w:szCs w:val="18"/>
              </w:rPr>
              <w:t xml:space="preserve">stanoveno v TSI PRM: 550 či </w:t>
            </w:r>
            <w:smartTag w:uri="urn:schemas-microsoft-com:office:smarttags" w:element="metricconverter">
              <w:smartTagPr>
                <w:attr w:name="ProductID" w:val="760 mm"/>
              </w:smartTagPr>
              <w:r w:rsidRPr="000716CC">
                <w:rPr>
                  <w:sz w:val="18"/>
                  <w:szCs w:val="18"/>
                </w:rPr>
                <w:t>760 mm</w:t>
              </w:r>
            </w:smartTag>
            <w:r w:rsidRPr="000716CC">
              <w:rPr>
                <w:sz w:val="18"/>
                <w:szCs w:val="18"/>
              </w:rPr>
              <w:t xml:space="preserve">, tolerance </w:t>
            </w:r>
            <w:smartTag w:uri="urn:schemas-microsoft-com:office:smarttags" w:element="metricconverter">
              <w:smartTagPr>
                <w:attr w:name="ProductID" w:val="-35 mm"/>
              </w:smartTagPr>
              <w:r w:rsidRPr="000716CC">
                <w:rPr>
                  <w:sz w:val="18"/>
                  <w:szCs w:val="18"/>
                </w:rPr>
                <w:t>-35 mm</w:t>
              </w:r>
            </w:smartTag>
            <w:r w:rsidRPr="000716CC">
              <w:rPr>
                <w:sz w:val="18"/>
                <w:szCs w:val="18"/>
              </w:rPr>
              <w:t xml:space="preserve"> a +</w:t>
            </w:r>
            <w:smartTag w:uri="urn:schemas-microsoft-com:office:smarttags" w:element="metricconverter">
              <w:smartTagPr>
                <w:attr w:name="ProductID" w:val="0 mm"/>
              </w:smartTagPr>
              <w:r w:rsidRPr="000716CC">
                <w:rPr>
                  <w:sz w:val="18"/>
                  <w:szCs w:val="18"/>
                </w:rPr>
                <w:t>0 mm</w:t>
              </w:r>
            </w:smartTag>
            <w:r w:rsidRPr="000716CC">
              <w:rPr>
                <w:sz w:val="18"/>
                <w:szCs w:val="18"/>
              </w:rPr>
              <w:t xml:space="preserve"> (na tratích s provozem vlakotramvají 300 až </w:t>
            </w:r>
            <w:smartTag w:uri="urn:schemas-microsoft-com:office:smarttags" w:element="metricconverter">
              <w:smartTagPr>
                <w:attr w:name="ProductID" w:val="380 mm"/>
              </w:smartTagPr>
              <w:r w:rsidRPr="000716CC">
                <w:rPr>
                  <w:sz w:val="18"/>
                  <w:szCs w:val="18"/>
                </w:rPr>
                <w:t>380 mm</w:t>
              </w:r>
            </w:smartTag>
            <w:r w:rsidRPr="000716CC">
              <w:rPr>
                <w:sz w:val="18"/>
                <w:szCs w:val="18"/>
              </w:rPr>
              <w:t xml:space="preserve"> s tolerancí +/- </w:t>
            </w:r>
            <w:smartTag w:uri="urn:schemas-microsoft-com:office:smarttags" w:element="metricconverter">
              <w:smartTagPr>
                <w:attr w:name="ProductID" w:val="20 mm"/>
              </w:smartTagPr>
              <w:r w:rsidRPr="000716CC">
                <w:rPr>
                  <w:sz w:val="18"/>
                  <w:szCs w:val="18"/>
                </w:rPr>
                <w:t>20 mm</w:t>
              </w:r>
            </w:smartTag>
            <w:r w:rsidRPr="000716CC">
              <w:rPr>
                <w:sz w:val="18"/>
                <w:szCs w:val="18"/>
              </w:rPr>
              <w:t>)</w:t>
            </w:r>
          </w:p>
        </w:tc>
        <w:tc>
          <w:tcPr>
            <w:tcW w:w="856" w:type="pct"/>
            <w:shd w:val="clear" w:color="auto" w:fill="auto"/>
            <w:vAlign w:val="center"/>
          </w:tcPr>
          <w:p w:rsidR="004461FB" w:rsidRPr="000716CC" w:rsidRDefault="00684B44" w:rsidP="000716CC">
            <w:pPr>
              <w:suppressAutoHyphens w:val="0"/>
              <w:spacing w:before="0" w:after="0" w:line="264" w:lineRule="auto"/>
              <w:jc w:val="center"/>
              <w:rPr>
                <w:rFonts w:cs="Arial"/>
                <w:sz w:val="18"/>
                <w:szCs w:val="18"/>
                <w:lang w:eastAsia="cs-CZ"/>
              </w:rPr>
            </w:pPr>
            <w:r w:rsidRPr="000716CC">
              <w:rPr>
                <w:rFonts w:cs="Arial"/>
                <w:sz w:val="18"/>
                <w:szCs w:val="18"/>
                <w:lang w:eastAsia="cs-CZ"/>
              </w:rPr>
              <w:t>max. 25</w:t>
            </w:r>
            <w:r w:rsidR="004461FB" w:rsidRPr="000716CC">
              <w:rPr>
                <w:rFonts w:cs="Arial"/>
                <w:sz w:val="18"/>
                <w:szCs w:val="18"/>
                <w:lang w:eastAsia="cs-CZ"/>
              </w:rPr>
              <w:t>0mm (neodpovídá)</w:t>
            </w:r>
          </w:p>
        </w:tc>
      </w:tr>
      <w:tr w:rsidR="004461FB" w:rsidRPr="006A3F37" w:rsidTr="00490463">
        <w:trPr>
          <w:trHeight w:val="556"/>
        </w:trPr>
        <w:tc>
          <w:tcPr>
            <w:tcW w:w="933" w:type="pct"/>
            <w:shd w:val="clear" w:color="auto" w:fill="D9D9D9"/>
            <w:vAlign w:val="center"/>
          </w:tcPr>
          <w:p w:rsidR="004461FB" w:rsidRPr="000716CC" w:rsidRDefault="004461FB" w:rsidP="000716CC">
            <w:pPr>
              <w:spacing w:before="0" w:after="0" w:line="264" w:lineRule="auto"/>
              <w:jc w:val="left"/>
              <w:rPr>
                <w:sz w:val="18"/>
                <w:szCs w:val="18"/>
              </w:rPr>
            </w:pPr>
            <w:r w:rsidRPr="000716CC">
              <w:rPr>
                <w:sz w:val="18"/>
                <w:szCs w:val="18"/>
              </w:rPr>
              <w:t>Vzdálenost hrany nástupiště od osy přilehlé koleje</w:t>
            </w:r>
          </w:p>
        </w:tc>
        <w:tc>
          <w:tcPr>
            <w:tcW w:w="3211" w:type="pct"/>
            <w:shd w:val="clear" w:color="auto" w:fill="auto"/>
            <w:vAlign w:val="center"/>
          </w:tcPr>
          <w:p w:rsidR="004461FB" w:rsidRPr="000716CC" w:rsidRDefault="004461FB" w:rsidP="000716CC">
            <w:pPr>
              <w:spacing w:before="0" w:after="0" w:line="264" w:lineRule="auto"/>
              <w:jc w:val="center"/>
              <w:rPr>
                <w:sz w:val="18"/>
                <w:szCs w:val="18"/>
              </w:rPr>
            </w:pPr>
            <w:r w:rsidRPr="000716CC">
              <w:rPr>
                <w:sz w:val="18"/>
                <w:szCs w:val="18"/>
              </w:rPr>
              <w:t xml:space="preserve">stanoveno v TSI PRM: bq0 = 1650 + 3750/R, přičemž Rmin = </w:t>
            </w:r>
            <w:smartTag w:uri="urn:schemas-microsoft-com:office:smarttags" w:element="metricconverter">
              <w:smartTagPr>
                <w:attr w:name="ProductID" w:val="300 m"/>
              </w:smartTagPr>
              <w:r w:rsidRPr="000716CC">
                <w:rPr>
                  <w:sz w:val="18"/>
                  <w:szCs w:val="18"/>
                </w:rPr>
                <w:t>300 m</w:t>
              </w:r>
            </w:smartTag>
          </w:p>
        </w:tc>
        <w:tc>
          <w:tcPr>
            <w:tcW w:w="856" w:type="pct"/>
            <w:shd w:val="clear" w:color="auto" w:fill="auto"/>
            <w:vAlign w:val="center"/>
          </w:tcPr>
          <w:p w:rsidR="004461FB" w:rsidRPr="000716CC" w:rsidRDefault="004461FB" w:rsidP="000716CC">
            <w:pPr>
              <w:suppressAutoHyphens w:val="0"/>
              <w:spacing w:before="0" w:after="0" w:line="264" w:lineRule="auto"/>
              <w:jc w:val="center"/>
              <w:rPr>
                <w:rFonts w:cs="Arial"/>
                <w:sz w:val="18"/>
                <w:szCs w:val="18"/>
                <w:lang w:eastAsia="cs-CZ"/>
              </w:rPr>
            </w:pPr>
            <w:r w:rsidRPr="000716CC">
              <w:rPr>
                <w:rFonts w:cs="Arial"/>
                <w:sz w:val="18"/>
                <w:szCs w:val="18"/>
                <w:lang w:eastAsia="cs-CZ"/>
              </w:rPr>
              <w:t>odpovídá</w:t>
            </w:r>
          </w:p>
        </w:tc>
      </w:tr>
    </w:tbl>
    <w:p w:rsidR="004461FB" w:rsidRDefault="00F85CD4" w:rsidP="004461FB">
      <w:r>
        <w:t>Z tabulek vyplývá, že</w:t>
      </w:r>
      <w:r w:rsidR="00661BE7">
        <w:t xml:space="preserve"> </w:t>
      </w:r>
      <w:r>
        <w:t>stávající stav trati odpovídá TSI ve všech param</w:t>
      </w:r>
      <w:r w:rsidR="00661BE7">
        <w:t>etrech p</w:t>
      </w:r>
      <w:r>
        <w:t>rostorového uspořádání trati</w:t>
      </w:r>
      <w:r w:rsidR="00661BE7">
        <w:t xml:space="preserve"> a všech dostupných parametrech koleje, naopak z hlediska parametrů nástupišť trať ve stávajícím stavu směrnici TSI INF nevyhovuje. Nicméně veškeré nedostatky v těchto parametrech řeší modernizační varianty.</w:t>
      </w:r>
    </w:p>
    <w:p w:rsidR="00713806" w:rsidRDefault="00713806" w:rsidP="00887E61">
      <w:pPr>
        <w:pStyle w:val="Nadpis3"/>
        <w:ind w:hanging="8234"/>
      </w:pPr>
      <w:r>
        <w:t>Ostatní subsystémy</w:t>
      </w:r>
    </w:p>
    <w:p w:rsidR="00713806" w:rsidRDefault="00713806" w:rsidP="00713806">
      <w:r>
        <w:t>Naplnění požadavků ostatních subsystémů se předpokládá, konkrétní návrhy budou předmětem dalších stupňů projektové dokumentace (zejména projektu stavby), případně provozních předpisů. Jedná se o výše zmíněné subsystémy a jejich klíčové prvky.</w:t>
      </w:r>
    </w:p>
    <w:p w:rsidR="005716FE" w:rsidRDefault="005716FE" w:rsidP="00713806">
      <w:pPr>
        <w:sectPr w:rsidR="005716FE" w:rsidSect="00C90180">
          <w:headerReference w:type="default" r:id="rId48"/>
          <w:footerReference w:type="default" r:id="rId49"/>
          <w:footnotePr>
            <w:pos w:val="beneathText"/>
          </w:footnotePr>
          <w:pgSz w:w="11905" w:h="16837" w:code="9"/>
          <w:pgMar w:top="1492" w:right="1134" w:bottom="1134" w:left="1418" w:header="709" w:footer="96" w:gutter="0"/>
          <w:cols w:space="708"/>
          <w:docGrid w:linePitch="360"/>
        </w:sectPr>
      </w:pPr>
    </w:p>
    <w:p w:rsidR="00225B27" w:rsidRPr="00405637" w:rsidRDefault="00225B27" w:rsidP="009962E0">
      <w:pPr>
        <w:pStyle w:val="Nadpis1"/>
        <w:tabs>
          <w:tab w:val="clear" w:pos="716"/>
          <w:tab w:val="num" w:pos="567"/>
        </w:tabs>
        <w:ind w:hanging="716"/>
      </w:pPr>
      <w:bookmarkStart w:id="115" w:name="_Ref323134431"/>
      <w:bookmarkStart w:id="116" w:name="_Ref323134435"/>
      <w:bookmarkStart w:id="117" w:name="_Toc390958698"/>
      <w:r w:rsidRPr="00405637">
        <w:t xml:space="preserve">Dopravně-technologická </w:t>
      </w:r>
      <w:r w:rsidR="0082658E" w:rsidRPr="00405637">
        <w:t>část</w:t>
      </w:r>
      <w:bookmarkEnd w:id="115"/>
      <w:bookmarkEnd w:id="116"/>
      <w:bookmarkEnd w:id="117"/>
    </w:p>
    <w:p w:rsidR="00225B27" w:rsidRPr="00405637" w:rsidRDefault="00225B27">
      <w:pPr>
        <w:pStyle w:val="Nadpis2"/>
      </w:pPr>
      <w:bookmarkStart w:id="118" w:name="_Ref321324290"/>
      <w:bookmarkStart w:id="119" w:name="_Toc390958699"/>
      <w:r w:rsidRPr="00405637">
        <w:t>Rozsah dopravy</w:t>
      </w:r>
      <w:bookmarkEnd w:id="118"/>
      <w:bookmarkEnd w:id="119"/>
    </w:p>
    <w:p w:rsidR="00225B27" w:rsidRPr="00405637" w:rsidRDefault="00225B27" w:rsidP="00887E61">
      <w:pPr>
        <w:pStyle w:val="Nadpis3"/>
        <w:ind w:hanging="8234"/>
      </w:pPr>
      <w:r w:rsidRPr="00405637">
        <w:t>Osobní doprava – výchozí stav</w:t>
      </w:r>
    </w:p>
    <w:p w:rsidR="00F12413" w:rsidRDefault="00F12413" w:rsidP="00F12413">
      <w:r>
        <w:t>Na trati 031 Pardubice hl. n. – Hradec Králové hl. n. je dálková i regionální doprava. Dálková doprava je zastoupena rychlíky relace Pardubice hl. . – Liberec (9 párů), které jsou vedeny v pravidelném dvou</w:t>
      </w:r>
      <w:r>
        <w:softHyphen/>
        <w:t>hodinovém taktu, mimo pravidelnou osnovu je veden R 701 Buchlov z Luhačovice do Pardubic. Spěšné vlaky jsou vedeny v úseku Pardubice hl. n. – Hradec Králové hl. n. nebo pokračují dále do Trutnova hl. n. (4 páry), případně na trať 020 směr Týniště nad Orlicí (celkem 5 Sp). Spolu s rychlíky tyto spěšné vlaky vytvářejí po většinu občanského dne nabídku rychlého spojení mezi krajskými městy ve 30 min intervalu.</w:t>
      </w:r>
    </w:p>
    <w:p w:rsidR="00F12413" w:rsidRDefault="00F12413" w:rsidP="00F12413">
      <w:r>
        <w:t>Místní doprava je zastoupena osobními zastávkovými vlaky, které v období se slabší přepravní poptávkou jedou ve dvouhodinovém taktu, ve špičkách 1-2 páry za hodinu. V základní dvou</w:t>
      </w:r>
      <w:r>
        <w:softHyphen/>
        <w:t>hodinové osnově se jedná o vlaky relace Pardubice hl. n. – Jaroměř, doplňkové spoje jsou v relaci Pardubice – Hradec Králové hl. n., případně přecházejí z/na trať 020.</w:t>
      </w:r>
    </w:p>
    <w:p w:rsidR="006A0D46" w:rsidRDefault="00F12413" w:rsidP="00F12413">
      <w:r>
        <w:t xml:space="preserve">Víkendová doprava je mírně nižší, nejedou vložené osobní vlaky. Přesné počty vlaků </w:t>
      </w:r>
      <w:r w:rsidR="009837CC">
        <w:t xml:space="preserve">podle GVD 2013 </w:t>
      </w:r>
      <w:r>
        <w:t>jsou uvedeny v následujících tabulkách (bez vlaků směr Chrudim):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893"/>
        <w:gridCol w:w="894"/>
        <w:gridCol w:w="894"/>
        <w:gridCol w:w="894"/>
        <w:gridCol w:w="893"/>
        <w:gridCol w:w="894"/>
        <w:gridCol w:w="894"/>
        <w:gridCol w:w="894"/>
        <w:gridCol w:w="894"/>
      </w:tblGrid>
      <w:tr w:rsidR="00F12413" w:rsidRPr="00F12413" w:rsidTr="00E01AD3">
        <w:tc>
          <w:tcPr>
            <w:tcW w:w="9461" w:type="dxa"/>
            <w:gridSpan w:val="10"/>
            <w:tcBorders>
              <w:bottom w:val="single" w:sz="4" w:space="0" w:color="auto"/>
            </w:tcBorders>
          </w:tcPr>
          <w:p w:rsidR="00F12413" w:rsidRPr="00F12413" w:rsidRDefault="00F12413" w:rsidP="00C65DA3">
            <w:pPr>
              <w:pStyle w:val="Titulek"/>
            </w:pPr>
            <w:bookmarkStart w:id="120" w:name="_Toc390958752"/>
            <w:bookmarkStart w:id="121" w:name="_Toc391034556"/>
            <w:r w:rsidRPr="00F12413">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w:t>
            </w:r>
            <w:r w:rsidR="000E79AE">
              <w:fldChar w:fldCharType="end"/>
            </w:r>
            <w:r w:rsidRPr="00F12413">
              <w:t>: Přehled vlaků osobní dopravy v sudém směru (Pardubice hl. n. – Hradec Králové hl. n.)</w:t>
            </w:r>
            <w:bookmarkEnd w:id="120"/>
            <w:bookmarkEnd w:id="121"/>
            <w:r w:rsidRPr="00F12413">
              <w:t xml:space="preserve"> </w:t>
            </w:r>
          </w:p>
        </w:tc>
      </w:tr>
      <w:tr w:rsidR="00F12413" w:rsidRPr="00F12413" w:rsidTr="00DD099B">
        <w:tc>
          <w:tcPr>
            <w:tcW w:w="1417" w:type="dxa"/>
            <w:vMerge w:val="restart"/>
            <w:tcBorders>
              <w:right w:val="single" w:sz="12" w:space="0" w:color="auto"/>
            </w:tcBorders>
            <w:shd w:val="pct15" w:color="auto" w:fill="auto"/>
          </w:tcPr>
          <w:p w:rsidR="00F12413" w:rsidRPr="00DD099B" w:rsidRDefault="00F12413" w:rsidP="004C432E">
            <w:pPr>
              <w:pStyle w:val="Bezmezer"/>
              <w:jc w:val="center"/>
              <w:rPr>
                <w:rFonts w:cs="Tahoma"/>
                <w:b/>
                <w:sz w:val="18"/>
                <w:szCs w:val="18"/>
              </w:rPr>
            </w:pPr>
            <w:r w:rsidRPr="00DD099B">
              <w:rPr>
                <w:rFonts w:cs="Tahoma"/>
                <w:b/>
                <w:sz w:val="18"/>
                <w:szCs w:val="18"/>
              </w:rPr>
              <w:t>denní doba</w:t>
            </w:r>
          </w:p>
        </w:tc>
        <w:tc>
          <w:tcPr>
            <w:tcW w:w="2681" w:type="dxa"/>
            <w:gridSpan w:val="3"/>
            <w:tcBorders>
              <w:left w:val="single" w:sz="12" w:space="0" w:color="auto"/>
            </w:tcBorders>
            <w:shd w:val="pct15" w:color="auto" w:fill="auto"/>
          </w:tcPr>
          <w:p w:rsidR="00F12413" w:rsidRPr="00DD099B" w:rsidRDefault="00F12413" w:rsidP="004C432E">
            <w:pPr>
              <w:pStyle w:val="Bezmezer"/>
              <w:jc w:val="center"/>
              <w:rPr>
                <w:rFonts w:cs="Tahoma"/>
                <w:b/>
                <w:sz w:val="18"/>
                <w:szCs w:val="18"/>
              </w:rPr>
            </w:pPr>
            <w:r w:rsidRPr="00DD099B">
              <w:rPr>
                <w:rFonts w:cs="Tahoma"/>
                <w:b/>
                <w:sz w:val="18"/>
                <w:szCs w:val="18"/>
              </w:rPr>
              <w:t>pracovní dny</w:t>
            </w:r>
          </w:p>
        </w:tc>
        <w:tc>
          <w:tcPr>
            <w:tcW w:w="2681" w:type="dxa"/>
            <w:gridSpan w:val="3"/>
            <w:shd w:val="pct15" w:color="auto" w:fill="auto"/>
          </w:tcPr>
          <w:p w:rsidR="00F12413" w:rsidRPr="00DD099B" w:rsidRDefault="00F12413" w:rsidP="004C432E">
            <w:pPr>
              <w:pStyle w:val="Bezmezer"/>
              <w:jc w:val="center"/>
              <w:rPr>
                <w:rFonts w:cs="Tahoma"/>
                <w:b/>
                <w:sz w:val="18"/>
                <w:szCs w:val="18"/>
              </w:rPr>
            </w:pPr>
            <w:r w:rsidRPr="00DD099B">
              <w:rPr>
                <w:rFonts w:cs="Tahoma"/>
                <w:b/>
                <w:sz w:val="18"/>
                <w:szCs w:val="18"/>
              </w:rPr>
              <w:t>sobota</w:t>
            </w:r>
          </w:p>
        </w:tc>
        <w:tc>
          <w:tcPr>
            <w:tcW w:w="2682" w:type="dxa"/>
            <w:gridSpan w:val="3"/>
            <w:shd w:val="pct15" w:color="auto" w:fill="auto"/>
          </w:tcPr>
          <w:p w:rsidR="00F12413" w:rsidRPr="00DD099B" w:rsidRDefault="00F12413" w:rsidP="004C432E">
            <w:pPr>
              <w:pStyle w:val="Bezmezer"/>
              <w:jc w:val="center"/>
              <w:rPr>
                <w:rFonts w:cs="Tahoma"/>
                <w:b/>
                <w:sz w:val="18"/>
                <w:szCs w:val="18"/>
              </w:rPr>
            </w:pPr>
            <w:r w:rsidRPr="00DD099B">
              <w:rPr>
                <w:rFonts w:cs="Tahoma"/>
                <w:b/>
                <w:sz w:val="18"/>
                <w:szCs w:val="18"/>
              </w:rPr>
              <w:t>neděle</w:t>
            </w:r>
          </w:p>
        </w:tc>
      </w:tr>
      <w:tr w:rsidR="00F12413" w:rsidRPr="00F12413" w:rsidTr="00DD099B">
        <w:tc>
          <w:tcPr>
            <w:tcW w:w="1417" w:type="dxa"/>
            <w:vMerge/>
            <w:tcBorders>
              <w:bottom w:val="single" w:sz="12" w:space="0" w:color="auto"/>
              <w:right w:val="single" w:sz="12" w:space="0" w:color="auto"/>
            </w:tcBorders>
            <w:shd w:val="pct15" w:color="auto" w:fill="auto"/>
          </w:tcPr>
          <w:p w:rsidR="00F12413" w:rsidRPr="00DD099B" w:rsidRDefault="00F12413" w:rsidP="004C432E">
            <w:pPr>
              <w:pStyle w:val="Bezmezer"/>
              <w:jc w:val="center"/>
              <w:rPr>
                <w:rFonts w:cs="Tahoma"/>
                <w:b/>
                <w:sz w:val="18"/>
                <w:szCs w:val="18"/>
              </w:rPr>
            </w:pPr>
          </w:p>
        </w:tc>
        <w:tc>
          <w:tcPr>
            <w:tcW w:w="893" w:type="dxa"/>
            <w:tcBorders>
              <w:left w:val="single" w:sz="12" w:space="0" w:color="auto"/>
              <w:bottom w:val="single" w:sz="12" w:space="0" w:color="auto"/>
            </w:tcBorders>
            <w:shd w:val="pct15" w:color="auto" w:fill="auto"/>
          </w:tcPr>
          <w:p w:rsidR="00F12413" w:rsidRPr="00DD099B" w:rsidRDefault="00F12413" w:rsidP="004C432E">
            <w:pPr>
              <w:pStyle w:val="Bezmezer"/>
              <w:jc w:val="center"/>
              <w:rPr>
                <w:rFonts w:cs="Tahoma"/>
                <w:b/>
                <w:sz w:val="18"/>
                <w:szCs w:val="18"/>
              </w:rPr>
            </w:pPr>
            <w:r w:rsidRPr="00DD099B">
              <w:rPr>
                <w:rFonts w:cs="Tahoma"/>
                <w:b/>
                <w:sz w:val="18"/>
                <w:szCs w:val="18"/>
              </w:rPr>
              <w:t>R</w:t>
            </w:r>
          </w:p>
        </w:tc>
        <w:tc>
          <w:tcPr>
            <w:tcW w:w="894" w:type="dxa"/>
            <w:tcBorders>
              <w:bottom w:val="single" w:sz="12" w:space="0" w:color="auto"/>
            </w:tcBorders>
            <w:shd w:val="pct15" w:color="auto" w:fill="auto"/>
          </w:tcPr>
          <w:p w:rsidR="00F12413" w:rsidRPr="00DD099B" w:rsidRDefault="00F12413" w:rsidP="004C432E">
            <w:pPr>
              <w:pStyle w:val="Bezmezer"/>
              <w:jc w:val="center"/>
              <w:rPr>
                <w:rFonts w:cs="Tahoma"/>
                <w:b/>
                <w:sz w:val="18"/>
                <w:szCs w:val="18"/>
              </w:rPr>
            </w:pPr>
            <w:r w:rsidRPr="00DD099B">
              <w:rPr>
                <w:rFonts w:cs="Tahoma"/>
                <w:b/>
                <w:sz w:val="18"/>
                <w:szCs w:val="18"/>
              </w:rPr>
              <w:t>Sp</w:t>
            </w:r>
          </w:p>
        </w:tc>
        <w:tc>
          <w:tcPr>
            <w:tcW w:w="894" w:type="dxa"/>
            <w:tcBorders>
              <w:bottom w:val="single" w:sz="12" w:space="0" w:color="auto"/>
            </w:tcBorders>
            <w:shd w:val="pct15" w:color="auto" w:fill="auto"/>
          </w:tcPr>
          <w:p w:rsidR="00F12413" w:rsidRPr="00DD099B" w:rsidRDefault="00F12413" w:rsidP="004C432E">
            <w:pPr>
              <w:pStyle w:val="Bezmezer"/>
              <w:jc w:val="center"/>
              <w:rPr>
                <w:rFonts w:cs="Tahoma"/>
                <w:b/>
                <w:sz w:val="18"/>
                <w:szCs w:val="18"/>
              </w:rPr>
            </w:pPr>
            <w:r w:rsidRPr="00DD099B">
              <w:rPr>
                <w:rFonts w:cs="Tahoma"/>
                <w:b/>
                <w:sz w:val="18"/>
                <w:szCs w:val="18"/>
              </w:rPr>
              <w:t>Os</w:t>
            </w:r>
          </w:p>
        </w:tc>
        <w:tc>
          <w:tcPr>
            <w:tcW w:w="894" w:type="dxa"/>
            <w:tcBorders>
              <w:bottom w:val="single" w:sz="12" w:space="0" w:color="auto"/>
            </w:tcBorders>
            <w:shd w:val="pct15" w:color="auto" w:fill="auto"/>
          </w:tcPr>
          <w:p w:rsidR="00F12413" w:rsidRPr="00DD099B" w:rsidRDefault="00F12413" w:rsidP="004C432E">
            <w:pPr>
              <w:pStyle w:val="Bezmezer"/>
              <w:jc w:val="center"/>
              <w:rPr>
                <w:rFonts w:cs="Tahoma"/>
                <w:b/>
                <w:sz w:val="18"/>
                <w:szCs w:val="18"/>
              </w:rPr>
            </w:pPr>
            <w:r w:rsidRPr="00DD099B">
              <w:rPr>
                <w:rFonts w:cs="Tahoma"/>
                <w:b/>
                <w:sz w:val="18"/>
                <w:szCs w:val="18"/>
              </w:rPr>
              <w:t>R</w:t>
            </w:r>
          </w:p>
        </w:tc>
        <w:tc>
          <w:tcPr>
            <w:tcW w:w="893" w:type="dxa"/>
            <w:tcBorders>
              <w:bottom w:val="single" w:sz="12" w:space="0" w:color="auto"/>
            </w:tcBorders>
            <w:shd w:val="pct15" w:color="auto" w:fill="auto"/>
          </w:tcPr>
          <w:p w:rsidR="00F12413" w:rsidRPr="00DD099B" w:rsidRDefault="00F12413" w:rsidP="004C432E">
            <w:pPr>
              <w:pStyle w:val="Bezmezer"/>
              <w:jc w:val="center"/>
              <w:rPr>
                <w:rFonts w:cs="Tahoma"/>
                <w:b/>
                <w:sz w:val="18"/>
                <w:szCs w:val="18"/>
              </w:rPr>
            </w:pPr>
            <w:r w:rsidRPr="00DD099B">
              <w:rPr>
                <w:rFonts w:cs="Tahoma"/>
                <w:b/>
                <w:sz w:val="18"/>
                <w:szCs w:val="18"/>
              </w:rPr>
              <w:t>Sp</w:t>
            </w:r>
          </w:p>
        </w:tc>
        <w:tc>
          <w:tcPr>
            <w:tcW w:w="894" w:type="dxa"/>
            <w:tcBorders>
              <w:bottom w:val="single" w:sz="12" w:space="0" w:color="auto"/>
            </w:tcBorders>
            <w:shd w:val="pct15" w:color="auto" w:fill="auto"/>
          </w:tcPr>
          <w:p w:rsidR="00F12413" w:rsidRPr="00DD099B" w:rsidRDefault="00F12413" w:rsidP="004C432E">
            <w:pPr>
              <w:pStyle w:val="Bezmezer"/>
              <w:jc w:val="center"/>
              <w:rPr>
                <w:rFonts w:cs="Tahoma"/>
                <w:b/>
                <w:sz w:val="18"/>
                <w:szCs w:val="18"/>
              </w:rPr>
            </w:pPr>
            <w:r w:rsidRPr="00DD099B">
              <w:rPr>
                <w:rFonts w:cs="Tahoma"/>
                <w:b/>
                <w:sz w:val="18"/>
                <w:szCs w:val="18"/>
              </w:rPr>
              <w:t>Os</w:t>
            </w:r>
          </w:p>
        </w:tc>
        <w:tc>
          <w:tcPr>
            <w:tcW w:w="894" w:type="dxa"/>
            <w:tcBorders>
              <w:bottom w:val="single" w:sz="12" w:space="0" w:color="auto"/>
            </w:tcBorders>
            <w:shd w:val="pct15" w:color="auto" w:fill="auto"/>
          </w:tcPr>
          <w:p w:rsidR="00F12413" w:rsidRPr="00DD099B" w:rsidRDefault="00F12413" w:rsidP="004C432E">
            <w:pPr>
              <w:pStyle w:val="Bezmezer"/>
              <w:jc w:val="center"/>
              <w:rPr>
                <w:rFonts w:cs="Tahoma"/>
                <w:b/>
                <w:sz w:val="18"/>
                <w:szCs w:val="18"/>
              </w:rPr>
            </w:pPr>
            <w:r w:rsidRPr="00DD099B">
              <w:rPr>
                <w:rFonts w:cs="Tahoma"/>
                <w:b/>
                <w:sz w:val="18"/>
                <w:szCs w:val="18"/>
              </w:rPr>
              <w:t>R</w:t>
            </w:r>
          </w:p>
        </w:tc>
        <w:tc>
          <w:tcPr>
            <w:tcW w:w="894" w:type="dxa"/>
            <w:tcBorders>
              <w:bottom w:val="single" w:sz="12" w:space="0" w:color="auto"/>
            </w:tcBorders>
            <w:shd w:val="pct15" w:color="auto" w:fill="auto"/>
          </w:tcPr>
          <w:p w:rsidR="00F12413" w:rsidRPr="00DD099B" w:rsidRDefault="00F12413" w:rsidP="004C432E">
            <w:pPr>
              <w:pStyle w:val="Bezmezer"/>
              <w:jc w:val="center"/>
              <w:rPr>
                <w:rFonts w:cs="Tahoma"/>
                <w:b/>
                <w:sz w:val="18"/>
                <w:szCs w:val="18"/>
              </w:rPr>
            </w:pPr>
            <w:r w:rsidRPr="00DD099B">
              <w:rPr>
                <w:rFonts w:cs="Tahoma"/>
                <w:b/>
                <w:sz w:val="18"/>
                <w:szCs w:val="18"/>
              </w:rPr>
              <w:t>Sp</w:t>
            </w:r>
          </w:p>
        </w:tc>
        <w:tc>
          <w:tcPr>
            <w:tcW w:w="894" w:type="dxa"/>
            <w:tcBorders>
              <w:bottom w:val="single" w:sz="12" w:space="0" w:color="auto"/>
            </w:tcBorders>
            <w:shd w:val="pct15" w:color="auto" w:fill="auto"/>
          </w:tcPr>
          <w:p w:rsidR="00F12413" w:rsidRPr="00DD099B" w:rsidRDefault="00F12413" w:rsidP="004C432E">
            <w:pPr>
              <w:pStyle w:val="Bezmezer"/>
              <w:jc w:val="center"/>
              <w:rPr>
                <w:rFonts w:cs="Tahoma"/>
                <w:b/>
                <w:sz w:val="18"/>
                <w:szCs w:val="18"/>
              </w:rPr>
            </w:pPr>
            <w:r w:rsidRPr="00DD099B">
              <w:rPr>
                <w:rFonts w:cs="Tahoma"/>
                <w:b/>
                <w:sz w:val="18"/>
                <w:szCs w:val="18"/>
              </w:rPr>
              <w:t>Os</w:t>
            </w:r>
          </w:p>
        </w:tc>
      </w:tr>
      <w:tr w:rsidR="00F12413" w:rsidRPr="00F12413" w:rsidTr="00DD099B">
        <w:tc>
          <w:tcPr>
            <w:tcW w:w="1417" w:type="dxa"/>
            <w:tcBorders>
              <w:top w:val="single" w:sz="12" w:space="0" w:color="auto"/>
              <w:right w:val="single" w:sz="12" w:space="0" w:color="auto"/>
            </w:tcBorders>
            <w:shd w:val="pct15" w:color="auto" w:fill="auto"/>
          </w:tcPr>
          <w:p w:rsidR="00F12413" w:rsidRPr="00DD099B" w:rsidRDefault="00F12413" w:rsidP="004C432E">
            <w:pPr>
              <w:pStyle w:val="Bezmezer"/>
              <w:jc w:val="center"/>
              <w:rPr>
                <w:rFonts w:cs="Tahoma"/>
                <w:sz w:val="18"/>
                <w:szCs w:val="18"/>
              </w:rPr>
            </w:pPr>
            <w:r w:rsidRPr="00DD099B">
              <w:rPr>
                <w:rFonts w:cs="Tahoma"/>
                <w:sz w:val="18"/>
                <w:szCs w:val="18"/>
              </w:rPr>
              <w:t>00-02</w:t>
            </w:r>
          </w:p>
        </w:tc>
        <w:tc>
          <w:tcPr>
            <w:tcW w:w="893" w:type="dxa"/>
            <w:tcBorders>
              <w:top w:val="single" w:sz="12" w:space="0" w:color="auto"/>
              <w:left w:val="single" w:sz="12" w:space="0" w:color="auto"/>
            </w:tcBorders>
          </w:tcPr>
          <w:p w:rsidR="00F12413" w:rsidRPr="00DD099B" w:rsidRDefault="00F12413" w:rsidP="004C432E">
            <w:pPr>
              <w:pStyle w:val="Bezmezer"/>
              <w:jc w:val="center"/>
              <w:rPr>
                <w:rFonts w:cs="Tahoma"/>
                <w:sz w:val="18"/>
                <w:szCs w:val="18"/>
                <w:lang w:val="de-DE"/>
              </w:rPr>
            </w:pPr>
          </w:p>
        </w:tc>
        <w:tc>
          <w:tcPr>
            <w:tcW w:w="894" w:type="dxa"/>
            <w:tcBorders>
              <w:top w:val="single" w:sz="12" w:space="0" w:color="auto"/>
            </w:tcBorders>
          </w:tcPr>
          <w:p w:rsidR="00F12413" w:rsidRPr="00DD099B" w:rsidRDefault="00F12413" w:rsidP="004C432E">
            <w:pPr>
              <w:pStyle w:val="Bezmezer"/>
              <w:jc w:val="center"/>
              <w:rPr>
                <w:rFonts w:cs="Tahoma"/>
                <w:sz w:val="18"/>
                <w:szCs w:val="18"/>
                <w:lang w:val="de-DE"/>
              </w:rPr>
            </w:pPr>
          </w:p>
        </w:tc>
        <w:tc>
          <w:tcPr>
            <w:tcW w:w="894" w:type="dxa"/>
            <w:tcBorders>
              <w:top w:val="single" w:sz="12" w:space="0" w:color="auto"/>
            </w:tcBorders>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Borders>
              <w:top w:val="single" w:sz="12" w:space="0" w:color="auto"/>
            </w:tcBorders>
          </w:tcPr>
          <w:p w:rsidR="00F12413" w:rsidRPr="00DD099B" w:rsidRDefault="00F12413" w:rsidP="004C432E">
            <w:pPr>
              <w:pStyle w:val="Bezmezer"/>
              <w:jc w:val="center"/>
              <w:rPr>
                <w:rFonts w:cs="Tahoma"/>
                <w:sz w:val="18"/>
                <w:szCs w:val="18"/>
                <w:lang w:val="de-DE"/>
              </w:rPr>
            </w:pPr>
          </w:p>
        </w:tc>
        <w:tc>
          <w:tcPr>
            <w:tcW w:w="893" w:type="dxa"/>
            <w:tcBorders>
              <w:top w:val="single" w:sz="12" w:space="0" w:color="auto"/>
            </w:tcBorders>
          </w:tcPr>
          <w:p w:rsidR="00F12413" w:rsidRPr="00DD099B" w:rsidRDefault="00F12413" w:rsidP="004C432E">
            <w:pPr>
              <w:pStyle w:val="Bezmezer"/>
              <w:jc w:val="center"/>
              <w:rPr>
                <w:rFonts w:cs="Tahoma"/>
                <w:sz w:val="18"/>
                <w:szCs w:val="18"/>
                <w:lang w:val="de-DE"/>
              </w:rPr>
            </w:pPr>
          </w:p>
        </w:tc>
        <w:tc>
          <w:tcPr>
            <w:tcW w:w="894" w:type="dxa"/>
            <w:tcBorders>
              <w:top w:val="single" w:sz="12" w:space="0" w:color="auto"/>
            </w:tcBorders>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Borders>
              <w:top w:val="single" w:sz="12" w:space="0" w:color="auto"/>
            </w:tcBorders>
          </w:tcPr>
          <w:p w:rsidR="00F12413" w:rsidRPr="00DD099B" w:rsidRDefault="00F12413" w:rsidP="004C432E">
            <w:pPr>
              <w:pStyle w:val="Bezmezer"/>
              <w:jc w:val="center"/>
              <w:rPr>
                <w:rFonts w:cs="Tahoma"/>
                <w:sz w:val="18"/>
                <w:szCs w:val="18"/>
                <w:lang w:val="de-DE"/>
              </w:rPr>
            </w:pPr>
          </w:p>
        </w:tc>
        <w:tc>
          <w:tcPr>
            <w:tcW w:w="894" w:type="dxa"/>
            <w:tcBorders>
              <w:top w:val="single" w:sz="12" w:space="0" w:color="auto"/>
            </w:tcBorders>
          </w:tcPr>
          <w:p w:rsidR="00F12413" w:rsidRPr="00DD099B" w:rsidRDefault="00F12413" w:rsidP="004C432E">
            <w:pPr>
              <w:pStyle w:val="Bezmezer"/>
              <w:jc w:val="center"/>
              <w:rPr>
                <w:rFonts w:cs="Tahoma"/>
                <w:sz w:val="18"/>
                <w:szCs w:val="18"/>
                <w:lang w:val="de-DE"/>
              </w:rPr>
            </w:pPr>
          </w:p>
        </w:tc>
        <w:tc>
          <w:tcPr>
            <w:tcW w:w="894" w:type="dxa"/>
            <w:tcBorders>
              <w:top w:val="single" w:sz="12" w:space="0" w:color="auto"/>
            </w:tcBorders>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r>
      <w:tr w:rsidR="00F12413" w:rsidRPr="00F12413" w:rsidTr="00DD099B">
        <w:tc>
          <w:tcPr>
            <w:tcW w:w="1417" w:type="dxa"/>
            <w:tcBorders>
              <w:right w:val="single" w:sz="12" w:space="0" w:color="auto"/>
            </w:tcBorders>
            <w:shd w:val="pct15" w:color="auto" w:fill="auto"/>
          </w:tcPr>
          <w:p w:rsidR="00F12413" w:rsidRPr="00DD099B" w:rsidRDefault="00F12413" w:rsidP="004C432E">
            <w:pPr>
              <w:pStyle w:val="Bezmezer"/>
              <w:jc w:val="center"/>
              <w:rPr>
                <w:rFonts w:cs="Tahoma"/>
                <w:sz w:val="18"/>
                <w:szCs w:val="18"/>
              </w:rPr>
            </w:pPr>
            <w:r w:rsidRPr="00DD099B">
              <w:rPr>
                <w:rFonts w:cs="Tahoma"/>
                <w:sz w:val="18"/>
                <w:szCs w:val="18"/>
              </w:rPr>
              <w:t>02-04</w:t>
            </w:r>
          </w:p>
        </w:tc>
        <w:tc>
          <w:tcPr>
            <w:tcW w:w="893" w:type="dxa"/>
            <w:tcBorders>
              <w:left w:val="single" w:sz="12" w:space="0" w:color="auto"/>
            </w:tcBorders>
          </w:tcPr>
          <w:p w:rsidR="00F12413" w:rsidRPr="00DD099B" w:rsidRDefault="00F12413" w:rsidP="004C432E">
            <w:pPr>
              <w:pStyle w:val="Bezmezer"/>
              <w:jc w:val="center"/>
              <w:rPr>
                <w:rFonts w:cs="Tahoma"/>
                <w:sz w:val="18"/>
                <w:szCs w:val="18"/>
                <w:lang w:val="de-DE"/>
              </w:rPr>
            </w:pPr>
          </w:p>
        </w:tc>
        <w:tc>
          <w:tcPr>
            <w:tcW w:w="894" w:type="dxa"/>
          </w:tcPr>
          <w:p w:rsidR="00F12413" w:rsidRPr="00DD099B" w:rsidRDefault="00F12413" w:rsidP="004C432E">
            <w:pPr>
              <w:pStyle w:val="Bezmezer"/>
              <w:jc w:val="center"/>
              <w:rPr>
                <w:rFonts w:cs="Tahoma"/>
                <w:sz w:val="18"/>
                <w:szCs w:val="18"/>
                <w:lang w:val="de-DE"/>
              </w:rPr>
            </w:pPr>
          </w:p>
        </w:tc>
        <w:tc>
          <w:tcPr>
            <w:tcW w:w="894" w:type="dxa"/>
          </w:tcPr>
          <w:p w:rsidR="00F12413" w:rsidRPr="00DD099B" w:rsidRDefault="00F12413" w:rsidP="004C432E">
            <w:pPr>
              <w:pStyle w:val="Bezmezer"/>
              <w:jc w:val="center"/>
              <w:rPr>
                <w:rFonts w:cs="Tahoma"/>
                <w:sz w:val="18"/>
                <w:szCs w:val="18"/>
                <w:lang w:val="de-DE"/>
              </w:rPr>
            </w:pPr>
          </w:p>
        </w:tc>
        <w:tc>
          <w:tcPr>
            <w:tcW w:w="894" w:type="dxa"/>
          </w:tcPr>
          <w:p w:rsidR="00F12413" w:rsidRPr="00DD099B" w:rsidRDefault="00F12413" w:rsidP="004C432E">
            <w:pPr>
              <w:pStyle w:val="Bezmezer"/>
              <w:jc w:val="center"/>
              <w:rPr>
                <w:rFonts w:cs="Tahoma"/>
                <w:sz w:val="18"/>
                <w:szCs w:val="18"/>
                <w:lang w:val="de-DE"/>
              </w:rPr>
            </w:pPr>
          </w:p>
        </w:tc>
        <w:tc>
          <w:tcPr>
            <w:tcW w:w="893" w:type="dxa"/>
          </w:tcPr>
          <w:p w:rsidR="00F12413" w:rsidRPr="00DD099B" w:rsidRDefault="00F12413" w:rsidP="004C432E">
            <w:pPr>
              <w:pStyle w:val="Bezmezer"/>
              <w:jc w:val="center"/>
              <w:rPr>
                <w:rFonts w:cs="Tahoma"/>
                <w:sz w:val="18"/>
                <w:szCs w:val="18"/>
                <w:lang w:val="de-DE"/>
              </w:rPr>
            </w:pPr>
          </w:p>
        </w:tc>
        <w:tc>
          <w:tcPr>
            <w:tcW w:w="894" w:type="dxa"/>
          </w:tcPr>
          <w:p w:rsidR="00F12413" w:rsidRPr="00DD099B" w:rsidRDefault="00F12413" w:rsidP="004C432E">
            <w:pPr>
              <w:pStyle w:val="Bezmezer"/>
              <w:jc w:val="center"/>
              <w:rPr>
                <w:rFonts w:cs="Tahoma"/>
                <w:sz w:val="18"/>
                <w:szCs w:val="18"/>
                <w:lang w:val="de-DE"/>
              </w:rPr>
            </w:pPr>
          </w:p>
        </w:tc>
        <w:tc>
          <w:tcPr>
            <w:tcW w:w="894" w:type="dxa"/>
          </w:tcPr>
          <w:p w:rsidR="00F12413" w:rsidRPr="00DD099B" w:rsidRDefault="00F12413" w:rsidP="004C432E">
            <w:pPr>
              <w:pStyle w:val="Bezmezer"/>
              <w:jc w:val="center"/>
              <w:rPr>
                <w:rFonts w:cs="Tahoma"/>
                <w:sz w:val="18"/>
                <w:szCs w:val="18"/>
                <w:lang w:val="de-DE"/>
              </w:rPr>
            </w:pPr>
          </w:p>
        </w:tc>
        <w:tc>
          <w:tcPr>
            <w:tcW w:w="894" w:type="dxa"/>
          </w:tcPr>
          <w:p w:rsidR="00F12413" w:rsidRPr="00DD099B" w:rsidRDefault="00F12413" w:rsidP="004C432E">
            <w:pPr>
              <w:pStyle w:val="Bezmezer"/>
              <w:jc w:val="center"/>
              <w:rPr>
                <w:rFonts w:cs="Tahoma"/>
                <w:sz w:val="18"/>
                <w:szCs w:val="18"/>
                <w:lang w:val="de-DE"/>
              </w:rPr>
            </w:pPr>
          </w:p>
        </w:tc>
        <w:tc>
          <w:tcPr>
            <w:tcW w:w="894" w:type="dxa"/>
          </w:tcPr>
          <w:p w:rsidR="00F12413" w:rsidRPr="00DD099B" w:rsidRDefault="00F12413" w:rsidP="004C432E">
            <w:pPr>
              <w:pStyle w:val="Bezmezer"/>
              <w:jc w:val="center"/>
              <w:rPr>
                <w:rFonts w:cs="Tahoma"/>
                <w:sz w:val="18"/>
                <w:szCs w:val="18"/>
                <w:lang w:val="de-DE"/>
              </w:rPr>
            </w:pPr>
          </w:p>
        </w:tc>
      </w:tr>
      <w:tr w:rsidR="00F12413" w:rsidRPr="00F12413" w:rsidTr="00DD099B">
        <w:tc>
          <w:tcPr>
            <w:tcW w:w="1417" w:type="dxa"/>
            <w:tcBorders>
              <w:right w:val="single" w:sz="12" w:space="0" w:color="auto"/>
            </w:tcBorders>
            <w:shd w:val="pct15" w:color="auto" w:fill="auto"/>
          </w:tcPr>
          <w:p w:rsidR="00F12413" w:rsidRPr="00DD099B" w:rsidRDefault="00F12413" w:rsidP="004C432E">
            <w:pPr>
              <w:pStyle w:val="Bezmezer"/>
              <w:jc w:val="center"/>
              <w:rPr>
                <w:rFonts w:cs="Tahoma"/>
                <w:sz w:val="18"/>
                <w:szCs w:val="18"/>
              </w:rPr>
            </w:pPr>
            <w:r w:rsidRPr="00DD099B">
              <w:rPr>
                <w:rFonts w:cs="Tahoma"/>
                <w:sz w:val="18"/>
                <w:szCs w:val="18"/>
              </w:rPr>
              <w:t>04-06</w:t>
            </w:r>
          </w:p>
        </w:tc>
        <w:tc>
          <w:tcPr>
            <w:tcW w:w="893" w:type="dxa"/>
            <w:tcBorders>
              <w:left w:val="single" w:sz="12" w:space="0" w:color="auto"/>
            </w:tcBorders>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3" w:type="dxa"/>
          </w:tcPr>
          <w:p w:rsidR="00F12413" w:rsidRPr="00DD099B" w:rsidRDefault="00F12413" w:rsidP="004C432E">
            <w:pPr>
              <w:pStyle w:val="Bezmezer"/>
              <w:jc w:val="center"/>
              <w:rPr>
                <w:rFonts w:cs="Tahoma"/>
                <w:sz w:val="18"/>
                <w:szCs w:val="18"/>
                <w:lang w:val="de-DE"/>
              </w:rPr>
            </w:pP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r>
      <w:tr w:rsidR="00F12413" w:rsidRPr="00F12413" w:rsidTr="00DD099B">
        <w:tc>
          <w:tcPr>
            <w:tcW w:w="1417" w:type="dxa"/>
            <w:tcBorders>
              <w:right w:val="single" w:sz="12" w:space="0" w:color="auto"/>
            </w:tcBorders>
            <w:shd w:val="pct15" w:color="auto" w:fill="auto"/>
          </w:tcPr>
          <w:p w:rsidR="00F12413" w:rsidRPr="00DD099B" w:rsidRDefault="00F12413" w:rsidP="004C432E">
            <w:pPr>
              <w:pStyle w:val="Bezmezer"/>
              <w:jc w:val="center"/>
              <w:rPr>
                <w:rFonts w:cs="Tahoma"/>
                <w:sz w:val="18"/>
                <w:szCs w:val="18"/>
              </w:rPr>
            </w:pPr>
            <w:r w:rsidRPr="00DD099B">
              <w:rPr>
                <w:rFonts w:cs="Tahoma"/>
                <w:sz w:val="18"/>
                <w:szCs w:val="18"/>
              </w:rPr>
              <w:t>06-08</w:t>
            </w:r>
          </w:p>
        </w:tc>
        <w:tc>
          <w:tcPr>
            <w:tcW w:w="893" w:type="dxa"/>
            <w:tcBorders>
              <w:left w:val="single" w:sz="12" w:space="0" w:color="auto"/>
            </w:tcBorders>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3"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9837CC"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p>
        </w:tc>
      </w:tr>
      <w:tr w:rsidR="00F12413" w:rsidRPr="00F12413" w:rsidTr="00DD099B">
        <w:tc>
          <w:tcPr>
            <w:tcW w:w="1417" w:type="dxa"/>
            <w:tcBorders>
              <w:right w:val="single" w:sz="12" w:space="0" w:color="auto"/>
            </w:tcBorders>
            <w:shd w:val="pct15" w:color="auto" w:fill="auto"/>
          </w:tcPr>
          <w:p w:rsidR="00F12413" w:rsidRPr="00DD099B" w:rsidRDefault="00F12413" w:rsidP="004C432E">
            <w:pPr>
              <w:pStyle w:val="Bezmezer"/>
              <w:jc w:val="center"/>
              <w:rPr>
                <w:rFonts w:cs="Tahoma"/>
                <w:sz w:val="18"/>
                <w:szCs w:val="18"/>
              </w:rPr>
            </w:pPr>
            <w:r w:rsidRPr="00DD099B">
              <w:rPr>
                <w:rFonts w:cs="Tahoma"/>
                <w:sz w:val="18"/>
                <w:szCs w:val="18"/>
              </w:rPr>
              <w:t>08-10</w:t>
            </w:r>
          </w:p>
        </w:tc>
        <w:tc>
          <w:tcPr>
            <w:tcW w:w="893" w:type="dxa"/>
            <w:tcBorders>
              <w:left w:val="single" w:sz="12" w:space="0" w:color="auto"/>
            </w:tcBorders>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3"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r>
      <w:tr w:rsidR="00F12413" w:rsidRPr="00F12413" w:rsidTr="00DD099B">
        <w:tc>
          <w:tcPr>
            <w:tcW w:w="1417" w:type="dxa"/>
            <w:tcBorders>
              <w:right w:val="single" w:sz="12" w:space="0" w:color="auto"/>
            </w:tcBorders>
            <w:shd w:val="pct15" w:color="auto" w:fill="auto"/>
          </w:tcPr>
          <w:p w:rsidR="00F12413" w:rsidRPr="00DD099B" w:rsidRDefault="00F12413" w:rsidP="004C432E">
            <w:pPr>
              <w:pStyle w:val="Bezmezer"/>
              <w:jc w:val="center"/>
              <w:rPr>
                <w:rFonts w:cs="Tahoma"/>
                <w:sz w:val="18"/>
                <w:szCs w:val="18"/>
              </w:rPr>
            </w:pPr>
            <w:r w:rsidRPr="00DD099B">
              <w:rPr>
                <w:rFonts w:cs="Tahoma"/>
                <w:sz w:val="18"/>
                <w:szCs w:val="18"/>
              </w:rPr>
              <w:t>10-12</w:t>
            </w:r>
          </w:p>
        </w:tc>
        <w:tc>
          <w:tcPr>
            <w:tcW w:w="893" w:type="dxa"/>
            <w:tcBorders>
              <w:left w:val="single" w:sz="12" w:space="0" w:color="auto"/>
            </w:tcBorders>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3"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r>
      <w:tr w:rsidR="00F12413" w:rsidRPr="00F12413" w:rsidTr="00DD099B">
        <w:tc>
          <w:tcPr>
            <w:tcW w:w="1417" w:type="dxa"/>
            <w:tcBorders>
              <w:right w:val="single" w:sz="12" w:space="0" w:color="auto"/>
            </w:tcBorders>
            <w:shd w:val="pct15" w:color="auto" w:fill="auto"/>
          </w:tcPr>
          <w:p w:rsidR="00F12413" w:rsidRPr="00DD099B" w:rsidRDefault="00F12413" w:rsidP="004C432E">
            <w:pPr>
              <w:pStyle w:val="Bezmezer"/>
              <w:jc w:val="center"/>
              <w:rPr>
                <w:rFonts w:cs="Tahoma"/>
                <w:sz w:val="18"/>
                <w:szCs w:val="18"/>
              </w:rPr>
            </w:pPr>
            <w:r w:rsidRPr="00DD099B">
              <w:rPr>
                <w:rFonts w:cs="Tahoma"/>
                <w:sz w:val="18"/>
                <w:szCs w:val="18"/>
              </w:rPr>
              <w:t>12-14</w:t>
            </w:r>
          </w:p>
        </w:tc>
        <w:tc>
          <w:tcPr>
            <w:tcW w:w="893" w:type="dxa"/>
            <w:tcBorders>
              <w:left w:val="single" w:sz="12" w:space="0" w:color="auto"/>
            </w:tcBorders>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3"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r>
      <w:tr w:rsidR="00F12413" w:rsidRPr="00F12413" w:rsidTr="00DD099B">
        <w:tc>
          <w:tcPr>
            <w:tcW w:w="1417" w:type="dxa"/>
            <w:tcBorders>
              <w:right w:val="single" w:sz="12" w:space="0" w:color="auto"/>
            </w:tcBorders>
            <w:shd w:val="pct15" w:color="auto" w:fill="auto"/>
          </w:tcPr>
          <w:p w:rsidR="00F12413" w:rsidRPr="00DD099B" w:rsidRDefault="00F12413" w:rsidP="004C432E">
            <w:pPr>
              <w:pStyle w:val="Bezmezer"/>
              <w:jc w:val="center"/>
              <w:rPr>
                <w:rFonts w:cs="Tahoma"/>
                <w:sz w:val="18"/>
                <w:szCs w:val="18"/>
              </w:rPr>
            </w:pPr>
            <w:r w:rsidRPr="00DD099B">
              <w:rPr>
                <w:rFonts w:cs="Tahoma"/>
                <w:sz w:val="18"/>
                <w:szCs w:val="18"/>
              </w:rPr>
              <w:t>14-16</w:t>
            </w:r>
          </w:p>
        </w:tc>
        <w:tc>
          <w:tcPr>
            <w:tcW w:w="893" w:type="dxa"/>
            <w:tcBorders>
              <w:left w:val="single" w:sz="12" w:space="0" w:color="auto"/>
            </w:tcBorders>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3"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r>
      <w:tr w:rsidR="00F12413" w:rsidRPr="00F12413" w:rsidTr="00DD099B">
        <w:tc>
          <w:tcPr>
            <w:tcW w:w="1417" w:type="dxa"/>
            <w:tcBorders>
              <w:right w:val="single" w:sz="12" w:space="0" w:color="auto"/>
            </w:tcBorders>
            <w:shd w:val="pct15" w:color="auto" w:fill="auto"/>
          </w:tcPr>
          <w:p w:rsidR="00F12413" w:rsidRPr="00DD099B" w:rsidRDefault="00F12413" w:rsidP="004C432E">
            <w:pPr>
              <w:pStyle w:val="Bezmezer"/>
              <w:jc w:val="center"/>
              <w:rPr>
                <w:rFonts w:cs="Tahoma"/>
                <w:sz w:val="18"/>
                <w:szCs w:val="18"/>
              </w:rPr>
            </w:pPr>
            <w:r w:rsidRPr="00DD099B">
              <w:rPr>
                <w:rFonts w:cs="Tahoma"/>
                <w:sz w:val="18"/>
                <w:szCs w:val="18"/>
              </w:rPr>
              <w:t>16-18</w:t>
            </w:r>
          </w:p>
        </w:tc>
        <w:tc>
          <w:tcPr>
            <w:tcW w:w="893" w:type="dxa"/>
            <w:tcBorders>
              <w:left w:val="single" w:sz="12" w:space="0" w:color="auto"/>
            </w:tcBorders>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3"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r>
      <w:tr w:rsidR="00F12413" w:rsidRPr="00F12413" w:rsidTr="00DD099B">
        <w:tc>
          <w:tcPr>
            <w:tcW w:w="1417" w:type="dxa"/>
            <w:tcBorders>
              <w:right w:val="single" w:sz="12" w:space="0" w:color="auto"/>
            </w:tcBorders>
            <w:shd w:val="pct15" w:color="auto" w:fill="auto"/>
          </w:tcPr>
          <w:p w:rsidR="00F12413" w:rsidRPr="00DD099B" w:rsidRDefault="00F12413" w:rsidP="004C432E">
            <w:pPr>
              <w:pStyle w:val="Bezmezer"/>
              <w:jc w:val="center"/>
              <w:rPr>
                <w:rFonts w:cs="Tahoma"/>
                <w:sz w:val="18"/>
                <w:szCs w:val="18"/>
              </w:rPr>
            </w:pPr>
            <w:r w:rsidRPr="00DD099B">
              <w:rPr>
                <w:rFonts w:cs="Tahoma"/>
                <w:sz w:val="18"/>
                <w:szCs w:val="18"/>
              </w:rPr>
              <w:t>18-20</w:t>
            </w:r>
          </w:p>
        </w:tc>
        <w:tc>
          <w:tcPr>
            <w:tcW w:w="893" w:type="dxa"/>
            <w:tcBorders>
              <w:left w:val="single" w:sz="12" w:space="0" w:color="auto"/>
            </w:tcBorders>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3"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r>
      <w:tr w:rsidR="00F12413" w:rsidRPr="00F12413" w:rsidTr="00DD099B">
        <w:tc>
          <w:tcPr>
            <w:tcW w:w="1417" w:type="dxa"/>
            <w:tcBorders>
              <w:right w:val="single" w:sz="12" w:space="0" w:color="auto"/>
            </w:tcBorders>
            <w:shd w:val="pct15" w:color="auto" w:fill="auto"/>
          </w:tcPr>
          <w:p w:rsidR="00F12413" w:rsidRPr="00DD099B" w:rsidRDefault="00F12413" w:rsidP="004C432E">
            <w:pPr>
              <w:pStyle w:val="Bezmezer"/>
              <w:jc w:val="center"/>
              <w:rPr>
                <w:rFonts w:cs="Tahoma"/>
                <w:sz w:val="18"/>
                <w:szCs w:val="18"/>
              </w:rPr>
            </w:pPr>
            <w:r w:rsidRPr="00DD099B">
              <w:rPr>
                <w:rFonts w:cs="Tahoma"/>
                <w:sz w:val="18"/>
                <w:szCs w:val="18"/>
              </w:rPr>
              <w:t>20-22</w:t>
            </w:r>
          </w:p>
        </w:tc>
        <w:tc>
          <w:tcPr>
            <w:tcW w:w="893" w:type="dxa"/>
            <w:tcBorders>
              <w:left w:val="single" w:sz="12" w:space="0" w:color="auto"/>
            </w:tcBorders>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9837CC"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3" w:type="dxa"/>
          </w:tcPr>
          <w:p w:rsidR="00F12413" w:rsidRPr="00DD099B" w:rsidRDefault="009837CC"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2</w:t>
            </w:r>
          </w:p>
        </w:tc>
      </w:tr>
      <w:tr w:rsidR="00F12413" w:rsidRPr="00F12413" w:rsidTr="00DD099B">
        <w:tc>
          <w:tcPr>
            <w:tcW w:w="1417" w:type="dxa"/>
            <w:tcBorders>
              <w:bottom w:val="single" w:sz="12" w:space="0" w:color="auto"/>
              <w:right w:val="single" w:sz="12" w:space="0" w:color="auto"/>
            </w:tcBorders>
            <w:shd w:val="pct15" w:color="auto" w:fill="auto"/>
          </w:tcPr>
          <w:p w:rsidR="00F12413" w:rsidRPr="00DD099B" w:rsidRDefault="00F12413" w:rsidP="004C432E">
            <w:pPr>
              <w:pStyle w:val="Bezmezer"/>
              <w:jc w:val="center"/>
              <w:rPr>
                <w:rFonts w:cs="Tahoma"/>
                <w:sz w:val="18"/>
                <w:szCs w:val="18"/>
              </w:rPr>
            </w:pPr>
            <w:r w:rsidRPr="00DD099B">
              <w:rPr>
                <w:rFonts w:cs="Tahoma"/>
                <w:sz w:val="18"/>
                <w:szCs w:val="18"/>
              </w:rPr>
              <w:t>22-24</w:t>
            </w:r>
          </w:p>
        </w:tc>
        <w:tc>
          <w:tcPr>
            <w:tcW w:w="893" w:type="dxa"/>
            <w:tcBorders>
              <w:left w:val="single" w:sz="12" w:space="0" w:color="auto"/>
              <w:bottom w:val="single" w:sz="12" w:space="0" w:color="auto"/>
            </w:tcBorders>
          </w:tcPr>
          <w:p w:rsidR="00F12413" w:rsidRPr="00DD099B" w:rsidRDefault="00F12413" w:rsidP="004C432E">
            <w:pPr>
              <w:pStyle w:val="Bezmezer"/>
              <w:jc w:val="center"/>
              <w:rPr>
                <w:rFonts w:cs="Tahoma"/>
                <w:sz w:val="18"/>
                <w:szCs w:val="18"/>
                <w:lang w:val="de-DE"/>
              </w:rPr>
            </w:pPr>
          </w:p>
        </w:tc>
        <w:tc>
          <w:tcPr>
            <w:tcW w:w="894" w:type="dxa"/>
            <w:tcBorders>
              <w:bottom w:val="single" w:sz="12" w:space="0" w:color="auto"/>
            </w:tcBorders>
          </w:tcPr>
          <w:p w:rsidR="00F12413" w:rsidRPr="00DD099B" w:rsidRDefault="00F12413" w:rsidP="004C432E">
            <w:pPr>
              <w:pStyle w:val="Bezmezer"/>
              <w:jc w:val="center"/>
              <w:rPr>
                <w:rFonts w:cs="Tahoma"/>
                <w:sz w:val="18"/>
                <w:szCs w:val="18"/>
                <w:lang w:val="de-DE"/>
              </w:rPr>
            </w:pPr>
          </w:p>
        </w:tc>
        <w:tc>
          <w:tcPr>
            <w:tcW w:w="894" w:type="dxa"/>
            <w:tcBorders>
              <w:bottom w:val="single" w:sz="12" w:space="0" w:color="auto"/>
            </w:tcBorders>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Borders>
              <w:bottom w:val="single" w:sz="12" w:space="0" w:color="auto"/>
            </w:tcBorders>
          </w:tcPr>
          <w:p w:rsidR="00F12413" w:rsidRPr="00DD099B" w:rsidRDefault="00F12413" w:rsidP="004C432E">
            <w:pPr>
              <w:pStyle w:val="Bezmezer"/>
              <w:jc w:val="center"/>
              <w:rPr>
                <w:rFonts w:cs="Tahoma"/>
                <w:sz w:val="18"/>
                <w:szCs w:val="18"/>
                <w:lang w:val="de-DE"/>
              </w:rPr>
            </w:pPr>
          </w:p>
        </w:tc>
        <w:tc>
          <w:tcPr>
            <w:tcW w:w="893" w:type="dxa"/>
            <w:tcBorders>
              <w:bottom w:val="single" w:sz="12" w:space="0" w:color="auto"/>
            </w:tcBorders>
          </w:tcPr>
          <w:p w:rsidR="00F12413" w:rsidRPr="00DD099B" w:rsidRDefault="00F12413" w:rsidP="004C432E">
            <w:pPr>
              <w:pStyle w:val="Bezmezer"/>
              <w:jc w:val="center"/>
              <w:rPr>
                <w:rFonts w:cs="Tahoma"/>
                <w:sz w:val="18"/>
                <w:szCs w:val="18"/>
                <w:lang w:val="de-DE"/>
              </w:rPr>
            </w:pPr>
          </w:p>
        </w:tc>
        <w:tc>
          <w:tcPr>
            <w:tcW w:w="894" w:type="dxa"/>
            <w:tcBorders>
              <w:bottom w:val="single" w:sz="12" w:space="0" w:color="auto"/>
            </w:tcBorders>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c>
          <w:tcPr>
            <w:tcW w:w="894" w:type="dxa"/>
            <w:tcBorders>
              <w:bottom w:val="single" w:sz="12" w:space="0" w:color="auto"/>
            </w:tcBorders>
          </w:tcPr>
          <w:p w:rsidR="00F12413" w:rsidRPr="00DD099B" w:rsidRDefault="00F12413" w:rsidP="004C432E">
            <w:pPr>
              <w:pStyle w:val="Bezmezer"/>
              <w:jc w:val="center"/>
              <w:rPr>
                <w:rFonts w:cs="Tahoma"/>
                <w:sz w:val="18"/>
                <w:szCs w:val="18"/>
                <w:lang w:val="de-DE"/>
              </w:rPr>
            </w:pPr>
          </w:p>
        </w:tc>
        <w:tc>
          <w:tcPr>
            <w:tcW w:w="894" w:type="dxa"/>
            <w:tcBorders>
              <w:bottom w:val="single" w:sz="12" w:space="0" w:color="auto"/>
            </w:tcBorders>
          </w:tcPr>
          <w:p w:rsidR="00F12413" w:rsidRPr="00DD099B" w:rsidRDefault="00F12413" w:rsidP="004C432E">
            <w:pPr>
              <w:pStyle w:val="Bezmezer"/>
              <w:jc w:val="center"/>
              <w:rPr>
                <w:rFonts w:cs="Tahoma"/>
                <w:sz w:val="18"/>
                <w:szCs w:val="18"/>
                <w:lang w:val="de-DE"/>
              </w:rPr>
            </w:pPr>
          </w:p>
        </w:tc>
        <w:tc>
          <w:tcPr>
            <w:tcW w:w="894" w:type="dxa"/>
            <w:tcBorders>
              <w:bottom w:val="single" w:sz="12" w:space="0" w:color="auto"/>
            </w:tcBorders>
          </w:tcPr>
          <w:p w:rsidR="00F12413" w:rsidRPr="00DD099B" w:rsidRDefault="00F12413" w:rsidP="004C432E">
            <w:pPr>
              <w:pStyle w:val="Bezmezer"/>
              <w:jc w:val="center"/>
              <w:rPr>
                <w:rFonts w:cs="Tahoma"/>
                <w:sz w:val="18"/>
                <w:szCs w:val="18"/>
                <w:lang w:val="de-DE"/>
              </w:rPr>
            </w:pPr>
            <w:r w:rsidRPr="00DD099B">
              <w:rPr>
                <w:rFonts w:cs="Tahoma"/>
                <w:sz w:val="18"/>
                <w:szCs w:val="18"/>
                <w:lang w:val="de-DE"/>
              </w:rPr>
              <w:t>1</w:t>
            </w:r>
          </w:p>
        </w:tc>
      </w:tr>
      <w:tr w:rsidR="00F12413" w:rsidRPr="00F12413" w:rsidTr="00DD099B">
        <w:tc>
          <w:tcPr>
            <w:tcW w:w="1417" w:type="dxa"/>
            <w:tcBorders>
              <w:top w:val="single" w:sz="12" w:space="0" w:color="auto"/>
              <w:right w:val="single" w:sz="12" w:space="0" w:color="auto"/>
            </w:tcBorders>
            <w:shd w:val="pct15" w:color="auto" w:fill="auto"/>
          </w:tcPr>
          <w:p w:rsidR="00F12413" w:rsidRPr="00DD099B" w:rsidRDefault="00F12413" w:rsidP="004C432E">
            <w:pPr>
              <w:pStyle w:val="Bezmezer"/>
              <w:jc w:val="center"/>
              <w:rPr>
                <w:rFonts w:cs="Tahoma"/>
                <w:b/>
                <w:sz w:val="18"/>
                <w:szCs w:val="18"/>
              </w:rPr>
            </w:pPr>
            <w:r w:rsidRPr="00DD099B">
              <w:rPr>
                <w:rFonts w:cs="Tahoma"/>
                <w:b/>
                <w:sz w:val="18"/>
                <w:szCs w:val="18"/>
              </w:rPr>
              <w:t>celkem:</w:t>
            </w:r>
          </w:p>
        </w:tc>
        <w:tc>
          <w:tcPr>
            <w:tcW w:w="893" w:type="dxa"/>
            <w:tcBorders>
              <w:top w:val="single" w:sz="12" w:space="0" w:color="auto"/>
              <w:left w:val="single" w:sz="12" w:space="0" w:color="auto"/>
            </w:tcBorders>
          </w:tcPr>
          <w:p w:rsidR="00F12413" w:rsidRPr="00DD099B" w:rsidRDefault="00F12413" w:rsidP="004C432E">
            <w:pPr>
              <w:pStyle w:val="Bezmezer"/>
              <w:jc w:val="center"/>
              <w:rPr>
                <w:rFonts w:cs="Tahoma"/>
                <w:b/>
                <w:sz w:val="18"/>
                <w:szCs w:val="18"/>
                <w:lang w:val="de-DE"/>
              </w:rPr>
            </w:pPr>
            <w:r w:rsidRPr="00DD099B">
              <w:rPr>
                <w:rFonts w:cs="Tahoma"/>
                <w:b/>
                <w:sz w:val="18"/>
                <w:szCs w:val="18"/>
                <w:lang w:val="de-DE"/>
              </w:rPr>
              <w:t>9</w:t>
            </w:r>
          </w:p>
        </w:tc>
        <w:tc>
          <w:tcPr>
            <w:tcW w:w="894" w:type="dxa"/>
            <w:tcBorders>
              <w:top w:val="single" w:sz="12" w:space="0" w:color="auto"/>
            </w:tcBorders>
          </w:tcPr>
          <w:p w:rsidR="006819BA" w:rsidRPr="00DD099B" w:rsidRDefault="00F12413" w:rsidP="004C432E">
            <w:pPr>
              <w:pStyle w:val="Bezmezer"/>
              <w:jc w:val="center"/>
              <w:rPr>
                <w:rFonts w:cs="Tahoma"/>
                <w:b/>
                <w:bCs/>
                <w:kern w:val="28"/>
                <w:sz w:val="18"/>
                <w:szCs w:val="18"/>
                <w:lang w:val="de-DE"/>
              </w:rPr>
            </w:pPr>
            <w:r w:rsidRPr="00DD099B">
              <w:rPr>
                <w:rFonts w:cs="Tahoma"/>
                <w:b/>
                <w:sz w:val="18"/>
                <w:szCs w:val="18"/>
                <w:lang w:val="de-DE"/>
              </w:rPr>
              <w:t>1</w:t>
            </w:r>
            <w:r w:rsidR="009837CC" w:rsidRPr="00DD099B">
              <w:rPr>
                <w:rFonts w:cs="Tahoma"/>
                <w:b/>
                <w:sz w:val="18"/>
                <w:szCs w:val="18"/>
                <w:lang w:val="de-DE"/>
              </w:rPr>
              <w:t>5</w:t>
            </w:r>
          </w:p>
        </w:tc>
        <w:tc>
          <w:tcPr>
            <w:tcW w:w="894" w:type="dxa"/>
            <w:tcBorders>
              <w:top w:val="single" w:sz="12" w:space="0" w:color="auto"/>
            </w:tcBorders>
          </w:tcPr>
          <w:p w:rsidR="00F12413" w:rsidRPr="00DD099B" w:rsidRDefault="00F12413" w:rsidP="004C432E">
            <w:pPr>
              <w:pStyle w:val="Bezmezer"/>
              <w:jc w:val="center"/>
              <w:rPr>
                <w:rFonts w:cs="Tahoma"/>
                <w:b/>
                <w:sz w:val="18"/>
                <w:szCs w:val="18"/>
                <w:lang w:val="de-DE"/>
              </w:rPr>
            </w:pPr>
            <w:r w:rsidRPr="00DD099B">
              <w:rPr>
                <w:rFonts w:cs="Tahoma"/>
                <w:b/>
                <w:sz w:val="18"/>
                <w:szCs w:val="18"/>
                <w:lang w:val="de-DE"/>
              </w:rPr>
              <w:t>16</w:t>
            </w:r>
          </w:p>
        </w:tc>
        <w:tc>
          <w:tcPr>
            <w:tcW w:w="894" w:type="dxa"/>
            <w:tcBorders>
              <w:top w:val="single" w:sz="12" w:space="0" w:color="auto"/>
            </w:tcBorders>
          </w:tcPr>
          <w:p w:rsidR="00F12413" w:rsidRPr="00DD099B" w:rsidRDefault="00F12413" w:rsidP="004C432E">
            <w:pPr>
              <w:pStyle w:val="Bezmezer"/>
              <w:jc w:val="center"/>
              <w:rPr>
                <w:rFonts w:cs="Tahoma"/>
                <w:b/>
                <w:sz w:val="18"/>
                <w:szCs w:val="18"/>
                <w:lang w:val="de-DE"/>
              </w:rPr>
            </w:pPr>
            <w:r w:rsidRPr="00DD099B">
              <w:rPr>
                <w:rFonts w:cs="Tahoma"/>
                <w:b/>
                <w:sz w:val="18"/>
                <w:szCs w:val="18"/>
                <w:lang w:val="de-DE"/>
              </w:rPr>
              <w:t>9</w:t>
            </w:r>
          </w:p>
        </w:tc>
        <w:tc>
          <w:tcPr>
            <w:tcW w:w="893" w:type="dxa"/>
            <w:tcBorders>
              <w:top w:val="single" w:sz="12" w:space="0" w:color="auto"/>
            </w:tcBorders>
          </w:tcPr>
          <w:p w:rsidR="006819BA" w:rsidRPr="00DD099B" w:rsidRDefault="00F12413" w:rsidP="004C432E">
            <w:pPr>
              <w:pStyle w:val="Bezmezer"/>
              <w:jc w:val="center"/>
              <w:rPr>
                <w:rFonts w:cs="Tahoma"/>
                <w:b/>
                <w:bCs/>
                <w:kern w:val="28"/>
                <w:sz w:val="18"/>
                <w:szCs w:val="18"/>
                <w:lang w:val="de-DE"/>
              </w:rPr>
            </w:pPr>
            <w:r w:rsidRPr="00DD099B">
              <w:rPr>
                <w:rFonts w:cs="Tahoma"/>
                <w:b/>
                <w:sz w:val="18"/>
                <w:szCs w:val="18"/>
                <w:lang w:val="de-DE"/>
              </w:rPr>
              <w:t>1</w:t>
            </w:r>
            <w:r w:rsidR="009837CC" w:rsidRPr="00DD099B">
              <w:rPr>
                <w:rFonts w:cs="Tahoma"/>
                <w:b/>
                <w:sz w:val="18"/>
                <w:szCs w:val="18"/>
                <w:lang w:val="de-DE"/>
              </w:rPr>
              <w:t>4</w:t>
            </w:r>
          </w:p>
        </w:tc>
        <w:tc>
          <w:tcPr>
            <w:tcW w:w="894" w:type="dxa"/>
            <w:tcBorders>
              <w:top w:val="single" w:sz="12" w:space="0" w:color="auto"/>
            </w:tcBorders>
          </w:tcPr>
          <w:p w:rsidR="00F12413" w:rsidRPr="00DD099B" w:rsidRDefault="00F12413" w:rsidP="004C432E">
            <w:pPr>
              <w:pStyle w:val="Bezmezer"/>
              <w:jc w:val="center"/>
              <w:rPr>
                <w:rFonts w:cs="Tahoma"/>
                <w:b/>
                <w:sz w:val="18"/>
                <w:szCs w:val="18"/>
                <w:lang w:val="de-DE"/>
              </w:rPr>
            </w:pPr>
            <w:r w:rsidRPr="00DD099B">
              <w:rPr>
                <w:rFonts w:cs="Tahoma"/>
                <w:b/>
                <w:sz w:val="18"/>
                <w:szCs w:val="18"/>
                <w:lang w:val="de-DE"/>
              </w:rPr>
              <w:t>11</w:t>
            </w:r>
          </w:p>
        </w:tc>
        <w:tc>
          <w:tcPr>
            <w:tcW w:w="894" w:type="dxa"/>
            <w:tcBorders>
              <w:top w:val="single" w:sz="12" w:space="0" w:color="auto"/>
            </w:tcBorders>
          </w:tcPr>
          <w:p w:rsidR="00F12413" w:rsidRPr="00DD099B" w:rsidRDefault="00F12413" w:rsidP="004C432E">
            <w:pPr>
              <w:pStyle w:val="Bezmezer"/>
              <w:jc w:val="center"/>
              <w:rPr>
                <w:rFonts w:cs="Tahoma"/>
                <w:b/>
                <w:sz w:val="18"/>
                <w:szCs w:val="18"/>
                <w:lang w:val="de-DE"/>
              </w:rPr>
            </w:pPr>
            <w:r w:rsidRPr="00DD099B">
              <w:rPr>
                <w:rFonts w:cs="Tahoma"/>
                <w:b/>
                <w:sz w:val="18"/>
                <w:szCs w:val="18"/>
                <w:lang w:val="de-DE"/>
              </w:rPr>
              <w:t>9</w:t>
            </w:r>
          </w:p>
        </w:tc>
        <w:tc>
          <w:tcPr>
            <w:tcW w:w="894" w:type="dxa"/>
            <w:tcBorders>
              <w:top w:val="single" w:sz="12" w:space="0" w:color="auto"/>
            </w:tcBorders>
          </w:tcPr>
          <w:p w:rsidR="00F12413" w:rsidRPr="00DD099B" w:rsidRDefault="00F12413" w:rsidP="004C432E">
            <w:pPr>
              <w:pStyle w:val="Bezmezer"/>
              <w:jc w:val="center"/>
              <w:rPr>
                <w:rFonts w:cs="Tahoma"/>
                <w:b/>
                <w:sz w:val="18"/>
                <w:szCs w:val="18"/>
                <w:lang w:val="de-DE"/>
              </w:rPr>
            </w:pPr>
            <w:r w:rsidRPr="00DD099B">
              <w:rPr>
                <w:rFonts w:cs="Tahoma"/>
                <w:b/>
                <w:sz w:val="18"/>
                <w:szCs w:val="18"/>
                <w:lang w:val="de-DE"/>
              </w:rPr>
              <w:t>14</w:t>
            </w:r>
          </w:p>
        </w:tc>
        <w:tc>
          <w:tcPr>
            <w:tcW w:w="894" w:type="dxa"/>
            <w:tcBorders>
              <w:top w:val="single" w:sz="12" w:space="0" w:color="auto"/>
            </w:tcBorders>
          </w:tcPr>
          <w:p w:rsidR="00F12413" w:rsidRPr="00DD099B" w:rsidRDefault="00F12413" w:rsidP="004C432E">
            <w:pPr>
              <w:pStyle w:val="Bezmezer"/>
              <w:jc w:val="center"/>
              <w:rPr>
                <w:rFonts w:cs="Tahoma"/>
                <w:b/>
                <w:sz w:val="18"/>
                <w:szCs w:val="18"/>
                <w:lang w:val="de-DE"/>
              </w:rPr>
            </w:pPr>
            <w:r w:rsidRPr="00DD099B">
              <w:rPr>
                <w:rFonts w:cs="Tahoma"/>
                <w:b/>
                <w:sz w:val="18"/>
                <w:szCs w:val="18"/>
                <w:lang w:val="de-DE"/>
              </w:rPr>
              <w:t>11</w:t>
            </w:r>
          </w:p>
        </w:tc>
      </w:tr>
    </w:tbl>
    <w:p w:rsidR="00E01AD3" w:rsidRDefault="00E01AD3" w:rsidP="00F12413"/>
    <w:p w:rsidR="00E01AD3" w:rsidRDefault="00E01AD3">
      <w:pPr>
        <w:suppressAutoHyphens w:val="0"/>
        <w:spacing w:before="0" w:after="0" w:line="240" w:lineRule="auto"/>
        <w:jc w:val="left"/>
      </w:pPr>
      <w: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882"/>
        <w:gridCol w:w="882"/>
        <w:gridCol w:w="882"/>
        <w:gridCol w:w="882"/>
        <w:gridCol w:w="882"/>
        <w:gridCol w:w="882"/>
        <w:gridCol w:w="882"/>
        <w:gridCol w:w="882"/>
        <w:gridCol w:w="883"/>
      </w:tblGrid>
      <w:tr w:rsidR="00F12413" w:rsidTr="00DD099B">
        <w:tc>
          <w:tcPr>
            <w:tcW w:w="9356" w:type="dxa"/>
            <w:gridSpan w:val="10"/>
            <w:tcBorders>
              <w:bottom w:val="single" w:sz="4" w:space="0" w:color="auto"/>
            </w:tcBorders>
          </w:tcPr>
          <w:p w:rsidR="00F12413" w:rsidRPr="00F12413" w:rsidRDefault="00F12413" w:rsidP="00C65DA3">
            <w:pPr>
              <w:pStyle w:val="Titulek"/>
            </w:pPr>
            <w:bookmarkStart w:id="122" w:name="_Toc390958753"/>
            <w:bookmarkStart w:id="123" w:name="_Toc391034557"/>
            <w:r w:rsidRPr="00F12413">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2</w:t>
            </w:r>
            <w:r w:rsidR="000E79AE">
              <w:fldChar w:fldCharType="end"/>
            </w:r>
            <w:r w:rsidRPr="00F12413">
              <w:t>: Přehled vlaků osobní dopravy v lichém směru (Hradec Králové hl. n. – Pardubice hl. n.)</w:t>
            </w:r>
            <w:bookmarkEnd w:id="122"/>
            <w:bookmarkEnd w:id="123"/>
            <w:r w:rsidRPr="00F12413">
              <w:t xml:space="preserve"> </w:t>
            </w:r>
          </w:p>
        </w:tc>
      </w:tr>
      <w:tr w:rsidR="00F12413" w:rsidTr="00DD099B">
        <w:tc>
          <w:tcPr>
            <w:tcW w:w="1417" w:type="dxa"/>
            <w:vMerge w:val="restart"/>
            <w:tcBorders>
              <w:right w:val="single" w:sz="12" w:space="0" w:color="auto"/>
            </w:tcBorders>
            <w:shd w:val="pct15" w:color="auto" w:fill="auto"/>
          </w:tcPr>
          <w:p w:rsidR="00F12413" w:rsidRPr="00DD099B" w:rsidRDefault="00F12413" w:rsidP="00F12413">
            <w:pPr>
              <w:pStyle w:val="Bezmezer"/>
              <w:rPr>
                <w:rFonts w:cs="Tahoma"/>
                <w:b/>
                <w:sz w:val="18"/>
                <w:szCs w:val="18"/>
              </w:rPr>
            </w:pPr>
            <w:r w:rsidRPr="00DD099B">
              <w:rPr>
                <w:rFonts w:cs="Tahoma"/>
                <w:b/>
                <w:sz w:val="18"/>
                <w:szCs w:val="18"/>
              </w:rPr>
              <w:t>denní doba</w:t>
            </w:r>
          </w:p>
        </w:tc>
        <w:tc>
          <w:tcPr>
            <w:tcW w:w="2646" w:type="dxa"/>
            <w:gridSpan w:val="3"/>
            <w:tcBorders>
              <w:left w:val="single" w:sz="12" w:space="0" w:color="auto"/>
            </w:tcBorders>
            <w:shd w:val="pct15" w:color="auto" w:fill="auto"/>
          </w:tcPr>
          <w:p w:rsidR="00F12413" w:rsidRPr="00DD099B" w:rsidRDefault="00F12413" w:rsidP="00F12413">
            <w:pPr>
              <w:pStyle w:val="Bezmezer"/>
              <w:rPr>
                <w:rFonts w:cs="Tahoma"/>
                <w:b/>
                <w:sz w:val="18"/>
                <w:szCs w:val="18"/>
              </w:rPr>
            </w:pPr>
            <w:r w:rsidRPr="00DD099B">
              <w:rPr>
                <w:rFonts w:cs="Tahoma"/>
                <w:b/>
                <w:sz w:val="18"/>
                <w:szCs w:val="18"/>
              </w:rPr>
              <w:t>pracovní dny</w:t>
            </w:r>
          </w:p>
        </w:tc>
        <w:tc>
          <w:tcPr>
            <w:tcW w:w="2646" w:type="dxa"/>
            <w:gridSpan w:val="3"/>
            <w:shd w:val="pct15" w:color="auto" w:fill="auto"/>
          </w:tcPr>
          <w:p w:rsidR="00F12413" w:rsidRPr="00DD099B" w:rsidRDefault="00F12413" w:rsidP="00F12413">
            <w:pPr>
              <w:pStyle w:val="Bezmezer"/>
              <w:rPr>
                <w:rFonts w:cs="Tahoma"/>
                <w:b/>
                <w:sz w:val="18"/>
                <w:szCs w:val="18"/>
              </w:rPr>
            </w:pPr>
            <w:r w:rsidRPr="00DD099B">
              <w:rPr>
                <w:rFonts w:cs="Tahoma"/>
                <w:b/>
                <w:sz w:val="18"/>
                <w:szCs w:val="18"/>
              </w:rPr>
              <w:t>sobota</w:t>
            </w:r>
          </w:p>
        </w:tc>
        <w:tc>
          <w:tcPr>
            <w:tcW w:w="2647" w:type="dxa"/>
            <w:gridSpan w:val="3"/>
            <w:shd w:val="pct15" w:color="auto" w:fill="auto"/>
          </w:tcPr>
          <w:p w:rsidR="00F12413" w:rsidRPr="00DD099B" w:rsidRDefault="00F12413" w:rsidP="00F12413">
            <w:pPr>
              <w:pStyle w:val="Bezmezer"/>
              <w:rPr>
                <w:rFonts w:cs="Tahoma"/>
                <w:b/>
                <w:sz w:val="18"/>
                <w:szCs w:val="18"/>
              </w:rPr>
            </w:pPr>
            <w:r w:rsidRPr="00DD099B">
              <w:rPr>
                <w:rFonts w:cs="Tahoma"/>
                <w:b/>
                <w:sz w:val="18"/>
                <w:szCs w:val="18"/>
              </w:rPr>
              <w:t>neděle</w:t>
            </w:r>
          </w:p>
        </w:tc>
      </w:tr>
      <w:tr w:rsidR="00F12413" w:rsidTr="00DD099B">
        <w:tc>
          <w:tcPr>
            <w:tcW w:w="1417" w:type="dxa"/>
            <w:vMerge/>
            <w:tcBorders>
              <w:bottom w:val="single" w:sz="12" w:space="0" w:color="auto"/>
              <w:right w:val="single" w:sz="12" w:space="0" w:color="auto"/>
            </w:tcBorders>
            <w:shd w:val="pct15" w:color="auto" w:fill="auto"/>
          </w:tcPr>
          <w:p w:rsidR="00F12413" w:rsidRPr="00DD099B" w:rsidRDefault="00F12413" w:rsidP="00F12413">
            <w:pPr>
              <w:pStyle w:val="Bezmezer"/>
              <w:rPr>
                <w:rFonts w:cs="Tahoma"/>
                <w:b/>
                <w:sz w:val="18"/>
                <w:szCs w:val="18"/>
              </w:rPr>
            </w:pPr>
          </w:p>
        </w:tc>
        <w:tc>
          <w:tcPr>
            <w:tcW w:w="882" w:type="dxa"/>
            <w:tcBorders>
              <w:left w:val="single" w:sz="12" w:space="0" w:color="auto"/>
              <w:bottom w:val="single" w:sz="12" w:space="0" w:color="auto"/>
            </w:tcBorders>
            <w:shd w:val="pct15" w:color="auto" w:fill="auto"/>
          </w:tcPr>
          <w:p w:rsidR="00F12413" w:rsidRPr="00DD099B" w:rsidRDefault="00F12413" w:rsidP="00F12413">
            <w:pPr>
              <w:pStyle w:val="Bezmezer"/>
              <w:rPr>
                <w:rFonts w:cs="Tahoma"/>
                <w:b/>
                <w:sz w:val="18"/>
                <w:szCs w:val="18"/>
              </w:rPr>
            </w:pPr>
            <w:r w:rsidRPr="00DD099B">
              <w:rPr>
                <w:rFonts w:cs="Tahoma"/>
                <w:b/>
                <w:sz w:val="18"/>
                <w:szCs w:val="18"/>
              </w:rPr>
              <w:t>R</w:t>
            </w:r>
          </w:p>
        </w:tc>
        <w:tc>
          <w:tcPr>
            <w:tcW w:w="882" w:type="dxa"/>
            <w:tcBorders>
              <w:bottom w:val="single" w:sz="12" w:space="0" w:color="auto"/>
            </w:tcBorders>
            <w:shd w:val="pct15" w:color="auto" w:fill="auto"/>
          </w:tcPr>
          <w:p w:rsidR="00F12413" w:rsidRPr="00DD099B" w:rsidRDefault="00F12413" w:rsidP="00F12413">
            <w:pPr>
              <w:pStyle w:val="Bezmezer"/>
              <w:rPr>
                <w:rFonts w:cs="Tahoma"/>
                <w:b/>
                <w:sz w:val="18"/>
                <w:szCs w:val="18"/>
              </w:rPr>
            </w:pPr>
            <w:r w:rsidRPr="00DD099B">
              <w:rPr>
                <w:rFonts w:cs="Tahoma"/>
                <w:b/>
                <w:sz w:val="18"/>
                <w:szCs w:val="18"/>
              </w:rPr>
              <w:t>Sp</w:t>
            </w:r>
          </w:p>
        </w:tc>
        <w:tc>
          <w:tcPr>
            <w:tcW w:w="882" w:type="dxa"/>
            <w:tcBorders>
              <w:bottom w:val="single" w:sz="12" w:space="0" w:color="auto"/>
            </w:tcBorders>
            <w:shd w:val="pct15" w:color="auto" w:fill="auto"/>
          </w:tcPr>
          <w:p w:rsidR="00F12413" w:rsidRPr="00DD099B" w:rsidRDefault="00F12413" w:rsidP="00F12413">
            <w:pPr>
              <w:pStyle w:val="Bezmezer"/>
              <w:rPr>
                <w:rFonts w:cs="Tahoma"/>
                <w:b/>
                <w:sz w:val="18"/>
                <w:szCs w:val="18"/>
              </w:rPr>
            </w:pPr>
            <w:r w:rsidRPr="00DD099B">
              <w:rPr>
                <w:rFonts w:cs="Tahoma"/>
                <w:b/>
                <w:sz w:val="18"/>
                <w:szCs w:val="18"/>
              </w:rPr>
              <w:t>Os</w:t>
            </w:r>
          </w:p>
        </w:tc>
        <w:tc>
          <w:tcPr>
            <w:tcW w:w="882" w:type="dxa"/>
            <w:tcBorders>
              <w:bottom w:val="single" w:sz="12" w:space="0" w:color="auto"/>
            </w:tcBorders>
            <w:shd w:val="pct15" w:color="auto" w:fill="auto"/>
          </w:tcPr>
          <w:p w:rsidR="00F12413" w:rsidRPr="00DD099B" w:rsidRDefault="00F12413" w:rsidP="00F12413">
            <w:pPr>
              <w:pStyle w:val="Bezmezer"/>
              <w:rPr>
                <w:rFonts w:cs="Tahoma"/>
                <w:b/>
                <w:sz w:val="18"/>
                <w:szCs w:val="18"/>
              </w:rPr>
            </w:pPr>
            <w:r w:rsidRPr="00DD099B">
              <w:rPr>
                <w:rFonts w:cs="Tahoma"/>
                <w:b/>
                <w:sz w:val="18"/>
                <w:szCs w:val="18"/>
              </w:rPr>
              <w:t>R</w:t>
            </w:r>
          </w:p>
        </w:tc>
        <w:tc>
          <w:tcPr>
            <w:tcW w:w="882" w:type="dxa"/>
            <w:tcBorders>
              <w:bottom w:val="single" w:sz="12" w:space="0" w:color="auto"/>
            </w:tcBorders>
            <w:shd w:val="pct15" w:color="auto" w:fill="auto"/>
          </w:tcPr>
          <w:p w:rsidR="00F12413" w:rsidRPr="00DD099B" w:rsidRDefault="00F12413" w:rsidP="00F12413">
            <w:pPr>
              <w:pStyle w:val="Bezmezer"/>
              <w:rPr>
                <w:rFonts w:cs="Tahoma"/>
                <w:b/>
                <w:sz w:val="18"/>
                <w:szCs w:val="18"/>
              </w:rPr>
            </w:pPr>
            <w:r w:rsidRPr="00DD099B">
              <w:rPr>
                <w:rFonts w:cs="Tahoma"/>
                <w:b/>
                <w:sz w:val="18"/>
                <w:szCs w:val="18"/>
              </w:rPr>
              <w:t>Sp</w:t>
            </w:r>
          </w:p>
        </w:tc>
        <w:tc>
          <w:tcPr>
            <w:tcW w:w="882" w:type="dxa"/>
            <w:tcBorders>
              <w:bottom w:val="single" w:sz="12" w:space="0" w:color="auto"/>
            </w:tcBorders>
            <w:shd w:val="pct15" w:color="auto" w:fill="auto"/>
          </w:tcPr>
          <w:p w:rsidR="00F12413" w:rsidRPr="00DD099B" w:rsidRDefault="00F12413" w:rsidP="00F12413">
            <w:pPr>
              <w:pStyle w:val="Bezmezer"/>
              <w:rPr>
                <w:rFonts w:cs="Tahoma"/>
                <w:b/>
                <w:sz w:val="18"/>
                <w:szCs w:val="18"/>
              </w:rPr>
            </w:pPr>
            <w:r w:rsidRPr="00DD099B">
              <w:rPr>
                <w:rFonts w:cs="Tahoma"/>
                <w:b/>
                <w:sz w:val="18"/>
                <w:szCs w:val="18"/>
              </w:rPr>
              <w:t>Os</w:t>
            </w:r>
          </w:p>
        </w:tc>
        <w:tc>
          <w:tcPr>
            <w:tcW w:w="882" w:type="dxa"/>
            <w:tcBorders>
              <w:bottom w:val="single" w:sz="12" w:space="0" w:color="auto"/>
            </w:tcBorders>
            <w:shd w:val="pct15" w:color="auto" w:fill="auto"/>
          </w:tcPr>
          <w:p w:rsidR="00F12413" w:rsidRPr="00DD099B" w:rsidRDefault="00F12413" w:rsidP="00F12413">
            <w:pPr>
              <w:pStyle w:val="Bezmezer"/>
              <w:rPr>
                <w:rFonts w:cs="Tahoma"/>
                <w:b/>
                <w:sz w:val="18"/>
                <w:szCs w:val="18"/>
              </w:rPr>
            </w:pPr>
            <w:r w:rsidRPr="00DD099B">
              <w:rPr>
                <w:rFonts w:cs="Tahoma"/>
                <w:b/>
                <w:sz w:val="18"/>
                <w:szCs w:val="18"/>
              </w:rPr>
              <w:t>R</w:t>
            </w:r>
          </w:p>
        </w:tc>
        <w:tc>
          <w:tcPr>
            <w:tcW w:w="882" w:type="dxa"/>
            <w:tcBorders>
              <w:bottom w:val="single" w:sz="12" w:space="0" w:color="auto"/>
            </w:tcBorders>
            <w:shd w:val="pct15" w:color="auto" w:fill="auto"/>
          </w:tcPr>
          <w:p w:rsidR="00F12413" w:rsidRPr="00DD099B" w:rsidRDefault="00F12413" w:rsidP="00F12413">
            <w:pPr>
              <w:pStyle w:val="Bezmezer"/>
              <w:rPr>
                <w:rFonts w:cs="Tahoma"/>
                <w:b/>
                <w:sz w:val="18"/>
                <w:szCs w:val="18"/>
              </w:rPr>
            </w:pPr>
            <w:r w:rsidRPr="00DD099B">
              <w:rPr>
                <w:rFonts w:cs="Tahoma"/>
                <w:b/>
                <w:sz w:val="18"/>
                <w:szCs w:val="18"/>
              </w:rPr>
              <w:t>Sp</w:t>
            </w:r>
          </w:p>
        </w:tc>
        <w:tc>
          <w:tcPr>
            <w:tcW w:w="883" w:type="dxa"/>
            <w:tcBorders>
              <w:bottom w:val="single" w:sz="12" w:space="0" w:color="auto"/>
            </w:tcBorders>
            <w:shd w:val="pct15" w:color="auto" w:fill="auto"/>
          </w:tcPr>
          <w:p w:rsidR="00F12413" w:rsidRPr="00DD099B" w:rsidRDefault="00F12413" w:rsidP="00F12413">
            <w:pPr>
              <w:pStyle w:val="Bezmezer"/>
              <w:rPr>
                <w:rFonts w:cs="Tahoma"/>
                <w:b/>
                <w:sz w:val="18"/>
                <w:szCs w:val="18"/>
              </w:rPr>
            </w:pPr>
            <w:r w:rsidRPr="00DD099B">
              <w:rPr>
                <w:rFonts w:cs="Tahoma"/>
                <w:b/>
                <w:sz w:val="18"/>
                <w:szCs w:val="18"/>
              </w:rPr>
              <w:t>Os</w:t>
            </w:r>
          </w:p>
        </w:tc>
      </w:tr>
      <w:tr w:rsidR="00F12413" w:rsidTr="00DD099B">
        <w:tc>
          <w:tcPr>
            <w:tcW w:w="1417" w:type="dxa"/>
            <w:tcBorders>
              <w:top w:val="single" w:sz="12" w:space="0" w:color="auto"/>
              <w:right w:val="single" w:sz="12" w:space="0" w:color="auto"/>
            </w:tcBorders>
            <w:shd w:val="pct15" w:color="auto" w:fill="auto"/>
          </w:tcPr>
          <w:p w:rsidR="00F12413" w:rsidRPr="00DD099B" w:rsidRDefault="00F12413" w:rsidP="00F12413">
            <w:pPr>
              <w:pStyle w:val="Bezmezer"/>
              <w:rPr>
                <w:rFonts w:cs="Tahoma"/>
                <w:sz w:val="18"/>
                <w:szCs w:val="18"/>
              </w:rPr>
            </w:pPr>
            <w:r w:rsidRPr="00DD099B">
              <w:rPr>
                <w:rFonts w:cs="Tahoma"/>
                <w:sz w:val="18"/>
                <w:szCs w:val="18"/>
              </w:rPr>
              <w:t>00-02</w:t>
            </w:r>
          </w:p>
        </w:tc>
        <w:tc>
          <w:tcPr>
            <w:tcW w:w="882" w:type="dxa"/>
            <w:tcBorders>
              <w:top w:val="single" w:sz="12" w:space="0" w:color="auto"/>
              <w:left w:val="single" w:sz="12" w:space="0" w:color="auto"/>
            </w:tcBorders>
          </w:tcPr>
          <w:p w:rsidR="00F12413" w:rsidRPr="00DD099B" w:rsidRDefault="00F12413" w:rsidP="00F12413">
            <w:pPr>
              <w:pStyle w:val="Bezmezer"/>
              <w:rPr>
                <w:rFonts w:cs="Tahoma"/>
                <w:sz w:val="18"/>
                <w:szCs w:val="18"/>
              </w:rPr>
            </w:pPr>
          </w:p>
        </w:tc>
        <w:tc>
          <w:tcPr>
            <w:tcW w:w="882" w:type="dxa"/>
            <w:tcBorders>
              <w:top w:val="single" w:sz="12" w:space="0" w:color="auto"/>
            </w:tcBorders>
          </w:tcPr>
          <w:p w:rsidR="00F12413" w:rsidRPr="00DD099B" w:rsidRDefault="00F12413" w:rsidP="00F12413">
            <w:pPr>
              <w:pStyle w:val="Bezmezer"/>
              <w:rPr>
                <w:rFonts w:cs="Tahoma"/>
                <w:sz w:val="18"/>
                <w:szCs w:val="18"/>
              </w:rPr>
            </w:pPr>
          </w:p>
        </w:tc>
        <w:tc>
          <w:tcPr>
            <w:tcW w:w="882" w:type="dxa"/>
            <w:tcBorders>
              <w:top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Borders>
              <w:top w:val="single" w:sz="12" w:space="0" w:color="auto"/>
            </w:tcBorders>
          </w:tcPr>
          <w:p w:rsidR="00F12413" w:rsidRPr="00DD099B" w:rsidRDefault="00F12413" w:rsidP="00F12413">
            <w:pPr>
              <w:pStyle w:val="Bezmezer"/>
              <w:rPr>
                <w:rFonts w:cs="Tahoma"/>
                <w:sz w:val="18"/>
                <w:szCs w:val="18"/>
              </w:rPr>
            </w:pPr>
          </w:p>
        </w:tc>
        <w:tc>
          <w:tcPr>
            <w:tcW w:w="882" w:type="dxa"/>
            <w:tcBorders>
              <w:top w:val="single" w:sz="12" w:space="0" w:color="auto"/>
            </w:tcBorders>
          </w:tcPr>
          <w:p w:rsidR="00F12413" w:rsidRPr="00DD099B" w:rsidRDefault="00F12413" w:rsidP="00F12413">
            <w:pPr>
              <w:pStyle w:val="Bezmezer"/>
              <w:rPr>
                <w:rFonts w:cs="Tahoma"/>
                <w:sz w:val="18"/>
                <w:szCs w:val="18"/>
              </w:rPr>
            </w:pPr>
          </w:p>
        </w:tc>
        <w:tc>
          <w:tcPr>
            <w:tcW w:w="882" w:type="dxa"/>
            <w:tcBorders>
              <w:top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Borders>
              <w:top w:val="single" w:sz="12" w:space="0" w:color="auto"/>
            </w:tcBorders>
          </w:tcPr>
          <w:p w:rsidR="00F12413" w:rsidRPr="00DD099B" w:rsidRDefault="00F12413" w:rsidP="00F12413">
            <w:pPr>
              <w:pStyle w:val="Bezmezer"/>
              <w:rPr>
                <w:rFonts w:cs="Tahoma"/>
                <w:sz w:val="18"/>
                <w:szCs w:val="18"/>
              </w:rPr>
            </w:pPr>
          </w:p>
        </w:tc>
        <w:tc>
          <w:tcPr>
            <w:tcW w:w="882" w:type="dxa"/>
            <w:tcBorders>
              <w:top w:val="single" w:sz="12" w:space="0" w:color="auto"/>
            </w:tcBorders>
          </w:tcPr>
          <w:p w:rsidR="00F12413" w:rsidRPr="00DD099B" w:rsidRDefault="00F12413" w:rsidP="00F12413">
            <w:pPr>
              <w:pStyle w:val="Bezmezer"/>
              <w:rPr>
                <w:rFonts w:cs="Tahoma"/>
                <w:sz w:val="18"/>
                <w:szCs w:val="18"/>
              </w:rPr>
            </w:pPr>
          </w:p>
        </w:tc>
        <w:tc>
          <w:tcPr>
            <w:tcW w:w="883" w:type="dxa"/>
            <w:tcBorders>
              <w:top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r>
      <w:tr w:rsidR="00F12413" w:rsidTr="00DD099B">
        <w:tc>
          <w:tcPr>
            <w:tcW w:w="1417" w:type="dxa"/>
            <w:tcBorders>
              <w:right w:val="single" w:sz="12" w:space="0" w:color="auto"/>
            </w:tcBorders>
            <w:shd w:val="pct15" w:color="auto" w:fill="auto"/>
          </w:tcPr>
          <w:p w:rsidR="00F12413" w:rsidRPr="00DD099B" w:rsidRDefault="00F12413" w:rsidP="00F12413">
            <w:pPr>
              <w:pStyle w:val="Bezmezer"/>
              <w:rPr>
                <w:rFonts w:cs="Tahoma"/>
                <w:sz w:val="18"/>
                <w:szCs w:val="18"/>
              </w:rPr>
            </w:pPr>
            <w:r w:rsidRPr="00DD099B">
              <w:rPr>
                <w:rFonts w:cs="Tahoma"/>
                <w:sz w:val="18"/>
                <w:szCs w:val="18"/>
              </w:rPr>
              <w:t>02-04</w:t>
            </w:r>
          </w:p>
        </w:tc>
        <w:tc>
          <w:tcPr>
            <w:tcW w:w="882" w:type="dxa"/>
            <w:tcBorders>
              <w:left w:val="single" w:sz="12" w:space="0" w:color="auto"/>
            </w:tcBorders>
          </w:tcPr>
          <w:p w:rsidR="00F12413" w:rsidRPr="00DD099B" w:rsidRDefault="00F12413" w:rsidP="00F12413">
            <w:pPr>
              <w:pStyle w:val="Bezmezer"/>
              <w:rPr>
                <w:rFonts w:cs="Tahoma"/>
                <w:sz w:val="18"/>
                <w:szCs w:val="18"/>
              </w:rPr>
            </w:pPr>
          </w:p>
        </w:tc>
        <w:tc>
          <w:tcPr>
            <w:tcW w:w="882" w:type="dxa"/>
          </w:tcPr>
          <w:p w:rsidR="00F12413" w:rsidRPr="00DD099B" w:rsidRDefault="00F12413" w:rsidP="00F12413">
            <w:pPr>
              <w:pStyle w:val="Bezmezer"/>
              <w:rPr>
                <w:rFonts w:cs="Tahoma"/>
                <w:sz w:val="18"/>
                <w:szCs w:val="18"/>
              </w:rPr>
            </w:pPr>
          </w:p>
        </w:tc>
        <w:tc>
          <w:tcPr>
            <w:tcW w:w="882" w:type="dxa"/>
          </w:tcPr>
          <w:p w:rsidR="00F12413" w:rsidRPr="00DD099B" w:rsidRDefault="00F12413" w:rsidP="00F12413">
            <w:pPr>
              <w:pStyle w:val="Bezmezer"/>
              <w:rPr>
                <w:rFonts w:cs="Tahoma"/>
                <w:sz w:val="18"/>
                <w:szCs w:val="18"/>
              </w:rPr>
            </w:pPr>
          </w:p>
        </w:tc>
        <w:tc>
          <w:tcPr>
            <w:tcW w:w="882" w:type="dxa"/>
          </w:tcPr>
          <w:p w:rsidR="00F12413" w:rsidRPr="00DD099B" w:rsidRDefault="00F12413" w:rsidP="00F12413">
            <w:pPr>
              <w:pStyle w:val="Bezmezer"/>
              <w:rPr>
                <w:rFonts w:cs="Tahoma"/>
                <w:sz w:val="18"/>
                <w:szCs w:val="18"/>
              </w:rPr>
            </w:pPr>
          </w:p>
        </w:tc>
        <w:tc>
          <w:tcPr>
            <w:tcW w:w="882" w:type="dxa"/>
          </w:tcPr>
          <w:p w:rsidR="00F12413" w:rsidRPr="00DD099B" w:rsidRDefault="00F12413" w:rsidP="00F12413">
            <w:pPr>
              <w:pStyle w:val="Bezmezer"/>
              <w:rPr>
                <w:rFonts w:cs="Tahoma"/>
                <w:sz w:val="18"/>
                <w:szCs w:val="18"/>
              </w:rPr>
            </w:pPr>
          </w:p>
        </w:tc>
        <w:tc>
          <w:tcPr>
            <w:tcW w:w="882" w:type="dxa"/>
          </w:tcPr>
          <w:p w:rsidR="00F12413" w:rsidRPr="00DD099B" w:rsidRDefault="00F12413" w:rsidP="00F12413">
            <w:pPr>
              <w:pStyle w:val="Bezmezer"/>
              <w:rPr>
                <w:rFonts w:cs="Tahoma"/>
                <w:sz w:val="18"/>
                <w:szCs w:val="18"/>
              </w:rPr>
            </w:pPr>
          </w:p>
        </w:tc>
        <w:tc>
          <w:tcPr>
            <w:tcW w:w="882" w:type="dxa"/>
          </w:tcPr>
          <w:p w:rsidR="00F12413" w:rsidRPr="00DD099B" w:rsidRDefault="00F12413" w:rsidP="00F12413">
            <w:pPr>
              <w:pStyle w:val="Bezmezer"/>
              <w:rPr>
                <w:rFonts w:cs="Tahoma"/>
                <w:sz w:val="18"/>
                <w:szCs w:val="18"/>
              </w:rPr>
            </w:pPr>
          </w:p>
        </w:tc>
        <w:tc>
          <w:tcPr>
            <w:tcW w:w="882" w:type="dxa"/>
          </w:tcPr>
          <w:p w:rsidR="00F12413" w:rsidRPr="00DD099B" w:rsidRDefault="00F12413" w:rsidP="00F12413">
            <w:pPr>
              <w:pStyle w:val="Bezmezer"/>
              <w:rPr>
                <w:rFonts w:cs="Tahoma"/>
                <w:sz w:val="18"/>
                <w:szCs w:val="18"/>
              </w:rPr>
            </w:pPr>
          </w:p>
        </w:tc>
        <w:tc>
          <w:tcPr>
            <w:tcW w:w="883" w:type="dxa"/>
          </w:tcPr>
          <w:p w:rsidR="00F12413" w:rsidRPr="00DD099B" w:rsidRDefault="00F12413" w:rsidP="00F12413">
            <w:pPr>
              <w:pStyle w:val="Bezmezer"/>
              <w:rPr>
                <w:rFonts w:cs="Tahoma"/>
                <w:sz w:val="18"/>
                <w:szCs w:val="18"/>
              </w:rPr>
            </w:pPr>
          </w:p>
        </w:tc>
      </w:tr>
      <w:tr w:rsidR="00F12413" w:rsidTr="00DD099B">
        <w:tc>
          <w:tcPr>
            <w:tcW w:w="1417" w:type="dxa"/>
            <w:tcBorders>
              <w:right w:val="single" w:sz="12" w:space="0" w:color="auto"/>
            </w:tcBorders>
            <w:shd w:val="pct15" w:color="auto" w:fill="auto"/>
          </w:tcPr>
          <w:p w:rsidR="00F12413" w:rsidRPr="00DD099B" w:rsidRDefault="00F12413" w:rsidP="00F12413">
            <w:pPr>
              <w:pStyle w:val="Bezmezer"/>
              <w:rPr>
                <w:rFonts w:cs="Tahoma"/>
                <w:sz w:val="18"/>
                <w:szCs w:val="18"/>
              </w:rPr>
            </w:pPr>
            <w:r w:rsidRPr="00DD099B">
              <w:rPr>
                <w:rFonts w:cs="Tahoma"/>
                <w:sz w:val="18"/>
                <w:szCs w:val="18"/>
              </w:rPr>
              <w:t>04-06</w:t>
            </w:r>
          </w:p>
        </w:tc>
        <w:tc>
          <w:tcPr>
            <w:tcW w:w="882" w:type="dxa"/>
            <w:tcBorders>
              <w:left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p>
        </w:tc>
        <w:tc>
          <w:tcPr>
            <w:tcW w:w="883" w:type="dxa"/>
          </w:tcPr>
          <w:p w:rsidR="00F12413" w:rsidRPr="00DD099B" w:rsidRDefault="00F12413" w:rsidP="00F12413">
            <w:pPr>
              <w:pStyle w:val="Bezmezer"/>
              <w:rPr>
                <w:rFonts w:cs="Tahoma"/>
                <w:sz w:val="18"/>
                <w:szCs w:val="18"/>
              </w:rPr>
            </w:pPr>
            <w:r w:rsidRPr="00DD099B">
              <w:rPr>
                <w:rFonts w:cs="Tahoma"/>
                <w:sz w:val="18"/>
                <w:szCs w:val="18"/>
              </w:rPr>
              <w:t>1</w:t>
            </w:r>
          </w:p>
        </w:tc>
      </w:tr>
      <w:tr w:rsidR="00F12413" w:rsidTr="00DD099B">
        <w:tc>
          <w:tcPr>
            <w:tcW w:w="1417" w:type="dxa"/>
            <w:tcBorders>
              <w:right w:val="single" w:sz="12" w:space="0" w:color="auto"/>
            </w:tcBorders>
            <w:shd w:val="pct15" w:color="auto" w:fill="auto"/>
          </w:tcPr>
          <w:p w:rsidR="00F12413" w:rsidRPr="00DD099B" w:rsidRDefault="00F12413" w:rsidP="00F12413">
            <w:pPr>
              <w:pStyle w:val="Bezmezer"/>
              <w:rPr>
                <w:rFonts w:cs="Tahoma"/>
                <w:sz w:val="18"/>
                <w:szCs w:val="18"/>
              </w:rPr>
            </w:pPr>
            <w:r w:rsidRPr="00DD099B">
              <w:rPr>
                <w:rFonts w:cs="Tahoma"/>
                <w:sz w:val="18"/>
                <w:szCs w:val="18"/>
              </w:rPr>
              <w:t>06-08</w:t>
            </w:r>
          </w:p>
        </w:tc>
        <w:tc>
          <w:tcPr>
            <w:tcW w:w="882" w:type="dxa"/>
            <w:tcBorders>
              <w:left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2" w:type="dxa"/>
          </w:tcPr>
          <w:p w:rsidR="00F12413" w:rsidRPr="00DD099B" w:rsidRDefault="00F12413" w:rsidP="00F12413">
            <w:pPr>
              <w:pStyle w:val="Bezmezer"/>
              <w:rPr>
                <w:rFonts w:cs="Tahoma"/>
                <w:sz w:val="18"/>
                <w:szCs w:val="18"/>
              </w:rPr>
            </w:pPr>
            <w:r w:rsidRPr="00DD099B">
              <w:rPr>
                <w:rFonts w:cs="Tahoma"/>
                <w:sz w:val="18"/>
                <w:szCs w:val="18"/>
              </w:rPr>
              <w:t>3</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3" w:type="dxa"/>
          </w:tcPr>
          <w:p w:rsidR="00F12413" w:rsidRPr="00DD099B" w:rsidRDefault="00F12413" w:rsidP="00F12413">
            <w:pPr>
              <w:pStyle w:val="Bezmezer"/>
              <w:rPr>
                <w:rFonts w:cs="Tahoma"/>
                <w:sz w:val="18"/>
                <w:szCs w:val="18"/>
              </w:rPr>
            </w:pPr>
            <w:r w:rsidRPr="00DD099B">
              <w:rPr>
                <w:rFonts w:cs="Tahoma"/>
                <w:sz w:val="18"/>
                <w:szCs w:val="18"/>
              </w:rPr>
              <w:t>2</w:t>
            </w:r>
          </w:p>
        </w:tc>
      </w:tr>
      <w:tr w:rsidR="00F12413" w:rsidTr="00DD099B">
        <w:tc>
          <w:tcPr>
            <w:tcW w:w="1417" w:type="dxa"/>
            <w:tcBorders>
              <w:right w:val="single" w:sz="12" w:space="0" w:color="auto"/>
            </w:tcBorders>
            <w:shd w:val="pct15" w:color="auto" w:fill="auto"/>
          </w:tcPr>
          <w:p w:rsidR="00F12413" w:rsidRPr="00DD099B" w:rsidRDefault="00F12413" w:rsidP="00F12413">
            <w:pPr>
              <w:pStyle w:val="Bezmezer"/>
              <w:rPr>
                <w:rFonts w:cs="Tahoma"/>
                <w:sz w:val="18"/>
                <w:szCs w:val="18"/>
              </w:rPr>
            </w:pPr>
            <w:r w:rsidRPr="00DD099B">
              <w:rPr>
                <w:rFonts w:cs="Tahoma"/>
                <w:sz w:val="18"/>
                <w:szCs w:val="18"/>
              </w:rPr>
              <w:t>08-10</w:t>
            </w:r>
          </w:p>
        </w:tc>
        <w:tc>
          <w:tcPr>
            <w:tcW w:w="882" w:type="dxa"/>
            <w:tcBorders>
              <w:left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D243C0" w:rsidP="00F12413">
            <w:pPr>
              <w:pStyle w:val="Bezmezer"/>
              <w:rPr>
                <w:rFonts w:cs="Tahoma"/>
                <w:sz w:val="18"/>
                <w:szCs w:val="18"/>
              </w:rPr>
            </w:pPr>
            <w:r w:rsidRPr="00DD099B">
              <w:rPr>
                <w:rFonts w:cs="Tahoma"/>
                <w:sz w:val="18"/>
                <w:szCs w:val="18"/>
              </w:rPr>
              <w:t>2</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D243C0" w:rsidP="00F12413">
            <w:pPr>
              <w:pStyle w:val="Bezmezer"/>
              <w:rPr>
                <w:rFonts w:cs="Tahoma"/>
                <w:sz w:val="18"/>
                <w:szCs w:val="18"/>
              </w:rPr>
            </w:pPr>
            <w:r w:rsidRPr="00DD099B">
              <w:rPr>
                <w:rFonts w:cs="Tahoma"/>
                <w:sz w:val="18"/>
                <w:szCs w:val="18"/>
              </w:rPr>
              <w:t>2</w:t>
            </w:r>
          </w:p>
        </w:tc>
        <w:tc>
          <w:tcPr>
            <w:tcW w:w="883" w:type="dxa"/>
          </w:tcPr>
          <w:p w:rsidR="00F12413" w:rsidRPr="00DD099B" w:rsidRDefault="00F12413" w:rsidP="00F12413">
            <w:pPr>
              <w:pStyle w:val="Bezmezer"/>
              <w:rPr>
                <w:rFonts w:cs="Tahoma"/>
                <w:sz w:val="18"/>
                <w:szCs w:val="18"/>
              </w:rPr>
            </w:pPr>
            <w:r w:rsidRPr="00DD099B">
              <w:rPr>
                <w:rFonts w:cs="Tahoma"/>
                <w:sz w:val="18"/>
                <w:szCs w:val="18"/>
              </w:rPr>
              <w:t>1</w:t>
            </w:r>
          </w:p>
        </w:tc>
      </w:tr>
      <w:tr w:rsidR="00F12413" w:rsidTr="00DD099B">
        <w:tc>
          <w:tcPr>
            <w:tcW w:w="1417" w:type="dxa"/>
            <w:tcBorders>
              <w:right w:val="single" w:sz="12" w:space="0" w:color="auto"/>
            </w:tcBorders>
            <w:shd w:val="pct15" w:color="auto" w:fill="auto"/>
          </w:tcPr>
          <w:p w:rsidR="00F12413" w:rsidRPr="00DD099B" w:rsidRDefault="00F12413" w:rsidP="00F12413">
            <w:pPr>
              <w:pStyle w:val="Bezmezer"/>
              <w:rPr>
                <w:rFonts w:cs="Tahoma"/>
                <w:sz w:val="18"/>
                <w:szCs w:val="18"/>
              </w:rPr>
            </w:pPr>
            <w:r w:rsidRPr="00DD099B">
              <w:rPr>
                <w:rFonts w:cs="Tahoma"/>
                <w:sz w:val="18"/>
                <w:szCs w:val="18"/>
              </w:rPr>
              <w:t>10-12</w:t>
            </w:r>
          </w:p>
        </w:tc>
        <w:tc>
          <w:tcPr>
            <w:tcW w:w="882" w:type="dxa"/>
            <w:tcBorders>
              <w:left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D243C0"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6819BA" w:rsidRPr="00DD099B" w:rsidRDefault="00D243C0" w:rsidP="00092F1A">
            <w:pPr>
              <w:pStyle w:val="Bezmezer"/>
              <w:rPr>
                <w:rFonts w:cs="Tahoma"/>
                <w:b/>
                <w:bCs/>
                <w:kern w:val="28"/>
                <w:sz w:val="18"/>
                <w:szCs w:val="18"/>
              </w:rPr>
            </w:pPr>
            <w:r w:rsidRPr="00DD099B">
              <w:rPr>
                <w:rFonts w:cs="Tahoma"/>
                <w:sz w:val="18"/>
                <w:szCs w:val="18"/>
              </w:rPr>
              <w:t>1</w:t>
            </w:r>
          </w:p>
        </w:tc>
        <w:tc>
          <w:tcPr>
            <w:tcW w:w="883" w:type="dxa"/>
          </w:tcPr>
          <w:p w:rsidR="00F12413" w:rsidRPr="00DD099B" w:rsidRDefault="00F12413" w:rsidP="00F12413">
            <w:pPr>
              <w:pStyle w:val="Bezmezer"/>
              <w:rPr>
                <w:rFonts w:cs="Tahoma"/>
                <w:sz w:val="18"/>
                <w:szCs w:val="18"/>
              </w:rPr>
            </w:pPr>
            <w:r w:rsidRPr="00DD099B">
              <w:rPr>
                <w:rFonts w:cs="Tahoma"/>
                <w:sz w:val="18"/>
                <w:szCs w:val="18"/>
              </w:rPr>
              <w:t>1</w:t>
            </w:r>
          </w:p>
        </w:tc>
      </w:tr>
      <w:tr w:rsidR="00F12413" w:rsidTr="00DD099B">
        <w:tc>
          <w:tcPr>
            <w:tcW w:w="1417" w:type="dxa"/>
            <w:tcBorders>
              <w:right w:val="single" w:sz="12" w:space="0" w:color="auto"/>
            </w:tcBorders>
            <w:shd w:val="pct15" w:color="auto" w:fill="auto"/>
          </w:tcPr>
          <w:p w:rsidR="00F12413" w:rsidRPr="00DD099B" w:rsidRDefault="00F12413" w:rsidP="00F12413">
            <w:pPr>
              <w:pStyle w:val="Bezmezer"/>
              <w:rPr>
                <w:rFonts w:cs="Tahoma"/>
                <w:sz w:val="18"/>
                <w:szCs w:val="18"/>
              </w:rPr>
            </w:pPr>
            <w:r w:rsidRPr="00DD099B">
              <w:rPr>
                <w:rFonts w:cs="Tahoma"/>
                <w:sz w:val="18"/>
                <w:szCs w:val="18"/>
              </w:rPr>
              <w:t>12-14</w:t>
            </w:r>
          </w:p>
        </w:tc>
        <w:tc>
          <w:tcPr>
            <w:tcW w:w="882" w:type="dxa"/>
            <w:tcBorders>
              <w:left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3" w:type="dxa"/>
          </w:tcPr>
          <w:p w:rsidR="00F12413" w:rsidRPr="00DD099B" w:rsidRDefault="00F12413" w:rsidP="00F12413">
            <w:pPr>
              <w:pStyle w:val="Bezmezer"/>
              <w:rPr>
                <w:rFonts w:cs="Tahoma"/>
                <w:sz w:val="18"/>
                <w:szCs w:val="18"/>
              </w:rPr>
            </w:pPr>
            <w:r w:rsidRPr="00DD099B">
              <w:rPr>
                <w:rFonts w:cs="Tahoma"/>
                <w:sz w:val="18"/>
                <w:szCs w:val="18"/>
              </w:rPr>
              <w:t>1</w:t>
            </w:r>
          </w:p>
        </w:tc>
      </w:tr>
      <w:tr w:rsidR="00F12413" w:rsidTr="00DD099B">
        <w:tc>
          <w:tcPr>
            <w:tcW w:w="1417" w:type="dxa"/>
            <w:tcBorders>
              <w:right w:val="single" w:sz="12" w:space="0" w:color="auto"/>
            </w:tcBorders>
            <w:shd w:val="pct15" w:color="auto" w:fill="auto"/>
          </w:tcPr>
          <w:p w:rsidR="00F12413" w:rsidRPr="00DD099B" w:rsidRDefault="00F12413" w:rsidP="00F12413">
            <w:pPr>
              <w:pStyle w:val="Bezmezer"/>
              <w:rPr>
                <w:rFonts w:cs="Tahoma"/>
                <w:sz w:val="18"/>
                <w:szCs w:val="18"/>
              </w:rPr>
            </w:pPr>
            <w:r w:rsidRPr="00DD099B">
              <w:rPr>
                <w:rFonts w:cs="Tahoma"/>
                <w:sz w:val="18"/>
                <w:szCs w:val="18"/>
              </w:rPr>
              <w:t>14-16</w:t>
            </w:r>
          </w:p>
        </w:tc>
        <w:tc>
          <w:tcPr>
            <w:tcW w:w="882" w:type="dxa"/>
            <w:tcBorders>
              <w:left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3" w:type="dxa"/>
          </w:tcPr>
          <w:p w:rsidR="00F12413" w:rsidRPr="00DD099B" w:rsidRDefault="00F12413" w:rsidP="00F12413">
            <w:pPr>
              <w:pStyle w:val="Bezmezer"/>
              <w:rPr>
                <w:rFonts w:cs="Tahoma"/>
                <w:sz w:val="18"/>
                <w:szCs w:val="18"/>
              </w:rPr>
            </w:pPr>
            <w:r w:rsidRPr="00DD099B">
              <w:rPr>
                <w:rFonts w:cs="Tahoma"/>
                <w:sz w:val="18"/>
                <w:szCs w:val="18"/>
              </w:rPr>
              <w:t>1</w:t>
            </w:r>
          </w:p>
        </w:tc>
      </w:tr>
      <w:tr w:rsidR="00F12413" w:rsidTr="00DD099B">
        <w:tc>
          <w:tcPr>
            <w:tcW w:w="1417" w:type="dxa"/>
            <w:tcBorders>
              <w:right w:val="single" w:sz="12" w:space="0" w:color="auto"/>
            </w:tcBorders>
            <w:shd w:val="pct15" w:color="auto" w:fill="auto"/>
          </w:tcPr>
          <w:p w:rsidR="00F12413" w:rsidRPr="00DD099B" w:rsidRDefault="00F12413" w:rsidP="00F12413">
            <w:pPr>
              <w:pStyle w:val="Bezmezer"/>
              <w:rPr>
                <w:rFonts w:cs="Tahoma"/>
                <w:sz w:val="18"/>
                <w:szCs w:val="18"/>
              </w:rPr>
            </w:pPr>
            <w:r w:rsidRPr="00DD099B">
              <w:rPr>
                <w:rFonts w:cs="Tahoma"/>
                <w:sz w:val="18"/>
                <w:szCs w:val="18"/>
              </w:rPr>
              <w:t>16-18</w:t>
            </w:r>
          </w:p>
        </w:tc>
        <w:tc>
          <w:tcPr>
            <w:tcW w:w="882" w:type="dxa"/>
            <w:tcBorders>
              <w:left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D243C0" w:rsidP="00F12413">
            <w:pPr>
              <w:pStyle w:val="Bezmezer"/>
              <w:rPr>
                <w:rFonts w:cs="Tahoma"/>
                <w:sz w:val="18"/>
                <w:szCs w:val="18"/>
              </w:rPr>
            </w:pPr>
            <w:r w:rsidRPr="00DD099B">
              <w:rPr>
                <w:rFonts w:cs="Tahoma"/>
                <w:sz w:val="18"/>
                <w:szCs w:val="18"/>
              </w:rPr>
              <w:t>2</w:t>
            </w:r>
          </w:p>
        </w:tc>
        <w:tc>
          <w:tcPr>
            <w:tcW w:w="882" w:type="dxa"/>
          </w:tcPr>
          <w:p w:rsidR="00F12413" w:rsidRPr="00DD099B" w:rsidRDefault="00D243C0"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D243C0" w:rsidP="00F12413">
            <w:pPr>
              <w:pStyle w:val="Bezmezer"/>
              <w:rPr>
                <w:rFonts w:cs="Tahoma"/>
                <w:sz w:val="18"/>
                <w:szCs w:val="18"/>
              </w:rPr>
            </w:pPr>
            <w:r w:rsidRPr="00DD099B">
              <w:rPr>
                <w:rFonts w:cs="Tahoma"/>
                <w:sz w:val="18"/>
                <w:szCs w:val="18"/>
              </w:rPr>
              <w:t>2</w:t>
            </w:r>
          </w:p>
        </w:tc>
        <w:tc>
          <w:tcPr>
            <w:tcW w:w="883" w:type="dxa"/>
          </w:tcPr>
          <w:p w:rsidR="00F12413" w:rsidRPr="00DD099B" w:rsidRDefault="00D243C0" w:rsidP="00F12413">
            <w:pPr>
              <w:pStyle w:val="Bezmezer"/>
              <w:rPr>
                <w:rFonts w:cs="Tahoma"/>
                <w:sz w:val="18"/>
                <w:szCs w:val="18"/>
              </w:rPr>
            </w:pPr>
            <w:r w:rsidRPr="00DD099B">
              <w:rPr>
                <w:rFonts w:cs="Tahoma"/>
                <w:sz w:val="18"/>
                <w:szCs w:val="18"/>
              </w:rPr>
              <w:t>1</w:t>
            </w:r>
          </w:p>
        </w:tc>
      </w:tr>
      <w:tr w:rsidR="00F12413" w:rsidTr="00DD099B">
        <w:tc>
          <w:tcPr>
            <w:tcW w:w="1417" w:type="dxa"/>
            <w:tcBorders>
              <w:right w:val="single" w:sz="12" w:space="0" w:color="auto"/>
            </w:tcBorders>
            <w:shd w:val="pct15" w:color="auto" w:fill="auto"/>
          </w:tcPr>
          <w:p w:rsidR="00F12413" w:rsidRPr="00DD099B" w:rsidRDefault="00F12413" w:rsidP="00F12413">
            <w:pPr>
              <w:pStyle w:val="Bezmezer"/>
              <w:rPr>
                <w:rFonts w:cs="Tahoma"/>
                <w:sz w:val="18"/>
                <w:szCs w:val="18"/>
              </w:rPr>
            </w:pPr>
            <w:r w:rsidRPr="00DD099B">
              <w:rPr>
                <w:rFonts w:cs="Tahoma"/>
                <w:sz w:val="18"/>
                <w:szCs w:val="18"/>
              </w:rPr>
              <w:t>18-20</w:t>
            </w:r>
          </w:p>
        </w:tc>
        <w:tc>
          <w:tcPr>
            <w:tcW w:w="882" w:type="dxa"/>
            <w:tcBorders>
              <w:left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2</w:t>
            </w:r>
          </w:p>
        </w:tc>
        <w:tc>
          <w:tcPr>
            <w:tcW w:w="883" w:type="dxa"/>
          </w:tcPr>
          <w:p w:rsidR="00F12413" w:rsidRPr="00DD099B" w:rsidRDefault="00F12413" w:rsidP="00F12413">
            <w:pPr>
              <w:pStyle w:val="Bezmezer"/>
              <w:rPr>
                <w:rFonts w:cs="Tahoma"/>
                <w:sz w:val="18"/>
                <w:szCs w:val="18"/>
              </w:rPr>
            </w:pPr>
            <w:r w:rsidRPr="00DD099B">
              <w:rPr>
                <w:rFonts w:cs="Tahoma"/>
                <w:sz w:val="18"/>
                <w:szCs w:val="18"/>
              </w:rPr>
              <w:t>1</w:t>
            </w:r>
          </w:p>
        </w:tc>
      </w:tr>
      <w:tr w:rsidR="00F12413" w:rsidTr="00DD099B">
        <w:tc>
          <w:tcPr>
            <w:tcW w:w="1417" w:type="dxa"/>
            <w:tcBorders>
              <w:right w:val="single" w:sz="12" w:space="0" w:color="auto"/>
            </w:tcBorders>
            <w:shd w:val="pct15" w:color="auto" w:fill="auto"/>
          </w:tcPr>
          <w:p w:rsidR="00F12413" w:rsidRPr="00DD099B" w:rsidRDefault="00F12413" w:rsidP="00F12413">
            <w:pPr>
              <w:pStyle w:val="Bezmezer"/>
              <w:rPr>
                <w:rFonts w:cs="Tahoma"/>
                <w:sz w:val="18"/>
                <w:szCs w:val="18"/>
              </w:rPr>
            </w:pPr>
            <w:r w:rsidRPr="00DD099B">
              <w:rPr>
                <w:rFonts w:cs="Tahoma"/>
                <w:sz w:val="18"/>
                <w:szCs w:val="18"/>
              </w:rPr>
              <w:t>20-22</w:t>
            </w:r>
          </w:p>
        </w:tc>
        <w:tc>
          <w:tcPr>
            <w:tcW w:w="882" w:type="dxa"/>
            <w:tcBorders>
              <w:left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D243C0"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D243C0"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Pr>
          <w:p w:rsidR="00F12413" w:rsidRPr="00DD099B" w:rsidRDefault="00F12413" w:rsidP="00F12413">
            <w:pPr>
              <w:pStyle w:val="Bezmezer"/>
              <w:rPr>
                <w:rFonts w:cs="Tahoma"/>
                <w:sz w:val="18"/>
                <w:szCs w:val="18"/>
              </w:rPr>
            </w:pPr>
            <w:r w:rsidRPr="00DD099B">
              <w:rPr>
                <w:rFonts w:cs="Tahoma"/>
                <w:sz w:val="18"/>
                <w:szCs w:val="18"/>
              </w:rPr>
              <w:t>1</w:t>
            </w:r>
          </w:p>
        </w:tc>
        <w:tc>
          <w:tcPr>
            <w:tcW w:w="883" w:type="dxa"/>
          </w:tcPr>
          <w:p w:rsidR="00F12413" w:rsidRPr="00DD099B" w:rsidRDefault="00F12413" w:rsidP="00F12413">
            <w:pPr>
              <w:pStyle w:val="Bezmezer"/>
              <w:rPr>
                <w:rFonts w:cs="Tahoma"/>
                <w:sz w:val="18"/>
                <w:szCs w:val="18"/>
              </w:rPr>
            </w:pPr>
            <w:r w:rsidRPr="00DD099B">
              <w:rPr>
                <w:rFonts w:cs="Tahoma"/>
                <w:sz w:val="18"/>
                <w:szCs w:val="18"/>
              </w:rPr>
              <w:t>1</w:t>
            </w:r>
          </w:p>
        </w:tc>
      </w:tr>
      <w:tr w:rsidR="00F12413" w:rsidTr="00DD099B">
        <w:tc>
          <w:tcPr>
            <w:tcW w:w="1417" w:type="dxa"/>
            <w:tcBorders>
              <w:bottom w:val="single" w:sz="12" w:space="0" w:color="auto"/>
              <w:right w:val="single" w:sz="12" w:space="0" w:color="auto"/>
            </w:tcBorders>
            <w:shd w:val="pct15" w:color="auto" w:fill="auto"/>
          </w:tcPr>
          <w:p w:rsidR="00F12413" w:rsidRPr="00DD099B" w:rsidRDefault="00F12413" w:rsidP="00F12413">
            <w:pPr>
              <w:pStyle w:val="Bezmezer"/>
              <w:rPr>
                <w:rFonts w:cs="Tahoma"/>
                <w:sz w:val="18"/>
                <w:szCs w:val="18"/>
              </w:rPr>
            </w:pPr>
            <w:r w:rsidRPr="00DD099B">
              <w:rPr>
                <w:rFonts w:cs="Tahoma"/>
                <w:sz w:val="18"/>
                <w:szCs w:val="18"/>
              </w:rPr>
              <w:t>22-24</w:t>
            </w:r>
          </w:p>
        </w:tc>
        <w:tc>
          <w:tcPr>
            <w:tcW w:w="882" w:type="dxa"/>
            <w:tcBorders>
              <w:left w:val="single" w:sz="12" w:space="0" w:color="auto"/>
              <w:bottom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Borders>
              <w:bottom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Borders>
              <w:bottom w:val="single" w:sz="12" w:space="0" w:color="auto"/>
            </w:tcBorders>
          </w:tcPr>
          <w:p w:rsidR="00F12413" w:rsidRPr="00DD099B" w:rsidRDefault="00F12413" w:rsidP="00F12413">
            <w:pPr>
              <w:pStyle w:val="Bezmezer"/>
              <w:rPr>
                <w:rFonts w:cs="Tahoma"/>
                <w:sz w:val="18"/>
                <w:szCs w:val="18"/>
              </w:rPr>
            </w:pPr>
          </w:p>
        </w:tc>
        <w:tc>
          <w:tcPr>
            <w:tcW w:w="882" w:type="dxa"/>
            <w:tcBorders>
              <w:bottom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Borders>
              <w:bottom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Borders>
              <w:bottom w:val="single" w:sz="12" w:space="0" w:color="auto"/>
            </w:tcBorders>
          </w:tcPr>
          <w:p w:rsidR="00F12413" w:rsidRPr="00DD099B" w:rsidRDefault="00F12413" w:rsidP="00F12413">
            <w:pPr>
              <w:pStyle w:val="Bezmezer"/>
              <w:rPr>
                <w:rFonts w:cs="Tahoma"/>
                <w:sz w:val="18"/>
                <w:szCs w:val="18"/>
              </w:rPr>
            </w:pPr>
          </w:p>
        </w:tc>
        <w:tc>
          <w:tcPr>
            <w:tcW w:w="882" w:type="dxa"/>
            <w:tcBorders>
              <w:bottom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2" w:type="dxa"/>
            <w:tcBorders>
              <w:bottom w:val="single" w:sz="12" w:space="0" w:color="auto"/>
            </w:tcBorders>
          </w:tcPr>
          <w:p w:rsidR="00F12413" w:rsidRPr="00DD099B" w:rsidRDefault="00F12413" w:rsidP="00F12413">
            <w:pPr>
              <w:pStyle w:val="Bezmezer"/>
              <w:rPr>
                <w:rFonts w:cs="Tahoma"/>
                <w:sz w:val="18"/>
                <w:szCs w:val="18"/>
              </w:rPr>
            </w:pPr>
            <w:r w:rsidRPr="00DD099B">
              <w:rPr>
                <w:rFonts w:cs="Tahoma"/>
                <w:sz w:val="18"/>
                <w:szCs w:val="18"/>
              </w:rPr>
              <w:t>1</w:t>
            </w:r>
          </w:p>
        </w:tc>
        <w:tc>
          <w:tcPr>
            <w:tcW w:w="883" w:type="dxa"/>
            <w:tcBorders>
              <w:bottom w:val="single" w:sz="12" w:space="0" w:color="auto"/>
            </w:tcBorders>
          </w:tcPr>
          <w:p w:rsidR="00F12413" w:rsidRPr="00DD099B" w:rsidRDefault="00F12413" w:rsidP="00F12413">
            <w:pPr>
              <w:pStyle w:val="Bezmezer"/>
              <w:rPr>
                <w:rFonts w:cs="Tahoma"/>
                <w:sz w:val="18"/>
                <w:szCs w:val="18"/>
              </w:rPr>
            </w:pPr>
          </w:p>
        </w:tc>
      </w:tr>
      <w:tr w:rsidR="00F12413" w:rsidTr="00DD099B">
        <w:tc>
          <w:tcPr>
            <w:tcW w:w="1417" w:type="dxa"/>
            <w:tcBorders>
              <w:top w:val="single" w:sz="12" w:space="0" w:color="auto"/>
              <w:right w:val="single" w:sz="12" w:space="0" w:color="auto"/>
            </w:tcBorders>
            <w:shd w:val="pct15" w:color="auto" w:fill="auto"/>
          </w:tcPr>
          <w:p w:rsidR="00F12413" w:rsidRPr="00DD099B" w:rsidRDefault="00F12413" w:rsidP="00F12413">
            <w:pPr>
              <w:pStyle w:val="Bezmezer"/>
              <w:rPr>
                <w:rFonts w:cs="Tahoma"/>
                <w:b/>
                <w:sz w:val="18"/>
                <w:szCs w:val="18"/>
              </w:rPr>
            </w:pPr>
            <w:r w:rsidRPr="00DD099B">
              <w:rPr>
                <w:rFonts w:cs="Tahoma"/>
                <w:b/>
                <w:sz w:val="18"/>
                <w:szCs w:val="18"/>
              </w:rPr>
              <w:t>celkem:</w:t>
            </w:r>
          </w:p>
        </w:tc>
        <w:tc>
          <w:tcPr>
            <w:tcW w:w="882" w:type="dxa"/>
            <w:tcBorders>
              <w:top w:val="single" w:sz="12" w:space="0" w:color="auto"/>
              <w:left w:val="single" w:sz="12" w:space="0" w:color="auto"/>
            </w:tcBorders>
          </w:tcPr>
          <w:p w:rsidR="00F12413" w:rsidRPr="00DD099B" w:rsidRDefault="00F12413" w:rsidP="00F12413">
            <w:pPr>
              <w:pStyle w:val="Bezmezer"/>
              <w:rPr>
                <w:rFonts w:cs="Tahoma"/>
                <w:b/>
                <w:sz w:val="18"/>
                <w:szCs w:val="18"/>
              </w:rPr>
            </w:pPr>
            <w:r w:rsidRPr="00DD099B">
              <w:rPr>
                <w:rFonts w:cs="Tahoma"/>
                <w:b/>
                <w:sz w:val="18"/>
                <w:szCs w:val="18"/>
              </w:rPr>
              <w:t>10</w:t>
            </w:r>
          </w:p>
        </w:tc>
        <w:tc>
          <w:tcPr>
            <w:tcW w:w="882" w:type="dxa"/>
            <w:tcBorders>
              <w:top w:val="single" w:sz="12" w:space="0" w:color="auto"/>
            </w:tcBorders>
          </w:tcPr>
          <w:p w:rsidR="006819BA" w:rsidRPr="00DD099B" w:rsidRDefault="00F12413" w:rsidP="00092F1A">
            <w:pPr>
              <w:pStyle w:val="Bezmezer"/>
              <w:rPr>
                <w:rFonts w:cs="Tahoma"/>
                <w:b/>
                <w:bCs/>
                <w:kern w:val="28"/>
                <w:sz w:val="18"/>
                <w:szCs w:val="18"/>
              </w:rPr>
            </w:pPr>
            <w:r w:rsidRPr="00DD099B">
              <w:rPr>
                <w:rFonts w:cs="Tahoma"/>
                <w:b/>
                <w:sz w:val="18"/>
                <w:szCs w:val="18"/>
              </w:rPr>
              <w:t>1</w:t>
            </w:r>
            <w:r w:rsidR="00D243C0" w:rsidRPr="00DD099B">
              <w:rPr>
                <w:rFonts w:cs="Tahoma"/>
                <w:b/>
                <w:sz w:val="18"/>
                <w:szCs w:val="18"/>
              </w:rPr>
              <w:t>6</w:t>
            </w:r>
          </w:p>
        </w:tc>
        <w:tc>
          <w:tcPr>
            <w:tcW w:w="882" w:type="dxa"/>
            <w:tcBorders>
              <w:top w:val="single" w:sz="12" w:space="0" w:color="auto"/>
            </w:tcBorders>
          </w:tcPr>
          <w:p w:rsidR="00F12413" w:rsidRPr="00DD099B" w:rsidRDefault="00F12413" w:rsidP="00F12413">
            <w:pPr>
              <w:pStyle w:val="Bezmezer"/>
              <w:rPr>
                <w:rFonts w:cs="Tahoma"/>
                <w:b/>
                <w:sz w:val="18"/>
                <w:szCs w:val="18"/>
              </w:rPr>
            </w:pPr>
            <w:r w:rsidRPr="00DD099B">
              <w:rPr>
                <w:rFonts w:cs="Tahoma"/>
                <w:b/>
                <w:sz w:val="18"/>
                <w:szCs w:val="18"/>
              </w:rPr>
              <w:t>15</w:t>
            </w:r>
          </w:p>
        </w:tc>
        <w:tc>
          <w:tcPr>
            <w:tcW w:w="882" w:type="dxa"/>
            <w:tcBorders>
              <w:top w:val="single" w:sz="12" w:space="0" w:color="auto"/>
            </w:tcBorders>
          </w:tcPr>
          <w:p w:rsidR="00F12413" w:rsidRPr="00DD099B" w:rsidRDefault="00F12413" w:rsidP="00F12413">
            <w:pPr>
              <w:pStyle w:val="Bezmezer"/>
              <w:rPr>
                <w:rFonts w:cs="Tahoma"/>
                <w:b/>
                <w:sz w:val="18"/>
                <w:szCs w:val="18"/>
              </w:rPr>
            </w:pPr>
            <w:r w:rsidRPr="00DD099B">
              <w:rPr>
                <w:rFonts w:cs="Tahoma"/>
                <w:b/>
                <w:sz w:val="18"/>
                <w:szCs w:val="18"/>
              </w:rPr>
              <w:t>10</w:t>
            </w:r>
          </w:p>
        </w:tc>
        <w:tc>
          <w:tcPr>
            <w:tcW w:w="882" w:type="dxa"/>
            <w:tcBorders>
              <w:top w:val="single" w:sz="12" w:space="0" w:color="auto"/>
            </w:tcBorders>
          </w:tcPr>
          <w:p w:rsidR="006819BA" w:rsidRPr="00DD099B" w:rsidRDefault="00F12413" w:rsidP="00092F1A">
            <w:pPr>
              <w:pStyle w:val="Bezmezer"/>
              <w:rPr>
                <w:rFonts w:cs="Tahoma"/>
                <w:b/>
                <w:bCs/>
                <w:kern w:val="28"/>
                <w:sz w:val="18"/>
                <w:szCs w:val="18"/>
              </w:rPr>
            </w:pPr>
            <w:r w:rsidRPr="00DD099B">
              <w:rPr>
                <w:rFonts w:cs="Tahoma"/>
                <w:b/>
                <w:sz w:val="18"/>
                <w:szCs w:val="18"/>
              </w:rPr>
              <w:t>1</w:t>
            </w:r>
            <w:r w:rsidR="00D243C0" w:rsidRPr="00DD099B">
              <w:rPr>
                <w:rFonts w:cs="Tahoma"/>
                <w:b/>
                <w:sz w:val="18"/>
                <w:szCs w:val="18"/>
              </w:rPr>
              <w:t>4</w:t>
            </w:r>
          </w:p>
        </w:tc>
        <w:tc>
          <w:tcPr>
            <w:tcW w:w="882" w:type="dxa"/>
            <w:tcBorders>
              <w:top w:val="single" w:sz="12" w:space="0" w:color="auto"/>
            </w:tcBorders>
          </w:tcPr>
          <w:p w:rsidR="006819BA" w:rsidRPr="00DD099B" w:rsidRDefault="00F12413" w:rsidP="00092F1A">
            <w:pPr>
              <w:pStyle w:val="Bezmezer"/>
              <w:rPr>
                <w:rFonts w:cs="Tahoma"/>
                <w:b/>
                <w:bCs/>
                <w:kern w:val="28"/>
                <w:sz w:val="18"/>
                <w:szCs w:val="18"/>
              </w:rPr>
            </w:pPr>
            <w:r w:rsidRPr="00DD099B">
              <w:rPr>
                <w:rFonts w:cs="Tahoma"/>
                <w:b/>
                <w:sz w:val="18"/>
                <w:szCs w:val="18"/>
              </w:rPr>
              <w:t>1</w:t>
            </w:r>
            <w:r w:rsidR="00D243C0" w:rsidRPr="00DD099B">
              <w:rPr>
                <w:rFonts w:cs="Tahoma"/>
                <w:b/>
                <w:sz w:val="18"/>
                <w:szCs w:val="18"/>
              </w:rPr>
              <w:t>1</w:t>
            </w:r>
          </w:p>
        </w:tc>
        <w:tc>
          <w:tcPr>
            <w:tcW w:w="882" w:type="dxa"/>
            <w:tcBorders>
              <w:top w:val="single" w:sz="12" w:space="0" w:color="auto"/>
            </w:tcBorders>
          </w:tcPr>
          <w:p w:rsidR="00F12413" w:rsidRPr="00DD099B" w:rsidRDefault="00F12413" w:rsidP="00F12413">
            <w:pPr>
              <w:pStyle w:val="Bezmezer"/>
              <w:rPr>
                <w:rFonts w:cs="Tahoma"/>
                <w:b/>
                <w:sz w:val="18"/>
                <w:szCs w:val="18"/>
              </w:rPr>
            </w:pPr>
            <w:r w:rsidRPr="00DD099B">
              <w:rPr>
                <w:rFonts w:cs="Tahoma"/>
                <w:b/>
                <w:sz w:val="18"/>
                <w:szCs w:val="18"/>
              </w:rPr>
              <w:t>10</w:t>
            </w:r>
          </w:p>
        </w:tc>
        <w:tc>
          <w:tcPr>
            <w:tcW w:w="882" w:type="dxa"/>
            <w:tcBorders>
              <w:top w:val="single" w:sz="12" w:space="0" w:color="auto"/>
            </w:tcBorders>
          </w:tcPr>
          <w:p w:rsidR="006819BA" w:rsidRPr="00DD099B" w:rsidRDefault="00F12413" w:rsidP="00092F1A">
            <w:pPr>
              <w:pStyle w:val="Bezmezer"/>
              <w:rPr>
                <w:rFonts w:cs="Tahoma"/>
                <w:b/>
                <w:bCs/>
                <w:kern w:val="28"/>
                <w:sz w:val="18"/>
                <w:szCs w:val="18"/>
              </w:rPr>
            </w:pPr>
            <w:r w:rsidRPr="00DD099B">
              <w:rPr>
                <w:rFonts w:cs="Tahoma"/>
                <w:b/>
                <w:sz w:val="18"/>
                <w:szCs w:val="18"/>
              </w:rPr>
              <w:t>1</w:t>
            </w:r>
            <w:r w:rsidR="00D243C0" w:rsidRPr="00DD099B">
              <w:rPr>
                <w:rFonts w:cs="Tahoma"/>
                <w:b/>
                <w:sz w:val="18"/>
                <w:szCs w:val="18"/>
              </w:rPr>
              <w:t>4</w:t>
            </w:r>
          </w:p>
        </w:tc>
        <w:tc>
          <w:tcPr>
            <w:tcW w:w="883" w:type="dxa"/>
            <w:tcBorders>
              <w:top w:val="single" w:sz="12" w:space="0" w:color="auto"/>
            </w:tcBorders>
          </w:tcPr>
          <w:p w:rsidR="006819BA" w:rsidRPr="00DD099B" w:rsidRDefault="00F12413" w:rsidP="00092F1A">
            <w:pPr>
              <w:pStyle w:val="Bezmezer"/>
              <w:rPr>
                <w:rFonts w:cs="Tahoma"/>
                <w:b/>
                <w:bCs/>
                <w:kern w:val="28"/>
                <w:sz w:val="18"/>
                <w:szCs w:val="18"/>
              </w:rPr>
            </w:pPr>
            <w:r w:rsidRPr="00DD099B">
              <w:rPr>
                <w:rFonts w:cs="Tahoma"/>
                <w:b/>
                <w:sz w:val="18"/>
                <w:szCs w:val="18"/>
              </w:rPr>
              <w:t>1</w:t>
            </w:r>
            <w:r w:rsidR="00D243C0" w:rsidRPr="00DD099B">
              <w:rPr>
                <w:rFonts w:cs="Tahoma"/>
                <w:b/>
                <w:sz w:val="18"/>
                <w:szCs w:val="18"/>
              </w:rPr>
              <w:t>1</w:t>
            </w:r>
          </w:p>
        </w:tc>
      </w:tr>
    </w:tbl>
    <w:p w:rsidR="006A0D46" w:rsidRPr="00405637" w:rsidRDefault="006A0D46" w:rsidP="006A0D46">
      <w:r w:rsidRPr="00405637">
        <w:t>Obsluha MÚ Pardubice hl.n. – Pardubice-Rosice nad Labem je navyšována o vlaky směru Chrudim, které jsou</w:t>
      </w:r>
      <w:r w:rsidR="00044B00">
        <w:t xml:space="preserve"> zčásti </w:t>
      </w:r>
      <w:r w:rsidRPr="00405637">
        <w:t>při výjezdu z Pardubic hl.n. vytahovány v závěsu vlaků jedoucích ve směru Hradec Králové.</w:t>
      </w:r>
      <w:r w:rsidR="00044B00">
        <w:t xml:space="preserve"> </w:t>
      </w:r>
      <w:r w:rsidR="00FD5DF3">
        <w:t>Tato vžitá praxe je však v současnosti minimalizována s ohledem na nasazení elektrických jednotek RegioPanter vybavených automatickým spřáhlem</w:t>
      </w:r>
      <w:r w:rsidR="00044B00">
        <w:t>.</w:t>
      </w:r>
      <w:r w:rsidRPr="00405637">
        <w:t xml:space="preserve"> </w:t>
      </w:r>
      <w:r w:rsidR="00191241">
        <w:t xml:space="preserve">Doprava na trati 238 je nově organizována jinak než v předchozích letech, a sice kombinací Sp a Os. Sp jezdí převážně ve dvouhodinovém taktu, odpoledne s doplněním na 60 minut, zastávkové Os jsou doplněny v nepravidelném schématu s vyšší nabídkou spojů v ranní a odpolední špičce. </w:t>
      </w:r>
    </w:p>
    <w:p w:rsidR="00225B27" w:rsidRDefault="00225B27" w:rsidP="00887E61">
      <w:pPr>
        <w:pStyle w:val="Nadpis3"/>
        <w:ind w:hanging="8234"/>
      </w:pPr>
      <w:bookmarkStart w:id="124" w:name="_Ref358984562"/>
      <w:r w:rsidRPr="00405637">
        <w:t>Osobní doprava – výhledový stav</w:t>
      </w:r>
      <w:bookmarkEnd w:id="124"/>
    </w:p>
    <w:p w:rsidR="00444A32" w:rsidRDefault="00444A32" w:rsidP="00113D5A">
      <w:r>
        <w:t xml:space="preserve">Rozsah osobní dopravy závisí na jejich objednatelích, kterými jsou u dálkové dopravy Ministerstvo dopravy ČR a u regionální dopravy příslušný krajský úřad. V tomto případě se jedná o Pardubický a Královéhradecký kraj, stavba zasahuje do obou krajů (hranice mezi kraji je dána přejezdem v km 17,601 na královéhradeckém zhlaví žst Opatovice nad Labem). Zamýšlený </w:t>
      </w:r>
      <w:r w:rsidR="00553415">
        <w:t xml:space="preserve">budoucí </w:t>
      </w:r>
      <w:r>
        <w:t xml:space="preserve">rozsah osobní dopravy </w:t>
      </w:r>
      <w:r w:rsidR="00553415">
        <w:t xml:space="preserve">závisí na tom, jaká projektová varianta bude realizována a </w:t>
      </w:r>
      <w:r>
        <w:t xml:space="preserve">je </w:t>
      </w:r>
      <w:r w:rsidR="00553415">
        <w:t xml:space="preserve">dále </w:t>
      </w:r>
      <w:r>
        <w:t>popsán.</w:t>
      </w:r>
    </w:p>
    <w:p w:rsidR="00444A32" w:rsidRDefault="00113D5A" w:rsidP="00113D5A">
      <w:r w:rsidRPr="00405637">
        <w:rPr>
          <w:u w:val="single"/>
        </w:rPr>
        <w:t>Dálková doprava</w:t>
      </w:r>
      <w:r w:rsidRPr="00405637">
        <w:t xml:space="preserve"> </w:t>
      </w:r>
    </w:p>
    <w:p w:rsidR="00444A32" w:rsidRDefault="00444A32" w:rsidP="00444A32">
      <w:r>
        <w:t xml:space="preserve">Záměry MD ČR jsou obšírně popsány </w:t>
      </w:r>
      <w:r w:rsidR="002E09A3">
        <w:t xml:space="preserve">v </w:t>
      </w:r>
      <w:r>
        <w:t>aktuálním dokumentu „</w:t>
      </w:r>
      <w:r w:rsidRPr="008C0EDC">
        <w:rPr>
          <w:i/>
        </w:rPr>
        <w:t>Plán dopravní obsluhy území vlaky celostátní dopravy – zásady objednávky dálkové dopravy pro období 2012-2016</w:t>
      </w:r>
      <w:r>
        <w:t>“ (dále jen Plán obsluhy). Tento dokument je dostupný na webové stránce MD ČR. Pro Hradec Králové i Pardubice jsou hlavními přepravními směry radiální směry směr Praha, vzájemná přeprava je řádově nižší, ale stále velice významná. Plán obsluhy definuje linky dálkové dopravy, z nich jsou relevantní tyto:</w:t>
      </w:r>
    </w:p>
    <w:p w:rsidR="00631EAB" w:rsidRDefault="00444A32" w:rsidP="00D20948">
      <w:pPr>
        <w:numPr>
          <w:ilvl w:val="0"/>
          <w:numId w:val="7"/>
        </w:numPr>
        <w:suppressAutoHyphens w:val="0"/>
        <w:spacing w:before="120" w:after="0" w:line="240" w:lineRule="auto"/>
      </w:pPr>
      <w:r>
        <w:t>R14 (takt 120 min) Pardubice hl. n. – Liberec jako linka přímo jezdící po úseku, který je předmětem stavby;</w:t>
      </w:r>
    </w:p>
    <w:p w:rsidR="00631EAB" w:rsidRDefault="00444A32" w:rsidP="00D20948">
      <w:pPr>
        <w:numPr>
          <w:ilvl w:val="0"/>
          <w:numId w:val="7"/>
        </w:numPr>
        <w:suppressAutoHyphens w:val="0"/>
        <w:spacing w:before="120" w:after="0" w:line="240" w:lineRule="auto"/>
      </w:pPr>
      <w:r>
        <w:t>Ex1, Ex2, Ex3, R18 a R19 (60/120 min) jako návazné linky na trati 010 … – Praha – Pardubice hl. n. – Česká Třebová a dále ležících míst;</w:t>
      </w:r>
    </w:p>
    <w:p w:rsidR="00631EAB" w:rsidRDefault="00444A32" w:rsidP="00D20948">
      <w:pPr>
        <w:numPr>
          <w:ilvl w:val="0"/>
          <w:numId w:val="7"/>
        </w:numPr>
        <w:suppressAutoHyphens w:val="0"/>
        <w:spacing w:before="120" w:after="0" w:line="240" w:lineRule="auto"/>
      </w:pPr>
      <w:r>
        <w:t>R10 (120 min</w:t>
      </w:r>
      <w:r w:rsidR="0016511C">
        <w:t>, v úseku Praha – Hradec Králové hl.n. 60 minut</w:t>
      </w:r>
      <w:r>
        <w:t>) Praha – Hradec Králové hl. n. – Trutnov hl. n.;</w:t>
      </w:r>
    </w:p>
    <w:p w:rsidR="00631EAB" w:rsidRDefault="00444A32" w:rsidP="00D20948">
      <w:pPr>
        <w:numPr>
          <w:ilvl w:val="0"/>
          <w:numId w:val="7"/>
        </w:numPr>
        <w:suppressAutoHyphens w:val="0"/>
        <w:spacing w:before="120" w:after="0" w:line="240" w:lineRule="auto"/>
      </w:pPr>
      <w:r>
        <w:t>R17 (jednotliv</w:t>
      </w:r>
      <w:r w:rsidR="00A61B8E">
        <w:t>é vlaky</w:t>
      </w:r>
      <w:r>
        <w:t>) Pardubice hl. n. – Jihlava</w:t>
      </w:r>
      <w:r w:rsidR="00D01BC8">
        <w:t>,</w:t>
      </w:r>
      <w:r w:rsidR="0016511C">
        <w:t xml:space="preserve"> </w:t>
      </w:r>
      <w:r w:rsidR="00004A37">
        <w:t>aktuální stav je takový, že tato linka ne</w:t>
      </w:r>
      <w:r w:rsidR="0016511C">
        <w:t xml:space="preserve">ní </w:t>
      </w:r>
      <w:r w:rsidR="00004A37">
        <w:t>objednávána</w:t>
      </w:r>
      <w:r w:rsidR="0016511C">
        <w:t xml:space="preserve"> a při současném stavu infrastruktury a dosahovaných cestovních dobách se její objednávka nepředpokládá ani ve výhledu</w:t>
      </w:r>
      <w:r>
        <w:t>;</w:t>
      </w:r>
    </w:p>
    <w:p w:rsidR="00631EAB" w:rsidRDefault="00444A32" w:rsidP="00D20948">
      <w:pPr>
        <w:numPr>
          <w:ilvl w:val="0"/>
          <w:numId w:val="7"/>
        </w:numPr>
        <w:suppressAutoHyphens w:val="0"/>
        <w:spacing w:before="120" w:after="0" w:line="240" w:lineRule="auto"/>
      </w:pPr>
      <w:r>
        <w:t>R15 (120 min) Ústí nad Labem hl. n. – Liberec se vztahem k R14 v Liberci.</w:t>
      </w:r>
    </w:p>
    <w:p w:rsidR="00444A32" w:rsidRDefault="00444A32" w:rsidP="00444A32">
      <w:r>
        <w:t>Linka R14 je v Pardubicích hl. n. navázána na linku R19, dále vlaky R14 křižují v</w:t>
      </w:r>
      <w:r w:rsidR="00A61B8E">
        <w:t>e</w:t>
      </w:r>
      <w:r>
        <w:t> Dvoře Králové nad Labem a Železném Brodě. Příjezd a odjezd R14 v Liberci je těsně vztažen k celé sudé hodině. Vazby v Hradci Králové jsou mimo hlavní přestupní skupinu, s vazbou na regionální spoje. Tento koncept je již několik let ustálený a bude držen až do roku 2014, kdy končí s dopravcem ČD smlouva. Na rok 2015</w:t>
      </w:r>
      <w:r w:rsidR="002C6FC5">
        <w:rPr>
          <w:rStyle w:val="Znakapoznpodarou"/>
        </w:rPr>
        <w:footnoteReference w:id="2"/>
      </w:r>
      <w:r>
        <w:t xml:space="preserve"> a dále bude vypsána soutěž na nového dopravce, což se týká i linky R15. Současné obratové doby v Pardubicích hl. n. a Liberci jsou velmi dlouhé, což vede k nízkému využití souprav, resp. k nutnosti nasazení vyššího počtu souprav, aby byl pokryt obrat. MD ČR zvažuje myšlenku posunutí R14 o půl hodinu tak, aby se linky potkávaly v taktových uzlech Hradec Králové S:00 a Stará Paka L:00. Výhodou by byla kromě podstatně vyššího využití vozového parku provázanost s linkou R15 v Liberci. Posunutí linky o 30 minut však zásadně zasahuje do organizace regionální dopravy a proto bude muset být ještě podrobně doladěno.</w:t>
      </w:r>
    </w:p>
    <w:p w:rsidR="00444A32" w:rsidRDefault="00444A32" w:rsidP="00444A32">
      <w:r>
        <w:t>Linka R10 bude držena v současné podobě s ukončením v Trutnově hlavním nádr. zřejmě do roku 2016. Od roku 2017 se vážně uvažuje o změně koncepce v tom smyslu, že by tato linka byla pouze v elektrické trakci a ukončena v Hradci Králové hl. n., takže by byl hodinový takt vlaků Praha hl. n. – Hradec Králové hl. n. Návaznost směr Trutnov hl. n. by byla zajištěna regionálními Sp vlaky v dohodě s OREDEM a s částečnou objednávkou a krytím těchto výkonů.</w:t>
      </w:r>
      <w:r w:rsidR="0016511C">
        <w:t xml:space="preserve"> V případě modernizace úseku Velký Osek – Hradec Králové MD ČR předpokládá zavedení expresního segmentu v relaci Praha – Hradec Králové v hodinovém taktu, a to v pravidelném prokladu se stávající linkou R10.</w:t>
      </w:r>
    </w:p>
    <w:p w:rsidR="00444A32" w:rsidRDefault="00444A32" w:rsidP="00444A32">
      <w:r>
        <w:t>Linka R17 na linku R14 navaz</w:t>
      </w:r>
      <w:r w:rsidR="00D01BC8">
        <w:t>ovala</w:t>
      </w:r>
      <w:r>
        <w:t xml:space="preserve"> v Pardubicích-Rosicích nad Labem, ovšem jedná se o nepříliš perspektivní a významnou linku, která </w:t>
      </w:r>
      <w:r w:rsidR="00D01BC8">
        <w:t xml:space="preserve">měla být </w:t>
      </w:r>
      <w:r>
        <w:t xml:space="preserve">objednávána jako doplněk k regionální obsluze v počtu pouhých 2 párů vlaků denně. </w:t>
      </w:r>
      <w:r w:rsidR="00D01BC8">
        <w:t xml:space="preserve">V jízdním řádu </w:t>
      </w:r>
      <w:r w:rsidR="00F312A1">
        <w:t xml:space="preserve">2014 </w:t>
      </w:r>
      <w:r w:rsidR="00D01BC8">
        <w:t xml:space="preserve">tato linka není MD ČR objednávána a je nahrazena regionální obsluhou. </w:t>
      </w:r>
      <w:r w:rsidR="00F312A1">
        <w:t xml:space="preserve">Nedojde-li k optimalizaci tratě, která by výrazně zkrátila jízdní doby, nebude MD ČR tuto linku objednávat ani v budoucnosti. Dopravní obsluhu na trati č. 507 zajišťují osobní vlaky, </w:t>
      </w:r>
      <w:r w:rsidR="003F1F8B">
        <w:t xml:space="preserve">vyšší četnost spojů je v úseku Pardubice – </w:t>
      </w:r>
      <w:r w:rsidR="006E4A56">
        <w:t>Chrudim, resp. </w:t>
      </w:r>
      <w:r w:rsidR="003F1F8B">
        <w:t xml:space="preserve">Slatiňany, dalšími pásmovými stanicemi jsou Žďárec u Skutče a Hlinsko v Čechách. </w:t>
      </w:r>
      <w:r w:rsidR="00F312A1">
        <w:t xml:space="preserve"> </w:t>
      </w:r>
      <w:r w:rsidR="00D01BC8">
        <w:t xml:space="preserve">  </w:t>
      </w:r>
    </w:p>
    <w:p w:rsidR="00444A32" w:rsidRPr="00444A32" w:rsidRDefault="00444A32" w:rsidP="00113D5A">
      <w:r w:rsidRPr="00444A32">
        <w:t>Rozsah dálkové</w:t>
      </w:r>
      <w:r>
        <w:t xml:space="preserve"> </w:t>
      </w:r>
      <w:r w:rsidRPr="00444A32">
        <w:t>dopravy</w:t>
      </w:r>
      <w:r>
        <w:t xml:space="preserve"> lze uvažovat ve stejném rozsahu a to jak ve všech projektových variantách, tak i ve variantě bez projektu. Ani rozsah investičních opatření ve variantě projektové </w:t>
      </w:r>
      <w:r w:rsidR="008E7AB8">
        <w:t>M</w:t>
      </w:r>
      <w:r>
        <w:t xml:space="preserve">aximální neovlivní rozsah dálkové dopravy, takovému kroku by musela předcházet řada náročných investic na meziregionálních tazích.  </w:t>
      </w:r>
    </w:p>
    <w:p w:rsidR="004912B3" w:rsidRDefault="00113D5A" w:rsidP="004912B3">
      <w:r w:rsidRPr="00405637">
        <w:rPr>
          <w:u w:val="single"/>
        </w:rPr>
        <w:t>Regionální doprava</w:t>
      </w:r>
      <w:r w:rsidRPr="00405637">
        <w:t xml:space="preserve"> </w:t>
      </w:r>
      <w:r w:rsidR="00814D53">
        <w:t>bude</w:t>
      </w:r>
      <w:r w:rsidR="00444A32">
        <w:t xml:space="preserve"> ve variantě </w:t>
      </w:r>
      <w:r w:rsidR="008E7AB8">
        <w:t>B</w:t>
      </w:r>
      <w:r w:rsidR="00444A32" w:rsidRPr="00444A32">
        <w:rPr>
          <w:u w:val="single"/>
        </w:rPr>
        <w:t>ez projektu</w:t>
      </w:r>
      <w:r w:rsidR="00444A32">
        <w:t xml:space="preserve"> a v </w:t>
      </w:r>
      <w:r w:rsidR="00444A32" w:rsidRPr="00444A32">
        <w:rPr>
          <w:u w:val="single"/>
        </w:rPr>
        <w:t xml:space="preserve">projektové variantě </w:t>
      </w:r>
      <w:r w:rsidR="008E7AB8">
        <w:rPr>
          <w:u w:val="single"/>
        </w:rPr>
        <w:t>M</w:t>
      </w:r>
      <w:r w:rsidR="00444A32" w:rsidRPr="00444A32">
        <w:rPr>
          <w:u w:val="single"/>
        </w:rPr>
        <w:t>inimální</w:t>
      </w:r>
      <w:r w:rsidR="00444A32">
        <w:t xml:space="preserve"> organizována zhruba ve stávajícím rozsahu. Kapacita tratě je vysoce čerpána a neumožňuje „skokově“ navýšit počet vlaků.   Zkapacitnění trati, jak je předpokládáno v </w:t>
      </w:r>
      <w:r w:rsidR="002E09A3">
        <w:t>Etapě</w:t>
      </w:r>
      <w:r w:rsidR="004912B3">
        <w:t xml:space="preserve">, umožňuje </w:t>
      </w:r>
      <w:r w:rsidR="00D243C0">
        <w:t xml:space="preserve">dílčí </w:t>
      </w:r>
      <w:r w:rsidR="004912B3">
        <w:t>navýš</w:t>
      </w:r>
      <w:r w:rsidR="00D243C0">
        <w:t>ení</w:t>
      </w:r>
      <w:r w:rsidR="004912B3">
        <w:t xml:space="preserve"> počt</w:t>
      </w:r>
      <w:r w:rsidR="00D243C0">
        <w:t>u</w:t>
      </w:r>
      <w:r w:rsidR="004912B3">
        <w:t xml:space="preserve"> spojů na trati Pardubice – Hradec Králové hl. n.</w:t>
      </w:r>
      <w:r w:rsidR="00047BEF">
        <w:t xml:space="preserve"> Maximální varianta umožní plný rozsah výhledové osobní dopravy podle představ jejích objednatelů. Konkrétně </w:t>
      </w:r>
      <w:r w:rsidR="007813BD">
        <w:t xml:space="preserve"> se</w:t>
      </w:r>
      <w:r w:rsidR="004912B3">
        <w:t xml:space="preserve"> předpokládá, v provázanosti s koncepcí MD ČR</w:t>
      </w:r>
      <w:r w:rsidR="00047BEF">
        <w:t>,</w:t>
      </w:r>
      <w:r w:rsidR="004912B3">
        <w:t xml:space="preserve"> následující organizac</w:t>
      </w:r>
      <w:r w:rsidR="0016498E">
        <w:t>e</w:t>
      </w:r>
      <w:r w:rsidR="004912B3">
        <w:t xml:space="preserve"> dopravy:</w:t>
      </w:r>
    </w:p>
    <w:p w:rsidR="00631EAB" w:rsidRDefault="004912B3" w:rsidP="00D20948">
      <w:pPr>
        <w:numPr>
          <w:ilvl w:val="0"/>
          <w:numId w:val="8"/>
        </w:numPr>
      </w:pPr>
      <w:r>
        <w:t>ve špičkové hodině budou dva páry rychlých spojů, které se budou skládat z rychlíku (linka R14) Pardubice hl. n. – Liberec vedeného v</w:t>
      </w:r>
      <w:r w:rsidR="005B3B7C">
        <w:t>e</w:t>
      </w:r>
      <w:r>
        <w:t xml:space="preserve"> 120 min taktu doplněného spěšnými vlaky. Ty budou v dieselové trakci, pokud budou obsluhovat relaci Pardubice hl. n. – Trutnov hl. n., doplňkové spoje pouze na úseku Pardubice hl. n. – Hradec Králové hl. n. budou v elektrické trakci. K tomu budou doplněny dva páry zastávkových Os, vzájemně posunutých o 30 min. Tento maximální rozsah dopravy by byl v ranní a odpolední špičce v celkovém rozsahu 10 hodin;    </w:t>
      </w:r>
    </w:p>
    <w:p w:rsidR="00631EAB" w:rsidRDefault="004912B3" w:rsidP="00D20948">
      <w:pPr>
        <w:numPr>
          <w:ilvl w:val="0"/>
          <w:numId w:val="8"/>
        </w:numPr>
      </w:pPr>
      <w:r>
        <w:t>v sedlech bude rozsah nabídky rychlých spojů nezměněn, takže cestující budou mít půlhodinovou nabídku spojů v době 05-22. K tomu je veden 1 pár zastávkových Os;</w:t>
      </w:r>
    </w:p>
    <w:p w:rsidR="00631EAB" w:rsidRDefault="004912B3" w:rsidP="00D20948">
      <w:pPr>
        <w:numPr>
          <w:ilvl w:val="0"/>
          <w:numId w:val="8"/>
        </w:numPr>
      </w:pPr>
      <w:r>
        <w:t>ve zbývající době 22-05 jsou vedeny jednotlivé spoje, většinou zastávkové Os. V hodině 04-05 se jedná o dva páry Os.</w:t>
      </w:r>
    </w:p>
    <w:p w:rsidR="004912B3" w:rsidRDefault="004912B3" w:rsidP="004912B3">
      <w:r>
        <w:t>Sp Pardubice hl. n. - Trutnov hl. n. budou doplňkově k lince R10, v případě jejího ukončení v Hradci Králové hl. n. pak bude jezdit 1 pár těchto Sp pravidelně každou hodinu celodenně. V Hradci Králové hl. n. budou orientovány ke každé celé hodině. Pokud bude linka R14 posunuta o 30 minut, pak se v nákresném jízdním řádu posunou o tuto dobu všechny trasy.</w:t>
      </w:r>
      <w:r w:rsidR="00CB4AB1">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926"/>
        <w:gridCol w:w="926"/>
        <w:gridCol w:w="927"/>
        <w:gridCol w:w="926"/>
        <w:gridCol w:w="926"/>
        <w:gridCol w:w="927"/>
      </w:tblGrid>
      <w:tr w:rsidR="002C3DFF" w:rsidRPr="004912B3" w:rsidTr="00DD099B">
        <w:tc>
          <w:tcPr>
            <w:tcW w:w="9386" w:type="dxa"/>
            <w:gridSpan w:val="7"/>
          </w:tcPr>
          <w:p w:rsidR="002C3DFF" w:rsidRPr="004912B3" w:rsidRDefault="002C3DFF" w:rsidP="00C65DA3">
            <w:pPr>
              <w:pStyle w:val="Titulek"/>
            </w:pPr>
            <w:bookmarkStart w:id="125" w:name="_Toc390958754"/>
            <w:bookmarkStart w:id="126" w:name="_Toc391034558"/>
            <w:r w:rsidRPr="004912B3">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3</w:t>
            </w:r>
            <w:r w:rsidR="000E79AE">
              <w:fldChar w:fldCharType="end"/>
            </w:r>
            <w:r w:rsidRPr="004912B3">
              <w:t>: Výhledový počet párů vlaků osobní dopravy</w:t>
            </w:r>
            <w:r>
              <w:t xml:space="preserve"> – </w:t>
            </w:r>
            <w:r w:rsidR="008B2A57">
              <w:t xml:space="preserve"> Etapa</w:t>
            </w:r>
            <w:bookmarkEnd w:id="125"/>
            <w:bookmarkEnd w:id="126"/>
          </w:p>
        </w:tc>
      </w:tr>
      <w:tr w:rsidR="002C3DFF" w:rsidRPr="004912B3" w:rsidTr="00DD099B">
        <w:tc>
          <w:tcPr>
            <w:tcW w:w="3828" w:type="dxa"/>
            <w:vMerge w:val="restart"/>
            <w:tcBorders>
              <w:right w:val="single" w:sz="12" w:space="0" w:color="auto"/>
            </w:tcBorders>
            <w:shd w:val="pct15" w:color="auto" w:fill="auto"/>
            <w:vAlign w:val="center"/>
          </w:tcPr>
          <w:p w:rsidR="002C3DFF" w:rsidRPr="00DD099B" w:rsidRDefault="002C3DFF" w:rsidP="00DD099B">
            <w:pPr>
              <w:pStyle w:val="Bezmezer"/>
              <w:jc w:val="left"/>
              <w:rPr>
                <w:rFonts w:cs="Tahoma"/>
                <w:sz w:val="18"/>
                <w:szCs w:val="20"/>
              </w:rPr>
            </w:pPr>
            <w:r w:rsidRPr="00DD099B">
              <w:rPr>
                <w:rFonts w:cs="Tahoma"/>
                <w:sz w:val="18"/>
                <w:szCs w:val="20"/>
              </w:rPr>
              <w:t>druh, relace</w:t>
            </w:r>
          </w:p>
        </w:tc>
        <w:tc>
          <w:tcPr>
            <w:tcW w:w="926" w:type="dxa"/>
            <w:tcBorders>
              <w:left w:val="single" w:sz="12" w:space="0" w:color="auto"/>
            </w:tcBorders>
            <w:shd w:val="pct15" w:color="auto" w:fill="auto"/>
            <w:vAlign w:val="center"/>
          </w:tcPr>
          <w:p w:rsidR="002C3DFF" w:rsidRPr="00DD099B" w:rsidRDefault="002C3DFF" w:rsidP="00DD099B">
            <w:pPr>
              <w:pStyle w:val="Bezmezer"/>
              <w:jc w:val="left"/>
              <w:rPr>
                <w:rFonts w:cs="Tahoma"/>
                <w:sz w:val="18"/>
                <w:szCs w:val="20"/>
              </w:rPr>
            </w:pPr>
            <w:r w:rsidRPr="00DD099B">
              <w:rPr>
                <w:rFonts w:cs="Tahoma"/>
                <w:sz w:val="18"/>
                <w:szCs w:val="20"/>
              </w:rPr>
              <w:t>ranní špička</w:t>
            </w:r>
          </w:p>
        </w:tc>
        <w:tc>
          <w:tcPr>
            <w:tcW w:w="926" w:type="dxa"/>
            <w:shd w:val="pct15" w:color="auto" w:fill="auto"/>
            <w:vAlign w:val="center"/>
          </w:tcPr>
          <w:p w:rsidR="002C3DFF" w:rsidRPr="00DD099B" w:rsidRDefault="002C3DFF" w:rsidP="00DD099B">
            <w:pPr>
              <w:pStyle w:val="Bezmezer"/>
              <w:jc w:val="left"/>
              <w:rPr>
                <w:rFonts w:cs="Tahoma"/>
                <w:sz w:val="18"/>
                <w:szCs w:val="20"/>
              </w:rPr>
            </w:pPr>
            <w:r w:rsidRPr="00DD099B">
              <w:rPr>
                <w:rFonts w:cs="Tahoma"/>
                <w:sz w:val="18"/>
                <w:szCs w:val="20"/>
              </w:rPr>
              <w:t>dopol. sedlo</w:t>
            </w:r>
          </w:p>
        </w:tc>
        <w:tc>
          <w:tcPr>
            <w:tcW w:w="927" w:type="dxa"/>
            <w:shd w:val="pct15" w:color="auto" w:fill="auto"/>
            <w:vAlign w:val="center"/>
          </w:tcPr>
          <w:p w:rsidR="002C3DFF" w:rsidRPr="00DD099B" w:rsidRDefault="002C3DFF" w:rsidP="00DD099B">
            <w:pPr>
              <w:pStyle w:val="Bezmezer"/>
              <w:jc w:val="left"/>
              <w:rPr>
                <w:rFonts w:cs="Tahoma"/>
                <w:sz w:val="18"/>
                <w:szCs w:val="20"/>
              </w:rPr>
            </w:pPr>
            <w:r w:rsidRPr="00DD099B">
              <w:rPr>
                <w:rFonts w:cs="Tahoma"/>
                <w:sz w:val="18"/>
                <w:szCs w:val="20"/>
              </w:rPr>
              <w:t>odpol. špička</w:t>
            </w:r>
          </w:p>
        </w:tc>
        <w:tc>
          <w:tcPr>
            <w:tcW w:w="926" w:type="dxa"/>
            <w:shd w:val="pct15" w:color="auto" w:fill="auto"/>
            <w:vAlign w:val="center"/>
          </w:tcPr>
          <w:p w:rsidR="002C3DFF" w:rsidRPr="00DD099B" w:rsidRDefault="002C3DFF" w:rsidP="00DD099B">
            <w:pPr>
              <w:pStyle w:val="Bezmezer"/>
              <w:jc w:val="left"/>
              <w:rPr>
                <w:rFonts w:cs="Tahoma"/>
                <w:sz w:val="18"/>
                <w:szCs w:val="20"/>
              </w:rPr>
            </w:pPr>
            <w:r w:rsidRPr="00DD099B">
              <w:rPr>
                <w:rFonts w:cs="Tahoma"/>
                <w:sz w:val="18"/>
                <w:szCs w:val="20"/>
              </w:rPr>
              <w:t>večerní sedlo</w:t>
            </w:r>
          </w:p>
        </w:tc>
        <w:tc>
          <w:tcPr>
            <w:tcW w:w="926" w:type="dxa"/>
            <w:shd w:val="pct15" w:color="auto" w:fill="auto"/>
            <w:vAlign w:val="center"/>
          </w:tcPr>
          <w:p w:rsidR="002C3DFF" w:rsidRPr="00DD099B" w:rsidRDefault="002C3DFF" w:rsidP="00DD099B">
            <w:pPr>
              <w:pStyle w:val="Bezmezer"/>
              <w:jc w:val="left"/>
              <w:rPr>
                <w:rFonts w:cs="Tahoma"/>
                <w:sz w:val="18"/>
                <w:szCs w:val="20"/>
              </w:rPr>
            </w:pPr>
            <w:r w:rsidRPr="00DD099B">
              <w:rPr>
                <w:rFonts w:cs="Tahoma"/>
                <w:sz w:val="18"/>
                <w:szCs w:val="20"/>
              </w:rPr>
              <w:t>noční doba</w:t>
            </w:r>
          </w:p>
        </w:tc>
        <w:tc>
          <w:tcPr>
            <w:tcW w:w="927" w:type="dxa"/>
            <w:vMerge w:val="restart"/>
            <w:shd w:val="pct15" w:color="auto" w:fill="auto"/>
            <w:vAlign w:val="center"/>
          </w:tcPr>
          <w:p w:rsidR="002C3DFF" w:rsidRPr="00DD099B" w:rsidRDefault="002C3DFF" w:rsidP="00DD099B">
            <w:pPr>
              <w:pStyle w:val="Bezmezer"/>
              <w:jc w:val="left"/>
              <w:rPr>
                <w:rFonts w:cs="Tahoma"/>
                <w:b/>
                <w:sz w:val="18"/>
                <w:szCs w:val="20"/>
              </w:rPr>
            </w:pPr>
            <w:r w:rsidRPr="00DD099B">
              <w:rPr>
                <w:rFonts w:cs="Tahoma"/>
                <w:b/>
                <w:sz w:val="18"/>
                <w:szCs w:val="20"/>
              </w:rPr>
              <w:t>celkem</w:t>
            </w:r>
          </w:p>
        </w:tc>
      </w:tr>
      <w:tr w:rsidR="002C3DFF" w:rsidRPr="004912B3" w:rsidTr="00DD099B">
        <w:tc>
          <w:tcPr>
            <w:tcW w:w="3828" w:type="dxa"/>
            <w:vMerge/>
            <w:tcBorders>
              <w:bottom w:val="single" w:sz="12" w:space="0" w:color="auto"/>
              <w:right w:val="single" w:sz="12" w:space="0" w:color="auto"/>
            </w:tcBorders>
            <w:shd w:val="pct15" w:color="auto" w:fill="auto"/>
            <w:vAlign w:val="center"/>
          </w:tcPr>
          <w:p w:rsidR="002C3DFF" w:rsidRPr="00DD099B" w:rsidRDefault="002C3DFF" w:rsidP="00DD099B">
            <w:pPr>
              <w:pStyle w:val="Bezmezer"/>
              <w:jc w:val="left"/>
              <w:rPr>
                <w:rFonts w:cs="Tahoma"/>
                <w:sz w:val="18"/>
                <w:szCs w:val="20"/>
              </w:rPr>
            </w:pPr>
          </w:p>
        </w:tc>
        <w:tc>
          <w:tcPr>
            <w:tcW w:w="926" w:type="dxa"/>
            <w:tcBorders>
              <w:left w:val="single" w:sz="12" w:space="0" w:color="auto"/>
              <w:bottom w:val="single" w:sz="12" w:space="0" w:color="auto"/>
            </w:tcBorders>
            <w:shd w:val="pct15" w:color="auto" w:fill="auto"/>
            <w:vAlign w:val="center"/>
          </w:tcPr>
          <w:p w:rsidR="002C3DFF" w:rsidRPr="00DD099B" w:rsidRDefault="002C3DFF" w:rsidP="00DD099B">
            <w:pPr>
              <w:pStyle w:val="Bezmezer"/>
              <w:jc w:val="left"/>
              <w:rPr>
                <w:rFonts w:cs="Tahoma"/>
                <w:sz w:val="18"/>
                <w:szCs w:val="20"/>
              </w:rPr>
            </w:pPr>
            <w:r w:rsidRPr="00DD099B">
              <w:rPr>
                <w:rFonts w:cs="Tahoma"/>
                <w:sz w:val="18"/>
                <w:szCs w:val="20"/>
              </w:rPr>
              <w:t>0</w:t>
            </w:r>
            <w:r w:rsidR="00DB2E06" w:rsidRPr="00DD099B">
              <w:rPr>
                <w:rFonts w:cs="Tahoma"/>
                <w:sz w:val="18"/>
                <w:szCs w:val="20"/>
              </w:rPr>
              <w:t>5</w:t>
            </w:r>
            <w:r w:rsidRPr="00DD099B">
              <w:rPr>
                <w:rFonts w:cs="Tahoma"/>
                <w:sz w:val="18"/>
                <w:szCs w:val="20"/>
              </w:rPr>
              <w:t>-0</w:t>
            </w:r>
            <w:r w:rsidR="00DB2E06" w:rsidRPr="00DD099B">
              <w:rPr>
                <w:rFonts w:cs="Tahoma"/>
                <w:sz w:val="18"/>
                <w:szCs w:val="20"/>
              </w:rPr>
              <w:t>8</w:t>
            </w:r>
          </w:p>
        </w:tc>
        <w:tc>
          <w:tcPr>
            <w:tcW w:w="926" w:type="dxa"/>
            <w:tcBorders>
              <w:bottom w:val="single" w:sz="12" w:space="0" w:color="auto"/>
            </w:tcBorders>
            <w:shd w:val="pct15" w:color="auto" w:fill="auto"/>
            <w:vAlign w:val="center"/>
          </w:tcPr>
          <w:p w:rsidR="002C3DFF" w:rsidRPr="00DD099B" w:rsidRDefault="002C3DFF" w:rsidP="00DD099B">
            <w:pPr>
              <w:pStyle w:val="Bezmezer"/>
              <w:jc w:val="left"/>
              <w:rPr>
                <w:rFonts w:cs="Tahoma"/>
                <w:sz w:val="18"/>
                <w:szCs w:val="20"/>
              </w:rPr>
            </w:pPr>
            <w:r w:rsidRPr="00DD099B">
              <w:rPr>
                <w:rFonts w:cs="Tahoma"/>
                <w:sz w:val="18"/>
                <w:szCs w:val="20"/>
              </w:rPr>
              <w:t>0</w:t>
            </w:r>
            <w:r w:rsidR="00DB2E06" w:rsidRPr="00DD099B">
              <w:rPr>
                <w:rFonts w:cs="Tahoma"/>
                <w:sz w:val="18"/>
                <w:szCs w:val="20"/>
              </w:rPr>
              <w:t>8</w:t>
            </w:r>
            <w:r w:rsidRPr="00DD099B">
              <w:rPr>
                <w:rFonts w:cs="Tahoma"/>
                <w:sz w:val="18"/>
                <w:szCs w:val="20"/>
              </w:rPr>
              <w:t>-13</w:t>
            </w:r>
          </w:p>
        </w:tc>
        <w:tc>
          <w:tcPr>
            <w:tcW w:w="927" w:type="dxa"/>
            <w:tcBorders>
              <w:bottom w:val="single" w:sz="12" w:space="0" w:color="auto"/>
            </w:tcBorders>
            <w:shd w:val="pct15" w:color="auto" w:fill="auto"/>
            <w:vAlign w:val="center"/>
          </w:tcPr>
          <w:p w:rsidR="002C3DFF" w:rsidRPr="00DD099B" w:rsidRDefault="002C3DFF" w:rsidP="00DD099B">
            <w:pPr>
              <w:pStyle w:val="Bezmezer"/>
              <w:jc w:val="left"/>
              <w:rPr>
                <w:rFonts w:cs="Tahoma"/>
                <w:sz w:val="18"/>
                <w:szCs w:val="20"/>
              </w:rPr>
            </w:pPr>
            <w:r w:rsidRPr="00DD099B">
              <w:rPr>
                <w:rFonts w:cs="Tahoma"/>
                <w:sz w:val="18"/>
                <w:szCs w:val="20"/>
              </w:rPr>
              <w:t>13-1</w:t>
            </w:r>
            <w:r w:rsidR="00DB2E06" w:rsidRPr="00DD099B">
              <w:rPr>
                <w:rFonts w:cs="Tahoma"/>
                <w:sz w:val="18"/>
                <w:szCs w:val="20"/>
              </w:rPr>
              <w:t>7</w:t>
            </w:r>
          </w:p>
        </w:tc>
        <w:tc>
          <w:tcPr>
            <w:tcW w:w="926" w:type="dxa"/>
            <w:tcBorders>
              <w:bottom w:val="single" w:sz="12" w:space="0" w:color="auto"/>
            </w:tcBorders>
            <w:shd w:val="pct15" w:color="auto" w:fill="auto"/>
            <w:vAlign w:val="center"/>
          </w:tcPr>
          <w:p w:rsidR="002C3DFF" w:rsidRPr="00DD099B" w:rsidRDefault="002C3DFF" w:rsidP="00DD099B">
            <w:pPr>
              <w:pStyle w:val="Bezmezer"/>
              <w:jc w:val="left"/>
              <w:rPr>
                <w:rFonts w:cs="Tahoma"/>
                <w:sz w:val="18"/>
                <w:szCs w:val="20"/>
              </w:rPr>
            </w:pPr>
            <w:r w:rsidRPr="00DD099B">
              <w:rPr>
                <w:rFonts w:cs="Tahoma"/>
                <w:sz w:val="18"/>
                <w:szCs w:val="20"/>
              </w:rPr>
              <w:t>1</w:t>
            </w:r>
            <w:r w:rsidR="00DB2E06" w:rsidRPr="00DD099B">
              <w:rPr>
                <w:rFonts w:cs="Tahoma"/>
                <w:sz w:val="18"/>
                <w:szCs w:val="20"/>
              </w:rPr>
              <w:t>7</w:t>
            </w:r>
            <w:r w:rsidRPr="00DD099B">
              <w:rPr>
                <w:rFonts w:cs="Tahoma"/>
                <w:sz w:val="18"/>
                <w:szCs w:val="20"/>
              </w:rPr>
              <w:t>-22</w:t>
            </w:r>
          </w:p>
        </w:tc>
        <w:tc>
          <w:tcPr>
            <w:tcW w:w="926" w:type="dxa"/>
            <w:tcBorders>
              <w:bottom w:val="single" w:sz="12" w:space="0" w:color="auto"/>
            </w:tcBorders>
            <w:shd w:val="pct15" w:color="auto" w:fill="auto"/>
            <w:vAlign w:val="center"/>
          </w:tcPr>
          <w:p w:rsidR="002C3DFF" w:rsidRPr="00DD099B" w:rsidRDefault="002C3DFF" w:rsidP="00DD099B">
            <w:pPr>
              <w:pStyle w:val="Bezmezer"/>
              <w:jc w:val="left"/>
              <w:rPr>
                <w:rFonts w:cs="Tahoma"/>
                <w:sz w:val="18"/>
                <w:szCs w:val="20"/>
              </w:rPr>
            </w:pPr>
            <w:r w:rsidRPr="00DD099B">
              <w:rPr>
                <w:rFonts w:cs="Tahoma"/>
                <w:sz w:val="18"/>
                <w:szCs w:val="20"/>
              </w:rPr>
              <w:t>22-0</w:t>
            </w:r>
            <w:r w:rsidR="00DB2E06" w:rsidRPr="00DD099B">
              <w:rPr>
                <w:rFonts w:cs="Tahoma"/>
                <w:sz w:val="18"/>
                <w:szCs w:val="20"/>
              </w:rPr>
              <w:t>5</w:t>
            </w:r>
          </w:p>
        </w:tc>
        <w:tc>
          <w:tcPr>
            <w:tcW w:w="927" w:type="dxa"/>
            <w:vMerge/>
            <w:tcBorders>
              <w:bottom w:val="single" w:sz="12" w:space="0" w:color="auto"/>
            </w:tcBorders>
            <w:shd w:val="pct15" w:color="auto" w:fill="auto"/>
            <w:vAlign w:val="center"/>
          </w:tcPr>
          <w:p w:rsidR="002C3DFF" w:rsidRPr="00DD099B" w:rsidRDefault="002C3DFF" w:rsidP="00DD099B">
            <w:pPr>
              <w:pStyle w:val="Bezmezer"/>
              <w:jc w:val="left"/>
              <w:rPr>
                <w:rFonts w:cs="Tahoma"/>
                <w:b/>
                <w:sz w:val="18"/>
                <w:szCs w:val="20"/>
              </w:rPr>
            </w:pPr>
          </w:p>
        </w:tc>
      </w:tr>
      <w:tr w:rsidR="002C3DFF" w:rsidRPr="004912B3" w:rsidTr="00DD099B">
        <w:tc>
          <w:tcPr>
            <w:tcW w:w="3828" w:type="dxa"/>
            <w:tcBorders>
              <w:top w:val="single" w:sz="12" w:space="0" w:color="auto"/>
              <w:right w:val="single" w:sz="12" w:space="0" w:color="auto"/>
            </w:tcBorders>
            <w:shd w:val="pct15" w:color="auto" w:fill="auto"/>
            <w:vAlign w:val="center"/>
          </w:tcPr>
          <w:p w:rsidR="002C3DFF" w:rsidRPr="00DD099B" w:rsidRDefault="002C3DFF" w:rsidP="00DD099B">
            <w:pPr>
              <w:pStyle w:val="Bezmezer"/>
              <w:jc w:val="left"/>
              <w:rPr>
                <w:rFonts w:cs="Tahoma"/>
                <w:sz w:val="18"/>
                <w:szCs w:val="20"/>
              </w:rPr>
            </w:pPr>
            <w:r w:rsidRPr="00DD099B">
              <w:rPr>
                <w:rFonts w:cs="Tahoma"/>
                <w:sz w:val="18"/>
                <w:szCs w:val="20"/>
              </w:rPr>
              <w:t>R Pardubice hl. n. – Liberec (R14)</w:t>
            </w:r>
          </w:p>
        </w:tc>
        <w:tc>
          <w:tcPr>
            <w:tcW w:w="926" w:type="dxa"/>
            <w:tcBorders>
              <w:top w:val="single" w:sz="12" w:space="0" w:color="auto"/>
              <w:left w:val="single" w:sz="12" w:space="0" w:color="auto"/>
            </w:tcBorders>
            <w:vAlign w:val="center"/>
          </w:tcPr>
          <w:p w:rsidR="002C3DFF" w:rsidRPr="00DD099B" w:rsidRDefault="002C3DFF" w:rsidP="00DD099B">
            <w:pPr>
              <w:pStyle w:val="Bezmezer"/>
              <w:jc w:val="left"/>
              <w:rPr>
                <w:rFonts w:cs="Tahoma"/>
                <w:sz w:val="18"/>
                <w:szCs w:val="20"/>
              </w:rPr>
            </w:pPr>
            <w:r w:rsidRPr="00DD099B">
              <w:rPr>
                <w:rFonts w:cs="Tahoma"/>
                <w:sz w:val="18"/>
                <w:szCs w:val="20"/>
              </w:rPr>
              <w:t>1,5</w:t>
            </w:r>
          </w:p>
        </w:tc>
        <w:tc>
          <w:tcPr>
            <w:tcW w:w="926" w:type="dxa"/>
            <w:tcBorders>
              <w:top w:val="single" w:sz="12" w:space="0" w:color="auto"/>
            </w:tcBorders>
            <w:vAlign w:val="center"/>
          </w:tcPr>
          <w:p w:rsidR="002C3DFF" w:rsidRPr="00DD099B" w:rsidRDefault="002C3DFF" w:rsidP="00DD099B">
            <w:pPr>
              <w:pStyle w:val="Bezmezer"/>
              <w:jc w:val="left"/>
              <w:rPr>
                <w:rFonts w:cs="Tahoma"/>
                <w:sz w:val="18"/>
                <w:szCs w:val="20"/>
              </w:rPr>
            </w:pPr>
            <w:r w:rsidRPr="00DD099B">
              <w:rPr>
                <w:rFonts w:cs="Tahoma"/>
                <w:sz w:val="18"/>
                <w:szCs w:val="20"/>
              </w:rPr>
              <w:t>2,5</w:t>
            </w:r>
          </w:p>
        </w:tc>
        <w:tc>
          <w:tcPr>
            <w:tcW w:w="927" w:type="dxa"/>
            <w:tcBorders>
              <w:top w:val="single" w:sz="12" w:space="0" w:color="auto"/>
            </w:tcBorders>
            <w:vAlign w:val="center"/>
          </w:tcPr>
          <w:p w:rsidR="002C3DFF" w:rsidRPr="00DD099B" w:rsidRDefault="00DB2E06" w:rsidP="00DD099B">
            <w:pPr>
              <w:pStyle w:val="Bezmezer"/>
              <w:jc w:val="left"/>
              <w:rPr>
                <w:rFonts w:cs="Tahoma"/>
                <w:sz w:val="18"/>
                <w:szCs w:val="20"/>
              </w:rPr>
            </w:pPr>
            <w:r w:rsidRPr="00DD099B">
              <w:rPr>
                <w:rFonts w:cs="Tahoma"/>
                <w:sz w:val="18"/>
                <w:szCs w:val="20"/>
              </w:rPr>
              <w:t>2</w:t>
            </w:r>
          </w:p>
        </w:tc>
        <w:tc>
          <w:tcPr>
            <w:tcW w:w="926" w:type="dxa"/>
            <w:tcBorders>
              <w:top w:val="single" w:sz="12" w:space="0" w:color="auto"/>
            </w:tcBorders>
            <w:vAlign w:val="center"/>
          </w:tcPr>
          <w:p w:rsidR="002C3DFF" w:rsidRPr="00DD099B" w:rsidRDefault="00DB2E06" w:rsidP="00DD099B">
            <w:pPr>
              <w:pStyle w:val="Bezmezer"/>
              <w:jc w:val="left"/>
              <w:rPr>
                <w:rFonts w:cs="Tahoma"/>
                <w:sz w:val="18"/>
                <w:szCs w:val="20"/>
              </w:rPr>
            </w:pPr>
            <w:r w:rsidRPr="00DD099B">
              <w:rPr>
                <w:rFonts w:cs="Tahoma"/>
                <w:sz w:val="18"/>
                <w:szCs w:val="20"/>
              </w:rPr>
              <w:t>2,5</w:t>
            </w:r>
          </w:p>
        </w:tc>
        <w:tc>
          <w:tcPr>
            <w:tcW w:w="926" w:type="dxa"/>
            <w:tcBorders>
              <w:top w:val="single" w:sz="12" w:space="0" w:color="auto"/>
            </w:tcBorders>
            <w:vAlign w:val="center"/>
          </w:tcPr>
          <w:p w:rsidR="002C3DFF" w:rsidRPr="00DD099B" w:rsidRDefault="00DB2E06" w:rsidP="00DD099B">
            <w:pPr>
              <w:pStyle w:val="Bezmezer"/>
              <w:jc w:val="left"/>
              <w:rPr>
                <w:rFonts w:cs="Tahoma"/>
                <w:sz w:val="18"/>
                <w:szCs w:val="20"/>
              </w:rPr>
            </w:pPr>
            <w:r w:rsidRPr="00DD099B">
              <w:rPr>
                <w:rFonts w:cs="Tahoma"/>
                <w:sz w:val="18"/>
                <w:szCs w:val="20"/>
              </w:rPr>
              <w:t>0,5</w:t>
            </w:r>
          </w:p>
        </w:tc>
        <w:tc>
          <w:tcPr>
            <w:tcW w:w="927" w:type="dxa"/>
            <w:tcBorders>
              <w:top w:val="single" w:sz="12" w:space="0" w:color="auto"/>
            </w:tcBorders>
            <w:vAlign w:val="center"/>
          </w:tcPr>
          <w:p w:rsidR="002C3DFF" w:rsidRPr="00DD099B" w:rsidRDefault="002C3DFF" w:rsidP="00DD099B">
            <w:pPr>
              <w:pStyle w:val="Bezmezer"/>
              <w:jc w:val="left"/>
              <w:rPr>
                <w:rFonts w:cs="Tahoma"/>
                <w:b/>
                <w:sz w:val="18"/>
                <w:szCs w:val="20"/>
              </w:rPr>
            </w:pPr>
            <w:r w:rsidRPr="00DD099B">
              <w:rPr>
                <w:rFonts w:cs="Tahoma"/>
                <w:b/>
                <w:sz w:val="18"/>
                <w:szCs w:val="20"/>
              </w:rPr>
              <w:t>9</w:t>
            </w:r>
          </w:p>
        </w:tc>
      </w:tr>
      <w:tr w:rsidR="002C3DFF" w:rsidRPr="004912B3" w:rsidTr="00DD099B">
        <w:tc>
          <w:tcPr>
            <w:tcW w:w="3828" w:type="dxa"/>
            <w:tcBorders>
              <w:right w:val="single" w:sz="12" w:space="0" w:color="auto"/>
            </w:tcBorders>
            <w:shd w:val="pct15" w:color="auto" w:fill="auto"/>
            <w:vAlign w:val="center"/>
          </w:tcPr>
          <w:p w:rsidR="002C3DFF" w:rsidRPr="00DD099B" w:rsidRDefault="002C3DFF" w:rsidP="00DD099B">
            <w:pPr>
              <w:pStyle w:val="Bezmezer"/>
              <w:jc w:val="left"/>
              <w:rPr>
                <w:rFonts w:cs="Tahoma"/>
                <w:sz w:val="18"/>
                <w:szCs w:val="20"/>
              </w:rPr>
            </w:pPr>
            <w:r w:rsidRPr="00DD099B">
              <w:rPr>
                <w:rFonts w:cs="Tahoma"/>
                <w:sz w:val="18"/>
                <w:szCs w:val="20"/>
              </w:rPr>
              <w:t>Sp Pardubice hl. n. – Trutnov hl. n.</w:t>
            </w:r>
          </w:p>
        </w:tc>
        <w:tc>
          <w:tcPr>
            <w:tcW w:w="926" w:type="dxa"/>
            <w:tcBorders>
              <w:left w:val="single" w:sz="12" w:space="0" w:color="auto"/>
            </w:tcBorders>
            <w:vAlign w:val="center"/>
          </w:tcPr>
          <w:p w:rsidR="002C3DFF" w:rsidRPr="00DD099B" w:rsidRDefault="002C3DFF" w:rsidP="00DD099B">
            <w:pPr>
              <w:pStyle w:val="Bezmezer"/>
              <w:jc w:val="left"/>
              <w:rPr>
                <w:rFonts w:cs="Tahoma"/>
                <w:sz w:val="18"/>
                <w:szCs w:val="20"/>
              </w:rPr>
            </w:pPr>
            <w:r w:rsidRPr="00DD099B">
              <w:rPr>
                <w:rFonts w:cs="Tahoma"/>
                <w:sz w:val="18"/>
                <w:szCs w:val="20"/>
              </w:rPr>
              <w:t>3</w:t>
            </w:r>
          </w:p>
        </w:tc>
        <w:tc>
          <w:tcPr>
            <w:tcW w:w="926" w:type="dxa"/>
            <w:vAlign w:val="center"/>
          </w:tcPr>
          <w:p w:rsidR="002C3DFF" w:rsidRPr="00DD099B" w:rsidRDefault="002C3DFF" w:rsidP="00DD099B">
            <w:pPr>
              <w:pStyle w:val="Bezmezer"/>
              <w:jc w:val="left"/>
              <w:rPr>
                <w:rFonts w:cs="Tahoma"/>
                <w:sz w:val="18"/>
                <w:szCs w:val="20"/>
              </w:rPr>
            </w:pPr>
            <w:r w:rsidRPr="00DD099B">
              <w:rPr>
                <w:rFonts w:cs="Tahoma"/>
                <w:sz w:val="18"/>
                <w:szCs w:val="20"/>
              </w:rPr>
              <w:t>5</w:t>
            </w:r>
          </w:p>
        </w:tc>
        <w:tc>
          <w:tcPr>
            <w:tcW w:w="927" w:type="dxa"/>
            <w:vAlign w:val="center"/>
          </w:tcPr>
          <w:p w:rsidR="002C3DFF" w:rsidRPr="00DD099B" w:rsidRDefault="00DB2E06" w:rsidP="00DD099B">
            <w:pPr>
              <w:pStyle w:val="Bezmezer"/>
              <w:jc w:val="left"/>
              <w:rPr>
                <w:rFonts w:cs="Tahoma"/>
                <w:sz w:val="18"/>
                <w:szCs w:val="20"/>
              </w:rPr>
            </w:pPr>
            <w:r w:rsidRPr="00DD099B">
              <w:rPr>
                <w:rFonts w:cs="Tahoma"/>
                <w:sz w:val="18"/>
                <w:szCs w:val="20"/>
              </w:rPr>
              <w:t>4</w:t>
            </w:r>
          </w:p>
        </w:tc>
        <w:tc>
          <w:tcPr>
            <w:tcW w:w="926" w:type="dxa"/>
            <w:vAlign w:val="center"/>
          </w:tcPr>
          <w:p w:rsidR="002C3DFF" w:rsidRPr="00DD099B" w:rsidRDefault="00DB2E06" w:rsidP="00DD099B">
            <w:pPr>
              <w:pStyle w:val="Bezmezer"/>
              <w:jc w:val="left"/>
              <w:rPr>
                <w:rFonts w:cs="Tahoma"/>
                <w:sz w:val="18"/>
                <w:szCs w:val="20"/>
              </w:rPr>
            </w:pPr>
            <w:r w:rsidRPr="00DD099B">
              <w:rPr>
                <w:rFonts w:cs="Tahoma"/>
                <w:sz w:val="18"/>
                <w:szCs w:val="20"/>
              </w:rPr>
              <w:t>3,5</w:t>
            </w:r>
          </w:p>
        </w:tc>
        <w:tc>
          <w:tcPr>
            <w:tcW w:w="926" w:type="dxa"/>
            <w:vAlign w:val="center"/>
          </w:tcPr>
          <w:p w:rsidR="002C3DFF" w:rsidRPr="00DD099B" w:rsidRDefault="00DB2E06" w:rsidP="00DD099B">
            <w:pPr>
              <w:pStyle w:val="Bezmezer"/>
              <w:jc w:val="left"/>
              <w:rPr>
                <w:rFonts w:cs="Tahoma"/>
                <w:sz w:val="18"/>
                <w:szCs w:val="20"/>
              </w:rPr>
            </w:pPr>
            <w:r w:rsidRPr="00DD099B">
              <w:rPr>
                <w:rFonts w:cs="Tahoma"/>
                <w:sz w:val="18"/>
                <w:szCs w:val="20"/>
              </w:rPr>
              <w:t>0,5</w:t>
            </w:r>
          </w:p>
        </w:tc>
        <w:tc>
          <w:tcPr>
            <w:tcW w:w="927" w:type="dxa"/>
            <w:vAlign w:val="center"/>
          </w:tcPr>
          <w:p w:rsidR="002C3DFF" w:rsidRPr="00DD099B" w:rsidRDefault="002C3DFF" w:rsidP="00DD099B">
            <w:pPr>
              <w:pStyle w:val="Bezmezer"/>
              <w:jc w:val="left"/>
              <w:rPr>
                <w:rFonts w:cs="Tahoma"/>
                <w:b/>
                <w:sz w:val="18"/>
                <w:szCs w:val="20"/>
              </w:rPr>
            </w:pPr>
            <w:r w:rsidRPr="00DD099B">
              <w:rPr>
                <w:rFonts w:cs="Tahoma"/>
                <w:b/>
                <w:sz w:val="18"/>
                <w:szCs w:val="20"/>
              </w:rPr>
              <w:t>1</w:t>
            </w:r>
            <w:r w:rsidR="00DB2E06" w:rsidRPr="00DD099B">
              <w:rPr>
                <w:rFonts w:cs="Tahoma"/>
                <w:b/>
                <w:sz w:val="18"/>
                <w:szCs w:val="20"/>
              </w:rPr>
              <w:t>6</w:t>
            </w:r>
          </w:p>
        </w:tc>
      </w:tr>
      <w:tr w:rsidR="002C3DFF" w:rsidRPr="004912B3" w:rsidTr="00DD099B">
        <w:tc>
          <w:tcPr>
            <w:tcW w:w="3828" w:type="dxa"/>
            <w:tcBorders>
              <w:right w:val="single" w:sz="12" w:space="0" w:color="auto"/>
            </w:tcBorders>
            <w:shd w:val="pct15" w:color="auto" w:fill="auto"/>
            <w:vAlign w:val="center"/>
          </w:tcPr>
          <w:p w:rsidR="002C3DFF" w:rsidRPr="00DD099B" w:rsidRDefault="002C3DFF" w:rsidP="00DD099B">
            <w:pPr>
              <w:pStyle w:val="Bezmezer"/>
              <w:jc w:val="left"/>
              <w:rPr>
                <w:rFonts w:cs="Tahoma"/>
                <w:sz w:val="18"/>
                <w:szCs w:val="20"/>
              </w:rPr>
            </w:pPr>
            <w:r w:rsidRPr="00DD099B">
              <w:rPr>
                <w:rFonts w:cs="Tahoma"/>
                <w:sz w:val="18"/>
                <w:szCs w:val="20"/>
              </w:rPr>
              <w:t>Sp Pardubice hl.n. – Hradec Králové hl.n.</w:t>
            </w:r>
          </w:p>
        </w:tc>
        <w:tc>
          <w:tcPr>
            <w:tcW w:w="926" w:type="dxa"/>
            <w:tcBorders>
              <w:left w:val="single" w:sz="12" w:space="0" w:color="auto"/>
            </w:tcBorders>
            <w:vAlign w:val="center"/>
          </w:tcPr>
          <w:p w:rsidR="002C3DFF" w:rsidRPr="00DD099B" w:rsidRDefault="0004435F" w:rsidP="00DD099B">
            <w:pPr>
              <w:pStyle w:val="Bezmezer"/>
              <w:jc w:val="left"/>
              <w:rPr>
                <w:rFonts w:cs="Tahoma"/>
                <w:sz w:val="18"/>
                <w:szCs w:val="20"/>
              </w:rPr>
            </w:pPr>
            <w:r w:rsidRPr="00DD099B">
              <w:rPr>
                <w:rFonts w:cs="Tahoma"/>
                <w:sz w:val="18"/>
                <w:szCs w:val="20"/>
              </w:rPr>
              <w:t>2</w:t>
            </w:r>
          </w:p>
        </w:tc>
        <w:tc>
          <w:tcPr>
            <w:tcW w:w="926" w:type="dxa"/>
            <w:vAlign w:val="center"/>
          </w:tcPr>
          <w:p w:rsidR="002C3DFF" w:rsidRPr="00DD099B" w:rsidRDefault="002C3DFF" w:rsidP="00DD099B">
            <w:pPr>
              <w:pStyle w:val="Bezmezer"/>
              <w:jc w:val="left"/>
              <w:rPr>
                <w:rFonts w:cs="Tahoma"/>
                <w:sz w:val="18"/>
                <w:szCs w:val="20"/>
              </w:rPr>
            </w:pPr>
            <w:r w:rsidRPr="00DD099B">
              <w:rPr>
                <w:rFonts w:cs="Tahoma"/>
                <w:sz w:val="18"/>
                <w:szCs w:val="20"/>
              </w:rPr>
              <w:t>0</w:t>
            </w:r>
          </w:p>
        </w:tc>
        <w:tc>
          <w:tcPr>
            <w:tcW w:w="927" w:type="dxa"/>
            <w:vAlign w:val="center"/>
          </w:tcPr>
          <w:p w:rsidR="002C3DFF" w:rsidRPr="00DD099B" w:rsidRDefault="0004435F" w:rsidP="00DD099B">
            <w:pPr>
              <w:pStyle w:val="Bezmezer"/>
              <w:jc w:val="left"/>
              <w:rPr>
                <w:rFonts w:cs="Tahoma"/>
                <w:sz w:val="18"/>
                <w:szCs w:val="20"/>
              </w:rPr>
            </w:pPr>
            <w:r w:rsidRPr="00DD099B">
              <w:rPr>
                <w:rFonts w:cs="Tahoma"/>
                <w:sz w:val="18"/>
                <w:szCs w:val="20"/>
              </w:rPr>
              <w:t>3</w:t>
            </w:r>
          </w:p>
        </w:tc>
        <w:tc>
          <w:tcPr>
            <w:tcW w:w="926" w:type="dxa"/>
            <w:vAlign w:val="center"/>
          </w:tcPr>
          <w:p w:rsidR="002C3DFF" w:rsidRPr="00DD099B" w:rsidRDefault="00DB2E06" w:rsidP="00DD099B">
            <w:pPr>
              <w:pStyle w:val="Bezmezer"/>
              <w:jc w:val="left"/>
              <w:rPr>
                <w:rFonts w:cs="Tahoma"/>
                <w:sz w:val="18"/>
                <w:szCs w:val="20"/>
              </w:rPr>
            </w:pPr>
            <w:r w:rsidRPr="00DD099B">
              <w:rPr>
                <w:rFonts w:cs="Tahoma"/>
                <w:sz w:val="18"/>
                <w:szCs w:val="20"/>
              </w:rPr>
              <w:t>0</w:t>
            </w:r>
          </w:p>
        </w:tc>
        <w:tc>
          <w:tcPr>
            <w:tcW w:w="926" w:type="dxa"/>
            <w:vAlign w:val="center"/>
          </w:tcPr>
          <w:p w:rsidR="002C3DFF" w:rsidRPr="00DD099B" w:rsidRDefault="00DB2E06" w:rsidP="00DD099B">
            <w:pPr>
              <w:pStyle w:val="Bezmezer"/>
              <w:jc w:val="left"/>
              <w:rPr>
                <w:rFonts w:cs="Tahoma"/>
                <w:sz w:val="18"/>
                <w:szCs w:val="20"/>
              </w:rPr>
            </w:pPr>
            <w:r w:rsidRPr="00DD099B">
              <w:rPr>
                <w:rFonts w:cs="Tahoma"/>
                <w:sz w:val="18"/>
                <w:szCs w:val="20"/>
              </w:rPr>
              <w:t>0</w:t>
            </w:r>
          </w:p>
        </w:tc>
        <w:tc>
          <w:tcPr>
            <w:tcW w:w="927" w:type="dxa"/>
            <w:vAlign w:val="center"/>
          </w:tcPr>
          <w:p w:rsidR="002C3DFF" w:rsidRPr="00DD099B" w:rsidRDefault="0004435F" w:rsidP="00DD099B">
            <w:pPr>
              <w:pStyle w:val="Bezmezer"/>
              <w:jc w:val="left"/>
              <w:rPr>
                <w:rFonts w:cs="Tahoma"/>
                <w:b/>
                <w:sz w:val="18"/>
                <w:szCs w:val="20"/>
              </w:rPr>
            </w:pPr>
            <w:r w:rsidRPr="00DD099B">
              <w:rPr>
                <w:rFonts w:cs="Tahoma"/>
                <w:b/>
                <w:sz w:val="18"/>
                <w:szCs w:val="20"/>
              </w:rPr>
              <w:t>5</w:t>
            </w:r>
          </w:p>
        </w:tc>
      </w:tr>
      <w:tr w:rsidR="002C3DFF" w:rsidRPr="004912B3" w:rsidTr="00DD099B">
        <w:tc>
          <w:tcPr>
            <w:tcW w:w="3828" w:type="dxa"/>
            <w:tcBorders>
              <w:right w:val="single" w:sz="12" w:space="0" w:color="auto"/>
            </w:tcBorders>
            <w:shd w:val="pct15" w:color="auto" w:fill="auto"/>
            <w:vAlign w:val="center"/>
          </w:tcPr>
          <w:p w:rsidR="002C3DFF" w:rsidRPr="00DD099B" w:rsidRDefault="002C3DFF" w:rsidP="00DD099B">
            <w:pPr>
              <w:pStyle w:val="Bezmezer"/>
              <w:jc w:val="left"/>
              <w:rPr>
                <w:rFonts w:cs="Tahoma"/>
                <w:sz w:val="18"/>
                <w:szCs w:val="20"/>
              </w:rPr>
            </w:pPr>
            <w:r w:rsidRPr="00DD099B">
              <w:rPr>
                <w:rFonts w:cs="Tahoma"/>
                <w:sz w:val="18"/>
                <w:szCs w:val="20"/>
              </w:rPr>
              <w:t>Os Pardubice hl.n. – Hradec Králové hl.n.</w:t>
            </w:r>
          </w:p>
        </w:tc>
        <w:tc>
          <w:tcPr>
            <w:tcW w:w="926" w:type="dxa"/>
            <w:tcBorders>
              <w:left w:val="single" w:sz="12" w:space="0" w:color="auto"/>
            </w:tcBorders>
            <w:vAlign w:val="center"/>
          </w:tcPr>
          <w:p w:rsidR="002C3DFF" w:rsidRPr="00DD099B" w:rsidRDefault="002C3DFF" w:rsidP="00DD099B">
            <w:pPr>
              <w:pStyle w:val="Bezmezer"/>
              <w:jc w:val="left"/>
              <w:rPr>
                <w:rFonts w:cs="Tahoma"/>
                <w:sz w:val="18"/>
                <w:szCs w:val="20"/>
              </w:rPr>
            </w:pPr>
            <w:r w:rsidRPr="00DD099B">
              <w:rPr>
                <w:rFonts w:cs="Tahoma"/>
                <w:sz w:val="18"/>
                <w:szCs w:val="20"/>
              </w:rPr>
              <w:t>3</w:t>
            </w:r>
          </w:p>
        </w:tc>
        <w:tc>
          <w:tcPr>
            <w:tcW w:w="926" w:type="dxa"/>
            <w:vAlign w:val="center"/>
          </w:tcPr>
          <w:p w:rsidR="002C3DFF" w:rsidRPr="00DD099B" w:rsidRDefault="002C3DFF" w:rsidP="00DD099B">
            <w:pPr>
              <w:pStyle w:val="Bezmezer"/>
              <w:jc w:val="left"/>
              <w:rPr>
                <w:rFonts w:cs="Tahoma"/>
                <w:sz w:val="18"/>
                <w:szCs w:val="20"/>
              </w:rPr>
            </w:pPr>
            <w:r w:rsidRPr="00DD099B">
              <w:rPr>
                <w:rFonts w:cs="Tahoma"/>
                <w:sz w:val="18"/>
                <w:szCs w:val="20"/>
              </w:rPr>
              <w:t>5</w:t>
            </w:r>
          </w:p>
        </w:tc>
        <w:tc>
          <w:tcPr>
            <w:tcW w:w="927" w:type="dxa"/>
            <w:vAlign w:val="center"/>
          </w:tcPr>
          <w:p w:rsidR="002C3DFF" w:rsidRPr="00DD099B" w:rsidRDefault="00DB2E06" w:rsidP="00DD099B">
            <w:pPr>
              <w:pStyle w:val="Bezmezer"/>
              <w:jc w:val="left"/>
              <w:rPr>
                <w:rFonts w:cs="Tahoma"/>
                <w:sz w:val="18"/>
                <w:szCs w:val="20"/>
              </w:rPr>
            </w:pPr>
            <w:r w:rsidRPr="00DD099B">
              <w:rPr>
                <w:rFonts w:cs="Tahoma"/>
                <w:sz w:val="18"/>
                <w:szCs w:val="20"/>
              </w:rPr>
              <w:t>4</w:t>
            </w:r>
          </w:p>
        </w:tc>
        <w:tc>
          <w:tcPr>
            <w:tcW w:w="926" w:type="dxa"/>
            <w:vAlign w:val="center"/>
          </w:tcPr>
          <w:p w:rsidR="002C3DFF" w:rsidRPr="00DD099B" w:rsidRDefault="00DB2E06" w:rsidP="00DD099B">
            <w:pPr>
              <w:pStyle w:val="Bezmezer"/>
              <w:jc w:val="left"/>
              <w:rPr>
                <w:rFonts w:cs="Tahoma"/>
                <w:sz w:val="18"/>
                <w:szCs w:val="20"/>
              </w:rPr>
            </w:pPr>
            <w:r w:rsidRPr="00DD099B">
              <w:rPr>
                <w:rFonts w:cs="Tahoma"/>
                <w:sz w:val="18"/>
                <w:szCs w:val="20"/>
              </w:rPr>
              <w:t>5</w:t>
            </w:r>
          </w:p>
        </w:tc>
        <w:tc>
          <w:tcPr>
            <w:tcW w:w="926" w:type="dxa"/>
            <w:vAlign w:val="center"/>
          </w:tcPr>
          <w:p w:rsidR="002C3DFF" w:rsidRPr="00DD099B" w:rsidRDefault="00DB2E06" w:rsidP="00DD099B">
            <w:pPr>
              <w:pStyle w:val="Bezmezer"/>
              <w:jc w:val="left"/>
              <w:rPr>
                <w:rFonts w:cs="Tahoma"/>
                <w:sz w:val="18"/>
                <w:szCs w:val="20"/>
              </w:rPr>
            </w:pPr>
            <w:r w:rsidRPr="00DD099B">
              <w:rPr>
                <w:rFonts w:cs="Tahoma"/>
                <w:sz w:val="18"/>
                <w:szCs w:val="20"/>
              </w:rPr>
              <w:t>2</w:t>
            </w:r>
          </w:p>
        </w:tc>
        <w:tc>
          <w:tcPr>
            <w:tcW w:w="927" w:type="dxa"/>
            <w:vAlign w:val="center"/>
          </w:tcPr>
          <w:p w:rsidR="002C3DFF" w:rsidRPr="00DD099B" w:rsidRDefault="00DB2E06" w:rsidP="00DD099B">
            <w:pPr>
              <w:pStyle w:val="Bezmezer"/>
              <w:jc w:val="left"/>
              <w:rPr>
                <w:rFonts w:cs="Tahoma"/>
                <w:b/>
                <w:sz w:val="18"/>
                <w:szCs w:val="20"/>
              </w:rPr>
            </w:pPr>
            <w:r w:rsidRPr="00DD099B">
              <w:rPr>
                <w:rFonts w:cs="Tahoma"/>
                <w:b/>
                <w:sz w:val="18"/>
                <w:szCs w:val="20"/>
              </w:rPr>
              <w:t>19</w:t>
            </w:r>
          </w:p>
        </w:tc>
      </w:tr>
      <w:tr w:rsidR="002C3DFF" w:rsidRPr="004912B3" w:rsidTr="00DD099B">
        <w:tc>
          <w:tcPr>
            <w:tcW w:w="3828" w:type="dxa"/>
            <w:tcBorders>
              <w:right w:val="single" w:sz="12" w:space="0" w:color="auto"/>
            </w:tcBorders>
            <w:shd w:val="pct15" w:color="auto" w:fill="auto"/>
            <w:vAlign w:val="center"/>
          </w:tcPr>
          <w:p w:rsidR="002C3DFF" w:rsidRPr="00DD099B" w:rsidRDefault="002C3DFF" w:rsidP="00DD099B">
            <w:pPr>
              <w:pStyle w:val="Bezmezer"/>
              <w:jc w:val="left"/>
              <w:rPr>
                <w:rFonts w:cs="Tahoma"/>
                <w:b/>
                <w:sz w:val="18"/>
                <w:szCs w:val="20"/>
              </w:rPr>
            </w:pPr>
            <w:r w:rsidRPr="00DD099B">
              <w:rPr>
                <w:rFonts w:cs="Tahoma"/>
                <w:b/>
                <w:sz w:val="18"/>
                <w:szCs w:val="20"/>
              </w:rPr>
              <w:t>celkem</w:t>
            </w:r>
          </w:p>
        </w:tc>
        <w:tc>
          <w:tcPr>
            <w:tcW w:w="926" w:type="dxa"/>
            <w:tcBorders>
              <w:left w:val="single" w:sz="12" w:space="0" w:color="auto"/>
            </w:tcBorders>
            <w:vAlign w:val="center"/>
          </w:tcPr>
          <w:p w:rsidR="002C3DFF" w:rsidRPr="00DD099B" w:rsidRDefault="0004435F" w:rsidP="00DD099B">
            <w:pPr>
              <w:pStyle w:val="Bezmezer"/>
              <w:jc w:val="left"/>
              <w:rPr>
                <w:rFonts w:cs="Tahoma"/>
                <w:b/>
                <w:sz w:val="18"/>
                <w:szCs w:val="20"/>
              </w:rPr>
            </w:pPr>
            <w:r w:rsidRPr="00DD099B">
              <w:rPr>
                <w:rFonts w:cs="Tahoma"/>
                <w:b/>
                <w:sz w:val="18"/>
                <w:szCs w:val="20"/>
              </w:rPr>
              <w:t>9</w:t>
            </w:r>
            <w:r w:rsidR="002C3DFF" w:rsidRPr="00DD099B">
              <w:rPr>
                <w:rFonts w:cs="Tahoma"/>
                <w:b/>
                <w:sz w:val="18"/>
                <w:szCs w:val="20"/>
              </w:rPr>
              <w:t>,5</w:t>
            </w:r>
          </w:p>
        </w:tc>
        <w:tc>
          <w:tcPr>
            <w:tcW w:w="926" w:type="dxa"/>
            <w:vAlign w:val="center"/>
          </w:tcPr>
          <w:p w:rsidR="002C3DFF" w:rsidRPr="00DD099B" w:rsidRDefault="002C3DFF" w:rsidP="00DD099B">
            <w:pPr>
              <w:pStyle w:val="Bezmezer"/>
              <w:jc w:val="left"/>
              <w:rPr>
                <w:rFonts w:cs="Tahoma"/>
                <w:b/>
                <w:sz w:val="18"/>
                <w:szCs w:val="20"/>
              </w:rPr>
            </w:pPr>
            <w:r w:rsidRPr="00DD099B">
              <w:rPr>
                <w:rFonts w:cs="Tahoma"/>
                <w:b/>
                <w:sz w:val="18"/>
                <w:szCs w:val="20"/>
              </w:rPr>
              <w:t>12,5</w:t>
            </w:r>
          </w:p>
        </w:tc>
        <w:tc>
          <w:tcPr>
            <w:tcW w:w="927" w:type="dxa"/>
            <w:vAlign w:val="center"/>
          </w:tcPr>
          <w:p w:rsidR="002C3DFF" w:rsidRPr="00DD099B" w:rsidRDefault="0004435F" w:rsidP="00DD099B">
            <w:pPr>
              <w:pStyle w:val="Bezmezer"/>
              <w:jc w:val="left"/>
              <w:rPr>
                <w:rFonts w:cs="Tahoma"/>
                <w:b/>
                <w:sz w:val="18"/>
                <w:szCs w:val="20"/>
              </w:rPr>
            </w:pPr>
            <w:r w:rsidRPr="00DD099B">
              <w:rPr>
                <w:rFonts w:cs="Tahoma"/>
                <w:b/>
                <w:sz w:val="18"/>
                <w:szCs w:val="20"/>
              </w:rPr>
              <w:t>13</w:t>
            </w:r>
          </w:p>
        </w:tc>
        <w:tc>
          <w:tcPr>
            <w:tcW w:w="926" w:type="dxa"/>
            <w:vAlign w:val="center"/>
          </w:tcPr>
          <w:p w:rsidR="002C3DFF" w:rsidRPr="00DD099B" w:rsidRDefault="00DB2E06" w:rsidP="00DD099B">
            <w:pPr>
              <w:pStyle w:val="Bezmezer"/>
              <w:jc w:val="left"/>
              <w:rPr>
                <w:rFonts w:cs="Tahoma"/>
                <w:b/>
                <w:sz w:val="18"/>
                <w:szCs w:val="20"/>
              </w:rPr>
            </w:pPr>
            <w:r w:rsidRPr="00DD099B">
              <w:rPr>
                <w:rFonts w:cs="Tahoma"/>
                <w:b/>
                <w:sz w:val="18"/>
                <w:szCs w:val="20"/>
              </w:rPr>
              <w:t>11</w:t>
            </w:r>
          </w:p>
        </w:tc>
        <w:tc>
          <w:tcPr>
            <w:tcW w:w="926" w:type="dxa"/>
            <w:vAlign w:val="center"/>
          </w:tcPr>
          <w:p w:rsidR="002C3DFF" w:rsidRPr="00DD099B" w:rsidRDefault="00DB2E06" w:rsidP="00DD099B">
            <w:pPr>
              <w:pStyle w:val="Bezmezer"/>
              <w:jc w:val="left"/>
              <w:rPr>
                <w:rFonts w:cs="Tahoma"/>
                <w:b/>
                <w:sz w:val="18"/>
                <w:szCs w:val="20"/>
              </w:rPr>
            </w:pPr>
            <w:r w:rsidRPr="00DD099B">
              <w:rPr>
                <w:rFonts w:cs="Tahoma"/>
                <w:b/>
                <w:sz w:val="18"/>
                <w:szCs w:val="20"/>
              </w:rPr>
              <w:t>3</w:t>
            </w:r>
          </w:p>
        </w:tc>
        <w:tc>
          <w:tcPr>
            <w:tcW w:w="927" w:type="dxa"/>
            <w:vAlign w:val="center"/>
          </w:tcPr>
          <w:p w:rsidR="006819BA" w:rsidRPr="00DD099B" w:rsidRDefault="0004435F" w:rsidP="00DD099B">
            <w:pPr>
              <w:pStyle w:val="Bezmezer"/>
              <w:jc w:val="left"/>
              <w:rPr>
                <w:rFonts w:cs="Tahoma"/>
                <w:b/>
                <w:bCs/>
                <w:kern w:val="28"/>
                <w:sz w:val="18"/>
                <w:szCs w:val="20"/>
              </w:rPr>
            </w:pPr>
            <w:r w:rsidRPr="00DD099B">
              <w:rPr>
                <w:rFonts w:cs="Tahoma"/>
                <w:b/>
                <w:sz w:val="18"/>
                <w:szCs w:val="20"/>
              </w:rPr>
              <w:t>49</w:t>
            </w:r>
          </w:p>
        </w:tc>
      </w:tr>
    </w:tbl>
    <w:p w:rsidR="002C3DFF" w:rsidRDefault="00F71F32" w:rsidP="004912B3">
      <w:r w:rsidRPr="008B2A57">
        <w:t xml:space="preserve">Výhledový rozsah dopravy pro </w:t>
      </w:r>
      <w:r w:rsidR="008B2A57" w:rsidRPr="00F5279A">
        <w:t>Etap</w:t>
      </w:r>
      <w:r w:rsidR="002E09A3">
        <w:t>u</w:t>
      </w:r>
      <w:r w:rsidR="008B2A57" w:rsidRPr="00F5279A">
        <w:t xml:space="preserve"> </w:t>
      </w:r>
      <w:r w:rsidRPr="008B2A57">
        <w:t>je oproti maximální variant</w:t>
      </w:r>
      <w:r w:rsidRPr="008B2A57">
        <w:rPr>
          <w:rFonts w:hint="eastAsia"/>
        </w:rPr>
        <w:t>ě</w:t>
      </w:r>
      <w:r w:rsidRPr="008B2A57">
        <w:t xml:space="preserve"> p</w:t>
      </w:r>
      <w:r w:rsidRPr="008B2A57">
        <w:rPr>
          <w:rFonts w:hint="eastAsia"/>
        </w:rPr>
        <w:t>ř</w:t>
      </w:r>
      <w:r w:rsidRPr="008B2A57">
        <w:t>im</w:t>
      </w:r>
      <w:r w:rsidRPr="008B2A57">
        <w:rPr>
          <w:rFonts w:hint="eastAsia"/>
        </w:rPr>
        <w:t>ěř</w:t>
      </w:r>
      <w:r w:rsidRPr="008B2A57">
        <w:t>en</w:t>
      </w:r>
      <w:r w:rsidRPr="008B2A57">
        <w:rPr>
          <w:rFonts w:hint="eastAsia"/>
        </w:rPr>
        <w:t>ě</w:t>
      </w:r>
      <w:r w:rsidRPr="008B2A57">
        <w:t xml:space="preserve"> snížen, aby vyhovoval z hlediska napln</w:t>
      </w:r>
      <w:r w:rsidRPr="008B2A57">
        <w:rPr>
          <w:rFonts w:hint="eastAsia"/>
        </w:rPr>
        <w:t>ě</w:t>
      </w:r>
      <w:r w:rsidRPr="008B2A57">
        <w:t>ní ukazatel</w:t>
      </w:r>
      <w:r w:rsidRPr="008B2A57">
        <w:rPr>
          <w:rFonts w:hint="eastAsia"/>
        </w:rPr>
        <w:t>ů</w:t>
      </w:r>
      <w:r w:rsidRPr="008B2A57">
        <w:t xml:space="preserve"> propustnosti. </w:t>
      </w:r>
      <w:r w:rsidR="00DB2E06" w:rsidRPr="008B2A57">
        <w:t xml:space="preserve">(viz kapitola </w:t>
      </w:r>
      <w:r w:rsidR="00AC5CDF" w:rsidRPr="00FD70B4">
        <w:fldChar w:fldCharType="begin"/>
      </w:r>
      <w:r w:rsidR="00FD5DF3" w:rsidRPr="008B2A57">
        <w:instrText xml:space="preserve"> REF _Ref332115800 \r \h </w:instrText>
      </w:r>
      <w:r w:rsidR="00A92DA7" w:rsidRPr="00F5279A">
        <w:instrText xml:space="preserve"> \* MERGEFORMAT </w:instrText>
      </w:r>
      <w:r w:rsidR="00AC5CDF" w:rsidRPr="00FD70B4">
        <w:fldChar w:fldCharType="separate"/>
      </w:r>
      <w:r w:rsidR="003843F3">
        <w:t>4.3.2</w:t>
      </w:r>
      <w:r w:rsidR="00AC5CDF" w:rsidRPr="00FD70B4">
        <w:fldChar w:fldCharType="end"/>
      </w:r>
      <w:r w:rsidR="00DB2E06" w:rsidRPr="007814AC">
        <w:t>)</w:t>
      </w:r>
      <w:r w:rsidR="00F0419C" w:rsidRPr="008B2A57">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926"/>
        <w:gridCol w:w="926"/>
        <w:gridCol w:w="927"/>
        <w:gridCol w:w="926"/>
        <w:gridCol w:w="926"/>
        <w:gridCol w:w="927"/>
      </w:tblGrid>
      <w:tr w:rsidR="004912B3" w:rsidRPr="004912B3" w:rsidTr="00DD099B">
        <w:tc>
          <w:tcPr>
            <w:tcW w:w="9386" w:type="dxa"/>
            <w:gridSpan w:val="7"/>
          </w:tcPr>
          <w:p w:rsidR="004912B3" w:rsidRPr="004912B3" w:rsidRDefault="004912B3" w:rsidP="00C65DA3">
            <w:pPr>
              <w:pStyle w:val="Titulek"/>
            </w:pPr>
            <w:bookmarkStart w:id="127" w:name="_Toc390958755"/>
            <w:bookmarkStart w:id="128" w:name="_Toc391034559"/>
            <w:r w:rsidRPr="004912B3">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4</w:t>
            </w:r>
            <w:r w:rsidR="000E79AE">
              <w:fldChar w:fldCharType="end"/>
            </w:r>
            <w:r w:rsidRPr="004912B3">
              <w:t>: Výhledový počet párů vlaků osobní dopravy</w:t>
            </w:r>
            <w:r w:rsidR="00553415">
              <w:t xml:space="preserve"> – projektov</w:t>
            </w:r>
            <w:r w:rsidR="002C3DFF">
              <w:t>á</w:t>
            </w:r>
            <w:r w:rsidR="00553415">
              <w:t xml:space="preserve"> variant</w:t>
            </w:r>
            <w:r w:rsidR="002C3DFF">
              <w:t>a</w:t>
            </w:r>
            <w:r w:rsidR="00553415">
              <w:t xml:space="preserve"> </w:t>
            </w:r>
            <w:r w:rsidR="002C3DFF">
              <w:t>Maximální</w:t>
            </w:r>
            <w:bookmarkEnd w:id="127"/>
            <w:bookmarkEnd w:id="128"/>
          </w:p>
        </w:tc>
      </w:tr>
      <w:tr w:rsidR="004912B3" w:rsidRPr="004912B3" w:rsidTr="00DD099B">
        <w:tc>
          <w:tcPr>
            <w:tcW w:w="3828" w:type="dxa"/>
            <w:vMerge w:val="restart"/>
            <w:tcBorders>
              <w:right w:val="single" w:sz="12" w:space="0" w:color="auto"/>
            </w:tcBorders>
            <w:shd w:val="pct15" w:color="auto" w:fill="auto"/>
            <w:vAlign w:val="bottom"/>
          </w:tcPr>
          <w:p w:rsidR="004912B3" w:rsidRPr="00DD099B" w:rsidRDefault="004912B3" w:rsidP="004912B3">
            <w:pPr>
              <w:pStyle w:val="Bezmezer"/>
              <w:rPr>
                <w:rFonts w:cs="Tahoma"/>
                <w:sz w:val="18"/>
                <w:szCs w:val="20"/>
              </w:rPr>
            </w:pPr>
            <w:r w:rsidRPr="00DD099B">
              <w:rPr>
                <w:rFonts w:cs="Tahoma"/>
                <w:sz w:val="18"/>
                <w:szCs w:val="20"/>
              </w:rPr>
              <w:t>druh, relace</w:t>
            </w:r>
          </w:p>
        </w:tc>
        <w:tc>
          <w:tcPr>
            <w:tcW w:w="926" w:type="dxa"/>
            <w:tcBorders>
              <w:left w:val="single" w:sz="12" w:space="0" w:color="auto"/>
            </w:tcBorders>
            <w:shd w:val="pct15" w:color="auto" w:fill="auto"/>
          </w:tcPr>
          <w:p w:rsidR="004912B3" w:rsidRPr="00DD099B" w:rsidRDefault="004912B3" w:rsidP="004912B3">
            <w:pPr>
              <w:pStyle w:val="Bezmezer"/>
              <w:rPr>
                <w:rFonts w:cs="Tahoma"/>
                <w:sz w:val="18"/>
                <w:szCs w:val="20"/>
              </w:rPr>
            </w:pPr>
            <w:r w:rsidRPr="00DD099B">
              <w:rPr>
                <w:rFonts w:cs="Tahoma"/>
                <w:sz w:val="18"/>
                <w:szCs w:val="20"/>
              </w:rPr>
              <w:t>ranní špička</w:t>
            </w:r>
          </w:p>
        </w:tc>
        <w:tc>
          <w:tcPr>
            <w:tcW w:w="926" w:type="dxa"/>
            <w:shd w:val="pct15" w:color="auto" w:fill="auto"/>
          </w:tcPr>
          <w:p w:rsidR="004912B3" w:rsidRPr="00DD099B" w:rsidRDefault="004912B3" w:rsidP="004912B3">
            <w:pPr>
              <w:pStyle w:val="Bezmezer"/>
              <w:rPr>
                <w:rFonts w:cs="Tahoma"/>
                <w:sz w:val="18"/>
                <w:szCs w:val="20"/>
              </w:rPr>
            </w:pPr>
            <w:r w:rsidRPr="00DD099B">
              <w:rPr>
                <w:rFonts w:cs="Tahoma"/>
                <w:sz w:val="18"/>
                <w:szCs w:val="20"/>
              </w:rPr>
              <w:t>dopol. sedlo</w:t>
            </w:r>
          </w:p>
        </w:tc>
        <w:tc>
          <w:tcPr>
            <w:tcW w:w="927" w:type="dxa"/>
            <w:shd w:val="pct15" w:color="auto" w:fill="auto"/>
          </w:tcPr>
          <w:p w:rsidR="004912B3" w:rsidRPr="00DD099B" w:rsidRDefault="004912B3" w:rsidP="004912B3">
            <w:pPr>
              <w:pStyle w:val="Bezmezer"/>
              <w:rPr>
                <w:rFonts w:cs="Tahoma"/>
                <w:sz w:val="18"/>
                <w:szCs w:val="20"/>
              </w:rPr>
            </w:pPr>
            <w:r w:rsidRPr="00DD099B">
              <w:rPr>
                <w:rFonts w:cs="Tahoma"/>
                <w:sz w:val="18"/>
                <w:szCs w:val="20"/>
              </w:rPr>
              <w:t>odpol. špička</w:t>
            </w:r>
          </w:p>
        </w:tc>
        <w:tc>
          <w:tcPr>
            <w:tcW w:w="926" w:type="dxa"/>
            <w:shd w:val="pct15" w:color="auto" w:fill="auto"/>
          </w:tcPr>
          <w:p w:rsidR="004912B3" w:rsidRPr="00DD099B" w:rsidRDefault="004912B3" w:rsidP="004912B3">
            <w:pPr>
              <w:pStyle w:val="Bezmezer"/>
              <w:rPr>
                <w:rFonts w:cs="Tahoma"/>
                <w:sz w:val="18"/>
                <w:szCs w:val="20"/>
              </w:rPr>
            </w:pPr>
            <w:r w:rsidRPr="00DD099B">
              <w:rPr>
                <w:rFonts w:cs="Tahoma"/>
                <w:sz w:val="18"/>
                <w:szCs w:val="20"/>
              </w:rPr>
              <w:t>večerní sedlo</w:t>
            </w:r>
          </w:p>
        </w:tc>
        <w:tc>
          <w:tcPr>
            <w:tcW w:w="926" w:type="dxa"/>
            <w:shd w:val="pct15" w:color="auto" w:fill="auto"/>
          </w:tcPr>
          <w:p w:rsidR="004912B3" w:rsidRPr="00DD099B" w:rsidRDefault="004912B3" w:rsidP="004912B3">
            <w:pPr>
              <w:pStyle w:val="Bezmezer"/>
              <w:rPr>
                <w:rFonts w:cs="Tahoma"/>
                <w:sz w:val="18"/>
                <w:szCs w:val="20"/>
              </w:rPr>
            </w:pPr>
            <w:r w:rsidRPr="00DD099B">
              <w:rPr>
                <w:rFonts w:cs="Tahoma"/>
                <w:sz w:val="18"/>
                <w:szCs w:val="20"/>
              </w:rPr>
              <w:t>noční doba</w:t>
            </w:r>
          </w:p>
        </w:tc>
        <w:tc>
          <w:tcPr>
            <w:tcW w:w="927" w:type="dxa"/>
            <w:vMerge w:val="restart"/>
            <w:shd w:val="pct15" w:color="auto" w:fill="auto"/>
            <w:vAlign w:val="bottom"/>
          </w:tcPr>
          <w:p w:rsidR="004912B3" w:rsidRPr="00DD099B" w:rsidRDefault="004912B3" w:rsidP="004912B3">
            <w:pPr>
              <w:pStyle w:val="Bezmezer"/>
              <w:rPr>
                <w:rFonts w:cs="Tahoma"/>
                <w:b/>
                <w:sz w:val="18"/>
                <w:szCs w:val="20"/>
              </w:rPr>
            </w:pPr>
            <w:r w:rsidRPr="00DD099B">
              <w:rPr>
                <w:rFonts w:cs="Tahoma"/>
                <w:b/>
                <w:sz w:val="18"/>
                <w:szCs w:val="20"/>
              </w:rPr>
              <w:t>celkem</w:t>
            </w:r>
          </w:p>
        </w:tc>
      </w:tr>
      <w:tr w:rsidR="004912B3" w:rsidRPr="004912B3" w:rsidTr="00DD099B">
        <w:tc>
          <w:tcPr>
            <w:tcW w:w="3828" w:type="dxa"/>
            <w:vMerge/>
            <w:tcBorders>
              <w:bottom w:val="single" w:sz="12" w:space="0" w:color="auto"/>
              <w:right w:val="single" w:sz="12" w:space="0" w:color="auto"/>
            </w:tcBorders>
            <w:shd w:val="pct15" w:color="auto" w:fill="auto"/>
          </w:tcPr>
          <w:p w:rsidR="004912B3" w:rsidRPr="00DD099B" w:rsidRDefault="004912B3" w:rsidP="004912B3">
            <w:pPr>
              <w:pStyle w:val="Bezmezer"/>
              <w:rPr>
                <w:rFonts w:cs="Tahoma"/>
                <w:sz w:val="18"/>
                <w:szCs w:val="20"/>
              </w:rPr>
            </w:pPr>
          </w:p>
        </w:tc>
        <w:tc>
          <w:tcPr>
            <w:tcW w:w="926" w:type="dxa"/>
            <w:tcBorders>
              <w:left w:val="single" w:sz="12" w:space="0" w:color="auto"/>
              <w:bottom w:val="single" w:sz="12" w:space="0" w:color="auto"/>
            </w:tcBorders>
            <w:shd w:val="pct15" w:color="auto" w:fill="auto"/>
          </w:tcPr>
          <w:p w:rsidR="004912B3" w:rsidRPr="00DD099B" w:rsidRDefault="004912B3" w:rsidP="00DB2E06">
            <w:pPr>
              <w:pStyle w:val="Bezmezer"/>
              <w:rPr>
                <w:rFonts w:cs="Tahoma"/>
                <w:sz w:val="18"/>
                <w:szCs w:val="20"/>
              </w:rPr>
            </w:pPr>
            <w:r w:rsidRPr="00DD099B">
              <w:rPr>
                <w:rFonts w:cs="Tahoma"/>
                <w:sz w:val="18"/>
                <w:szCs w:val="20"/>
              </w:rPr>
              <w:t>0</w:t>
            </w:r>
            <w:r w:rsidR="00DB2E06" w:rsidRPr="00DD099B">
              <w:rPr>
                <w:rFonts w:cs="Tahoma"/>
                <w:sz w:val="18"/>
                <w:szCs w:val="20"/>
              </w:rPr>
              <w:t>5</w:t>
            </w:r>
            <w:r w:rsidRPr="00DD099B">
              <w:rPr>
                <w:rFonts w:cs="Tahoma"/>
                <w:sz w:val="18"/>
                <w:szCs w:val="20"/>
              </w:rPr>
              <w:t>-0</w:t>
            </w:r>
            <w:r w:rsidR="00DB2E06" w:rsidRPr="00DD099B">
              <w:rPr>
                <w:rFonts w:cs="Tahoma"/>
                <w:sz w:val="18"/>
                <w:szCs w:val="20"/>
              </w:rPr>
              <w:t>8</w:t>
            </w:r>
          </w:p>
        </w:tc>
        <w:tc>
          <w:tcPr>
            <w:tcW w:w="926" w:type="dxa"/>
            <w:tcBorders>
              <w:bottom w:val="single" w:sz="12" w:space="0" w:color="auto"/>
            </w:tcBorders>
            <w:shd w:val="pct15" w:color="auto" w:fill="auto"/>
          </w:tcPr>
          <w:p w:rsidR="004912B3" w:rsidRPr="00DD099B" w:rsidRDefault="004912B3" w:rsidP="00DB2E06">
            <w:pPr>
              <w:pStyle w:val="Bezmezer"/>
              <w:rPr>
                <w:rFonts w:cs="Tahoma"/>
                <w:sz w:val="18"/>
                <w:szCs w:val="20"/>
              </w:rPr>
            </w:pPr>
            <w:r w:rsidRPr="00DD099B">
              <w:rPr>
                <w:rFonts w:cs="Tahoma"/>
                <w:sz w:val="18"/>
                <w:szCs w:val="20"/>
              </w:rPr>
              <w:t>0</w:t>
            </w:r>
            <w:r w:rsidR="00DB2E06" w:rsidRPr="00DD099B">
              <w:rPr>
                <w:rFonts w:cs="Tahoma"/>
                <w:sz w:val="18"/>
                <w:szCs w:val="20"/>
              </w:rPr>
              <w:t>8</w:t>
            </w:r>
            <w:r w:rsidRPr="00DD099B">
              <w:rPr>
                <w:rFonts w:cs="Tahoma"/>
                <w:sz w:val="18"/>
                <w:szCs w:val="20"/>
              </w:rPr>
              <w:t>-13</w:t>
            </w:r>
          </w:p>
        </w:tc>
        <w:tc>
          <w:tcPr>
            <w:tcW w:w="927" w:type="dxa"/>
            <w:tcBorders>
              <w:bottom w:val="single" w:sz="12" w:space="0" w:color="auto"/>
            </w:tcBorders>
            <w:shd w:val="pct15" w:color="auto" w:fill="auto"/>
          </w:tcPr>
          <w:p w:rsidR="004912B3" w:rsidRPr="00DD099B" w:rsidRDefault="004912B3" w:rsidP="004912B3">
            <w:pPr>
              <w:pStyle w:val="Bezmezer"/>
              <w:rPr>
                <w:rFonts w:cs="Tahoma"/>
                <w:sz w:val="18"/>
                <w:szCs w:val="20"/>
              </w:rPr>
            </w:pPr>
            <w:r w:rsidRPr="00DD099B">
              <w:rPr>
                <w:rFonts w:cs="Tahoma"/>
                <w:sz w:val="18"/>
                <w:szCs w:val="20"/>
              </w:rPr>
              <w:t>13-19</w:t>
            </w:r>
          </w:p>
        </w:tc>
        <w:tc>
          <w:tcPr>
            <w:tcW w:w="926" w:type="dxa"/>
            <w:tcBorders>
              <w:bottom w:val="single" w:sz="12" w:space="0" w:color="auto"/>
            </w:tcBorders>
            <w:shd w:val="pct15" w:color="auto" w:fill="auto"/>
          </w:tcPr>
          <w:p w:rsidR="004912B3" w:rsidRPr="00DD099B" w:rsidRDefault="004912B3" w:rsidP="004912B3">
            <w:pPr>
              <w:pStyle w:val="Bezmezer"/>
              <w:rPr>
                <w:rFonts w:cs="Tahoma"/>
                <w:sz w:val="18"/>
                <w:szCs w:val="20"/>
              </w:rPr>
            </w:pPr>
            <w:r w:rsidRPr="00DD099B">
              <w:rPr>
                <w:rFonts w:cs="Tahoma"/>
                <w:sz w:val="18"/>
                <w:szCs w:val="20"/>
              </w:rPr>
              <w:t>19-22</w:t>
            </w:r>
          </w:p>
        </w:tc>
        <w:tc>
          <w:tcPr>
            <w:tcW w:w="926" w:type="dxa"/>
            <w:tcBorders>
              <w:bottom w:val="single" w:sz="12" w:space="0" w:color="auto"/>
            </w:tcBorders>
            <w:shd w:val="pct15" w:color="auto" w:fill="auto"/>
          </w:tcPr>
          <w:p w:rsidR="004912B3" w:rsidRPr="00DD099B" w:rsidRDefault="004912B3" w:rsidP="00DB2E06">
            <w:pPr>
              <w:pStyle w:val="Bezmezer"/>
              <w:rPr>
                <w:rFonts w:cs="Tahoma"/>
                <w:sz w:val="18"/>
                <w:szCs w:val="20"/>
              </w:rPr>
            </w:pPr>
            <w:r w:rsidRPr="00DD099B">
              <w:rPr>
                <w:rFonts w:cs="Tahoma"/>
                <w:sz w:val="18"/>
                <w:szCs w:val="20"/>
              </w:rPr>
              <w:t>22-0</w:t>
            </w:r>
            <w:r w:rsidR="00DB2E06" w:rsidRPr="00DD099B">
              <w:rPr>
                <w:rFonts w:cs="Tahoma"/>
                <w:sz w:val="18"/>
                <w:szCs w:val="20"/>
              </w:rPr>
              <w:t>5</w:t>
            </w:r>
          </w:p>
        </w:tc>
        <w:tc>
          <w:tcPr>
            <w:tcW w:w="927" w:type="dxa"/>
            <w:vMerge/>
            <w:tcBorders>
              <w:bottom w:val="single" w:sz="12" w:space="0" w:color="auto"/>
            </w:tcBorders>
            <w:shd w:val="pct15" w:color="auto" w:fill="auto"/>
          </w:tcPr>
          <w:p w:rsidR="004912B3" w:rsidRPr="00DD099B" w:rsidRDefault="004912B3" w:rsidP="004912B3">
            <w:pPr>
              <w:pStyle w:val="Bezmezer"/>
              <w:rPr>
                <w:rFonts w:cs="Tahoma"/>
                <w:b/>
                <w:sz w:val="18"/>
                <w:szCs w:val="20"/>
              </w:rPr>
            </w:pPr>
          </w:p>
        </w:tc>
      </w:tr>
      <w:tr w:rsidR="004912B3" w:rsidRPr="004912B3" w:rsidTr="00DD099B">
        <w:tc>
          <w:tcPr>
            <w:tcW w:w="3828" w:type="dxa"/>
            <w:tcBorders>
              <w:top w:val="single" w:sz="12" w:space="0" w:color="auto"/>
              <w:right w:val="single" w:sz="12" w:space="0" w:color="auto"/>
            </w:tcBorders>
            <w:shd w:val="pct15" w:color="auto" w:fill="auto"/>
          </w:tcPr>
          <w:p w:rsidR="004912B3" w:rsidRPr="00DD099B" w:rsidRDefault="004912B3" w:rsidP="004912B3">
            <w:pPr>
              <w:pStyle w:val="Bezmezer"/>
              <w:rPr>
                <w:rFonts w:cs="Tahoma"/>
                <w:sz w:val="18"/>
                <w:szCs w:val="20"/>
              </w:rPr>
            </w:pPr>
            <w:r w:rsidRPr="00DD099B">
              <w:rPr>
                <w:rFonts w:cs="Tahoma"/>
                <w:sz w:val="18"/>
                <w:szCs w:val="20"/>
              </w:rPr>
              <w:t>R Pardubice hl. n. – Liberec (R14)</w:t>
            </w:r>
          </w:p>
        </w:tc>
        <w:tc>
          <w:tcPr>
            <w:tcW w:w="926" w:type="dxa"/>
            <w:tcBorders>
              <w:top w:val="single" w:sz="12" w:space="0" w:color="auto"/>
              <w:left w:val="single" w:sz="12" w:space="0" w:color="auto"/>
            </w:tcBorders>
          </w:tcPr>
          <w:p w:rsidR="004912B3" w:rsidRPr="00DD099B" w:rsidRDefault="004912B3" w:rsidP="004912B3">
            <w:pPr>
              <w:pStyle w:val="Bezmezer"/>
              <w:rPr>
                <w:rFonts w:cs="Tahoma"/>
                <w:sz w:val="18"/>
                <w:szCs w:val="20"/>
              </w:rPr>
            </w:pPr>
            <w:r w:rsidRPr="00DD099B">
              <w:rPr>
                <w:rFonts w:cs="Tahoma"/>
                <w:sz w:val="18"/>
                <w:szCs w:val="20"/>
              </w:rPr>
              <w:t>1,5</w:t>
            </w:r>
          </w:p>
        </w:tc>
        <w:tc>
          <w:tcPr>
            <w:tcW w:w="926" w:type="dxa"/>
            <w:tcBorders>
              <w:top w:val="single" w:sz="12" w:space="0" w:color="auto"/>
            </w:tcBorders>
          </w:tcPr>
          <w:p w:rsidR="004912B3" w:rsidRPr="00DD099B" w:rsidRDefault="004912B3" w:rsidP="004912B3">
            <w:pPr>
              <w:pStyle w:val="Bezmezer"/>
              <w:rPr>
                <w:rFonts w:cs="Tahoma"/>
                <w:sz w:val="18"/>
                <w:szCs w:val="20"/>
              </w:rPr>
            </w:pPr>
            <w:r w:rsidRPr="00DD099B">
              <w:rPr>
                <w:rFonts w:cs="Tahoma"/>
                <w:sz w:val="18"/>
                <w:szCs w:val="20"/>
              </w:rPr>
              <w:t>2</w:t>
            </w:r>
            <w:r w:rsidR="00DB2E06" w:rsidRPr="00DD099B">
              <w:rPr>
                <w:rFonts w:cs="Tahoma"/>
                <w:sz w:val="18"/>
                <w:szCs w:val="20"/>
              </w:rPr>
              <w:t>,5</w:t>
            </w:r>
          </w:p>
        </w:tc>
        <w:tc>
          <w:tcPr>
            <w:tcW w:w="927" w:type="dxa"/>
            <w:tcBorders>
              <w:top w:val="single" w:sz="12" w:space="0" w:color="auto"/>
            </w:tcBorders>
          </w:tcPr>
          <w:p w:rsidR="004912B3" w:rsidRPr="00DD099B" w:rsidRDefault="004912B3" w:rsidP="004912B3">
            <w:pPr>
              <w:pStyle w:val="Bezmezer"/>
              <w:rPr>
                <w:rFonts w:cs="Tahoma"/>
                <w:sz w:val="18"/>
                <w:szCs w:val="20"/>
              </w:rPr>
            </w:pPr>
            <w:r w:rsidRPr="00DD099B">
              <w:rPr>
                <w:rFonts w:cs="Tahoma"/>
                <w:sz w:val="18"/>
                <w:szCs w:val="20"/>
              </w:rPr>
              <w:t>3</w:t>
            </w:r>
          </w:p>
        </w:tc>
        <w:tc>
          <w:tcPr>
            <w:tcW w:w="926" w:type="dxa"/>
            <w:tcBorders>
              <w:top w:val="single" w:sz="12" w:space="0" w:color="auto"/>
            </w:tcBorders>
          </w:tcPr>
          <w:p w:rsidR="004912B3" w:rsidRPr="00DD099B" w:rsidRDefault="004912B3" w:rsidP="004912B3">
            <w:pPr>
              <w:pStyle w:val="Bezmezer"/>
              <w:rPr>
                <w:rFonts w:cs="Tahoma"/>
                <w:sz w:val="18"/>
                <w:szCs w:val="20"/>
              </w:rPr>
            </w:pPr>
            <w:r w:rsidRPr="00DD099B">
              <w:rPr>
                <w:rFonts w:cs="Tahoma"/>
                <w:sz w:val="18"/>
                <w:szCs w:val="20"/>
              </w:rPr>
              <w:t>1,5</w:t>
            </w:r>
          </w:p>
        </w:tc>
        <w:tc>
          <w:tcPr>
            <w:tcW w:w="926" w:type="dxa"/>
            <w:tcBorders>
              <w:top w:val="single" w:sz="12" w:space="0" w:color="auto"/>
            </w:tcBorders>
          </w:tcPr>
          <w:p w:rsidR="004912B3" w:rsidRPr="00DD099B" w:rsidRDefault="00DB2E06" w:rsidP="004912B3">
            <w:pPr>
              <w:pStyle w:val="Bezmezer"/>
              <w:rPr>
                <w:rFonts w:cs="Tahoma"/>
                <w:sz w:val="18"/>
                <w:szCs w:val="20"/>
              </w:rPr>
            </w:pPr>
            <w:r w:rsidRPr="00DD099B">
              <w:rPr>
                <w:rFonts w:cs="Tahoma"/>
                <w:sz w:val="18"/>
                <w:szCs w:val="20"/>
              </w:rPr>
              <w:t>0,5</w:t>
            </w:r>
          </w:p>
        </w:tc>
        <w:tc>
          <w:tcPr>
            <w:tcW w:w="927" w:type="dxa"/>
            <w:tcBorders>
              <w:top w:val="single" w:sz="12" w:space="0" w:color="auto"/>
            </w:tcBorders>
          </w:tcPr>
          <w:p w:rsidR="004912B3" w:rsidRPr="00DD099B" w:rsidRDefault="004912B3" w:rsidP="004912B3">
            <w:pPr>
              <w:pStyle w:val="Bezmezer"/>
              <w:rPr>
                <w:rFonts w:cs="Tahoma"/>
                <w:b/>
                <w:sz w:val="18"/>
                <w:szCs w:val="20"/>
              </w:rPr>
            </w:pPr>
            <w:r w:rsidRPr="00DD099B">
              <w:rPr>
                <w:rFonts w:cs="Tahoma"/>
                <w:b/>
                <w:sz w:val="18"/>
                <w:szCs w:val="20"/>
              </w:rPr>
              <w:t>9</w:t>
            </w:r>
          </w:p>
        </w:tc>
      </w:tr>
      <w:tr w:rsidR="004912B3" w:rsidRPr="004912B3" w:rsidTr="00DD099B">
        <w:tc>
          <w:tcPr>
            <w:tcW w:w="3828" w:type="dxa"/>
            <w:tcBorders>
              <w:right w:val="single" w:sz="12" w:space="0" w:color="auto"/>
            </w:tcBorders>
            <w:shd w:val="pct15" w:color="auto" w:fill="auto"/>
          </w:tcPr>
          <w:p w:rsidR="004912B3" w:rsidRPr="00DD099B" w:rsidRDefault="004912B3" w:rsidP="004912B3">
            <w:pPr>
              <w:pStyle w:val="Bezmezer"/>
              <w:rPr>
                <w:rFonts w:cs="Tahoma"/>
                <w:sz w:val="18"/>
                <w:szCs w:val="20"/>
              </w:rPr>
            </w:pPr>
            <w:r w:rsidRPr="00DD099B">
              <w:rPr>
                <w:rFonts w:cs="Tahoma"/>
                <w:sz w:val="18"/>
                <w:szCs w:val="20"/>
              </w:rPr>
              <w:t>Sp Pardubice hl. n. – Trutnov hl. n.</w:t>
            </w:r>
          </w:p>
        </w:tc>
        <w:tc>
          <w:tcPr>
            <w:tcW w:w="926" w:type="dxa"/>
            <w:tcBorders>
              <w:left w:val="single" w:sz="12" w:space="0" w:color="auto"/>
            </w:tcBorders>
          </w:tcPr>
          <w:p w:rsidR="004912B3" w:rsidRPr="00DD099B" w:rsidRDefault="004912B3" w:rsidP="004912B3">
            <w:pPr>
              <w:pStyle w:val="Bezmezer"/>
              <w:rPr>
                <w:rFonts w:cs="Tahoma"/>
                <w:sz w:val="18"/>
                <w:szCs w:val="20"/>
              </w:rPr>
            </w:pPr>
            <w:r w:rsidRPr="00DD099B">
              <w:rPr>
                <w:rFonts w:cs="Tahoma"/>
                <w:sz w:val="18"/>
                <w:szCs w:val="20"/>
              </w:rPr>
              <w:t>3</w:t>
            </w:r>
          </w:p>
        </w:tc>
        <w:tc>
          <w:tcPr>
            <w:tcW w:w="926" w:type="dxa"/>
          </w:tcPr>
          <w:p w:rsidR="004912B3" w:rsidRPr="00DD099B" w:rsidRDefault="00DB2E06" w:rsidP="004912B3">
            <w:pPr>
              <w:pStyle w:val="Bezmezer"/>
              <w:rPr>
                <w:rFonts w:cs="Tahoma"/>
                <w:sz w:val="18"/>
                <w:szCs w:val="20"/>
              </w:rPr>
            </w:pPr>
            <w:r w:rsidRPr="00DD099B">
              <w:rPr>
                <w:rFonts w:cs="Tahoma"/>
                <w:sz w:val="18"/>
                <w:szCs w:val="20"/>
              </w:rPr>
              <w:t>5</w:t>
            </w:r>
          </w:p>
        </w:tc>
        <w:tc>
          <w:tcPr>
            <w:tcW w:w="927" w:type="dxa"/>
          </w:tcPr>
          <w:p w:rsidR="004912B3" w:rsidRPr="00DD099B" w:rsidRDefault="004912B3" w:rsidP="004912B3">
            <w:pPr>
              <w:pStyle w:val="Bezmezer"/>
              <w:rPr>
                <w:rFonts w:cs="Tahoma"/>
                <w:sz w:val="18"/>
                <w:szCs w:val="20"/>
              </w:rPr>
            </w:pPr>
            <w:r w:rsidRPr="00DD099B">
              <w:rPr>
                <w:rFonts w:cs="Tahoma"/>
                <w:sz w:val="18"/>
                <w:szCs w:val="20"/>
              </w:rPr>
              <w:t>6</w:t>
            </w:r>
          </w:p>
        </w:tc>
        <w:tc>
          <w:tcPr>
            <w:tcW w:w="926" w:type="dxa"/>
          </w:tcPr>
          <w:p w:rsidR="004912B3" w:rsidRPr="00DD099B" w:rsidRDefault="004912B3" w:rsidP="004912B3">
            <w:pPr>
              <w:pStyle w:val="Bezmezer"/>
              <w:rPr>
                <w:rFonts w:cs="Tahoma"/>
                <w:sz w:val="18"/>
                <w:szCs w:val="20"/>
              </w:rPr>
            </w:pPr>
            <w:r w:rsidRPr="00DD099B">
              <w:rPr>
                <w:rFonts w:cs="Tahoma"/>
                <w:sz w:val="18"/>
                <w:szCs w:val="20"/>
              </w:rPr>
              <w:t>3</w:t>
            </w:r>
          </w:p>
        </w:tc>
        <w:tc>
          <w:tcPr>
            <w:tcW w:w="926" w:type="dxa"/>
          </w:tcPr>
          <w:p w:rsidR="004912B3" w:rsidRPr="00DD099B" w:rsidRDefault="00DB2E06" w:rsidP="004912B3">
            <w:pPr>
              <w:pStyle w:val="Bezmezer"/>
              <w:rPr>
                <w:rFonts w:cs="Tahoma"/>
                <w:sz w:val="18"/>
                <w:szCs w:val="20"/>
              </w:rPr>
            </w:pPr>
            <w:r w:rsidRPr="00DD099B">
              <w:rPr>
                <w:rFonts w:cs="Tahoma"/>
                <w:sz w:val="18"/>
                <w:szCs w:val="20"/>
              </w:rPr>
              <w:t>1</w:t>
            </w:r>
          </w:p>
        </w:tc>
        <w:tc>
          <w:tcPr>
            <w:tcW w:w="927" w:type="dxa"/>
          </w:tcPr>
          <w:p w:rsidR="004912B3" w:rsidRPr="00DD099B" w:rsidRDefault="004912B3" w:rsidP="004912B3">
            <w:pPr>
              <w:pStyle w:val="Bezmezer"/>
              <w:rPr>
                <w:rFonts w:cs="Tahoma"/>
                <w:b/>
                <w:sz w:val="18"/>
                <w:szCs w:val="20"/>
              </w:rPr>
            </w:pPr>
            <w:r w:rsidRPr="00DD099B">
              <w:rPr>
                <w:rFonts w:cs="Tahoma"/>
                <w:b/>
                <w:sz w:val="18"/>
                <w:szCs w:val="20"/>
              </w:rPr>
              <w:t>18</w:t>
            </w:r>
          </w:p>
        </w:tc>
      </w:tr>
      <w:tr w:rsidR="004912B3" w:rsidRPr="004912B3" w:rsidTr="00DD099B">
        <w:tc>
          <w:tcPr>
            <w:tcW w:w="3828" w:type="dxa"/>
            <w:tcBorders>
              <w:right w:val="single" w:sz="12" w:space="0" w:color="auto"/>
            </w:tcBorders>
            <w:shd w:val="pct15" w:color="auto" w:fill="auto"/>
          </w:tcPr>
          <w:p w:rsidR="004912B3" w:rsidRPr="00DD099B" w:rsidRDefault="004912B3" w:rsidP="004912B3">
            <w:pPr>
              <w:pStyle w:val="Bezmezer"/>
              <w:rPr>
                <w:rFonts w:cs="Tahoma"/>
                <w:sz w:val="18"/>
                <w:szCs w:val="20"/>
              </w:rPr>
            </w:pPr>
            <w:r w:rsidRPr="00DD099B">
              <w:rPr>
                <w:rFonts w:cs="Tahoma"/>
                <w:sz w:val="18"/>
                <w:szCs w:val="20"/>
              </w:rPr>
              <w:t>Sp Pardubice hl.n. – Hradec Králové hl.n.</w:t>
            </w:r>
          </w:p>
        </w:tc>
        <w:tc>
          <w:tcPr>
            <w:tcW w:w="926" w:type="dxa"/>
            <w:tcBorders>
              <w:left w:val="single" w:sz="12" w:space="0" w:color="auto"/>
            </w:tcBorders>
          </w:tcPr>
          <w:p w:rsidR="004912B3" w:rsidRPr="00DD099B" w:rsidRDefault="004912B3" w:rsidP="004912B3">
            <w:pPr>
              <w:pStyle w:val="Bezmezer"/>
              <w:rPr>
                <w:rFonts w:cs="Tahoma"/>
                <w:sz w:val="18"/>
                <w:szCs w:val="20"/>
              </w:rPr>
            </w:pPr>
            <w:r w:rsidRPr="00DD099B">
              <w:rPr>
                <w:rFonts w:cs="Tahoma"/>
                <w:sz w:val="18"/>
                <w:szCs w:val="20"/>
              </w:rPr>
              <w:t>1,5</w:t>
            </w:r>
          </w:p>
        </w:tc>
        <w:tc>
          <w:tcPr>
            <w:tcW w:w="926" w:type="dxa"/>
          </w:tcPr>
          <w:p w:rsidR="004912B3" w:rsidRPr="00DD099B" w:rsidRDefault="004912B3" w:rsidP="004912B3">
            <w:pPr>
              <w:pStyle w:val="Bezmezer"/>
              <w:rPr>
                <w:rFonts w:cs="Tahoma"/>
                <w:sz w:val="18"/>
                <w:szCs w:val="20"/>
              </w:rPr>
            </w:pPr>
            <w:r w:rsidRPr="00DD099B">
              <w:rPr>
                <w:rFonts w:cs="Tahoma"/>
                <w:sz w:val="18"/>
                <w:szCs w:val="20"/>
              </w:rPr>
              <w:t>2</w:t>
            </w:r>
            <w:r w:rsidR="00DB2E06" w:rsidRPr="00DD099B">
              <w:rPr>
                <w:rFonts w:cs="Tahoma"/>
                <w:sz w:val="18"/>
                <w:szCs w:val="20"/>
              </w:rPr>
              <w:t>,5</w:t>
            </w:r>
          </w:p>
        </w:tc>
        <w:tc>
          <w:tcPr>
            <w:tcW w:w="927" w:type="dxa"/>
          </w:tcPr>
          <w:p w:rsidR="004912B3" w:rsidRPr="00DD099B" w:rsidRDefault="004912B3" w:rsidP="004912B3">
            <w:pPr>
              <w:pStyle w:val="Bezmezer"/>
              <w:rPr>
                <w:rFonts w:cs="Tahoma"/>
                <w:sz w:val="18"/>
                <w:szCs w:val="20"/>
              </w:rPr>
            </w:pPr>
            <w:r w:rsidRPr="00DD099B">
              <w:rPr>
                <w:rFonts w:cs="Tahoma"/>
                <w:sz w:val="18"/>
                <w:szCs w:val="20"/>
              </w:rPr>
              <w:t>3</w:t>
            </w:r>
          </w:p>
        </w:tc>
        <w:tc>
          <w:tcPr>
            <w:tcW w:w="926" w:type="dxa"/>
          </w:tcPr>
          <w:p w:rsidR="004912B3" w:rsidRPr="00DD099B" w:rsidRDefault="004912B3" w:rsidP="004912B3">
            <w:pPr>
              <w:pStyle w:val="Bezmezer"/>
              <w:rPr>
                <w:rFonts w:cs="Tahoma"/>
                <w:sz w:val="18"/>
                <w:szCs w:val="20"/>
              </w:rPr>
            </w:pPr>
            <w:r w:rsidRPr="00DD099B">
              <w:rPr>
                <w:rFonts w:cs="Tahoma"/>
                <w:sz w:val="18"/>
                <w:szCs w:val="20"/>
              </w:rPr>
              <w:t>1,5</w:t>
            </w:r>
          </w:p>
        </w:tc>
        <w:tc>
          <w:tcPr>
            <w:tcW w:w="926" w:type="dxa"/>
          </w:tcPr>
          <w:p w:rsidR="004912B3" w:rsidRPr="00DD099B" w:rsidRDefault="00DB2E06" w:rsidP="004912B3">
            <w:pPr>
              <w:pStyle w:val="Bezmezer"/>
              <w:rPr>
                <w:rFonts w:cs="Tahoma"/>
                <w:sz w:val="18"/>
                <w:szCs w:val="20"/>
              </w:rPr>
            </w:pPr>
            <w:r w:rsidRPr="00DD099B">
              <w:rPr>
                <w:rFonts w:cs="Tahoma"/>
                <w:sz w:val="18"/>
                <w:szCs w:val="20"/>
              </w:rPr>
              <w:t>0,5</w:t>
            </w:r>
          </w:p>
        </w:tc>
        <w:tc>
          <w:tcPr>
            <w:tcW w:w="927" w:type="dxa"/>
          </w:tcPr>
          <w:p w:rsidR="004912B3" w:rsidRPr="00DD099B" w:rsidRDefault="004912B3" w:rsidP="004912B3">
            <w:pPr>
              <w:pStyle w:val="Bezmezer"/>
              <w:rPr>
                <w:rFonts w:cs="Tahoma"/>
                <w:b/>
                <w:sz w:val="18"/>
                <w:szCs w:val="20"/>
              </w:rPr>
            </w:pPr>
            <w:r w:rsidRPr="00DD099B">
              <w:rPr>
                <w:rFonts w:cs="Tahoma"/>
                <w:b/>
                <w:sz w:val="18"/>
                <w:szCs w:val="20"/>
              </w:rPr>
              <w:t>9</w:t>
            </w:r>
          </w:p>
        </w:tc>
      </w:tr>
      <w:tr w:rsidR="004912B3" w:rsidRPr="004912B3" w:rsidTr="00DD099B">
        <w:tc>
          <w:tcPr>
            <w:tcW w:w="3828" w:type="dxa"/>
            <w:tcBorders>
              <w:right w:val="single" w:sz="12" w:space="0" w:color="auto"/>
            </w:tcBorders>
            <w:shd w:val="pct15" w:color="auto" w:fill="auto"/>
          </w:tcPr>
          <w:p w:rsidR="004912B3" w:rsidRPr="00DD099B" w:rsidRDefault="004912B3" w:rsidP="004912B3">
            <w:pPr>
              <w:pStyle w:val="Bezmezer"/>
              <w:rPr>
                <w:rFonts w:cs="Tahoma"/>
                <w:sz w:val="18"/>
                <w:szCs w:val="20"/>
              </w:rPr>
            </w:pPr>
            <w:r w:rsidRPr="00DD099B">
              <w:rPr>
                <w:rFonts w:cs="Tahoma"/>
                <w:sz w:val="18"/>
                <w:szCs w:val="20"/>
              </w:rPr>
              <w:t>Os Pardubice hl.n. – Hradec Králové hl.n.</w:t>
            </w:r>
          </w:p>
        </w:tc>
        <w:tc>
          <w:tcPr>
            <w:tcW w:w="926" w:type="dxa"/>
            <w:tcBorders>
              <w:left w:val="single" w:sz="12" w:space="0" w:color="auto"/>
            </w:tcBorders>
          </w:tcPr>
          <w:p w:rsidR="004912B3" w:rsidRPr="00DD099B" w:rsidRDefault="004912B3" w:rsidP="004912B3">
            <w:pPr>
              <w:pStyle w:val="Bezmezer"/>
              <w:rPr>
                <w:rFonts w:cs="Tahoma"/>
                <w:sz w:val="18"/>
                <w:szCs w:val="20"/>
              </w:rPr>
            </w:pPr>
            <w:r w:rsidRPr="00DD099B">
              <w:rPr>
                <w:rFonts w:cs="Tahoma"/>
                <w:sz w:val="18"/>
                <w:szCs w:val="20"/>
              </w:rPr>
              <w:t>6</w:t>
            </w:r>
          </w:p>
        </w:tc>
        <w:tc>
          <w:tcPr>
            <w:tcW w:w="926" w:type="dxa"/>
          </w:tcPr>
          <w:p w:rsidR="004912B3" w:rsidRPr="00DD099B" w:rsidRDefault="00DB2E06" w:rsidP="004912B3">
            <w:pPr>
              <w:pStyle w:val="Bezmezer"/>
              <w:rPr>
                <w:rFonts w:cs="Tahoma"/>
                <w:sz w:val="18"/>
                <w:szCs w:val="20"/>
              </w:rPr>
            </w:pPr>
            <w:r w:rsidRPr="00DD099B">
              <w:rPr>
                <w:rFonts w:cs="Tahoma"/>
                <w:sz w:val="18"/>
                <w:szCs w:val="20"/>
              </w:rPr>
              <w:t>5</w:t>
            </w:r>
          </w:p>
        </w:tc>
        <w:tc>
          <w:tcPr>
            <w:tcW w:w="927" w:type="dxa"/>
          </w:tcPr>
          <w:p w:rsidR="004912B3" w:rsidRPr="00DD099B" w:rsidRDefault="004912B3" w:rsidP="004912B3">
            <w:pPr>
              <w:pStyle w:val="Bezmezer"/>
              <w:rPr>
                <w:rFonts w:cs="Tahoma"/>
                <w:sz w:val="18"/>
                <w:szCs w:val="20"/>
              </w:rPr>
            </w:pPr>
            <w:r w:rsidRPr="00DD099B">
              <w:rPr>
                <w:rFonts w:cs="Tahoma"/>
                <w:sz w:val="18"/>
                <w:szCs w:val="20"/>
              </w:rPr>
              <w:t>12</w:t>
            </w:r>
          </w:p>
        </w:tc>
        <w:tc>
          <w:tcPr>
            <w:tcW w:w="926" w:type="dxa"/>
          </w:tcPr>
          <w:p w:rsidR="004912B3" w:rsidRPr="00DD099B" w:rsidRDefault="004912B3" w:rsidP="004912B3">
            <w:pPr>
              <w:pStyle w:val="Bezmezer"/>
              <w:rPr>
                <w:rFonts w:cs="Tahoma"/>
                <w:sz w:val="18"/>
                <w:szCs w:val="20"/>
              </w:rPr>
            </w:pPr>
            <w:r w:rsidRPr="00DD099B">
              <w:rPr>
                <w:rFonts w:cs="Tahoma"/>
                <w:sz w:val="18"/>
                <w:szCs w:val="20"/>
              </w:rPr>
              <w:t>3</w:t>
            </w:r>
          </w:p>
        </w:tc>
        <w:tc>
          <w:tcPr>
            <w:tcW w:w="926" w:type="dxa"/>
          </w:tcPr>
          <w:p w:rsidR="004912B3" w:rsidRPr="00DD099B" w:rsidRDefault="00DB2E06" w:rsidP="004912B3">
            <w:pPr>
              <w:pStyle w:val="Bezmezer"/>
              <w:rPr>
                <w:rFonts w:cs="Tahoma"/>
                <w:sz w:val="18"/>
                <w:szCs w:val="20"/>
              </w:rPr>
            </w:pPr>
            <w:r w:rsidRPr="00DD099B">
              <w:rPr>
                <w:rFonts w:cs="Tahoma"/>
                <w:sz w:val="18"/>
                <w:szCs w:val="20"/>
              </w:rPr>
              <w:t>5</w:t>
            </w:r>
          </w:p>
        </w:tc>
        <w:tc>
          <w:tcPr>
            <w:tcW w:w="927" w:type="dxa"/>
          </w:tcPr>
          <w:p w:rsidR="004912B3" w:rsidRPr="00DD099B" w:rsidRDefault="004912B3" w:rsidP="00DB2E06">
            <w:pPr>
              <w:pStyle w:val="Bezmezer"/>
              <w:rPr>
                <w:rFonts w:cs="Tahoma"/>
                <w:b/>
                <w:sz w:val="18"/>
                <w:szCs w:val="20"/>
              </w:rPr>
            </w:pPr>
            <w:r w:rsidRPr="00DD099B">
              <w:rPr>
                <w:rFonts w:cs="Tahoma"/>
                <w:b/>
                <w:sz w:val="18"/>
                <w:szCs w:val="20"/>
              </w:rPr>
              <w:t>3</w:t>
            </w:r>
            <w:r w:rsidR="00DB2E06" w:rsidRPr="00DD099B">
              <w:rPr>
                <w:rFonts w:cs="Tahoma"/>
                <w:b/>
                <w:sz w:val="18"/>
                <w:szCs w:val="20"/>
              </w:rPr>
              <w:t>1</w:t>
            </w:r>
          </w:p>
        </w:tc>
      </w:tr>
      <w:tr w:rsidR="004912B3" w:rsidRPr="004912B3" w:rsidTr="00DD099B">
        <w:tc>
          <w:tcPr>
            <w:tcW w:w="3828" w:type="dxa"/>
            <w:tcBorders>
              <w:right w:val="single" w:sz="12" w:space="0" w:color="auto"/>
            </w:tcBorders>
            <w:shd w:val="pct15" w:color="auto" w:fill="auto"/>
          </w:tcPr>
          <w:p w:rsidR="004912B3" w:rsidRPr="00DD099B" w:rsidRDefault="004912B3" w:rsidP="004912B3">
            <w:pPr>
              <w:pStyle w:val="Bezmezer"/>
              <w:rPr>
                <w:rFonts w:cs="Tahoma"/>
                <w:b/>
                <w:sz w:val="18"/>
                <w:szCs w:val="20"/>
              </w:rPr>
            </w:pPr>
            <w:r w:rsidRPr="00DD099B">
              <w:rPr>
                <w:rFonts w:cs="Tahoma"/>
                <w:b/>
                <w:sz w:val="18"/>
                <w:szCs w:val="20"/>
              </w:rPr>
              <w:t>celkem</w:t>
            </w:r>
          </w:p>
        </w:tc>
        <w:tc>
          <w:tcPr>
            <w:tcW w:w="926" w:type="dxa"/>
            <w:tcBorders>
              <w:left w:val="single" w:sz="12" w:space="0" w:color="auto"/>
            </w:tcBorders>
          </w:tcPr>
          <w:p w:rsidR="004912B3" w:rsidRPr="00DD099B" w:rsidRDefault="004912B3" w:rsidP="004912B3">
            <w:pPr>
              <w:pStyle w:val="Bezmezer"/>
              <w:rPr>
                <w:rFonts w:cs="Tahoma"/>
                <w:b/>
                <w:sz w:val="18"/>
                <w:szCs w:val="20"/>
              </w:rPr>
            </w:pPr>
            <w:r w:rsidRPr="00DD099B">
              <w:rPr>
                <w:rFonts w:cs="Tahoma"/>
                <w:b/>
                <w:sz w:val="18"/>
                <w:szCs w:val="20"/>
              </w:rPr>
              <w:t>12</w:t>
            </w:r>
          </w:p>
        </w:tc>
        <w:tc>
          <w:tcPr>
            <w:tcW w:w="926" w:type="dxa"/>
          </w:tcPr>
          <w:p w:rsidR="004912B3" w:rsidRPr="00DD099B" w:rsidRDefault="004912B3" w:rsidP="00DB2E06">
            <w:pPr>
              <w:pStyle w:val="Bezmezer"/>
              <w:rPr>
                <w:rFonts w:cs="Tahoma"/>
                <w:b/>
                <w:sz w:val="18"/>
                <w:szCs w:val="20"/>
              </w:rPr>
            </w:pPr>
            <w:r w:rsidRPr="00DD099B">
              <w:rPr>
                <w:rFonts w:cs="Tahoma"/>
                <w:b/>
                <w:sz w:val="18"/>
                <w:szCs w:val="20"/>
              </w:rPr>
              <w:t>1</w:t>
            </w:r>
            <w:r w:rsidR="00DB2E06" w:rsidRPr="00DD099B">
              <w:rPr>
                <w:rFonts w:cs="Tahoma"/>
                <w:b/>
                <w:sz w:val="18"/>
                <w:szCs w:val="20"/>
              </w:rPr>
              <w:t>5</w:t>
            </w:r>
          </w:p>
        </w:tc>
        <w:tc>
          <w:tcPr>
            <w:tcW w:w="927" w:type="dxa"/>
          </w:tcPr>
          <w:p w:rsidR="004912B3" w:rsidRPr="00DD099B" w:rsidRDefault="004912B3" w:rsidP="004912B3">
            <w:pPr>
              <w:pStyle w:val="Bezmezer"/>
              <w:rPr>
                <w:rFonts w:cs="Tahoma"/>
                <w:b/>
                <w:sz w:val="18"/>
                <w:szCs w:val="20"/>
              </w:rPr>
            </w:pPr>
            <w:r w:rsidRPr="00DD099B">
              <w:rPr>
                <w:rFonts w:cs="Tahoma"/>
                <w:b/>
                <w:sz w:val="18"/>
                <w:szCs w:val="20"/>
              </w:rPr>
              <w:t>24</w:t>
            </w:r>
          </w:p>
        </w:tc>
        <w:tc>
          <w:tcPr>
            <w:tcW w:w="926" w:type="dxa"/>
          </w:tcPr>
          <w:p w:rsidR="004912B3" w:rsidRPr="00DD099B" w:rsidRDefault="004912B3" w:rsidP="004912B3">
            <w:pPr>
              <w:pStyle w:val="Bezmezer"/>
              <w:rPr>
                <w:rFonts w:cs="Tahoma"/>
                <w:b/>
                <w:sz w:val="18"/>
                <w:szCs w:val="20"/>
              </w:rPr>
            </w:pPr>
            <w:r w:rsidRPr="00DD099B">
              <w:rPr>
                <w:rFonts w:cs="Tahoma"/>
                <w:b/>
                <w:sz w:val="18"/>
                <w:szCs w:val="20"/>
              </w:rPr>
              <w:t>9</w:t>
            </w:r>
          </w:p>
        </w:tc>
        <w:tc>
          <w:tcPr>
            <w:tcW w:w="926" w:type="dxa"/>
          </w:tcPr>
          <w:p w:rsidR="004912B3" w:rsidRPr="00DD099B" w:rsidRDefault="00DB2E06" w:rsidP="004912B3">
            <w:pPr>
              <w:pStyle w:val="Bezmezer"/>
              <w:rPr>
                <w:rFonts w:cs="Tahoma"/>
                <w:b/>
                <w:sz w:val="18"/>
                <w:szCs w:val="20"/>
              </w:rPr>
            </w:pPr>
            <w:r w:rsidRPr="00DD099B">
              <w:rPr>
                <w:rFonts w:cs="Tahoma"/>
                <w:b/>
                <w:sz w:val="18"/>
                <w:szCs w:val="20"/>
              </w:rPr>
              <w:t>7</w:t>
            </w:r>
          </w:p>
        </w:tc>
        <w:tc>
          <w:tcPr>
            <w:tcW w:w="927" w:type="dxa"/>
          </w:tcPr>
          <w:p w:rsidR="004912B3" w:rsidRPr="00DD099B" w:rsidRDefault="004912B3" w:rsidP="00DB2E06">
            <w:pPr>
              <w:pStyle w:val="Bezmezer"/>
              <w:rPr>
                <w:rFonts w:cs="Tahoma"/>
                <w:b/>
                <w:sz w:val="18"/>
                <w:szCs w:val="20"/>
              </w:rPr>
            </w:pPr>
            <w:r w:rsidRPr="00DD099B">
              <w:rPr>
                <w:rFonts w:cs="Tahoma"/>
                <w:b/>
                <w:sz w:val="18"/>
                <w:szCs w:val="20"/>
              </w:rPr>
              <w:t>6</w:t>
            </w:r>
            <w:r w:rsidR="00DB2E06" w:rsidRPr="00DD099B">
              <w:rPr>
                <w:rFonts w:cs="Tahoma"/>
                <w:b/>
                <w:sz w:val="18"/>
                <w:szCs w:val="20"/>
              </w:rPr>
              <w:t>7</w:t>
            </w:r>
          </w:p>
        </w:tc>
      </w:tr>
    </w:tbl>
    <w:p w:rsidR="00225B27" w:rsidRPr="00405637" w:rsidRDefault="00225B27" w:rsidP="00887E61">
      <w:pPr>
        <w:pStyle w:val="Nadpis3"/>
        <w:ind w:hanging="8234"/>
      </w:pPr>
      <w:r w:rsidRPr="00405637">
        <w:t>Nákladní doprava – výchozí stav</w:t>
      </w:r>
    </w:p>
    <w:p w:rsidR="004912B3" w:rsidRDefault="004912B3" w:rsidP="004912B3">
      <w:r>
        <w:t>Trať č. 505 Pardubice hl. n. – Hradec Králové hl. n. není pro tranzitní nákladní přepravu pravi</w:t>
      </w:r>
      <w:r>
        <w:softHyphen/>
        <w:t xml:space="preserve">delně využívána. V současnosti (GVD 2011/12) se v pravidelné dopravě jedná o rozvoz a svoz místní zátěže a logistické přepravy mezi ESAB Vamberk a skladovým areálem Schenker v Rosicích nad Labem (žst Pardubice-Rosice nad Labem). Tři páry vlaků jezdí na vlečku Elektrárny Opatovice nad Labem, jedná se o uhlí a odvoz prázdných souprav zpět k nakládce. Tyto vlaky jedou z odbočky Plačice a provoz ruší jen při přejíždění stéblovského zhlaví v žst Opatovice nad L. Kromě těchto vlaků jsou k dispozici nabídkové a jiné trasy </w:t>
      </w:r>
    </w:p>
    <w:p w:rsidR="00C65DA3" w:rsidRDefault="00C65DA3">
      <w:pPr>
        <w:suppressAutoHyphens w:val="0"/>
        <w:spacing w:before="0" w:after="0" w:line="240" w:lineRule="auto"/>
        <w:jc w:val="left"/>
      </w:pPr>
      <w:r>
        <w:br w:type="page"/>
      </w:r>
    </w:p>
    <w:p w:rsidR="004912B3" w:rsidRDefault="004912B3" w:rsidP="003E596D">
      <w:r>
        <w:t>Konkrétní počty tras nákladních vlaků jsou v následující tabulce a jsou rozlišeny podle jednotlivých úseků:</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709"/>
        <w:gridCol w:w="1559"/>
        <w:gridCol w:w="531"/>
        <w:gridCol w:w="532"/>
        <w:gridCol w:w="532"/>
        <w:gridCol w:w="532"/>
        <w:gridCol w:w="531"/>
        <w:gridCol w:w="532"/>
        <w:gridCol w:w="532"/>
        <w:gridCol w:w="532"/>
      </w:tblGrid>
      <w:tr w:rsidR="004912B3" w:rsidRPr="004912B3" w:rsidTr="006C74C6">
        <w:tc>
          <w:tcPr>
            <w:tcW w:w="9356" w:type="dxa"/>
            <w:gridSpan w:val="11"/>
            <w:tcBorders>
              <w:bottom w:val="single" w:sz="4" w:space="0" w:color="auto"/>
            </w:tcBorders>
          </w:tcPr>
          <w:p w:rsidR="004912B3" w:rsidRPr="004912B3" w:rsidRDefault="004912B3" w:rsidP="00C65DA3">
            <w:pPr>
              <w:pStyle w:val="Titulek"/>
            </w:pPr>
            <w:bookmarkStart w:id="129" w:name="_Toc390958756"/>
            <w:bookmarkStart w:id="130" w:name="_Toc391034560"/>
            <w:r w:rsidRPr="004912B3">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5</w:t>
            </w:r>
            <w:r w:rsidR="000E79AE">
              <w:fldChar w:fldCharType="end"/>
            </w:r>
            <w:r w:rsidRPr="004912B3">
              <w:t>: Přehled nákladních vlaků podle úseků a účelu</w:t>
            </w:r>
            <w:bookmarkEnd w:id="129"/>
            <w:bookmarkEnd w:id="130"/>
          </w:p>
        </w:tc>
      </w:tr>
      <w:tr w:rsidR="004912B3" w:rsidRPr="004912B3" w:rsidTr="006C74C6">
        <w:tc>
          <w:tcPr>
            <w:tcW w:w="2834" w:type="dxa"/>
            <w:vMerge w:val="restart"/>
            <w:shd w:val="pct15" w:color="auto" w:fill="auto"/>
            <w:vAlign w:val="center"/>
          </w:tcPr>
          <w:p w:rsidR="004912B3" w:rsidRPr="006C74C6" w:rsidRDefault="004912B3" w:rsidP="006C74C6">
            <w:pPr>
              <w:pStyle w:val="Bezmezer"/>
              <w:jc w:val="left"/>
              <w:rPr>
                <w:rFonts w:cs="Tahoma"/>
                <w:b/>
                <w:sz w:val="18"/>
                <w:szCs w:val="18"/>
              </w:rPr>
            </w:pPr>
            <w:r w:rsidRPr="006C74C6">
              <w:rPr>
                <w:rFonts w:cs="Tahoma"/>
                <w:b/>
                <w:sz w:val="18"/>
                <w:szCs w:val="18"/>
              </w:rPr>
              <w:t>úsek</w:t>
            </w:r>
          </w:p>
        </w:tc>
        <w:tc>
          <w:tcPr>
            <w:tcW w:w="2268" w:type="dxa"/>
            <w:gridSpan w:val="2"/>
            <w:vMerge w:val="restart"/>
            <w:shd w:val="pct15" w:color="auto" w:fill="auto"/>
            <w:vAlign w:val="center"/>
          </w:tcPr>
          <w:p w:rsidR="004912B3" w:rsidRPr="006C74C6" w:rsidRDefault="004912B3" w:rsidP="006C74C6">
            <w:pPr>
              <w:pStyle w:val="Bezmezer"/>
              <w:jc w:val="left"/>
              <w:rPr>
                <w:rFonts w:cs="Tahoma"/>
                <w:b/>
                <w:sz w:val="18"/>
                <w:szCs w:val="18"/>
              </w:rPr>
            </w:pPr>
            <w:r w:rsidRPr="006C74C6">
              <w:rPr>
                <w:rFonts w:cs="Tahoma"/>
                <w:b/>
                <w:sz w:val="18"/>
                <w:szCs w:val="18"/>
              </w:rPr>
              <w:t>charakter, účel</w:t>
            </w:r>
          </w:p>
        </w:tc>
        <w:tc>
          <w:tcPr>
            <w:tcW w:w="1063" w:type="dxa"/>
            <w:gridSpan w:val="2"/>
            <w:shd w:val="pct15" w:color="auto" w:fill="auto"/>
          </w:tcPr>
          <w:p w:rsidR="004912B3" w:rsidRPr="006C74C6" w:rsidRDefault="004912B3" w:rsidP="004912B3">
            <w:pPr>
              <w:pStyle w:val="Bezmezer"/>
              <w:rPr>
                <w:rFonts w:cs="Tahoma"/>
                <w:b/>
                <w:sz w:val="18"/>
                <w:szCs w:val="18"/>
              </w:rPr>
            </w:pPr>
            <w:r w:rsidRPr="006C74C6">
              <w:rPr>
                <w:rFonts w:cs="Tahoma"/>
                <w:b/>
                <w:sz w:val="18"/>
                <w:szCs w:val="18"/>
              </w:rPr>
              <w:t>Rn</w:t>
            </w:r>
          </w:p>
        </w:tc>
        <w:tc>
          <w:tcPr>
            <w:tcW w:w="1064" w:type="dxa"/>
            <w:gridSpan w:val="2"/>
            <w:shd w:val="pct15" w:color="auto" w:fill="auto"/>
          </w:tcPr>
          <w:p w:rsidR="004912B3" w:rsidRPr="006C74C6" w:rsidRDefault="004912B3" w:rsidP="004912B3">
            <w:pPr>
              <w:pStyle w:val="Bezmezer"/>
              <w:rPr>
                <w:rFonts w:cs="Tahoma"/>
                <w:b/>
                <w:sz w:val="18"/>
                <w:szCs w:val="18"/>
              </w:rPr>
            </w:pPr>
            <w:r w:rsidRPr="006C74C6">
              <w:rPr>
                <w:rFonts w:cs="Tahoma"/>
                <w:b/>
                <w:sz w:val="18"/>
                <w:szCs w:val="18"/>
              </w:rPr>
              <w:t>Vn</w:t>
            </w:r>
          </w:p>
        </w:tc>
        <w:tc>
          <w:tcPr>
            <w:tcW w:w="1063" w:type="dxa"/>
            <w:gridSpan w:val="2"/>
            <w:shd w:val="pct15" w:color="auto" w:fill="auto"/>
          </w:tcPr>
          <w:p w:rsidR="004912B3" w:rsidRPr="006C74C6" w:rsidRDefault="004912B3" w:rsidP="004912B3">
            <w:pPr>
              <w:pStyle w:val="Bezmezer"/>
              <w:rPr>
                <w:rFonts w:cs="Tahoma"/>
                <w:b/>
                <w:sz w:val="18"/>
                <w:szCs w:val="18"/>
              </w:rPr>
            </w:pPr>
            <w:r w:rsidRPr="006C74C6">
              <w:rPr>
                <w:rFonts w:cs="Tahoma"/>
                <w:b/>
                <w:sz w:val="18"/>
                <w:szCs w:val="18"/>
              </w:rPr>
              <w:t>Pn</w:t>
            </w:r>
          </w:p>
        </w:tc>
        <w:tc>
          <w:tcPr>
            <w:tcW w:w="1064" w:type="dxa"/>
            <w:gridSpan w:val="2"/>
            <w:shd w:val="pct15" w:color="auto" w:fill="auto"/>
          </w:tcPr>
          <w:p w:rsidR="004912B3" w:rsidRPr="006C74C6" w:rsidRDefault="004912B3" w:rsidP="004912B3">
            <w:pPr>
              <w:pStyle w:val="Bezmezer"/>
              <w:rPr>
                <w:rFonts w:cs="Tahoma"/>
                <w:b/>
                <w:sz w:val="18"/>
                <w:szCs w:val="18"/>
              </w:rPr>
            </w:pPr>
            <w:r w:rsidRPr="006C74C6">
              <w:rPr>
                <w:rFonts w:cs="Tahoma"/>
                <w:b/>
                <w:sz w:val="18"/>
                <w:szCs w:val="18"/>
              </w:rPr>
              <w:t>Mn</w:t>
            </w:r>
          </w:p>
        </w:tc>
      </w:tr>
      <w:tr w:rsidR="004912B3" w:rsidRPr="004912B3" w:rsidTr="006C74C6">
        <w:tc>
          <w:tcPr>
            <w:tcW w:w="2834" w:type="dxa"/>
            <w:vMerge/>
            <w:tcBorders>
              <w:bottom w:val="single" w:sz="12" w:space="0" w:color="auto"/>
            </w:tcBorders>
            <w:shd w:val="pct15" w:color="auto" w:fill="auto"/>
          </w:tcPr>
          <w:p w:rsidR="004912B3" w:rsidRPr="006C74C6" w:rsidRDefault="004912B3" w:rsidP="004912B3">
            <w:pPr>
              <w:pStyle w:val="Bezmezer"/>
              <w:rPr>
                <w:rFonts w:cs="Tahoma"/>
                <w:b/>
                <w:sz w:val="18"/>
                <w:szCs w:val="18"/>
              </w:rPr>
            </w:pPr>
          </w:p>
        </w:tc>
        <w:tc>
          <w:tcPr>
            <w:tcW w:w="2268" w:type="dxa"/>
            <w:gridSpan w:val="2"/>
            <w:vMerge/>
            <w:tcBorders>
              <w:bottom w:val="single" w:sz="12" w:space="0" w:color="auto"/>
            </w:tcBorders>
            <w:shd w:val="pct15" w:color="auto" w:fill="auto"/>
          </w:tcPr>
          <w:p w:rsidR="004912B3" w:rsidRPr="006C74C6" w:rsidRDefault="004912B3" w:rsidP="004912B3">
            <w:pPr>
              <w:pStyle w:val="Bezmezer"/>
              <w:rPr>
                <w:rFonts w:cs="Tahoma"/>
                <w:b/>
                <w:sz w:val="18"/>
                <w:szCs w:val="18"/>
              </w:rPr>
            </w:pPr>
          </w:p>
        </w:tc>
        <w:tc>
          <w:tcPr>
            <w:tcW w:w="531" w:type="dxa"/>
            <w:tcBorders>
              <w:bottom w:val="single" w:sz="12" w:space="0" w:color="auto"/>
            </w:tcBorders>
            <w:shd w:val="pct15" w:color="auto" w:fill="auto"/>
          </w:tcPr>
          <w:p w:rsidR="004912B3" w:rsidRPr="006C74C6" w:rsidRDefault="004912B3" w:rsidP="004912B3">
            <w:pPr>
              <w:pStyle w:val="Bezmezer"/>
              <w:rPr>
                <w:rFonts w:cs="Tahoma"/>
                <w:b/>
                <w:sz w:val="18"/>
                <w:szCs w:val="18"/>
              </w:rPr>
            </w:pPr>
            <w:r w:rsidRPr="006C74C6">
              <w:rPr>
                <w:rFonts w:cs="Tahoma"/>
                <w:b/>
                <w:sz w:val="18"/>
                <w:szCs w:val="18"/>
              </w:rPr>
              <w:t>S</w:t>
            </w:r>
          </w:p>
        </w:tc>
        <w:tc>
          <w:tcPr>
            <w:tcW w:w="532" w:type="dxa"/>
            <w:tcBorders>
              <w:bottom w:val="single" w:sz="12" w:space="0" w:color="auto"/>
            </w:tcBorders>
            <w:shd w:val="pct15" w:color="auto" w:fill="auto"/>
          </w:tcPr>
          <w:p w:rsidR="004912B3" w:rsidRPr="006C74C6" w:rsidRDefault="004912B3" w:rsidP="004912B3">
            <w:pPr>
              <w:pStyle w:val="Bezmezer"/>
              <w:rPr>
                <w:rFonts w:cs="Tahoma"/>
                <w:b/>
                <w:sz w:val="18"/>
                <w:szCs w:val="18"/>
              </w:rPr>
            </w:pPr>
            <w:r w:rsidRPr="006C74C6">
              <w:rPr>
                <w:rFonts w:cs="Tahoma"/>
                <w:b/>
                <w:sz w:val="18"/>
                <w:szCs w:val="18"/>
              </w:rPr>
              <w:t>L</w:t>
            </w:r>
          </w:p>
        </w:tc>
        <w:tc>
          <w:tcPr>
            <w:tcW w:w="532" w:type="dxa"/>
            <w:tcBorders>
              <w:bottom w:val="single" w:sz="12" w:space="0" w:color="auto"/>
            </w:tcBorders>
            <w:shd w:val="pct15" w:color="auto" w:fill="auto"/>
          </w:tcPr>
          <w:p w:rsidR="004912B3" w:rsidRPr="006C74C6" w:rsidRDefault="004912B3" w:rsidP="004912B3">
            <w:pPr>
              <w:pStyle w:val="Bezmezer"/>
              <w:rPr>
                <w:rFonts w:cs="Tahoma"/>
                <w:b/>
                <w:sz w:val="18"/>
                <w:szCs w:val="18"/>
              </w:rPr>
            </w:pPr>
            <w:r w:rsidRPr="006C74C6">
              <w:rPr>
                <w:rFonts w:cs="Tahoma"/>
                <w:b/>
                <w:sz w:val="18"/>
                <w:szCs w:val="18"/>
              </w:rPr>
              <w:t>S</w:t>
            </w:r>
          </w:p>
        </w:tc>
        <w:tc>
          <w:tcPr>
            <w:tcW w:w="532" w:type="dxa"/>
            <w:tcBorders>
              <w:bottom w:val="single" w:sz="12" w:space="0" w:color="auto"/>
            </w:tcBorders>
            <w:shd w:val="pct15" w:color="auto" w:fill="auto"/>
          </w:tcPr>
          <w:p w:rsidR="004912B3" w:rsidRPr="006C74C6" w:rsidRDefault="004912B3" w:rsidP="004912B3">
            <w:pPr>
              <w:pStyle w:val="Bezmezer"/>
              <w:rPr>
                <w:rFonts w:cs="Tahoma"/>
                <w:b/>
                <w:sz w:val="18"/>
                <w:szCs w:val="18"/>
              </w:rPr>
            </w:pPr>
            <w:r w:rsidRPr="006C74C6">
              <w:rPr>
                <w:rFonts w:cs="Tahoma"/>
                <w:b/>
                <w:sz w:val="18"/>
                <w:szCs w:val="18"/>
              </w:rPr>
              <w:t>L</w:t>
            </w:r>
          </w:p>
        </w:tc>
        <w:tc>
          <w:tcPr>
            <w:tcW w:w="531" w:type="dxa"/>
            <w:tcBorders>
              <w:bottom w:val="single" w:sz="12" w:space="0" w:color="auto"/>
            </w:tcBorders>
            <w:shd w:val="pct15" w:color="auto" w:fill="auto"/>
          </w:tcPr>
          <w:p w:rsidR="004912B3" w:rsidRPr="006C74C6" w:rsidRDefault="004912B3" w:rsidP="004912B3">
            <w:pPr>
              <w:pStyle w:val="Bezmezer"/>
              <w:rPr>
                <w:rFonts w:cs="Tahoma"/>
                <w:b/>
                <w:sz w:val="18"/>
                <w:szCs w:val="18"/>
              </w:rPr>
            </w:pPr>
            <w:r w:rsidRPr="006C74C6">
              <w:rPr>
                <w:rFonts w:cs="Tahoma"/>
                <w:b/>
                <w:sz w:val="18"/>
                <w:szCs w:val="18"/>
              </w:rPr>
              <w:t>S</w:t>
            </w:r>
          </w:p>
        </w:tc>
        <w:tc>
          <w:tcPr>
            <w:tcW w:w="532" w:type="dxa"/>
            <w:tcBorders>
              <w:bottom w:val="single" w:sz="12" w:space="0" w:color="auto"/>
            </w:tcBorders>
            <w:shd w:val="pct15" w:color="auto" w:fill="auto"/>
          </w:tcPr>
          <w:p w:rsidR="004912B3" w:rsidRPr="006C74C6" w:rsidRDefault="004912B3" w:rsidP="004912B3">
            <w:pPr>
              <w:pStyle w:val="Bezmezer"/>
              <w:rPr>
                <w:rFonts w:cs="Tahoma"/>
                <w:b/>
                <w:sz w:val="18"/>
                <w:szCs w:val="18"/>
              </w:rPr>
            </w:pPr>
            <w:r w:rsidRPr="006C74C6">
              <w:rPr>
                <w:rFonts w:cs="Tahoma"/>
                <w:b/>
                <w:sz w:val="18"/>
                <w:szCs w:val="18"/>
              </w:rPr>
              <w:t>L</w:t>
            </w:r>
          </w:p>
        </w:tc>
        <w:tc>
          <w:tcPr>
            <w:tcW w:w="532" w:type="dxa"/>
            <w:tcBorders>
              <w:bottom w:val="single" w:sz="12" w:space="0" w:color="auto"/>
            </w:tcBorders>
            <w:shd w:val="pct15" w:color="auto" w:fill="auto"/>
          </w:tcPr>
          <w:p w:rsidR="004912B3" w:rsidRPr="006C74C6" w:rsidRDefault="004912B3" w:rsidP="004912B3">
            <w:pPr>
              <w:pStyle w:val="Bezmezer"/>
              <w:rPr>
                <w:rFonts w:cs="Tahoma"/>
                <w:b/>
                <w:sz w:val="18"/>
                <w:szCs w:val="18"/>
              </w:rPr>
            </w:pPr>
            <w:r w:rsidRPr="006C74C6">
              <w:rPr>
                <w:rFonts w:cs="Tahoma"/>
                <w:b/>
                <w:sz w:val="18"/>
                <w:szCs w:val="18"/>
              </w:rPr>
              <w:t>S</w:t>
            </w:r>
          </w:p>
        </w:tc>
        <w:tc>
          <w:tcPr>
            <w:tcW w:w="532" w:type="dxa"/>
            <w:tcBorders>
              <w:bottom w:val="single" w:sz="12" w:space="0" w:color="auto"/>
            </w:tcBorders>
            <w:shd w:val="pct15" w:color="auto" w:fill="auto"/>
          </w:tcPr>
          <w:p w:rsidR="004912B3" w:rsidRPr="006C74C6" w:rsidRDefault="004912B3" w:rsidP="004912B3">
            <w:pPr>
              <w:pStyle w:val="Bezmezer"/>
              <w:rPr>
                <w:rFonts w:cs="Tahoma"/>
                <w:b/>
                <w:sz w:val="18"/>
                <w:szCs w:val="18"/>
              </w:rPr>
            </w:pPr>
            <w:r w:rsidRPr="006C74C6">
              <w:rPr>
                <w:rFonts w:cs="Tahoma"/>
                <w:b/>
                <w:sz w:val="18"/>
                <w:szCs w:val="18"/>
              </w:rPr>
              <w:t>L</w:t>
            </w:r>
          </w:p>
        </w:tc>
      </w:tr>
      <w:tr w:rsidR="004912B3" w:rsidRPr="004912B3" w:rsidTr="006C74C6">
        <w:tc>
          <w:tcPr>
            <w:tcW w:w="2834" w:type="dxa"/>
            <w:vMerge w:val="restart"/>
            <w:tcBorders>
              <w:top w:val="single" w:sz="12" w:space="0" w:color="auto"/>
            </w:tcBorders>
            <w:vAlign w:val="center"/>
          </w:tcPr>
          <w:p w:rsidR="004912B3" w:rsidRPr="006C74C6" w:rsidRDefault="004912B3" w:rsidP="004912B3">
            <w:pPr>
              <w:pStyle w:val="Bezmezer"/>
              <w:rPr>
                <w:rFonts w:cs="Tahoma"/>
                <w:b/>
                <w:sz w:val="18"/>
                <w:szCs w:val="18"/>
              </w:rPr>
            </w:pPr>
            <w:r w:rsidRPr="006C74C6">
              <w:rPr>
                <w:rFonts w:cs="Tahoma"/>
                <w:b/>
                <w:sz w:val="18"/>
                <w:szCs w:val="18"/>
              </w:rPr>
              <w:t>Pardubice – P-Rosice nad L.</w:t>
            </w:r>
          </w:p>
        </w:tc>
        <w:tc>
          <w:tcPr>
            <w:tcW w:w="2268" w:type="dxa"/>
            <w:gridSpan w:val="2"/>
            <w:tcBorders>
              <w:top w:val="single" w:sz="12" w:space="0" w:color="auto"/>
            </w:tcBorders>
          </w:tcPr>
          <w:p w:rsidR="004912B3" w:rsidRPr="006C74C6" w:rsidRDefault="004912B3" w:rsidP="004912B3">
            <w:pPr>
              <w:pStyle w:val="Bezmezer"/>
              <w:rPr>
                <w:rFonts w:cs="Tahoma"/>
                <w:sz w:val="18"/>
                <w:szCs w:val="18"/>
              </w:rPr>
            </w:pPr>
            <w:r w:rsidRPr="006C74C6">
              <w:rPr>
                <w:rFonts w:cs="Tahoma"/>
                <w:sz w:val="18"/>
                <w:szCs w:val="18"/>
              </w:rPr>
              <w:t>pravidelné</w:t>
            </w:r>
          </w:p>
        </w:tc>
        <w:tc>
          <w:tcPr>
            <w:tcW w:w="531"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p>
        </w:tc>
        <w:tc>
          <w:tcPr>
            <w:tcW w:w="531"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r w:rsidRPr="006C74C6">
              <w:rPr>
                <w:rFonts w:cs="Tahoma"/>
                <w:sz w:val="18"/>
                <w:szCs w:val="18"/>
              </w:rPr>
              <w:t>5</w:t>
            </w:r>
          </w:p>
        </w:tc>
        <w:tc>
          <w:tcPr>
            <w:tcW w:w="532" w:type="dxa"/>
            <w:tcBorders>
              <w:top w:val="single" w:sz="12" w:space="0" w:color="auto"/>
            </w:tcBorders>
          </w:tcPr>
          <w:p w:rsidR="004912B3" w:rsidRPr="006C74C6" w:rsidRDefault="004912B3" w:rsidP="004912B3">
            <w:pPr>
              <w:pStyle w:val="Bezmezer"/>
              <w:rPr>
                <w:rFonts w:cs="Tahoma"/>
                <w:sz w:val="18"/>
                <w:szCs w:val="18"/>
              </w:rPr>
            </w:pPr>
            <w:r w:rsidRPr="006C74C6">
              <w:rPr>
                <w:rFonts w:cs="Tahoma"/>
                <w:sz w:val="18"/>
                <w:szCs w:val="18"/>
              </w:rPr>
              <w:t>4</w:t>
            </w:r>
          </w:p>
        </w:tc>
      </w:tr>
      <w:tr w:rsidR="004912B3" w:rsidRPr="004912B3" w:rsidTr="006C74C6">
        <w:tc>
          <w:tcPr>
            <w:tcW w:w="2834" w:type="dxa"/>
            <w:vMerge/>
          </w:tcPr>
          <w:p w:rsidR="004912B3" w:rsidRPr="006C74C6" w:rsidRDefault="004912B3" w:rsidP="004912B3">
            <w:pPr>
              <w:pStyle w:val="Bezmezer"/>
              <w:rPr>
                <w:rFonts w:cs="Tahoma"/>
                <w:sz w:val="18"/>
                <w:szCs w:val="18"/>
              </w:rPr>
            </w:pPr>
          </w:p>
        </w:tc>
        <w:tc>
          <w:tcPr>
            <w:tcW w:w="709" w:type="dxa"/>
            <w:vMerge w:val="restart"/>
            <w:vAlign w:val="center"/>
          </w:tcPr>
          <w:p w:rsidR="004912B3" w:rsidRPr="006C74C6" w:rsidRDefault="004912B3" w:rsidP="004912B3">
            <w:pPr>
              <w:pStyle w:val="Bezmezer"/>
              <w:rPr>
                <w:rFonts w:cs="Tahoma"/>
                <w:sz w:val="18"/>
                <w:szCs w:val="18"/>
              </w:rPr>
            </w:pPr>
            <w:r w:rsidRPr="006C74C6">
              <w:rPr>
                <w:rFonts w:cs="Tahoma"/>
                <w:sz w:val="18"/>
                <w:szCs w:val="18"/>
              </w:rPr>
              <w:t>pp</w:t>
            </w:r>
          </w:p>
        </w:tc>
        <w:tc>
          <w:tcPr>
            <w:tcW w:w="1559" w:type="dxa"/>
          </w:tcPr>
          <w:p w:rsidR="004912B3" w:rsidRPr="006C74C6" w:rsidRDefault="004912B3" w:rsidP="004912B3">
            <w:pPr>
              <w:pStyle w:val="Bezmezer"/>
              <w:rPr>
                <w:rFonts w:cs="Tahoma"/>
                <w:sz w:val="18"/>
                <w:szCs w:val="18"/>
              </w:rPr>
            </w:pPr>
            <w:r w:rsidRPr="006C74C6">
              <w:rPr>
                <w:rFonts w:cs="Tahoma"/>
                <w:sz w:val="18"/>
                <w:szCs w:val="18"/>
              </w:rPr>
              <w:t>ČD Cargo</w:t>
            </w:r>
          </w:p>
        </w:tc>
        <w:tc>
          <w:tcPr>
            <w:tcW w:w="531"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1" w:type="dxa"/>
          </w:tcPr>
          <w:p w:rsidR="004912B3" w:rsidRPr="006C74C6" w:rsidRDefault="004912B3" w:rsidP="004912B3">
            <w:pPr>
              <w:pStyle w:val="Bezmezer"/>
              <w:rPr>
                <w:rFonts w:cs="Tahoma"/>
                <w:sz w:val="18"/>
                <w:szCs w:val="18"/>
              </w:rPr>
            </w:pPr>
            <w:r w:rsidRPr="006C74C6">
              <w:rPr>
                <w:rFonts w:cs="Tahoma"/>
                <w:sz w:val="18"/>
                <w:szCs w:val="18"/>
              </w:rPr>
              <w:t>3</w:t>
            </w:r>
          </w:p>
        </w:tc>
        <w:tc>
          <w:tcPr>
            <w:tcW w:w="532" w:type="dxa"/>
          </w:tcPr>
          <w:p w:rsidR="004912B3" w:rsidRPr="006C74C6" w:rsidRDefault="004912B3" w:rsidP="004912B3">
            <w:pPr>
              <w:pStyle w:val="Bezmezer"/>
              <w:rPr>
                <w:rFonts w:cs="Tahoma"/>
                <w:sz w:val="18"/>
                <w:szCs w:val="18"/>
              </w:rPr>
            </w:pPr>
            <w:r w:rsidRPr="006C74C6">
              <w:rPr>
                <w:rFonts w:cs="Tahoma"/>
                <w:sz w:val="18"/>
                <w:szCs w:val="18"/>
              </w:rPr>
              <w:t>2</w:t>
            </w:r>
          </w:p>
        </w:tc>
        <w:tc>
          <w:tcPr>
            <w:tcW w:w="532" w:type="dxa"/>
          </w:tcPr>
          <w:p w:rsidR="004912B3" w:rsidRPr="006C74C6" w:rsidRDefault="004912B3" w:rsidP="004912B3">
            <w:pPr>
              <w:pStyle w:val="Bezmezer"/>
              <w:rPr>
                <w:rFonts w:cs="Tahoma"/>
                <w:sz w:val="18"/>
                <w:szCs w:val="18"/>
              </w:rPr>
            </w:pPr>
            <w:r w:rsidRPr="006C74C6">
              <w:rPr>
                <w:rFonts w:cs="Tahoma"/>
                <w:sz w:val="18"/>
                <w:szCs w:val="18"/>
              </w:rPr>
              <w:t>1</w:t>
            </w:r>
          </w:p>
        </w:tc>
        <w:tc>
          <w:tcPr>
            <w:tcW w:w="532" w:type="dxa"/>
          </w:tcPr>
          <w:p w:rsidR="004912B3" w:rsidRPr="006C74C6" w:rsidRDefault="004912B3" w:rsidP="004912B3">
            <w:pPr>
              <w:pStyle w:val="Bezmezer"/>
              <w:rPr>
                <w:rFonts w:cs="Tahoma"/>
                <w:sz w:val="18"/>
                <w:szCs w:val="18"/>
              </w:rPr>
            </w:pPr>
          </w:p>
        </w:tc>
      </w:tr>
      <w:tr w:rsidR="004912B3" w:rsidRPr="004912B3" w:rsidTr="006C74C6">
        <w:tc>
          <w:tcPr>
            <w:tcW w:w="2834" w:type="dxa"/>
            <w:vMerge/>
          </w:tcPr>
          <w:p w:rsidR="004912B3" w:rsidRPr="006C74C6" w:rsidRDefault="004912B3" w:rsidP="004912B3">
            <w:pPr>
              <w:pStyle w:val="Bezmezer"/>
              <w:rPr>
                <w:rFonts w:cs="Tahoma"/>
                <w:sz w:val="18"/>
                <w:szCs w:val="18"/>
              </w:rPr>
            </w:pPr>
          </w:p>
        </w:tc>
        <w:tc>
          <w:tcPr>
            <w:tcW w:w="709" w:type="dxa"/>
            <w:vMerge/>
          </w:tcPr>
          <w:p w:rsidR="004912B3" w:rsidRPr="006C74C6" w:rsidRDefault="004912B3" w:rsidP="004912B3">
            <w:pPr>
              <w:pStyle w:val="Bezmezer"/>
              <w:rPr>
                <w:rFonts w:cs="Tahoma"/>
                <w:sz w:val="18"/>
                <w:szCs w:val="18"/>
              </w:rPr>
            </w:pPr>
          </w:p>
        </w:tc>
        <w:tc>
          <w:tcPr>
            <w:tcW w:w="1559" w:type="dxa"/>
          </w:tcPr>
          <w:p w:rsidR="004912B3" w:rsidRPr="006C74C6" w:rsidRDefault="004912B3" w:rsidP="004912B3">
            <w:pPr>
              <w:pStyle w:val="Bezmezer"/>
              <w:rPr>
                <w:rFonts w:cs="Tahoma"/>
                <w:sz w:val="18"/>
                <w:szCs w:val="18"/>
              </w:rPr>
            </w:pPr>
            <w:r w:rsidRPr="006C74C6">
              <w:rPr>
                <w:rFonts w:cs="Tahoma"/>
                <w:sz w:val="18"/>
                <w:szCs w:val="18"/>
              </w:rPr>
              <w:t>AWT</w:t>
            </w:r>
          </w:p>
        </w:tc>
        <w:tc>
          <w:tcPr>
            <w:tcW w:w="531" w:type="dxa"/>
          </w:tcPr>
          <w:p w:rsidR="004912B3" w:rsidRPr="006C74C6" w:rsidRDefault="004912B3" w:rsidP="004912B3">
            <w:pPr>
              <w:pStyle w:val="Bezmezer"/>
              <w:rPr>
                <w:rFonts w:cs="Tahoma"/>
                <w:sz w:val="18"/>
                <w:szCs w:val="18"/>
              </w:rPr>
            </w:pPr>
            <w:r w:rsidRPr="006C74C6">
              <w:rPr>
                <w:rFonts w:cs="Tahoma"/>
                <w:sz w:val="18"/>
                <w:szCs w:val="18"/>
              </w:rPr>
              <w:t>1</w:t>
            </w: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r w:rsidRPr="006C74C6">
              <w:rPr>
                <w:rFonts w:cs="Tahoma"/>
                <w:sz w:val="18"/>
                <w:szCs w:val="18"/>
              </w:rPr>
              <w:t>2</w:t>
            </w:r>
          </w:p>
        </w:tc>
        <w:tc>
          <w:tcPr>
            <w:tcW w:w="531" w:type="dxa"/>
          </w:tcPr>
          <w:p w:rsidR="004912B3" w:rsidRPr="006C74C6" w:rsidRDefault="004912B3" w:rsidP="004912B3">
            <w:pPr>
              <w:pStyle w:val="Bezmezer"/>
              <w:rPr>
                <w:rFonts w:cs="Tahoma"/>
                <w:sz w:val="18"/>
                <w:szCs w:val="18"/>
              </w:rPr>
            </w:pPr>
            <w:r w:rsidRPr="006C74C6">
              <w:rPr>
                <w:rFonts w:cs="Tahoma"/>
                <w:sz w:val="18"/>
                <w:szCs w:val="18"/>
              </w:rPr>
              <w:t>1</w:t>
            </w: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r>
      <w:tr w:rsidR="004912B3" w:rsidRPr="004912B3" w:rsidTr="006C74C6">
        <w:tc>
          <w:tcPr>
            <w:tcW w:w="2834" w:type="dxa"/>
            <w:vMerge/>
          </w:tcPr>
          <w:p w:rsidR="004912B3" w:rsidRPr="006C74C6" w:rsidRDefault="004912B3" w:rsidP="004912B3">
            <w:pPr>
              <w:pStyle w:val="Bezmezer"/>
              <w:rPr>
                <w:rFonts w:cs="Tahoma"/>
                <w:sz w:val="18"/>
                <w:szCs w:val="18"/>
              </w:rPr>
            </w:pPr>
          </w:p>
        </w:tc>
        <w:tc>
          <w:tcPr>
            <w:tcW w:w="709" w:type="dxa"/>
            <w:vMerge/>
          </w:tcPr>
          <w:p w:rsidR="004912B3" w:rsidRPr="006C74C6" w:rsidRDefault="004912B3" w:rsidP="004912B3">
            <w:pPr>
              <w:pStyle w:val="Bezmezer"/>
              <w:rPr>
                <w:rFonts w:cs="Tahoma"/>
                <w:sz w:val="18"/>
                <w:szCs w:val="18"/>
              </w:rPr>
            </w:pPr>
          </w:p>
        </w:tc>
        <w:tc>
          <w:tcPr>
            <w:tcW w:w="1559" w:type="dxa"/>
          </w:tcPr>
          <w:p w:rsidR="004912B3" w:rsidRPr="006C74C6" w:rsidRDefault="004912B3" w:rsidP="004912B3">
            <w:pPr>
              <w:pStyle w:val="Bezmezer"/>
              <w:rPr>
                <w:rFonts w:cs="Tahoma"/>
                <w:sz w:val="18"/>
                <w:szCs w:val="18"/>
              </w:rPr>
            </w:pPr>
            <w:r w:rsidRPr="006C74C6">
              <w:rPr>
                <w:rFonts w:cs="Tahoma"/>
                <w:sz w:val="18"/>
                <w:szCs w:val="18"/>
              </w:rPr>
              <w:t>Unipetrol</w:t>
            </w:r>
          </w:p>
        </w:tc>
        <w:tc>
          <w:tcPr>
            <w:tcW w:w="531"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1" w:type="dxa"/>
          </w:tcPr>
          <w:p w:rsidR="004912B3" w:rsidRPr="006C74C6" w:rsidRDefault="004912B3" w:rsidP="004912B3">
            <w:pPr>
              <w:pStyle w:val="Bezmezer"/>
              <w:rPr>
                <w:rFonts w:cs="Tahoma"/>
                <w:sz w:val="18"/>
                <w:szCs w:val="18"/>
              </w:rPr>
            </w:pPr>
            <w:r w:rsidRPr="006C74C6">
              <w:rPr>
                <w:rFonts w:cs="Tahoma"/>
                <w:sz w:val="18"/>
                <w:szCs w:val="18"/>
              </w:rPr>
              <w:t>1</w:t>
            </w:r>
          </w:p>
        </w:tc>
        <w:tc>
          <w:tcPr>
            <w:tcW w:w="532" w:type="dxa"/>
          </w:tcPr>
          <w:p w:rsidR="004912B3" w:rsidRPr="006C74C6" w:rsidRDefault="004912B3" w:rsidP="004912B3">
            <w:pPr>
              <w:pStyle w:val="Bezmezer"/>
              <w:rPr>
                <w:rFonts w:cs="Tahoma"/>
                <w:sz w:val="18"/>
                <w:szCs w:val="18"/>
              </w:rPr>
            </w:pPr>
            <w:r w:rsidRPr="006C74C6">
              <w:rPr>
                <w:rFonts w:cs="Tahoma"/>
                <w:sz w:val="18"/>
                <w:szCs w:val="18"/>
              </w:rPr>
              <w:t>1</w:t>
            </w: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r>
      <w:tr w:rsidR="004912B3" w:rsidRPr="004912B3" w:rsidTr="006C74C6">
        <w:tc>
          <w:tcPr>
            <w:tcW w:w="2834" w:type="dxa"/>
            <w:vMerge/>
            <w:tcBorders>
              <w:bottom w:val="single" w:sz="4" w:space="0" w:color="auto"/>
            </w:tcBorders>
          </w:tcPr>
          <w:p w:rsidR="004912B3" w:rsidRPr="006C74C6" w:rsidRDefault="004912B3" w:rsidP="004912B3">
            <w:pPr>
              <w:pStyle w:val="Bezmezer"/>
              <w:rPr>
                <w:rFonts w:cs="Tahoma"/>
                <w:sz w:val="18"/>
                <w:szCs w:val="18"/>
              </w:rPr>
            </w:pPr>
          </w:p>
        </w:tc>
        <w:tc>
          <w:tcPr>
            <w:tcW w:w="709" w:type="dxa"/>
            <w:vMerge/>
            <w:tcBorders>
              <w:bottom w:val="single" w:sz="4" w:space="0" w:color="auto"/>
            </w:tcBorders>
          </w:tcPr>
          <w:p w:rsidR="004912B3" w:rsidRPr="006C74C6" w:rsidRDefault="004912B3" w:rsidP="004912B3">
            <w:pPr>
              <w:pStyle w:val="Bezmezer"/>
              <w:rPr>
                <w:rFonts w:cs="Tahoma"/>
                <w:sz w:val="18"/>
                <w:szCs w:val="18"/>
              </w:rPr>
            </w:pPr>
          </w:p>
        </w:tc>
        <w:tc>
          <w:tcPr>
            <w:tcW w:w="1559" w:type="dxa"/>
            <w:tcBorders>
              <w:bottom w:val="single" w:sz="4" w:space="0" w:color="auto"/>
            </w:tcBorders>
          </w:tcPr>
          <w:p w:rsidR="004912B3" w:rsidRPr="006C74C6" w:rsidRDefault="004912B3" w:rsidP="004912B3">
            <w:pPr>
              <w:pStyle w:val="Bezmezer"/>
              <w:rPr>
                <w:rFonts w:cs="Tahoma"/>
                <w:sz w:val="18"/>
                <w:szCs w:val="18"/>
              </w:rPr>
            </w:pPr>
            <w:r w:rsidRPr="006C74C6">
              <w:rPr>
                <w:rFonts w:cs="Tahoma"/>
                <w:sz w:val="18"/>
                <w:szCs w:val="18"/>
              </w:rPr>
              <w:t>nabídk. trasy</w:t>
            </w:r>
          </w:p>
        </w:tc>
        <w:tc>
          <w:tcPr>
            <w:tcW w:w="531" w:type="dxa"/>
            <w:tcBorders>
              <w:bottom w:val="single" w:sz="4" w:space="0" w:color="auto"/>
            </w:tcBorders>
          </w:tcPr>
          <w:p w:rsidR="004912B3" w:rsidRPr="006C74C6" w:rsidRDefault="004912B3" w:rsidP="004912B3">
            <w:pPr>
              <w:pStyle w:val="Bezmezer"/>
              <w:rPr>
                <w:rFonts w:cs="Tahoma"/>
                <w:sz w:val="18"/>
                <w:szCs w:val="18"/>
              </w:rPr>
            </w:pPr>
          </w:p>
        </w:tc>
        <w:tc>
          <w:tcPr>
            <w:tcW w:w="532" w:type="dxa"/>
            <w:tcBorders>
              <w:bottom w:val="single" w:sz="4" w:space="0" w:color="auto"/>
            </w:tcBorders>
          </w:tcPr>
          <w:p w:rsidR="004912B3" w:rsidRPr="006C74C6" w:rsidRDefault="004912B3" w:rsidP="004912B3">
            <w:pPr>
              <w:pStyle w:val="Bezmezer"/>
              <w:rPr>
                <w:rFonts w:cs="Tahoma"/>
                <w:sz w:val="18"/>
                <w:szCs w:val="18"/>
              </w:rPr>
            </w:pPr>
          </w:p>
        </w:tc>
        <w:tc>
          <w:tcPr>
            <w:tcW w:w="532" w:type="dxa"/>
            <w:tcBorders>
              <w:bottom w:val="single" w:sz="4" w:space="0" w:color="auto"/>
            </w:tcBorders>
          </w:tcPr>
          <w:p w:rsidR="004912B3" w:rsidRPr="006C74C6" w:rsidRDefault="004912B3" w:rsidP="004912B3">
            <w:pPr>
              <w:pStyle w:val="Bezmezer"/>
              <w:rPr>
                <w:rFonts w:cs="Tahoma"/>
                <w:sz w:val="18"/>
                <w:szCs w:val="18"/>
              </w:rPr>
            </w:pPr>
          </w:p>
        </w:tc>
        <w:tc>
          <w:tcPr>
            <w:tcW w:w="532" w:type="dxa"/>
            <w:tcBorders>
              <w:bottom w:val="single" w:sz="4" w:space="0" w:color="auto"/>
            </w:tcBorders>
          </w:tcPr>
          <w:p w:rsidR="004912B3" w:rsidRPr="006C74C6" w:rsidRDefault="004912B3" w:rsidP="004912B3">
            <w:pPr>
              <w:pStyle w:val="Bezmezer"/>
              <w:rPr>
                <w:rFonts w:cs="Tahoma"/>
                <w:sz w:val="18"/>
                <w:szCs w:val="18"/>
              </w:rPr>
            </w:pPr>
          </w:p>
        </w:tc>
        <w:tc>
          <w:tcPr>
            <w:tcW w:w="531" w:type="dxa"/>
            <w:tcBorders>
              <w:bottom w:val="single" w:sz="4" w:space="0" w:color="auto"/>
            </w:tcBorders>
          </w:tcPr>
          <w:p w:rsidR="004912B3" w:rsidRPr="006C74C6" w:rsidRDefault="004912B3" w:rsidP="004912B3">
            <w:pPr>
              <w:pStyle w:val="Bezmezer"/>
              <w:rPr>
                <w:rFonts w:cs="Tahoma"/>
                <w:sz w:val="18"/>
                <w:szCs w:val="18"/>
              </w:rPr>
            </w:pPr>
            <w:r w:rsidRPr="006C74C6">
              <w:rPr>
                <w:rFonts w:cs="Tahoma"/>
                <w:sz w:val="18"/>
                <w:szCs w:val="18"/>
              </w:rPr>
              <w:t>6</w:t>
            </w:r>
          </w:p>
        </w:tc>
        <w:tc>
          <w:tcPr>
            <w:tcW w:w="532" w:type="dxa"/>
            <w:tcBorders>
              <w:bottom w:val="single" w:sz="4" w:space="0" w:color="auto"/>
            </w:tcBorders>
          </w:tcPr>
          <w:p w:rsidR="004912B3" w:rsidRPr="006C74C6" w:rsidRDefault="004912B3" w:rsidP="004912B3">
            <w:pPr>
              <w:pStyle w:val="Bezmezer"/>
              <w:rPr>
                <w:rFonts w:cs="Tahoma"/>
                <w:sz w:val="18"/>
                <w:szCs w:val="18"/>
              </w:rPr>
            </w:pPr>
            <w:r w:rsidRPr="006C74C6">
              <w:rPr>
                <w:rFonts w:cs="Tahoma"/>
                <w:sz w:val="18"/>
                <w:szCs w:val="18"/>
              </w:rPr>
              <w:t>6</w:t>
            </w:r>
          </w:p>
        </w:tc>
        <w:tc>
          <w:tcPr>
            <w:tcW w:w="532" w:type="dxa"/>
            <w:tcBorders>
              <w:bottom w:val="single" w:sz="4" w:space="0" w:color="auto"/>
            </w:tcBorders>
          </w:tcPr>
          <w:p w:rsidR="004912B3" w:rsidRPr="006C74C6" w:rsidRDefault="004912B3" w:rsidP="004912B3">
            <w:pPr>
              <w:pStyle w:val="Bezmezer"/>
              <w:rPr>
                <w:rFonts w:cs="Tahoma"/>
                <w:sz w:val="18"/>
                <w:szCs w:val="18"/>
              </w:rPr>
            </w:pPr>
          </w:p>
        </w:tc>
        <w:tc>
          <w:tcPr>
            <w:tcW w:w="532" w:type="dxa"/>
            <w:tcBorders>
              <w:bottom w:val="single" w:sz="4" w:space="0" w:color="auto"/>
            </w:tcBorders>
          </w:tcPr>
          <w:p w:rsidR="004912B3" w:rsidRPr="006C74C6" w:rsidRDefault="004912B3" w:rsidP="004912B3">
            <w:pPr>
              <w:pStyle w:val="Bezmezer"/>
              <w:rPr>
                <w:rFonts w:cs="Tahoma"/>
                <w:sz w:val="18"/>
                <w:szCs w:val="18"/>
              </w:rPr>
            </w:pPr>
          </w:p>
        </w:tc>
      </w:tr>
      <w:tr w:rsidR="004912B3" w:rsidRPr="004912B3" w:rsidTr="006C74C6">
        <w:tc>
          <w:tcPr>
            <w:tcW w:w="5102" w:type="dxa"/>
            <w:gridSpan w:val="3"/>
            <w:tcBorders>
              <w:bottom w:val="single" w:sz="12" w:space="0" w:color="auto"/>
            </w:tcBorders>
          </w:tcPr>
          <w:p w:rsidR="004912B3" w:rsidRPr="006C74C6" w:rsidRDefault="004912B3" w:rsidP="004912B3">
            <w:pPr>
              <w:pStyle w:val="Bezmezer"/>
              <w:rPr>
                <w:rFonts w:cs="Tahoma"/>
                <w:sz w:val="18"/>
                <w:szCs w:val="18"/>
              </w:rPr>
            </w:pPr>
            <w:r w:rsidRPr="006C74C6">
              <w:rPr>
                <w:rFonts w:cs="Tahoma"/>
                <w:sz w:val="18"/>
                <w:szCs w:val="18"/>
              </w:rPr>
              <w:t>celkem</w:t>
            </w:r>
          </w:p>
        </w:tc>
        <w:tc>
          <w:tcPr>
            <w:tcW w:w="531" w:type="dxa"/>
            <w:tcBorders>
              <w:bottom w:val="single" w:sz="12" w:space="0" w:color="auto"/>
            </w:tcBorders>
          </w:tcPr>
          <w:p w:rsidR="004912B3" w:rsidRPr="00F54092" w:rsidRDefault="004912B3" w:rsidP="004912B3">
            <w:pPr>
              <w:pStyle w:val="Bezmezer"/>
              <w:rPr>
                <w:rFonts w:cs="Tahoma"/>
                <w:b/>
                <w:sz w:val="18"/>
                <w:szCs w:val="18"/>
              </w:rPr>
            </w:pPr>
            <w:r w:rsidRPr="00F54092">
              <w:rPr>
                <w:rFonts w:cs="Tahoma"/>
                <w:b/>
                <w:sz w:val="18"/>
                <w:szCs w:val="18"/>
              </w:rPr>
              <w:t>1</w:t>
            </w:r>
          </w:p>
        </w:tc>
        <w:tc>
          <w:tcPr>
            <w:tcW w:w="532" w:type="dxa"/>
            <w:tcBorders>
              <w:bottom w:val="single" w:sz="12" w:space="0" w:color="auto"/>
            </w:tcBorders>
          </w:tcPr>
          <w:p w:rsidR="004912B3" w:rsidRPr="00F54092" w:rsidRDefault="004912B3" w:rsidP="004912B3">
            <w:pPr>
              <w:pStyle w:val="Bezmezer"/>
              <w:rPr>
                <w:rFonts w:cs="Tahoma"/>
                <w:b/>
                <w:sz w:val="18"/>
                <w:szCs w:val="18"/>
              </w:rPr>
            </w:pPr>
          </w:p>
        </w:tc>
        <w:tc>
          <w:tcPr>
            <w:tcW w:w="532" w:type="dxa"/>
            <w:tcBorders>
              <w:bottom w:val="single" w:sz="12" w:space="0" w:color="auto"/>
            </w:tcBorders>
          </w:tcPr>
          <w:p w:rsidR="004912B3" w:rsidRPr="00F54092" w:rsidRDefault="004912B3" w:rsidP="004912B3">
            <w:pPr>
              <w:pStyle w:val="Bezmezer"/>
              <w:rPr>
                <w:rFonts w:cs="Tahoma"/>
                <w:b/>
                <w:sz w:val="18"/>
                <w:szCs w:val="18"/>
              </w:rPr>
            </w:pPr>
          </w:p>
        </w:tc>
        <w:tc>
          <w:tcPr>
            <w:tcW w:w="532" w:type="dxa"/>
            <w:tcBorders>
              <w:bottom w:val="single" w:sz="12" w:space="0" w:color="auto"/>
            </w:tcBorders>
          </w:tcPr>
          <w:p w:rsidR="004912B3" w:rsidRPr="00F54092" w:rsidRDefault="004912B3" w:rsidP="004912B3">
            <w:pPr>
              <w:pStyle w:val="Bezmezer"/>
              <w:rPr>
                <w:rFonts w:cs="Tahoma"/>
                <w:b/>
                <w:sz w:val="18"/>
                <w:szCs w:val="18"/>
              </w:rPr>
            </w:pPr>
            <w:r w:rsidRPr="00F54092">
              <w:rPr>
                <w:rFonts w:cs="Tahoma"/>
                <w:b/>
                <w:sz w:val="18"/>
                <w:szCs w:val="18"/>
              </w:rPr>
              <w:t>2</w:t>
            </w:r>
          </w:p>
        </w:tc>
        <w:tc>
          <w:tcPr>
            <w:tcW w:w="531" w:type="dxa"/>
            <w:tcBorders>
              <w:bottom w:val="single" w:sz="12" w:space="0" w:color="auto"/>
            </w:tcBorders>
          </w:tcPr>
          <w:p w:rsidR="004912B3" w:rsidRPr="00F54092" w:rsidRDefault="004912B3" w:rsidP="004912B3">
            <w:pPr>
              <w:pStyle w:val="Bezmezer"/>
              <w:rPr>
                <w:rFonts w:cs="Tahoma"/>
                <w:b/>
                <w:sz w:val="18"/>
                <w:szCs w:val="18"/>
              </w:rPr>
            </w:pPr>
            <w:r w:rsidRPr="00F54092">
              <w:rPr>
                <w:rFonts w:cs="Tahoma"/>
                <w:b/>
                <w:sz w:val="18"/>
                <w:szCs w:val="18"/>
              </w:rPr>
              <w:t>11</w:t>
            </w:r>
          </w:p>
        </w:tc>
        <w:tc>
          <w:tcPr>
            <w:tcW w:w="532" w:type="dxa"/>
            <w:tcBorders>
              <w:bottom w:val="single" w:sz="12" w:space="0" w:color="auto"/>
            </w:tcBorders>
          </w:tcPr>
          <w:p w:rsidR="004912B3" w:rsidRPr="00F54092" w:rsidRDefault="004912B3" w:rsidP="004912B3">
            <w:pPr>
              <w:pStyle w:val="Bezmezer"/>
              <w:rPr>
                <w:rFonts w:cs="Tahoma"/>
                <w:b/>
                <w:sz w:val="18"/>
                <w:szCs w:val="18"/>
              </w:rPr>
            </w:pPr>
            <w:r w:rsidRPr="00F54092">
              <w:rPr>
                <w:rFonts w:cs="Tahoma"/>
                <w:b/>
                <w:sz w:val="18"/>
                <w:szCs w:val="18"/>
              </w:rPr>
              <w:t>9</w:t>
            </w:r>
          </w:p>
        </w:tc>
        <w:tc>
          <w:tcPr>
            <w:tcW w:w="532" w:type="dxa"/>
            <w:tcBorders>
              <w:bottom w:val="single" w:sz="12" w:space="0" w:color="auto"/>
            </w:tcBorders>
          </w:tcPr>
          <w:p w:rsidR="004912B3" w:rsidRPr="00F54092" w:rsidRDefault="004912B3" w:rsidP="004912B3">
            <w:pPr>
              <w:pStyle w:val="Bezmezer"/>
              <w:rPr>
                <w:rFonts w:cs="Tahoma"/>
                <w:b/>
                <w:sz w:val="18"/>
                <w:szCs w:val="18"/>
              </w:rPr>
            </w:pPr>
            <w:r w:rsidRPr="00F54092">
              <w:rPr>
                <w:rFonts w:cs="Tahoma"/>
                <w:b/>
                <w:sz w:val="18"/>
                <w:szCs w:val="18"/>
              </w:rPr>
              <w:t>6</w:t>
            </w:r>
          </w:p>
        </w:tc>
        <w:tc>
          <w:tcPr>
            <w:tcW w:w="532" w:type="dxa"/>
            <w:tcBorders>
              <w:bottom w:val="single" w:sz="12" w:space="0" w:color="auto"/>
            </w:tcBorders>
          </w:tcPr>
          <w:p w:rsidR="004912B3" w:rsidRPr="00F54092" w:rsidRDefault="004912B3" w:rsidP="004912B3">
            <w:pPr>
              <w:pStyle w:val="Bezmezer"/>
              <w:rPr>
                <w:rFonts w:cs="Tahoma"/>
                <w:b/>
                <w:sz w:val="18"/>
                <w:szCs w:val="18"/>
              </w:rPr>
            </w:pPr>
            <w:r w:rsidRPr="00F54092">
              <w:rPr>
                <w:rFonts w:cs="Tahoma"/>
                <w:b/>
                <w:sz w:val="18"/>
                <w:szCs w:val="18"/>
              </w:rPr>
              <w:t>4</w:t>
            </w:r>
          </w:p>
        </w:tc>
      </w:tr>
      <w:tr w:rsidR="004912B3" w:rsidRPr="004912B3" w:rsidTr="006C74C6">
        <w:tc>
          <w:tcPr>
            <w:tcW w:w="2834" w:type="dxa"/>
            <w:vMerge w:val="restart"/>
            <w:tcBorders>
              <w:top w:val="single" w:sz="12" w:space="0" w:color="auto"/>
            </w:tcBorders>
            <w:vAlign w:val="center"/>
          </w:tcPr>
          <w:p w:rsidR="004912B3" w:rsidRPr="006C74C6" w:rsidRDefault="004912B3" w:rsidP="004912B3">
            <w:pPr>
              <w:pStyle w:val="Bezmezer"/>
              <w:rPr>
                <w:rFonts w:cs="Tahoma"/>
                <w:b/>
                <w:sz w:val="18"/>
                <w:szCs w:val="18"/>
              </w:rPr>
            </w:pPr>
            <w:r w:rsidRPr="006C74C6">
              <w:rPr>
                <w:rFonts w:cs="Tahoma"/>
                <w:b/>
                <w:sz w:val="18"/>
                <w:szCs w:val="18"/>
              </w:rPr>
              <w:t>P-Rosice n/L. – Opatovice n/L.</w:t>
            </w:r>
          </w:p>
        </w:tc>
        <w:tc>
          <w:tcPr>
            <w:tcW w:w="2268" w:type="dxa"/>
            <w:gridSpan w:val="2"/>
            <w:tcBorders>
              <w:top w:val="single" w:sz="12" w:space="0" w:color="auto"/>
            </w:tcBorders>
          </w:tcPr>
          <w:p w:rsidR="004912B3" w:rsidRPr="006C74C6" w:rsidRDefault="004912B3" w:rsidP="004912B3">
            <w:pPr>
              <w:pStyle w:val="Bezmezer"/>
              <w:rPr>
                <w:rFonts w:cs="Tahoma"/>
                <w:sz w:val="18"/>
                <w:szCs w:val="18"/>
              </w:rPr>
            </w:pPr>
            <w:r w:rsidRPr="006C74C6">
              <w:rPr>
                <w:rFonts w:cs="Tahoma"/>
                <w:sz w:val="18"/>
                <w:szCs w:val="18"/>
              </w:rPr>
              <w:t>pravidelné</w:t>
            </w:r>
          </w:p>
        </w:tc>
        <w:tc>
          <w:tcPr>
            <w:tcW w:w="531"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p>
        </w:tc>
        <w:tc>
          <w:tcPr>
            <w:tcW w:w="531"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r w:rsidRPr="006C74C6">
              <w:rPr>
                <w:rFonts w:cs="Tahoma"/>
                <w:sz w:val="18"/>
                <w:szCs w:val="18"/>
              </w:rPr>
              <w:t>2</w:t>
            </w:r>
          </w:p>
        </w:tc>
        <w:tc>
          <w:tcPr>
            <w:tcW w:w="532" w:type="dxa"/>
            <w:tcBorders>
              <w:top w:val="single" w:sz="12" w:space="0" w:color="auto"/>
            </w:tcBorders>
          </w:tcPr>
          <w:p w:rsidR="004912B3" w:rsidRPr="006C74C6" w:rsidRDefault="004912B3" w:rsidP="004912B3">
            <w:pPr>
              <w:pStyle w:val="Bezmezer"/>
              <w:rPr>
                <w:rFonts w:cs="Tahoma"/>
                <w:sz w:val="18"/>
                <w:szCs w:val="18"/>
              </w:rPr>
            </w:pPr>
            <w:r w:rsidRPr="006C74C6">
              <w:rPr>
                <w:rFonts w:cs="Tahoma"/>
                <w:sz w:val="18"/>
                <w:szCs w:val="18"/>
              </w:rPr>
              <w:t>2</w:t>
            </w:r>
          </w:p>
        </w:tc>
      </w:tr>
      <w:tr w:rsidR="004912B3" w:rsidRPr="004912B3" w:rsidTr="006C74C6">
        <w:tc>
          <w:tcPr>
            <w:tcW w:w="2834" w:type="dxa"/>
            <w:vMerge/>
          </w:tcPr>
          <w:p w:rsidR="004912B3" w:rsidRPr="006C74C6" w:rsidRDefault="004912B3" w:rsidP="004912B3">
            <w:pPr>
              <w:pStyle w:val="Bezmezer"/>
              <w:rPr>
                <w:rFonts w:cs="Tahoma"/>
                <w:sz w:val="18"/>
                <w:szCs w:val="18"/>
              </w:rPr>
            </w:pPr>
          </w:p>
        </w:tc>
        <w:tc>
          <w:tcPr>
            <w:tcW w:w="709" w:type="dxa"/>
            <w:vMerge w:val="restart"/>
            <w:vAlign w:val="center"/>
          </w:tcPr>
          <w:p w:rsidR="004912B3" w:rsidRPr="006C74C6" w:rsidRDefault="004912B3" w:rsidP="004912B3">
            <w:pPr>
              <w:pStyle w:val="Bezmezer"/>
              <w:rPr>
                <w:rFonts w:cs="Tahoma"/>
                <w:sz w:val="18"/>
                <w:szCs w:val="18"/>
              </w:rPr>
            </w:pPr>
            <w:r w:rsidRPr="006C74C6">
              <w:rPr>
                <w:rFonts w:cs="Tahoma"/>
                <w:sz w:val="18"/>
                <w:szCs w:val="18"/>
              </w:rPr>
              <w:t>pp</w:t>
            </w:r>
          </w:p>
        </w:tc>
        <w:tc>
          <w:tcPr>
            <w:tcW w:w="1559" w:type="dxa"/>
          </w:tcPr>
          <w:p w:rsidR="004912B3" w:rsidRPr="006C74C6" w:rsidRDefault="004912B3" w:rsidP="004912B3">
            <w:pPr>
              <w:pStyle w:val="Bezmezer"/>
              <w:rPr>
                <w:rFonts w:cs="Tahoma"/>
                <w:sz w:val="18"/>
                <w:szCs w:val="18"/>
              </w:rPr>
            </w:pPr>
            <w:r w:rsidRPr="006C74C6">
              <w:rPr>
                <w:rFonts w:cs="Tahoma"/>
                <w:sz w:val="18"/>
                <w:szCs w:val="18"/>
              </w:rPr>
              <w:t>ČD Cargo</w:t>
            </w:r>
          </w:p>
        </w:tc>
        <w:tc>
          <w:tcPr>
            <w:tcW w:w="531"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1" w:type="dxa"/>
          </w:tcPr>
          <w:p w:rsidR="004912B3" w:rsidRPr="006C74C6" w:rsidRDefault="004912B3" w:rsidP="004912B3">
            <w:pPr>
              <w:pStyle w:val="Bezmezer"/>
              <w:rPr>
                <w:rFonts w:cs="Tahoma"/>
                <w:sz w:val="18"/>
                <w:szCs w:val="18"/>
              </w:rPr>
            </w:pPr>
            <w:r w:rsidRPr="006C74C6">
              <w:rPr>
                <w:rFonts w:cs="Tahoma"/>
                <w:sz w:val="18"/>
                <w:szCs w:val="18"/>
              </w:rPr>
              <w:t>1</w:t>
            </w:r>
          </w:p>
        </w:tc>
        <w:tc>
          <w:tcPr>
            <w:tcW w:w="532" w:type="dxa"/>
          </w:tcPr>
          <w:p w:rsidR="004912B3" w:rsidRPr="006C74C6" w:rsidRDefault="004912B3" w:rsidP="004912B3">
            <w:pPr>
              <w:pStyle w:val="Bezmezer"/>
              <w:rPr>
                <w:rFonts w:cs="Tahoma"/>
                <w:sz w:val="18"/>
                <w:szCs w:val="18"/>
              </w:rPr>
            </w:pPr>
            <w:r w:rsidRPr="006C74C6">
              <w:rPr>
                <w:rFonts w:cs="Tahoma"/>
                <w:sz w:val="18"/>
                <w:szCs w:val="18"/>
              </w:rPr>
              <w:t>1</w:t>
            </w: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r>
      <w:tr w:rsidR="004912B3" w:rsidRPr="004912B3" w:rsidTr="006C74C6">
        <w:tc>
          <w:tcPr>
            <w:tcW w:w="2834" w:type="dxa"/>
            <w:vMerge/>
          </w:tcPr>
          <w:p w:rsidR="004912B3" w:rsidRPr="006C74C6" w:rsidRDefault="004912B3" w:rsidP="004912B3">
            <w:pPr>
              <w:pStyle w:val="Bezmezer"/>
              <w:rPr>
                <w:rFonts w:cs="Tahoma"/>
                <w:sz w:val="18"/>
                <w:szCs w:val="18"/>
              </w:rPr>
            </w:pPr>
          </w:p>
        </w:tc>
        <w:tc>
          <w:tcPr>
            <w:tcW w:w="709" w:type="dxa"/>
            <w:vMerge/>
          </w:tcPr>
          <w:p w:rsidR="004912B3" w:rsidRPr="006C74C6" w:rsidRDefault="004912B3" w:rsidP="004912B3">
            <w:pPr>
              <w:pStyle w:val="Bezmezer"/>
              <w:rPr>
                <w:rFonts w:cs="Tahoma"/>
                <w:sz w:val="18"/>
                <w:szCs w:val="18"/>
              </w:rPr>
            </w:pPr>
          </w:p>
        </w:tc>
        <w:tc>
          <w:tcPr>
            <w:tcW w:w="1559" w:type="dxa"/>
          </w:tcPr>
          <w:p w:rsidR="004912B3" w:rsidRPr="006C74C6" w:rsidRDefault="004912B3" w:rsidP="004912B3">
            <w:pPr>
              <w:pStyle w:val="Bezmezer"/>
              <w:rPr>
                <w:rFonts w:cs="Tahoma"/>
                <w:sz w:val="18"/>
                <w:szCs w:val="18"/>
              </w:rPr>
            </w:pPr>
            <w:r w:rsidRPr="006C74C6">
              <w:rPr>
                <w:rFonts w:cs="Tahoma"/>
                <w:sz w:val="18"/>
                <w:szCs w:val="18"/>
              </w:rPr>
              <w:t>AWT</w:t>
            </w:r>
          </w:p>
        </w:tc>
        <w:tc>
          <w:tcPr>
            <w:tcW w:w="531"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r w:rsidRPr="006C74C6">
              <w:rPr>
                <w:rFonts w:cs="Tahoma"/>
                <w:sz w:val="18"/>
                <w:szCs w:val="18"/>
              </w:rPr>
              <w:t>1</w:t>
            </w: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1" w:type="dxa"/>
          </w:tcPr>
          <w:p w:rsidR="004912B3" w:rsidRPr="006C74C6" w:rsidRDefault="004912B3" w:rsidP="004912B3">
            <w:pPr>
              <w:pStyle w:val="Bezmezer"/>
              <w:rPr>
                <w:rFonts w:cs="Tahoma"/>
                <w:sz w:val="18"/>
                <w:szCs w:val="18"/>
              </w:rPr>
            </w:pPr>
            <w:r w:rsidRPr="006C74C6">
              <w:rPr>
                <w:rFonts w:cs="Tahoma"/>
                <w:sz w:val="18"/>
                <w:szCs w:val="18"/>
              </w:rPr>
              <w:t>1</w:t>
            </w: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r>
      <w:tr w:rsidR="004912B3" w:rsidRPr="004912B3" w:rsidTr="006C74C6">
        <w:tc>
          <w:tcPr>
            <w:tcW w:w="2834" w:type="dxa"/>
            <w:vMerge/>
            <w:tcBorders>
              <w:bottom w:val="single" w:sz="4" w:space="0" w:color="auto"/>
            </w:tcBorders>
          </w:tcPr>
          <w:p w:rsidR="004912B3" w:rsidRPr="006C74C6" w:rsidRDefault="004912B3" w:rsidP="004912B3">
            <w:pPr>
              <w:pStyle w:val="Bezmezer"/>
              <w:rPr>
                <w:rFonts w:cs="Tahoma"/>
                <w:sz w:val="18"/>
                <w:szCs w:val="18"/>
              </w:rPr>
            </w:pPr>
          </w:p>
        </w:tc>
        <w:tc>
          <w:tcPr>
            <w:tcW w:w="709" w:type="dxa"/>
            <w:vMerge/>
            <w:tcBorders>
              <w:bottom w:val="single" w:sz="4" w:space="0" w:color="auto"/>
            </w:tcBorders>
          </w:tcPr>
          <w:p w:rsidR="004912B3" w:rsidRPr="006C74C6" w:rsidRDefault="004912B3" w:rsidP="004912B3">
            <w:pPr>
              <w:pStyle w:val="Bezmezer"/>
              <w:rPr>
                <w:rFonts w:cs="Tahoma"/>
                <w:sz w:val="18"/>
                <w:szCs w:val="18"/>
              </w:rPr>
            </w:pPr>
          </w:p>
        </w:tc>
        <w:tc>
          <w:tcPr>
            <w:tcW w:w="1559" w:type="dxa"/>
            <w:tcBorders>
              <w:bottom w:val="single" w:sz="4" w:space="0" w:color="auto"/>
            </w:tcBorders>
          </w:tcPr>
          <w:p w:rsidR="004912B3" w:rsidRPr="006C74C6" w:rsidRDefault="004912B3" w:rsidP="004912B3">
            <w:pPr>
              <w:pStyle w:val="Bezmezer"/>
              <w:rPr>
                <w:rFonts w:cs="Tahoma"/>
                <w:sz w:val="18"/>
                <w:szCs w:val="18"/>
              </w:rPr>
            </w:pPr>
            <w:r w:rsidRPr="006C74C6">
              <w:rPr>
                <w:rFonts w:cs="Tahoma"/>
                <w:sz w:val="18"/>
                <w:szCs w:val="18"/>
              </w:rPr>
              <w:t>nabídk. trasy</w:t>
            </w:r>
          </w:p>
        </w:tc>
        <w:tc>
          <w:tcPr>
            <w:tcW w:w="531" w:type="dxa"/>
            <w:tcBorders>
              <w:bottom w:val="single" w:sz="4" w:space="0" w:color="auto"/>
            </w:tcBorders>
          </w:tcPr>
          <w:p w:rsidR="004912B3" w:rsidRPr="006C74C6" w:rsidRDefault="004912B3" w:rsidP="004912B3">
            <w:pPr>
              <w:pStyle w:val="Bezmezer"/>
              <w:rPr>
                <w:rFonts w:cs="Tahoma"/>
                <w:sz w:val="18"/>
                <w:szCs w:val="18"/>
              </w:rPr>
            </w:pPr>
          </w:p>
        </w:tc>
        <w:tc>
          <w:tcPr>
            <w:tcW w:w="532" w:type="dxa"/>
            <w:tcBorders>
              <w:bottom w:val="single" w:sz="4" w:space="0" w:color="auto"/>
            </w:tcBorders>
          </w:tcPr>
          <w:p w:rsidR="004912B3" w:rsidRPr="006C74C6" w:rsidRDefault="004912B3" w:rsidP="004912B3">
            <w:pPr>
              <w:pStyle w:val="Bezmezer"/>
              <w:rPr>
                <w:rFonts w:cs="Tahoma"/>
                <w:sz w:val="18"/>
                <w:szCs w:val="18"/>
              </w:rPr>
            </w:pPr>
          </w:p>
        </w:tc>
        <w:tc>
          <w:tcPr>
            <w:tcW w:w="532" w:type="dxa"/>
            <w:tcBorders>
              <w:bottom w:val="single" w:sz="4" w:space="0" w:color="auto"/>
            </w:tcBorders>
          </w:tcPr>
          <w:p w:rsidR="004912B3" w:rsidRPr="006C74C6" w:rsidRDefault="004912B3" w:rsidP="004912B3">
            <w:pPr>
              <w:pStyle w:val="Bezmezer"/>
              <w:rPr>
                <w:rFonts w:cs="Tahoma"/>
                <w:sz w:val="18"/>
                <w:szCs w:val="18"/>
              </w:rPr>
            </w:pPr>
          </w:p>
        </w:tc>
        <w:tc>
          <w:tcPr>
            <w:tcW w:w="532" w:type="dxa"/>
            <w:tcBorders>
              <w:bottom w:val="single" w:sz="4" w:space="0" w:color="auto"/>
            </w:tcBorders>
          </w:tcPr>
          <w:p w:rsidR="004912B3" w:rsidRPr="006C74C6" w:rsidRDefault="004912B3" w:rsidP="004912B3">
            <w:pPr>
              <w:pStyle w:val="Bezmezer"/>
              <w:rPr>
                <w:rFonts w:cs="Tahoma"/>
                <w:sz w:val="18"/>
                <w:szCs w:val="18"/>
              </w:rPr>
            </w:pPr>
          </w:p>
        </w:tc>
        <w:tc>
          <w:tcPr>
            <w:tcW w:w="531" w:type="dxa"/>
            <w:tcBorders>
              <w:bottom w:val="single" w:sz="4" w:space="0" w:color="auto"/>
            </w:tcBorders>
          </w:tcPr>
          <w:p w:rsidR="004912B3" w:rsidRPr="006C74C6" w:rsidRDefault="004912B3" w:rsidP="004912B3">
            <w:pPr>
              <w:pStyle w:val="Bezmezer"/>
              <w:rPr>
                <w:rFonts w:cs="Tahoma"/>
                <w:sz w:val="18"/>
                <w:szCs w:val="18"/>
              </w:rPr>
            </w:pPr>
            <w:r w:rsidRPr="006C74C6">
              <w:rPr>
                <w:rFonts w:cs="Tahoma"/>
                <w:sz w:val="18"/>
                <w:szCs w:val="18"/>
              </w:rPr>
              <w:t>5</w:t>
            </w:r>
          </w:p>
        </w:tc>
        <w:tc>
          <w:tcPr>
            <w:tcW w:w="532" w:type="dxa"/>
            <w:tcBorders>
              <w:bottom w:val="single" w:sz="4" w:space="0" w:color="auto"/>
            </w:tcBorders>
          </w:tcPr>
          <w:p w:rsidR="004912B3" w:rsidRPr="006C74C6" w:rsidRDefault="004912B3" w:rsidP="004912B3">
            <w:pPr>
              <w:pStyle w:val="Bezmezer"/>
              <w:rPr>
                <w:rFonts w:cs="Tahoma"/>
                <w:sz w:val="18"/>
                <w:szCs w:val="18"/>
              </w:rPr>
            </w:pPr>
            <w:r w:rsidRPr="006C74C6">
              <w:rPr>
                <w:rFonts w:cs="Tahoma"/>
                <w:sz w:val="18"/>
                <w:szCs w:val="18"/>
              </w:rPr>
              <w:t>5</w:t>
            </w:r>
          </w:p>
        </w:tc>
        <w:tc>
          <w:tcPr>
            <w:tcW w:w="532" w:type="dxa"/>
            <w:tcBorders>
              <w:bottom w:val="single" w:sz="4" w:space="0" w:color="auto"/>
            </w:tcBorders>
          </w:tcPr>
          <w:p w:rsidR="004912B3" w:rsidRPr="006C74C6" w:rsidRDefault="004912B3" w:rsidP="004912B3">
            <w:pPr>
              <w:pStyle w:val="Bezmezer"/>
              <w:rPr>
                <w:rFonts w:cs="Tahoma"/>
                <w:sz w:val="18"/>
                <w:szCs w:val="18"/>
              </w:rPr>
            </w:pPr>
          </w:p>
        </w:tc>
        <w:tc>
          <w:tcPr>
            <w:tcW w:w="532" w:type="dxa"/>
            <w:tcBorders>
              <w:bottom w:val="single" w:sz="4" w:space="0" w:color="auto"/>
            </w:tcBorders>
          </w:tcPr>
          <w:p w:rsidR="004912B3" w:rsidRPr="006C74C6" w:rsidRDefault="004912B3" w:rsidP="004912B3">
            <w:pPr>
              <w:pStyle w:val="Bezmezer"/>
              <w:rPr>
                <w:rFonts w:cs="Tahoma"/>
                <w:sz w:val="18"/>
                <w:szCs w:val="18"/>
              </w:rPr>
            </w:pPr>
          </w:p>
        </w:tc>
      </w:tr>
      <w:tr w:rsidR="004912B3" w:rsidRPr="004912B3" w:rsidTr="006C74C6">
        <w:tc>
          <w:tcPr>
            <w:tcW w:w="5102" w:type="dxa"/>
            <w:gridSpan w:val="3"/>
            <w:tcBorders>
              <w:bottom w:val="single" w:sz="12" w:space="0" w:color="auto"/>
            </w:tcBorders>
          </w:tcPr>
          <w:p w:rsidR="004912B3" w:rsidRPr="006C74C6" w:rsidRDefault="004912B3" w:rsidP="004912B3">
            <w:pPr>
              <w:pStyle w:val="Bezmezer"/>
              <w:rPr>
                <w:rFonts w:cs="Tahoma"/>
                <w:sz w:val="18"/>
                <w:szCs w:val="18"/>
              </w:rPr>
            </w:pPr>
            <w:r w:rsidRPr="006C74C6">
              <w:rPr>
                <w:rFonts w:cs="Tahoma"/>
                <w:sz w:val="18"/>
                <w:szCs w:val="18"/>
              </w:rPr>
              <w:t>celkem</w:t>
            </w:r>
          </w:p>
        </w:tc>
        <w:tc>
          <w:tcPr>
            <w:tcW w:w="531" w:type="dxa"/>
            <w:tcBorders>
              <w:bottom w:val="single" w:sz="12" w:space="0" w:color="auto"/>
            </w:tcBorders>
          </w:tcPr>
          <w:p w:rsidR="004912B3" w:rsidRPr="00F54092" w:rsidRDefault="004912B3" w:rsidP="004912B3">
            <w:pPr>
              <w:pStyle w:val="Bezmezer"/>
              <w:rPr>
                <w:rFonts w:cs="Tahoma"/>
                <w:b/>
                <w:sz w:val="18"/>
                <w:szCs w:val="18"/>
              </w:rPr>
            </w:pPr>
          </w:p>
        </w:tc>
        <w:tc>
          <w:tcPr>
            <w:tcW w:w="532" w:type="dxa"/>
            <w:tcBorders>
              <w:bottom w:val="single" w:sz="12" w:space="0" w:color="auto"/>
            </w:tcBorders>
          </w:tcPr>
          <w:p w:rsidR="004912B3" w:rsidRPr="00F54092" w:rsidRDefault="004912B3" w:rsidP="004912B3">
            <w:pPr>
              <w:pStyle w:val="Bezmezer"/>
              <w:rPr>
                <w:rFonts w:cs="Tahoma"/>
                <w:b/>
                <w:sz w:val="18"/>
                <w:szCs w:val="18"/>
              </w:rPr>
            </w:pPr>
            <w:r w:rsidRPr="00F54092">
              <w:rPr>
                <w:rFonts w:cs="Tahoma"/>
                <w:b/>
                <w:sz w:val="18"/>
                <w:szCs w:val="18"/>
              </w:rPr>
              <w:t>1</w:t>
            </w:r>
          </w:p>
        </w:tc>
        <w:tc>
          <w:tcPr>
            <w:tcW w:w="532" w:type="dxa"/>
            <w:tcBorders>
              <w:bottom w:val="single" w:sz="12" w:space="0" w:color="auto"/>
            </w:tcBorders>
          </w:tcPr>
          <w:p w:rsidR="004912B3" w:rsidRPr="00F54092" w:rsidRDefault="004912B3" w:rsidP="004912B3">
            <w:pPr>
              <w:pStyle w:val="Bezmezer"/>
              <w:rPr>
                <w:rFonts w:cs="Tahoma"/>
                <w:b/>
                <w:sz w:val="18"/>
                <w:szCs w:val="18"/>
              </w:rPr>
            </w:pPr>
          </w:p>
        </w:tc>
        <w:tc>
          <w:tcPr>
            <w:tcW w:w="532" w:type="dxa"/>
            <w:tcBorders>
              <w:bottom w:val="single" w:sz="12" w:space="0" w:color="auto"/>
            </w:tcBorders>
          </w:tcPr>
          <w:p w:rsidR="004912B3" w:rsidRPr="00F54092" w:rsidRDefault="004912B3" w:rsidP="004912B3">
            <w:pPr>
              <w:pStyle w:val="Bezmezer"/>
              <w:rPr>
                <w:rFonts w:cs="Tahoma"/>
                <w:b/>
                <w:sz w:val="18"/>
                <w:szCs w:val="18"/>
              </w:rPr>
            </w:pPr>
          </w:p>
        </w:tc>
        <w:tc>
          <w:tcPr>
            <w:tcW w:w="531" w:type="dxa"/>
            <w:tcBorders>
              <w:bottom w:val="single" w:sz="12" w:space="0" w:color="auto"/>
            </w:tcBorders>
          </w:tcPr>
          <w:p w:rsidR="004912B3" w:rsidRPr="00F54092" w:rsidRDefault="004912B3" w:rsidP="004912B3">
            <w:pPr>
              <w:pStyle w:val="Bezmezer"/>
              <w:rPr>
                <w:rFonts w:cs="Tahoma"/>
                <w:b/>
                <w:sz w:val="18"/>
                <w:szCs w:val="18"/>
              </w:rPr>
            </w:pPr>
            <w:r w:rsidRPr="00F54092">
              <w:rPr>
                <w:rFonts w:cs="Tahoma"/>
                <w:b/>
                <w:sz w:val="18"/>
                <w:szCs w:val="18"/>
              </w:rPr>
              <w:t>7</w:t>
            </w:r>
          </w:p>
        </w:tc>
        <w:tc>
          <w:tcPr>
            <w:tcW w:w="532" w:type="dxa"/>
            <w:tcBorders>
              <w:bottom w:val="single" w:sz="12" w:space="0" w:color="auto"/>
            </w:tcBorders>
          </w:tcPr>
          <w:p w:rsidR="004912B3" w:rsidRPr="00F54092" w:rsidRDefault="004912B3" w:rsidP="004912B3">
            <w:pPr>
              <w:pStyle w:val="Bezmezer"/>
              <w:rPr>
                <w:rFonts w:cs="Tahoma"/>
                <w:b/>
                <w:sz w:val="18"/>
                <w:szCs w:val="18"/>
              </w:rPr>
            </w:pPr>
            <w:r w:rsidRPr="00F54092">
              <w:rPr>
                <w:rFonts w:cs="Tahoma"/>
                <w:b/>
                <w:sz w:val="18"/>
                <w:szCs w:val="18"/>
              </w:rPr>
              <w:t>6</w:t>
            </w:r>
          </w:p>
        </w:tc>
        <w:tc>
          <w:tcPr>
            <w:tcW w:w="532" w:type="dxa"/>
            <w:tcBorders>
              <w:bottom w:val="single" w:sz="12" w:space="0" w:color="auto"/>
            </w:tcBorders>
          </w:tcPr>
          <w:p w:rsidR="004912B3" w:rsidRPr="00F54092" w:rsidRDefault="004912B3" w:rsidP="004912B3">
            <w:pPr>
              <w:pStyle w:val="Bezmezer"/>
              <w:rPr>
                <w:rFonts w:cs="Tahoma"/>
                <w:b/>
                <w:sz w:val="18"/>
                <w:szCs w:val="18"/>
              </w:rPr>
            </w:pPr>
            <w:r w:rsidRPr="00F54092">
              <w:rPr>
                <w:rFonts w:cs="Tahoma"/>
                <w:b/>
                <w:sz w:val="18"/>
                <w:szCs w:val="18"/>
              </w:rPr>
              <w:t>2</w:t>
            </w:r>
          </w:p>
        </w:tc>
        <w:tc>
          <w:tcPr>
            <w:tcW w:w="532" w:type="dxa"/>
            <w:tcBorders>
              <w:bottom w:val="single" w:sz="12" w:space="0" w:color="auto"/>
            </w:tcBorders>
          </w:tcPr>
          <w:p w:rsidR="004912B3" w:rsidRPr="00F54092" w:rsidRDefault="004912B3" w:rsidP="004912B3">
            <w:pPr>
              <w:pStyle w:val="Bezmezer"/>
              <w:rPr>
                <w:rFonts w:cs="Tahoma"/>
                <w:b/>
                <w:sz w:val="18"/>
                <w:szCs w:val="18"/>
              </w:rPr>
            </w:pPr>
            <w:r w:rsidRPr="00F54092">
              <w:rPr>
                <w:rFonts w:cs="Tahoma"/>
                <w:b/>
                <w:sz w:val="18"/>
                <w:szCs w:val="18"/>
              </w:rPr>
              <w:t>2</w:t>
            </w:r>
          </w:p>
        </w:tc>
      </w:tr>
      <w:tr w:rsidR="004912B3" w:rsidRPr="004912B3" w:rsidTr="006C74C6">
        <w:tc>
          <w:tcPr>
            <w:tcW w:w="2834" w:type="dxa"/>
            <w:vMerge w:val="restart"/>
            <w:tcBorders>
              <w:top w:val="single" w:sz="12" w:space="0" w:color="auto"/>
            </w:tcBorders>
            <w:vAlign w:val="center"/>
          </w:tcPr>
          <w:p w:rsidR="004912B3" w:rsidRPr="006C74C6" w:rsidRDefault="004912B3" w:rsidP="004912B3">
            <w:pPr>
              <w:pStyle w:val="Bezmezer"/>
              <w:rPr>
                <w:rFonts w:cs="Tahoma"/>
                <w:b/>
                <w:sz w:val="18"/>
                <w:szCs w:val="18"/>
              </w:rPr>
            </w:pPr>
            <w:r w:rsidRPr="006C74C6">
              <w:rPr>
                <w:rFonts w:cs="Tahoma"/>
                <w:b/>
                <w:sz w:val="18"/>
                <w:szCs w:val="18"/>
              </w:rPr>
              <w:t>Opatovice n/L. – Hr. Králové</w:t>
            </w:r>
          </w:p>
        </w:tc>
        <w:tc>
          <w:tcPr>
            <w:tcW w:w="2268" w:type="dxa"/>
            <w:gridSpan w:val="2"/>
            <w:tcBorders>
              <w:top w:val="single" w:sz="12" w:space="0" w:color="auto"/>
            </w:tcBorders>
          </w:tcPr>
          <w:p w:rsidR="004912B3" w:rsidRPr="006C74C6" w:rsidRDefault="004912B3" w:rsidP="004912B3">
            <w:pPr>
              <w:pStyle w:val="Bezmezer"/>
              <w:rPr>
                <w:rFonts w:cs="Tahoma"/>
                <w:sz w:val="18"/>
                <w:szCs w:val="18"/>
              </w:rPr>
            </w:pPr>
            <w:r w:rsidRPr="006C74C6">
              <w:rPr>
                <w:rFonts w:cs="Tahoma"/>
                <w:sz w:val="18"/>
                <w:szCs w:val="18"/>
              </w:rPr>
              <w:t>pravidelné</w:t>
            </w:r>
          </w:p>
        </w:tc>
        <w:tc>
          <w:tcPr>
            <w:tcW w:w="531"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p>
        </w:tc>
        <w:tc>
          <w:tcPr>
            <w:tcW w:w="531"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r w:rsidRPr="006C74C6">
              <w:rPr>
                <w:rFonts w:cs="Tahoma"/>
                <w:sz w:val="18"/>
                <w:szCs w:val="18"/>
              </w:rPr>
              <w:t>3</w:t>
            </w:r>
          </w:p>
        </w:tc>
        <w:tc>
          <w:tcPr>
            <w:tcW w:w="532" w:type="dxa"/>
            <w:tcBorders>
              <w:top w:val="single" w:sz="12" w:space="0" w:color="auto"/>
            </w:tcBorders>
          </w:tcPr>
          <w:p w:rsidR="004912B3" w:rsidRPr="006C74C6" w:rsidRDefault="004912B3" w:rsidP="004912B3">
            <w:pPr>
              <w:pStyle w:val="Bezmezer"/>
              <w:rPr>
                <w:rFonts w:cs="Tahoma"/>
                <w:sz w:val="18"/>
                <w:szCs w:val="18"/>
              </w:rPr>
            </w:pPr>
            <w:r w:rsidRPr="006C74C6">
              <w:rPr>
                <w:rFonts w:cs="Tahoma"/>
                <w:sz w:val="18"/>
                <w:szCs w:val="18"/>
              </w:rPr>
              <w:t>3</w:t>
            </w:r>
          </w:p>
        </w:tc>
      </w:tr>
      <w:tr w:rsidR="004912B3" w:rsidRPr="004912B3" w:rsidTr="006C74C6">
        <w:tc>
          <w:tcPr>
            <w:tcW w:w="2834" w:type="dxa"/>
            <w:vMerge/>
          </w:tcPr>
          <w:p w:rsidR="004912B3" w:rsidRPr="006C74C6" w:rsidRDefault="004912B3" w:rsidP="004912B3">
            <w:pPr>
              <w:pStyle w:val="Bezmezer"/>
              <w:rPr>
                <w:rFonts w:cs="Tahoma"/>
                <w:sz w:val="18"/>
                <w:szCs w:val="18"/>
              </w:rPr>
            </w:pPr>
          </w:p>
        </w:tc>
        <w:tc>
          <w:tcPr>
            <w:tcW w:w="709" w:type="dxa"/>
            <w:vMerge w:val="restart"/>
            <w:vAlign w:val="center"/>
          </w:tcPr>
          <w:p w:rsidR="004912B3" w:rsidRPr="006C74C6" w:rsidRDefault="004912B3" w:rsidP="004912B3">
            <w:pPr>
              <w:pStyle w:val="Bezmezer"/>
              <w:rPr>
                <w:rFonts w:cs="Tahoma"/>
                <w:sz w:val="18"/>
                <w:szCs w:val="18"/>
              </w:rPr>
            </w:pPr>
            <w:r w:rsidRPr="006C74C6">
              <w:rPr>
                <w:rFonts w:cs="Tahoma"/>
                <w:sz w:val="18"/>
                <w:szCs w:val="18"/>
              </w:rPr>
              <w:t>pp</w:t>
            </w:r>
          </w:p>
        </w:tc>
        <w:tc>
          <w:tcPr>
            <w:tcW w:w="1559" w:type="dxa"/>
          </w:tcPr>
          <w:p w:rsidR="004912B3" w:rsidRPr="006C74C6" w:rsidRDefault="004912B3" w:rsidP="004912B3">
            <w:pPr>
              <w:pStyle w:val="Bezmezer"/>
              <w:rPr>
                <w:rFonts w:cs="Tahoma"/>
                <w:sz w:val="18"/>
                <w:szCs w:val="18"/>
              </w:rPr>
            </w:pPr>
            <w:r w:rsidRPr="006C74C6">
              <w:rPr>
                <w:rFonts w:cs="Tahoma"/>
                <w:sz w:val="18"/>
                <w:szCs w:val="18"/>
              </w:rPr>
              <w:t>ČD Cargo</w:t>
            </w:r>
          </w:p>
        </w:tc>
        <w:tc>
          <w:tcPr>
            <w:tcW w:w="531"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1" w:type="dxa"/>
          </w:tcPr>
          <w:p w:rsidR="004912B3" w:rsidRPr="006C74C6" w:rsidRDefault="004912B3" w:rsidP="004912B3">
            <w:pPr>
              <w:pStyle w:val="Bezmezer"/>
              <w:rPr>
                <w:rFonts w:cs="Tahoma"/>
                <w:sz w:val="18"/>
                <w:szCs w:val="18"/>
              </w:rPr>
            </w:pPr>
            <w:r w:rsidRPr="006C74C6">
              <w:rPr>
                <w:rFonts w:cs="Tahoma"/>
                <w:sz w:val="18"/>
                <w:szCs w:val="18"/>
              </w:rPr>
              <w:t>1</w:t>
            </w:r>
          </w:p>
        </w:tc>
        <w:tc>
          <w:tcPr>
            <w:tcW w:w="532" w:type="dxa"/>
          </w:tcPr>
          <w:p w:rsidR="004912B3" w:rsidRPr="006C74C6" w:rsidRDefault="004912B3" w:rsidP="004912B3">
            <w:pPr>
              <w:pStyle w:val="Bezmezer"/>
              <w:rPr>
                <w:rFonts w:cs="Tahoma"/>
                <w:sz w:val="18"/>
                <w:szCs w:val="18"/>
              </w:rPr>
            </w:pPr>
            <w:r w:rsidRPr="006C74C6">
              <w:rPr>
                <w:rFonts w:cs="Tahoma"/>
                <w:sz w:val="18"/>
                <w:szCs w:val="18"/>
              </w:rPr>
              <w:t>1</w:t>
            </w: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r>
      <w:tr w:rsidR="004912B3" w:rsidRPr="004912B3" w:rsidTr="006C74C6">
        <w:tc>
          <w:tcPr>
            <w:tcW w:w="2834" w:type="dxa"/>
            <w:vMerge/>
            <w:tcBorders>
              <w:bottom w:val="single" w:sz="4" w:space="0" w:color="auto"/>
            </w:tcBorders>
          </w:tcPr>
          <w:p w:rsidR="004912B3" w:rsidRPr="006C74C6" w:rsidRDefault="004912B3" w:rsidP="004912B3">
            <w:pPr>
              <w:pStyle w:val="Bezmezer"/>
              <w:rPr>
                <w:rFonts w:cs="Tahoma"/>
                <w:sz w:val="18"/>
                <w:szCs w:val="18"/>
              </w:rPr>
            </w:pPr>
          </w:p>
        </w:tc>
        <w:tc>
          <w:tcPr>
            <w:tcW w:w="709" w:type="dxa"/>
            <w:vMerge/>
            <w:tcBorders>
              <w:bottom w:val="single" w:sz="4" w:space="0" w:color="auto"/>
            </w:tcBorders>
          </w:tcPr>
          <w:p w:rsidR="004912B3" w:rsidRPr="006C74C6" w:rsidRDefault="004912B3" w:rsidP="004912B3">
            <w:pPr>
              <w:pStyle w:val="Bezmezer"/>
              <w:rPr>
                <w:rFonts w:cs="Tahoma"/>
                <w:sz w:val="18"/>
                <w:szCs w:val="18"/>
              </w:rPr>
            </w:pPr>
          </w:p>
        </w:tc>
        <w:tc>
          <w:tcPr>
            <w:tcW w:w="1559" w:type="dxa"/>
            <w:tcBorders>
              <w:bottom w:val="single" w:sz="4" w:space="0" w:color="auto"/>
            </w:tcBorders>
          </w:tcPr>
          <w:p w:rsidR="004912B3" w:rsidRPr="006C74C6" w:rsidRDefault="004912B3" w:rsidP="004912B3">
            <w:pPr>
              <w:pStyle w:val="Bezmezer"/>
              <w:rPr>
                <w:rFonts w:cs="Tahoma"/>
                <w:sz w:val="18"/>
                <w:szCs w:val="18"/>
              </w:rPr>
            </w:pPr>
            <w:r w:rsidRPr="006C74C6">
              <w:rPr>
                <w:rFonts w:cs="Tahoma"/>
                <w:sz w:val="18"/>
                <w:szCs w:val="18"/>
              </w:rPr>
              <w:t>nabídk. trasy</w:t>
            </w:r>
          </w:p>
        </w:tc>
        <w:tc>
          <w:tcPr>
            <w:tcW w:w="531" w:type="dxa"/>
            <w:tcBorders>
              <w:bottom w:val="single" w:sz="4" w:space="0" w:color="auto"/>
            </w:tcBorders>
          </w:tcPr>
          <w:p w:rsidR="004912B3" w:rsidRPr="006C74C6" w:rsidRDefault="004912B3" w:rsidP="004912B3">
            <w:pPr>
              <w:pStyle w:val="Bezmezer"/>
              <w:rPr>
                <w:rFonts w:cs="Tahoma"/>
                <w:sz w:val="18"/>
                <w:szCs w:val="18"/>
              </w:rPr>
            </w:pPr>
          </w:p>
        </w:tc>
        <w:tc>
          <w:tcPr>
            <w:tcW w:w="532" w:type="dxa"/>
            <w:tcBorders>
              <w:bottom w:val="single" w:sz="4" w:space="0" w:color="auto"/>
            </w:tcBorders>
          </w:tcPr>
          <w:p w:rsidR="004912B3" w:rsidRPr="006C74C6" w:rsidRDefault="004912B3" w:rsidP="004912B3">
            <w:pPr>
              <w:pStyle w:val="Bezmezer"/>
              <w:rPr>
                <w:rFonts w:cs="Tahoma"/>
                <w:sz w:val="18"/>
                <w:szCs w:val="18"/>
              </w:rPr>
            </w:pPr>
          </w:p>
        </w:tc>
        <w:tc>
          <w:tcPr>
            <w:tcW w:w="532" w:type="dxa"/>
            <w:tcBorders>
              <w:bottom w:val="single" w:sz="4" w:space="0" w:color="auto"/>
            </w:tcBorders>
          </w:tcPr>
          <w:p w:rsidR="004912B3" w:rsidRPr="006C74C6" w:rsidRDefault="004912B3" w:rsidP="004912B3">
            <w:pPr>
              <w:pStyle w:val="Bezmezer"/>
              <w:rPr>
                <w:rFonts w:cs="Tahoma"/>
                <w:sz w:val="18"/>
                <w:szCs w:val="18"/>
              </w:rPr>
            </w:pPr>
          </w:p>
        </w:tc>
        <w:tc>
          <w:tcPr>
            <w:tcW w:w="532" w:type="dxa"/>
            <w:tcBorders>
              <w:bottom w:val="single" w:sz="4" w:space="0" w:color="auto"/>
            </w:tcBorders>
          </w:tcPr>
          <w:p w:rsidR="004912B3" w:rsidRPr="006C74C6" w:rsidRDefault="004912B3" w:rsidP="004912B3">
            <w:pPr>
              <w:pStyle w:val="Bezmezer"/>
              <w:rPr>
                <w:rFonts w:cs="Tahoma"/>
                <w:sz w:val="18"/>
                <w:szCs w:val="18"/>
              </w:rPr>
            </w:pPr>
          </w:p>
        </w:tc>
        <w:tc>
          <w:tcPr>
            <w:tcW w:w="531" w:type="dxa"/>
            <w:tcBorders>
              <w:bottom w:val="single" w:sz="4" w:space="0" w:color="auto"/>
            </w:tcBorders>
          </w:tcPr>
          <w:p w:rsidR="004912B3" w:rsidRPr="006C74C6" w:rsidRDefault="004912B3" w:rsidP="004912B3">
            <w:pPr>
              <w:pStyle w:val="Bezmezer"/>
              <w:rPr>
                <w:rFonts w:cs="Tahoma"/>
                <w:sz w:val="18"/>
                <w:szCs w:val="18"/>
              </w:rPr>
            </w:pPr>
            <w:r w:rsidRPr="006C74C6">
              <w:rPr>
                <w:rFonts w:cs="Tahoma"/>
                <w:sz w:val="18"/>
                <w:szCs w:val="18"/>
              </w:rPr>
              <w:t>3</w:t>
            </w:r>
          </w:p>
        </w:tc>
        <w:tc>
          <w:tcPr>
            <w:tcW w:w="532" w:type="dxa"/>
            <w:tcBorders>
              <w:bottom w:val="single" w:sz="4" w:space="0" w:color="auto"/>
            </w:tcBorders>
          </w:tcPr>
          <w:p w:rsidR="004912B3" w:rsidRPr="006C74C6" w:rsidRDefault="004912B3" w:rsidP="004912B3">
            <w:pPr>
              <w:pStyle w:val="Bezmezer"/>
              <w:rPr>
                <w:rFonts w:cs="Tahoma"/>
                <w:sz w:val="18"/>
                <w:szCs w:val="18"/>
              </w:rPr>
            </w:pPr>
            <w:r w:rsidRPr="006C74C6">
              <w:rPr>
                <w:rFonts w:cs="Tahoma"/>
                <w:sz w:val="18"/>
                <w:szCs w:val="18"/>
              </w:rPr>
              <w:t>3</w:t>
            </w:r>
          </w:p>
        </w:tc>
        <w:tc>
          <w:tcPr>
            <w:tcW w:w="532" w:type="dxa"/>
            <w:tcBorders>
              <w:bottom w:val="single" w:sz="4" w:space="0" w:color="auto"/>
            </w:tcBorders>
          </w:tcPr>
          <w:p w:rsidR="004912B3" w:rsidRPr="006C74C6" w:rsidRDefault="004912B3" w:rsidP="004912B3">
            <w:pPr>
              <w:pStyle w:val="Bezmezer"/>
              <w:rPr>
                <w:rFonts w:cs="Tahoma"/>
                <w:sz w:val="18"/>
                <w:szCs w:val="18"/>
              </w:rPr>
            </w:pPr>
          </w:p>
        </w:tc>
        <w:tc>
          <w:tcPr>
            <w:tcW w:w="532" w:type="dxa"/>
            <w:tcBorders>
              <w:bottom w:val="single" w:sz="4" w:space="0" w:color="auto"/>
            </w:tcBorders>
          </w:tcPr>
          <w:p w:rsidR="004912B3" w:rsidRPr="006C74C6" w:rsidRDefault="004912B3" w:rsidP="004912B3">
            <w:pPr>
              <w:pStyle w:val="Bezmezer"/>
              <w:rPr>
                <w:rFonts w:cs="Tahoma"/>
                <w:sz w:val="18"/>
                <w:szCs w:val="18"/>
              </w:rPr>
            </w:pPr>
          </w:p>
        </w:tc>
      </w:tr>
      <w:tr w:rsidR="004912B3" w:rsidRPr="004912B3" w:rsidTr="006C74C6">
        <w:tc>
          <w:tcPr>
            <w:tcW w:w="5102" w:type="dxa"/>
            <w:gridSpan w:val="3"/>
            <w:tcBorders>
              <w:bottom w:val="single" w:sz="12" w:space="0" w:color="auto"/>
            </w:tcBorders>
          </w:tcPr>
          <w:p w:rsidR="004912B3" w:rsidRPr="006C74C6" w:rsidRDefault="004912B3" w:rsidP="004912B3">
            <w:pPr>
              <w:pStyle w:val="Bezmezer"/>
              <w:rPr>
                <w:rFonts w:cs="Tahoma"/>
                <w:sz w:val="18"/>
                <w:szCs w:val="18"/>
              </w:rPr>
            </w:pPr>
            <w:r w:rsidRPr="006C74C6">
              <w:rPr>
                <w:rFonts w:cs="Tahoma"/>
                <w:sz w:val="18"/>
                <w:szCs w:val="18"/>
              </w:rPr>
              <w:t>celkem</w:t>
            </w:r>
          </w:p>
        </w:tc>
        <w:tc>
          <w:tcPr>
            <w:tcW w:w="531" w:type="dxa"/>
            <w:tcBorders>
              <w:bottom w:val="single" w:sz="12" w:space="0" w:color="auto"/>
            </w:tcBorders>
          </w:tcPr>
          <w:p w:rsidR="004912B3" w:rsidRPr="006C74C6" w:rsidRDefault="004912B3" w:rsidP="004912B3">
            <w:pPr>
              <w:pStyle w:val="Bezmezer"/>
              <w:rPr>
                <w:rFonts w:cs="Tahoma"/>
                <w:sz w:val="18"/>
                <w:szCs w:val="18"/>
              </w:rPr>
            </w:pPr>
          </w:p>
        </w:tc>
        <w:tc>
          <w:tcPr>
            <w:tcW w:w="532" w:type="dxa"/>
            <w:tcBorders>
              <w:bottom w:val="single" w:sz="12" w:space="0" w:color="auto"/>
            </w:tcBorders>
          </w:tcPr>
          <w:p w:rsidR="004912B3" w:rsidRPr="006C74C6" w:rsidRDefault="004912B3" w:rsidP="004912B3">
            <w:pPr>
              <w:pStyle w:val="Bezmezer"/>
              <w:rPr>
                <w:rFonts w:cs="Tahoma"/>
                <w:sz w:val="18"/>
                <w:szCs w:val="18"/>
              </w:rPr>
            </w:pPr>
          </w:p>
        </w:tc>
        <w:tc>
          <w:tcPr>
            <w:tcW w:w="532" w:type="dxa"/>
            <w:tcBorders>
              <w:bottom w:val="single" w:sz="12" w:space="0" w:color="auto"/>
            </w:tcBorders>
          </w:tcPr>
          <w:p w:rsidR="004912B3" w:rsidRPr="006C74C6" w:rsidRDefault="004912B3" w:rsidP="004912B3">
            <w:pPr>
              <w:pStyle w:val="Bezmezer"/>
              <w:rPr>
                <w:rFonts w:cs="Tahoma"/>
                <w:sz w:val="18"/>
                <w:szCs w:val="18"/>
              </w:rPr>
            </w:pPr>
          </w:p>
        </w:tc>
        <w:tc>
          <w:tcPr>
            <w:tcW w:w="532" w:type="dxa"/>
            <w:tcBorders>
              <w:bottom w:val="single" w:sz="12" w:space="0" w:color="auto"/>
            </w:tcBorders>
          </w:tcPr>
          <w:p w:rsidR="004912B3" w:rsidRPr="006C74C6" w:rsidRDefault="004912B3" w:rsidP="004912B3">
            <w:pPr>
              <w:pStyle w:val="Bezmezer"/>
              <w:rPr>
                <w:rFonts w:cs="Tahoma"/>
                <w:sz w:val="18"/>
                <w:szCs w:val="18"/>
              </w:rPr>
            </w:pPr>
          </w:p>
        </w:tc>
        <w:tc>
          <w:tcPr>
            <w:tcW w:w="531" w:type="dxa"/>
            <w:tcBorders>
              <w:bottom w:val="single" w:sz="12" w:space="0" w:color="auto"/>
            </w:tcBorders>
          </w:tcPr>
          <w:p w:rsidR="004912B3" w:rsidRPr="00F54092" w:rsidRDefault="004912B3" w:rsidP="004912B3">
            <w:pPr>
              <w:pStyle w:val="Bezmezer"/>
              <w:rPr>
                <w:rFonts w:cs="Tahoma"/>
                <w:b/>
                <w:sz w:val="18"/>
                <w:szCs w:val="18"/>
              </w:rPr>
            </w:pPr>
            <w:r w:rsidRPr="00F54092">
              <w:rPr>
                <w:rFonts w:cs="Tahoma"/>
                <w:b/>
                <w:sz w:val="18"/>
                <w:szCs w:val="18"/>
              </w:rPr>
              <w:t>4</w:t>
            </w:r>
          </w:p>
        </w:tc>
        <w:tc>
          <w:tcPr>
            <w:tcW w:w="532" w:type="dxa"/>
            <w:tcBorders>
              <w:bottom w:val="single" w:sz="12" w:space="0" w:color="auto"/>
            </w:tcBorders>
          </w:tcPr>
          <w:p w:rsidR="004912B3" w:rsidRPr="00F54092" w:rsidRDefault="004912B3" w:rsidP="004912B3">
            <w:pPr>
              <w:pStyle w:val="Bezmezer"/>
              <w:rPr>
                <w:rFonts w:cs="Tahoma"/>
                <w:b/>
                <w:sz w:val="18"/>
                <w:szCs w:val="18"/>
              </w:rPr>
            </w:pPr>
            <w:r w:rsidRPr="00F54092">
              <w:rPr>
                <w:rFonts w:cs="Tahoma"/>
                <w:b/>
                <w:sz w:val="18"/>
                <w:szCs w:val="18"/>
              </w:rPr>
              <w:t>4</w:t>
            </w:r>
          </w:p>
        </w:tc>
        <w:tc>
          <w:tcPr>
            <w:tcW w:w="532" w:type="dxa"/>
            <w:tcBorders>
              <w:bottom w:val="single" w:sz="12" w:space="0" w:color="auto"/>
            </w:tcBorders>
          </w:tcPr>
          <w:p w:rsidR="004912B3" w:rsidRPr="00F54092" w:rsidRDefault="004912B3" w:rsidP="004912B3">
            <w:pPr>
              <w:pStyle w:val="Bezmezer"/>
              <w:rPr>
                <w:rFonts w:cs="Tahoma"/>
                <w:b/>
                <w:sz w:val="18"/>
                <w:szCs w:val="18"/>
              </w:rPr>
            </w:pPr>
            <w:r w:rsidRPr="00F54092">
              <w:rPr>
                <w:rFonts w:cs="Tahoma"/>
                <w:b/>
                <w:sz w:val="18"/>
                <w:szCs w:val="18"/>
              </w:rPr>
              <w:t>3</w:t>
            </w:r>
          </w:p>
        </w:tc>
        <w:tc>
          <w:tcPr>
            <w:tcW w:w="532" w:type="dxa"/>
            <w:tcBorders>
              <w:bottom w:val="single" w:sz="12" w:space="0" w:color="auto"/>
            </w:tcBorders>
          </w:tcPr>
          <w:p w:rsidR="004912B3" w:rsidRPr="00F54092" w:rsidRDefault="004912B3" w:rsidP="004912B3">
            <w:pPr>
              <w:pStyle w:val="Bezmezer"/>
              <w:rPr>
                <w:rFonts w:cs="Tahoma"/>
                <w:b/>
                <w:sz w:val="18"/>
                <w:szCs w:val="18"/>
              </w:rPr>
            </w:pPr>
            <w:r w:rsidRPr="00F54092">
              <w:rPr>
                <w:rFonts w:cs="Tahoma"/>
                <w:b/>
                <w:sz w:val="18"/>
                <w:szCs w:val="18"/>
              </w:rPr>
              <w:t>3</w:t>
            </w:r>
          </w:p>
        </w:tc>
      </w:tr>
      <w:tr w:rsidR="004912B3" w:rsidRPr="004912B3" w:rsidTr="006C74C6">
        <w:tc>
          <w:tcPr>
            <w:tcW w:w="2834" w:type="dxa"/>
            <w:vMerge w:val="restart"/>
            <w:tcBorders>
              <w:top w:val="single" w:sz="12" w:space="0" w:color="auto"/>
            </w:tcBorders>
            <w:vAlign w:val="center"/>
          </w:tcPr>
          <w:p w:rsidR="004912B3" w:rsidRPr="006C74C6" w:rsidRDefault="004912B3" w:rsidP="004912B3">
            <w:pPr>
              <w:pStyle w:val="Bezmezer"/>
              <w:rPr>
                <w:rFonts w:cs="Tahoma"/>
                <w:b/>
                <w:sz w:val="18"/>
                <w:szCs w:val="18"/>
              </w:rPr>
            </w:pPr>
            <w:r w:rsidRPr="006C74C6">
              <w:rPr>
                <w:rFonts w:cs="Tahoma"/>
                <w:b/>
                <w:sz w:val="18"/>
                <w:szCs w:val="18"/>
              </w:rPr>
              <w:t>Opatovice n/L. – odb. Plačice</w:t>
            </w:r>
          </w:p>
        </w:tc>
        <w:tc>
          <w:tcPr>
            <w:tcW w:w="2268" w:type="dxa"/>
            <w:gridSpan w:val="2"/>
            <w:tcBorders>
              <w:top w:val="single" w:sz="12" w:space="0" w:color="auto"/>
            </w:tcBorders>
          </w:tcPr>
          <w:p w:rsidR="004912B3" w:rsidRPr="006C74C6" w:rsidRDefault="004912B3" w:rsidP="004912B3">
            <w:pPr>
              <w:pStyle w:val="Bezmezer"/>
              <w:rPr>
                <w:rFonts w:cs="Tahoma"/>
                <w:sz w:val="18"/>
                <w:szCs w:val="18"/>
              </w:rPr>
            </w:pPr>
            <w:r w:rsidRPr="006C74C6">
              <w:rPr>
                <w:rFonts w:cs="Tahoma"/>
                <w:sz w:val="18"/>
                <w:szCs w:val="18"/>
              </w:rPr>
              <w:t>pravidelné</w:t>
            </w:r>
          </w:p>
        </w:tc>
        <w:tc>
          <w:tcPr>
            <w:tcW w:w="531"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r w:rsidRPr="006C74C6">
              <w:rPr>
                <w:rFonts w:cs="Tahoma"/>
                <w:sz w:val="18"/>
                <w:szCs w:val="18"/>
              </w:rPr>
              <w:t>3</w:t>
            </w:r>
          </w:p>
        </w:tc>
        <w:tc>
          <w:tcPr>
            <w:tcW w:w="532" w:type="dxa"/>
            <w:tcBorders>
              <w:top w:val="single" w:sz="12" w:space="0" w:color="auto"/>
            </w:tcBorders>
          </w:tcPr>
          <w:p w:rsidR="004912B3" w:rsidRPr="006C74C6" w:rsidRDefault="004912B3" w:rsidP="004912B3">
            <w:pPr>
              <w:pStyle w:val="Bezmezer"/>
              <w:rPr>
                <w:rFonts w:cs="Tahoma"/>
                <w:sz w:val="18"/>
                <w:szCs w:val="18"/>
              </w:rPr>
            </w:pPr>
          </w:p>
        </w:tc>
        <w:tc>
          <w:tcPr>
            <w:tcW w:w="531"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r w:rsidRPr="006C74C6">
              <w:rPr>
                <w:rFonts w:cs="Tahoma"/>
                <w:sz w:val="18"/>
                <w:szCs w:val="18"/>
              </w:rPr>
              <w:t>3</w:t>
            </w:r>
          </w:p>
        </w:tc>
        <w:tc>
          <w:tcPr>
            <w:tcW w:w="532" w:type="dxa"/>
            <w:tcBorders>
              <w:top w:val="single" w:sz="12" w:space="0" w:color="auto"/>
            </w:tcBorders>
          </w:tcPr>
          <w:p w:rsidR="004912B3" w:rsidRPr="006C74C6" w:rsidRDefault="004912B3" w:rsidP="004912B3">
            <w:pPr>
              <w:pStyle w:val="Bezmezer"/>
              <w:rPr>
                <w:rFonts w:cs="Tahoma"/>
                <w:sz w:val="18"/>
                <w:szCs w:val="18"/>
              </w:rPr>
            </w:pPr>
          </w:p>
        </w:tc>
        <w:tc>
          <w:tcPr>
            <w:tcW w:w="532" w:type="dxa"/>
            <w:tcBorders>
              <w:top w:val="single" w:sz="12" w:space="0" w:color="auto"/>
            </w:tcBorders>
          </w:tcPr>
          <w:p w:rsidR="004912B3" w:rsidRPr="006C74C6" w:rsidRDefault="004912B3" w:rsidP="004912B3">
            <w:pPr>
              <w:pStyle w:val="Bezmezer"/>
              <w:rPr>
                <w:rFonts w:cs="Tahoma"/>
                <w:sz w:val="18"/>
                <w:szCs w:val="18"/>
              </w:rPr>
            </w:pPr>
          </w:p>
        </w:tc>
      </w:tr>
      <w:tr w:rsidR="004912B3" w:rsidRPr="004912B3" w:rsidTr="006C74C6">
        <w:tc>
          <w:tcPr>
            <w:tcW w:w="2834" w:type="dxa"/>
            <w:vMerge/>
          </w:tcPr>
          <w:p w:rsidR="004912B3" w:rsidRPr="006C74C6" w:rsidRDefault="004912B3" w:rsidP="004912B3">
            <w:pPr>
              <w:pStyle w:val="Bezmezer"/>
              <w:rPr>
                <w:rFonts w:cs="Tahoma"/>
                <w:sz w:val="18"/>
                <w:szCs w:val="18"/>
              </w:rPr>
            </w:pPr>
          </w:p>
        </w:tc>
        <w:tc>
          <w:tcPr>
            <w:tcW w:w="709" w:type="dxa"/>
            <w:vMerge w:val="restart"/>
            <w:vAlign w:val="center"/>
          </w:tcPr>
          <w:p w:rsidR="004912B3" w:rsidRPr="006C74C6" w:rsidRDefault="004912B3" w:rsidP="004912B3">
            <w:pPr>
              <w:pStyle w:val="Bezmezer"/>
              <w:rPr>
                <w:rFonts w:cs="Tahoma"/>
                <w:sz w:val="18"/>
                <w:szCs w:val="18"/>
              </w:rPr>
            </w:pPr>
            <w:r w:rsidRPr="006C74C6">
              <w:rPr>
                <w:rFonts w:cs="Tahoma"/>
                <w:sz w:val="18"/>
                <w:szCs w:val="18"/>
              </w:rPr>
              <w:t>pp</w:t>
            </w:r>
          </w:p>
        </w:tc>
        <w:tc>
          <w:tcPr>
            <w:tcW w:w="1559" w:type="dxa"/>
          </w:tcPr>
          <w:p w:rsidR="004912B3" w:rsidRPr="006C74C6" w:rsidRDefault="004912B3" w:rsidP="004912B3">
            <w:pPr>
              <w:pStyle w:val="Bezmezer"/>
              <w:rPr>
                <w:rFonts w:cs="Tahoma"/>
                <w:sz w:val="18"/>
                <w:szCs w:val="18"/>
              </w:rPr>
            </w:pPr>
            <w:r w:rsidRPr="006C74C6">
              <w:rPr>
                <w:rFonts w:cs="Tahoma"/>
                <w:sz w:val="18"/>
                <w:szCs w:val="18"/>
              </w:rPr>
              <w:t>ČD Cargo</w:t>
            </w:r>
          </w:p>
        </w:tc>
        <w:tc>
          <w:tcPr>
            <w:tcW w:w="531"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r w:rsidRPr="006C74C6">
              <w:rPr>
                <w:rFonts w:cs="Tahoma"/>
                <w:sz w:val="18"/>
                <w:szCs w:val="18"/>
              </w:rPr>
              <w:t>2</w:t>
            </w:r>
          </w:p>
        </w:tc>
        <w:tc>
          <w:tcPr>
            <w:tcW w:w="532" w:type="dxa"/>
          </w:tcPr>
          <w:p w:rsidR="004912B3" w:rsidRPr="006C74C6" w:rsidRDefault="004912B3" w:rsidP="004912B3">
            <w:pPr>
              <w:pStyle w:val="Bezmezer"/>
              <w:rPr>
                <w:rFonts w:cs="Tahoma"/>
                <w:sz w:val="18"/>
                <w:szCs w:val="18"/>
              </w:rPr>
            </w:pPr>
          </w:p>
        </w:tc>
        <w:tc>
          <w:tcPr>
            <w:tcW w:w="531"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r w:rsidRPr="006C74C6">
              <w:rPr>
                <w:rFonts w:cs="Tahoma"/>
                <w:sz w:val="18"/>
                <w:szCs w:val="18"/>
              </w:rPr>
              <w:t>2</w:t>
            </w: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r>
      <w:tr w:rsidR="004912B3" w:rsidRPr="004912B3" w:rsidTr="006C74C6">
        <w:tc>
          <w:tcPr>
            <w:tcW w:w="2834" w:type="dxa"/>
            <w:vMerge/>
          </w:tcPr>
          <w:p w:rsidR="004912B3" w:rsidRPr="006C74C6" w:rsidRDefault="004912B3" w:rsidP="004912B3">
            <w:pPr>
              <w:pStyle w:val="Bezmezer"/>
              <w:rPr>
                <w:rFonts w:cs="Tahoma"/>
                <w:sz w:val="18"/>
                <w:szCs w:val="18"/>
              </w:rPr>
            </w:pPr>
          </w:p>
        </w:tc>
        <w:tc>
          <w:tcPr>
            <w:tcW w:w="709" w:type="dxa"/>
            <w:vMerge/>
          </w:tcPr>
          <w:p w:rsidR="004912B3" w:rsidRPr="006C74C6" w:rsidRDefault="004912B3" w:rsidP="004912B3">
            <w:pPr>
              <w:pStyle w:val="Bezmezer"/>
              <w:rPr>
                <w:rFonts w:cs="Tahoma"/>
                <w:sz w:val="18"/>
                <w:szCs w:val="18"/>
              </w:rPr>
            </w:pPr>
          </w:p>
        </w:tc>
        <w:tc>
          <w:tcPr>
            <w:tcW w:w="1559" w:type="dxa"/>
          </w:tcPr>
          <w:p w:rsidR="004912B3" w:rsidRPr="006C74C6" w:rsidRDefault="004912B3" w:rsidP="004912B3">
            <w:pPr>
              <w:pStyle w:val="Bezmezer"/>
              <w:rPr>
                <w:rFonts w:cs="Tahoma"/>
                <w:sz w:val="18"/>
                <w:szCs w:val="18"/>
              </w:rPr>
            </w:pPr>
            <w:r w:rsidRPr="006C74C6">
              <w:rPr>
                <w:rFonts w:cs="Tahoma"/>
                <w:sz w:val="18"/>
                <w:szCs w:val="18"/>
              </w:rPr>
              <w:t>AWT</w:t>
            </w:r>
          </w:p>
        </w:tc>
        <w:tc>
          <w:tcPr>
            <w:tcW w:w="531"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r w:rsidRPr="006C74C6">
              <w:rPr>
                <w:rFonts w:cs="Tahoma"/>
                <w:sz w:val="18"/>
                <w:szCs w:val="18"/>
              </w:rPr>
              <w:t>1</w:t>
            </w: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1" w:type="dxa"/>
          </w:tcPr>
          <w:p w:rsidR="004912B3" w:rsidRPr="006C74C6" w:rsidRDefault="004912B3" w:rsidP="004912B3">
            <w:pPr>
              <w:pStyle w:val="Bezmezer"/>
              <w:rPr>
                <w:rFonts w:cs="Tahoma"/>
                <w:sz w:val="18"/>
                <w:szCs w:val="18"/>
              </w:rPr>
            </w:pPr>
            <w:r w:rsidRPr="006C74C6">
              <w:rPr>
                <w:rFonts w:cs="Tahoma"/>
                <w:sz w:val="18"/>
                <w:szCs w:val="18"/>
              </w:rPr>
              <w:t>1</w:t>
            </w: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r>
      <w:tr w:rsidR="004912B3" w:rsidRPr="004912B3" w:rsidTr="006C74C6">
        <w:tc>
          <w:tcPr>
            <w:tcW w:w="2834" w:type="dxa"/>
            <w:vMerge/>
          </w:tcPr>
          <w:p w:rsidR="004912B3" w:rsidRPr="006C74C6" w:rsidRDefault="004912B3" w:rsidP="004912B3">
            <w:pPr>
              <w:pStyle w:val="Bezmezer"/>
              <w:rPr>
                <w:rFonts w:cs="Tahoma"/>
                <w:sz w:val="18"/>
                <w:szCs w:val="18"/>
              </w:rPr>
            </w:pPr>
          </w:p>
        </w:tc>
        <w:tc>
          <w:tcPr>
            <w:tcW w:w="709" w:type="dxa"/>
            <w:vMerge/>
          </w:tcPr>
          <w:p w:rsidR="004912B3" w:rsidRPr="006C74C6" w:rsidRDefault="004912B3" w:rsidP="004912B3">
            <w:pPr>
              <w:pStyle w:val="Bezmezer"/>
              <w:rPr>
                <w:rFonts w:cs="Tahoma"/>
                <w:sz w:val="18"/>
                <w:szCs w:val="18"/>
              </w:rPr>
            </w:pPr>
          </w:p>
        </w:tc>
        <w:tc>
          <w:tcPr>
            <w:tcW w:w="1559" w:type="dxa"/>
          </w:tcPr>
          <w:p w:rsidR="004912B3" w:rsidRPr="006C74C6" w:rsidRDefault="004912B3" w:rsidP="004912B3">
            <w:pPr>
              <w:pStyle w:val="Bezmezer"/>
              <w:rPr>
                <w:rFonts w:cs="Tahoma"/>
                <w:sz w:val="18"/>
                <w:szCs w:val="18"/>
              </w:rPr>
            </w:pPr>
            <w:r w:rsidRPr="006C74C6">
              <w:rPr>
                <w:rFonts w:cs="Tahoma"/>
                <w:sz w:val="18"/>
                <w:szCs w:val="18"/>
              </w:rPr>
              <w:t>nabídk. trasy</w:t>
            </w:r>
          </w:p>
        </w:tc>
        <w:tc>
          <w:tcPr>
            <w:tcW w:w="531"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c>
          <w:tcPr>
            <w:tcW w:w="531" w:type="dxa"/>
          </w:tcPr>
          <w:p w:rsidR="004912B3" w:rsidRPr="006C74C6" w:rsidRDefault="004912B3" w:rsidP="004912B3">
            <w:pPr>
              <w:pStyle w:val="Bezmezer"/>
              <w:rPr>
                <w:rFonts w:cs="Tahoma"/>
                <w:sz w:val="18"/>
                <w:szCs w:val="18"/>
              </w:rPr>
            </w:pPr>
            <w:r w:rsidRPr="006C74C6">
              <w:rPr>
                <w:rFonts w:cs="Tahoma"/>
                <w:sz w:val="18"/>
                <w:szCs w:val="18"/>
              </w:rPr>
              <w:t>2</w:t>
            </w:r>
          </w:p>
        </w:tc>
        <w:tc>
          <w:tcPr>
            <w:tcW w:w="532" w:type="dxa"/>
          </w:tcPr>
          <w:p w:rsidR="004912B3" w:rsidRPr="006C74C6" w:rsidRDefault="004912B3" w:rsidP="004912B3">
            <w:pPr>
              <w:pStyle w:val="Bezmezer"/>
              <w:rPr>
                <w:rFonts w:cs="Tahoma"/>
                <w:sz w:val="18"/>
                <w:szCs w:val="18"/>
              </w:rPr>
            </w:pPr>
            <w:r w:rsidRPr="006C74C6">
              <w:rPr>
                <w:rFonts w:cs="Tahoma"/>
                <w:sz w:val="18"/>
                <w:szCs w:val="18"/>
              </w:rPr>
              <w:t>2</w:t>
            </w:r>
          </w:p>
        </w:tc>
        <w:tc>
          <w:tcPr>
            <w:tcW w:w="532" w:type="dxa"/>
          </w:tcPr>
          <w:p w:rsidR="004912B3" w:rsidRPr="006C74C6" w:rsidRDefault="004912B3" w:rsidP="004912B3">
            <w:pPr>
              <w:pStyle w:val="Bezmezer"/>
              <w:rPr>
                <w:rFonts w:cs="Tahoma"/>
                <w:sz w:val="18"/>
                <w:szCs w:val="18"/>
              </w:rPr>
            </w:pPr>
          </w:p>
        </w:tc>
        <w:tc>
          <w:tcPr>
            <w:tcW w:w="532" w:type="dxa"/>
          </w:tcPr>
          <w:p w:rsidR="004912B3" w:rsidRPr="006C74C6" w:rsidRDefault="004912B3" w:rsidP="004912B3">
            <w:pPr>
              <w:pStyle w:val="Bezmezer"/>
              <w:rPr>
                <w:rFonts w:cs="Tahoma"/>
                <w:sz w:val="18"/>
                <w:szCs w:val="18"/>
              </w:rPr>
            </w:pPr>
          </w:p>
        </w:tc>
      </w:tr>
      <w:tr w:rsidR="004912B3" w:rsidRPr="004912B3" w:rsidTr="006C74C6">
        <w:tc>
          <w:tcPr>
            <w:tcW w:w="5102" w:type="dxa"/>
            <w:gridSpan w:val="3"/>
          </w:tcPr>
          <w:p w:rsidR="004912B3" w:rsidRPr="006C74C6" w:rsidRDefault="004912B3" w:rsidP="004912B3">
            <w:pPr>
              <w:pStyle w:val="Bezmezer"/>
              <w:rPr>
                <w:rFonts w:cs="Tahoma"/>
                <w:sz w:val="18"/>
                <w:szCs w:val="18"/>
              </w:rPr>
            </w:pPr>
            <w:r w:rsidRPr="006C74C6">
              <w:rPr>
                <w:rFonts w:cs="Tahoma"/>
                <w:sz w:val="18"/>
                <w:szCs w:val="18"/>
              </w:rPr>
              <w:t>celkem</w:t>
            </w:r>
          </w:p>
        </w:tc>
        <w:tc>
          <w:tcPr>
            <w:tcW w:w="531" w:type="dxa"/>
          </w:tcPr>
          <w:p w:rsidR="004912B3" w:rsidRPr="00F54092" w:rsidRDefault="004912B3" w:rsidP="004912B3">
            <w:pPr>
              <w:pStyle w:val="Bezmezer"/>
              <w:rPr>
                <w:rFonts w:cs="Tahoma"/>
                <w:b/>
                <w:sz w:val="18"/>
                <w:szCs w:val="18"/>
              </w:rPr>
            </w:pPr>
          </w:p>
        </w:tc>
        <w:tc>
          <w:tcPr>
            <w:tcW w:w="532" w:type="dxa"/>
          </w:tcPr>
          <w:p w:rsidR="004912B3" w:rsidRPr="00F54092" w:rsidRDefault="004912B3" w:rsidP="004912B3">
            <w:pPr>
              <w:pStyle w:val="Bezmezer"/>
              <w:rPr>
                <w:rFonts w:cs="Tahoma"/>
                <w:b/>
                <w:sz w:val="18"/>
                <w:szCs w:val="18"/>
              </w:rPr>
            </w:pPr>
            <w:r w:rsidRPr="00F54092">
              <w:rPr>
                <w:rFonts w:cs="Tahoma"/>
                <w:b/>
                <w:sz w:val="18"/>
                <w:szCs w:val="18"/>
              </w:rPr>
              <w:t>1</w:t>
            </w:r>
          </w:p>
        </w:tc>
        <w:tc>
          <w:tcPr>
            <w:tcW w:w="532" w:type="dxa"/>
          </w:tcPr>
          <w:p w:rsidR="004912B3" w:rsidRPr="00F54092" w:rsidRDefault="004912B3" w:rsidP="004912B3">
            <w:pPr>
              <w:pStyle w:val="Bezmezer"/>
              <w:rPr>
                <w:rFonts w:cs="Tahoma"/>
                <w:b/>
                <w:sz w:val="18"/>
                <w:szCs w:val="18"/>
              </w:rPr>
            </w:pPr>
            <w:r w:rsidRPr="00F54092">
              <w:rPr>
                <w:rFonts w:cs="Tahoma"/>
                <w:b/>
                <w:sz w:val="18"/>
                <w:szCs w:val="18"/>
              </w:rPr>
              <w:t>5</w:t>
            </w:r>
          </w:p>
        </w:tc>
        <w:tc>
          <w:tcPr>
            <w:tcW w:w="532" w:type="dxa"/>
          </w:tcPr>
          <w:p w:rsidR="004912B3" w:rsidRPr="00F54092" w:rsidRDefault="004912B3" w:rsidP="004912B3">
            <w:pPr>
              <w:pStyle w:val="Bezmezer"/>
              <w:rPr>
                <w:rFonts w:cs="Tahoma"/>
                <w:b/>
                <w:sz w:val="18"/>
                <w:szCs w:val="18"/>
              </w:rPr>
            </w:pPr>
          </w:p>
        </w:tc>
        <w:tc>
          <w:tcPr>
            <w:tcW w:w="531" w:type="dxa"/>
          </w:tcPr>
          <w:p w:rsidR="004912B3" w:rsidRPr="00F54092" w:rsidRDefault="004912B3" w:rsidP="004912B3">
            <w:pPr>
              <w:pStyle w:val="Bezmezer"/>
              <w:rPr>
                <w:rFonts w:cs="Tahoma"/>
                <w:b/>
                <w:sz w:val="18"/>
                <w:szCs w:val="18"/>
              </w:rPr>
            </w:pPr>
            <w:r w:rsidRPr="00F54092">
              <w:rPr>
                <w:rFonts w:cs="Tahoma"/>
                <w:b/>
                <w:sz w:val="18"/>
                <w:szCs w:val="18"/>
              </w:rPr>
              <w:t>3</w:t>
            </w:r>
          </w:p>
        </w:tc>
        <w:tc>
          <w:tcPr>
            <w:tcW w:w="532" w:type="dxa"/>
          </w:tcPr>
          <w:p w:rsidR="004912B3" w:rsidRPr="00F54092" w:rsidRDefault="004912B3" w:rsidP="004912B3">
            <w:pPr>
              <w:pStyle w:val="Bezmezer"/>
              <w:rPr>
                <w:rFonts w:cs="Tahoma"/>
                <w:b/>
                <w:sz w:val="18"/>
                <w:szCs w:val="18"/>
              </w:rPr>
            </w:pPr>
            <w:r w:rsidRPr="00F54092">
              <w:rPr>
                <w:rFonts w:cs="Tahoma"/>
                <w:b/>
                <w:sz w:val="18"/>
                <w:szCs w:val="18"/>
              </w:rPr>
              <w:t>7</w:t>
            </w:r>
          </w:p>
        </w:tc>
        <w:tc>
          <w:tcPr>
            <w:tcW w:w="532" w:type="dxa"/>
          </w:tcPr>
          <w:p w:rsidR="004912B3" w:rsidRPr="00F54092" w:rsidRDefault="004912B3" w:rsidP="004912B3">
            <w:pPr>
              <w:pStyle w:val="Bezmezer"/>
              <w:rPr>
                <w:rFonts w:cs="Tahoma"/>
                <w:b/>
                <w:sz w:val="18"/>
                <w:szCs w:val="18"/>
              </w:rPr>
            </w:pPr>
          </w:p>
        </w:tc>
        <w:tc>
          <w:tcPr>
            <w:tcW w:w="532" w:type="dxa"/>
          </w:tcPr>
          <w:p w:rsidR="004912B3" w:rsidRPr="00F54092" w:rsidRDefault="004912B3" w:rsidP="004912B3">
            <w:pPr>
              <w:pStyle w:val="Bezmezer"/>
              <w:rPr>
                <w:rFonts w:cs="Tahoma"/>
                <w:b/>
                <w:sz w:val="18"/>
                <w:szCs w:val="18"/>
              </w:rPr>
            </w:pPr>
          </w:p>
        </w:tc>
      </w:tr>
    </w:tbl>
    <w:p w:rsidR="004912B3" w:rsidRDefault="004912B3" w:rsidP="004912B3">
      <w:r>
        <w:t>Poznámka: pro určení S, L (sudý, lichý) je rozhodující směr jízdy, nikoliv číslo vlaku. Sudým směrem se rozumí směr Pardubice – Hradec Králové / odb. Plačice.</w:t>
      </w:r>
    </w:p>
    <w:p w:rsidR="004912B3" w:rsidRPr="004912B3" w:rsidRDefault="004912B3" w:rsidP="004912B3">
      <w:pPr>
        <w:rPr>
          <w:u w:val="single"/>
        </w:rPr>
      </w:pPr>
      <w:r w:rsidRPr="004912B3">
        <w:rPr>
          <w:u w:val="single"/>
        </w:rPr>
        <w:t>Nákladní doprava – místní práce</w:t>
      </w:r>
    </w:p>
    <w:p w:rsidR="004912B3" w:rsidRDefault="004912B3" w:rsidP="00AC0166">
      <w:r>
        <w:t xml:space="preserve">Rozsah nakládky a vykládky v dotčených stanicích je </w:t>
      </w:r>
      <w:r w:rsidR="00AC0166">
        <w:t xml:space="preserve">významný </w:t>
      </w:r>
      <w:r>
        <w:t>– konkrétní údaje viz následující tabulky</w:t>
      </w:r>
      <w:r w:rsidR="00A52C35">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977"/>
        <w:gridCol w:w="1035"/>
        <w:gridCol w:w="1035"/>
        <w:gridCol w:w="1035"/>
        <w:gridCol w:w="864"/>
      </w:tblGrid>
      <w:tr w:rsidR="004912B3" w:rsidTr="00F54092">
        <w:tc>
          <w:tcPr>
            <w:tcW w:w="9214" w:type="dxa"/>
            <w:gridSpan w:val="6"/>
            <w:tcBorders>
              <w:bottom w:val="single" w:sz="4" w:space="0" w:color="auto"/>
            </w:tcBorders>
          </w:tcPr>
          <w:p w:rsidR="004912B3" w:rsidRPr="00553415" w:rsidRDefault="004912B3" w:rsidP="00C65DA3">
            <w:pPr>
              <w:pStyle w:val="Titulek"/>
            </w:pPr>
            <w:bookmarkStart w:id="131" w:name="_Toc390958757"/>
            <w:bookmarkStart w:id="132" w:name="_Toc391034561"/>
            <w:r w:rsidRPr="00553415">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6</w:t>
            </w:r>
            <w:r w:rsidR="000E79AE">
              <w:fldChar w:fldCharType="end"/>
            </w:r>
            <w:r w:rsidRPr="00553415">
              <w:t>: Přehled nakládky 2008-2011</w:t>
            </w:r>
            <w:bookmarkEnd w:id="131"/>
            <w:bookmarkEnd w:id="132"/>
          </w:p>
        </w:tc>
      </w:tr>
      <w:tr w:rsidR="004912B3" w:rsidTr="00F54092">
        <w:tc>
          <w:tcPr>
            <w:tcW w:w="2268" w:type="dxa"/>
            <w:tcBorders>
              <w:bottom w:val="single" w:sz="12" w:space="0" w:color="auto"/>
            </w:tcBorders>
            <w:shd w:val="clear" w:color="auto" w:fill="FFFFFF" w:themeFill="background1"/>
          </w:tcPr>
          <w:p w:rsidR="004912B3" w:rsidRPr="00F54092" w:rsidRDefault="004912B3" w:rsidP="00553415">
            <w:pPr>
              <w:pStyle w:val="Bezmezer"/>
              <w:rPr>
                <w:rFonts w:cs="Tahoma"/>
                <w:sz w:val="18"/>
                <w:szCs w:val="18"/>
              </w:rPr>
            </w:pPr>
            <w:r w:rsidRPr="00F54092">
              <w:rPr>
                <w:rFonts w:cs="Tahoma"/>
                <w:sz w:val="18"/>
                <w:szCs w:val="18"/>
              </w:rPr>
              <w:t>Železniční stanice</w:t>
            </w:r>
          </w:p>
        </w:tc>
        <w:tc>
          <w:tcPr>
            <w:tcW w:w="2977" w:type="dxa"/>
            <w:tcBorders>
              <w:bottom w:val="single" w:sz="12" w:space="0" w:color="auto"/>
              <w:right w:val="single" w:sz="12" w:space="0" w:color="auto"/>
            </w:tcBorders>
            <w:shd w:val="clear" w:color="auto" w:fill="FFFFFF" w:themeFill="background1"/>
          </w:tcPr>
          <w:p w:rsidR="004912B3" w:rsidRPr="00F54092" w:rsidRDefault="004912B3" w:rsidP="00553415">
            <w:pPr>
              <w:pStyle w:val="Bezmezer"/>
              <w:rPr>
                <w:rFonts w:cs="Tahoma"/>
                <w:sz w:val="18"/>
                <w:szCs w:val="18"/>
              </w:rPr>
            </w:pPr>
            <w:r w:rsidRPr="00F54092">
              <w:rPr>
                <w:rFonts w:cs="Tahoma"/>
                <w:sz w:val="18"/>
                <w:szCs w:val="18"/>
              </w:rPr>
              <w:t>místo</w:t>
            </w:r>
          </w:p>
        </w:tc>
        <w:tc>
          <w:tcPr>
            <w:tcW w:w="1035" w:type="dxa"/>
            <w:tcBorders>
              <w:left w:val="single" w:sz="12" w:space="0" w:color="auto"/>
              <w:bottom w:val="single" w:sz="12" w:space="0" w:color="auto"/>
            </w:tcBorders>
            <w:shd w:val="clear" w:color="auto" w:fill="FFFFFF" w:themeFill="background1"/>
            <w:vAlign w:val="center"/>
          </w:tcPr>
          <w:p w:rsidR="004912B3" w:rsidRPr="00F54092" w:rsidRDefault="004912B3" w:rsidP="00F54092">
            <w:pPr>
              <w:pStyle w:val="Bezmezer"/>
              <w:jc w:val="right"/>
              <w:rPr>
                <w:rFonts w:cs="Tahoma"/>
                <w:sz w:val="18"/>
                <w:szCs w:val="18"/>
              </w:rPr>
            </w:pPr>
            <w:r w:rsidRPr="00F54092">
              <w:rPr>
                <w:rFonts w:cs="Tahoma"/>
                <w:sz w:val="18"/>
                <w:szCs w:val="18"/>
              </w:rPr>
              <w:t>2008</w:t>
            </w:r>
          </w:p>
        </w:tc>
        <w:tc>
          <w:tcPr>
            <w:tcW w:w="1035" w:type="dxa"/>
            <w:tcBorders>
              <w:bottom w:val="single" w:sz="12" w:space="0" w:color="auto"/>
            </w:tcBorders>
            <w:shd w:val="clear" w:color="auto" w:fill="FFFFFF" w:themeFill="background1"/>
            <w:vAlign w:val="center"/>
          </w:tcPr>
          <w:p w:rsidR="004912B3" w:rsidRPr="00F54092" w:rsidRDefault="004912B3" w:rsidP="00F54092">
            <w:pPr>
              <w:pStyle w:val="Bezmezer"/>
              <w:jc w:val="right"/>
              <w:rPr>
                <w:rFonts w:cs="Tahoma"/>
                <w:sz w:val="18"/>
                <w:szCs w:val="18"/>
              </w:rPr>
            </w:pPr>
            <w:r w:rsidRPr="00F54092">
              <w:rPr>
                <w:rFonts w:cs="Tahoma"/>
                <w:sz w:val="18"/>
                <w:szCs w:val="18"/>
              </w:rPr>
              <w:t>2009</w:t>
            </w:r>
          </w:p>
        </w:tc>
        <w:tc>
          <w:tcPr>
            <w:tcW w:w="1035" w:type="dxa"/>
            <w:tcBorders>
              <w:bottom w:val="single" w:sz="12" w:space="0" w:color="auto"/>
            </w:tcBorders>
            <w:shd w:val="clear" w:color="auto" w:fill="FFFFFF" w:themeFill="background1"/>
            <w:vAlign w:val="center"/>
          </w:tcPr>
          <w:p w:rsidR="004912B3" w:rsidRPr="00F54092" w:rsidRDefault="004912B3" w:rsidP="00F54092">
            <w:pPr>
              <w:pStyle w:val="Bezmezer"/>
              <w:jc w:val="right"/>
              <w:rPr>
                <w:rFonts w:cs="Tahoma"/>
                <w:sz w:val="18"/>
                <w:szCs w:val="18"/>
              </w:rPr>
            </w:pPr>
            <w:r w:rsidRPr="00F54092">
              <w:rPr>
                <w:rFonts w:cs="Tahoma"/>
                <w:sz w:val="18"/>
                <w:szCs w:val="18"/>
              </w:rPr>
              <w:t>2010</w:t>
            </w:r>
          </w:p>
        </w:tc>
        <w:tc>
          <w:tcPr>
            <w:tcW w:w="864" w:type="dxa"/>
            <w:tcBorders>
              <w:bottom w:val="single" w:sz="12" w:space="0" w:color="auto"/>
            </w:tcBorders>
            <w:shd w:val="clear" w:color="auto" w:fill="FFFFFF" w:themeFill="background1"/>
            <w:vAlign w:val="center"/>
          </w:tcPr>
          <w:p w:rsidR="004912B3" w:rsidRPr="00F54092" w:rsidRDefault="004912B3" w:rsidP="00F54092">
            <w:pPr>
              <w:pStyle w:val="Bezmezer"/>
              <w:jc w:val="right"/>
              <w:rPr>
                <w:rFonts w:cs="Tahoma"/>
                <w:sz w:val="18"/>
                <w:szCs w:val="18"/>
              </w:rPr>
            </w:pPr>
            <w:r w:rsidRPr="00F54092">
              <w:rPr>
                <w:rFonts w:cs="Tahoma"/>
                <w:sz w:val="18"/>
                <w:szCs w:val="18"/>
              </w:rPr>
              <w:t>2011</w:t>
            </w:r>
          </w:p>
        </w:tc>
      </w:tr>
      <w:tr w:rsidR="00F92EB5" w:rsidTr="00F54092">
        <w:tc>
          <w:tcPr>
            <w:tcW w:w="2268" w:type="dxa"/>
            <w:vMerge w:val="restart"/>
            <w:tcBorders>
              <w:top w:val="single" w:sz="12" w:space="0" w:color="auto"/>
            </w:tcBorders>
            <w:shd w:val="clear" w:color="auto" w:fill="FFFFFF" w:themeFill="background1"/>
            <w:vAlign w:val="center"/>
          </w:tcPr>
          <w:p w:rsidR="00F92EB5" w:rsidRPr="00F54092" w:rsidRDefault="00F92EB5" w:rsidP="00553415">
            <w:pPr>
              <w:pStyle w:val="Bezmezer"/>
              <w:jc w:val="left"/>
              <w:rPr>
                <w:rFonts w:cs="Tahoma"/>
                <w:sz w:val="18"/>
                <w:szCs w:val="18"/>
              </w:rPr>
            </w:pPr>
            <w:r w:rsidRPr="00F54092">
              <w:rPr>
                <w:rFonts w:cs="Tahoma"/>
                <w:sz w:val="18"/>
                <w:szCs w:val="18"/>
              </w:rPr>
              <w:t>Pardubice-Rosice nad Labem</w:t>
            </w:r>
          </w:p>
        </w:tc>
        <w:tc>
          <w:tcPr>
            <w:tcW w:w="2977" w:type="dxa"/>
            <w:tcBorders>
              <w:top w:val="single" w:sz="12" w:space="0" w:color="auto"/>
              <w:right w:val="single" w:sz="12" w:space="0" w:color="auto"/>
            </w:tcBorders>
            <w:shd w:val="clear" w:color="auto" w:fill="auto"/>
          </w:tcPr>
          <w:p w:rsidR="00F92EB5" w:rsidRPr="00F54092" w:rsidRDefault="00F92EB5" w:rsidP="00553415">
            <w:pPr>
              <w:pStyle w:val="Bezmezer"/>
              <w:rPr>
                <w:rFonts w:cs="Tahoma"/>
                <w:sz w:val="18"/>
                <w:szCs w:val="18"/>
              </w:rPr>
            </w:pPr>
            <w:r w:rsidRPr="00F54092">
              <w:rPr>
                <w:rFonts w:cs="Tahoma"/>
                <w:sz w:val="18"/>
                <w:szCs w:val="18"/>
              </w:rPr>
              <w:t>vlečka Synthesia</w:t>
            </w:r>
          </w:p>
        </w:tc>
        <w:tc>
          <w:tcPr>
            <w:tcW w:w="1035" w:type="dxa"/>
            <w:tcBorders>
              <w:top w:val="single" w:sz="12" w:space="0" w:color="auto"/>
              <w:left w:val="single" w:sz="12" w:space="0" w:color="auto"/>
            </w:tcBorders>
            <w:shd w:val="clear" w:color="auto" w:fill="auto"/>
            <w:vAlign w:val="center"/>
          </w:tcPr>
          <w:p w:rsidR="00F92EB5" w:rsidRPr="00F54092" w:rsidRDefault="00F92EB5" w:rsidP="00F54092">
            <w:pPr>
              <w:pStyle w:val="Bezmezer"/>
              <w:ind w:right="-1"/>
              <w:jc w:val="right"/>
              <w:rPr>
                <w:rFonts w:cs="Tahoma"/>
                <w:sz w:val="18"/>
                <w:szCs w:val="18"/>
              </w:rPr>
            </w:pPr>
            <w:r w:rsidRPr="00F54092">
              <w:rPr>
                <w:rFonts w:cs="Tahoma"/>
                <w:sz w:val="18"/>
                <w:szCs w:val="18"/>
              </w:rPr>
              <w:t>3</w:t>
            </w:r>
            <w:r w:rsidR="00F54092">
              <w:rPr>
                <w:rFonts w:cs="Tahoma"/>
                <w:sz w:val="18"/>
                <w:szCs w:val="18"/>
              </w:rPr>
              <w:t xml:space="preserve"> </w:t>
            </w:r>
            <w:r w:rsidRPr="00F54092">
              <w:rPr>
                <w:rFonts w:cs="Tahoma"/>
                <w:sz w:val="18"/>
                <w:szCs w:val="18"/>
              </w:rPr>
              <w:t>649</w:t>
            </w:r>
          </w:p>
        </w:tc>
        <w:tc>
          <w:tcPr>
            <w:tcW w:w="1035" w:type="dxa"/>
            <w:tcBorders>
              <w:top w:val="single" w:sz="12" w:space="0" w:color="auto"/>
            </w:tcBorders>
            <w:shd w:val="clear" w:color="auto" w:fill="auto"/>
            <w:vAlign w:val="center"/>
          </w:tcPr>
          <w:p w:rsidR="00F92EB5" w:rsidRPr="00F54092" w:rsidRDefault="00F92EB5" w:rsidP="00F54092">
            <w:pPr>
              <w:pStyle w:val="Bezmezer"/>
              <w:ind w:right="-1"/>
              <w:jc w:val="right"/>
              <w:rPr>
                <w:rFonts w:cs="Tahoma"/>
                <w:sz w:val="18"/>
                <w:szCs w:val="18"/>
              </w:rPr>
            </w:pPr>
            <w:r w:rsidRPr="00F54092">
              <w:rPr>
                <w:rFonts w:cs="Tahoma"/>
                <w:sz w:val="18"/>
                <w:szCs w:val="18"/>
              </w:rPr>
              <w:t>1</w:t>
            </w:r>
            <w:r w:rsidR="00F54092">
              <w:rPr>
                <w:rFonts w:cs="Tahoma"/>
                <w:sz w:val="18"/>
                <w:szCs w:val="18"/>
              </w:rPr>
              <w:t xml:space="preserve"> </w:t>
            </w:r>
            <w:r w:rsidRPr="00F54092">
              <w:rPr>
                <w:rFonts w:cs="Tahoma"/>
                <w:sz w:val="18"/>
                <w:szCs w:val="18"/>
              </w:rPr>
              <w:t>886</w:t>
            </w:r>
          </w:p>
        </w:tc>
        <w:tc>
          <w:tcPr>
            <w:tcW w:w="1035" w:type="dxa"/>
            <w:tcBorders>
              <w:top w:val="single" w:sz="12" w:space="0" w:color="auto"/>
            </w:tcBorders>
            <w:shd w:val="clear" w:color="auto" w:fill="auto"/>
            <w:vAlign w:val="center"/>
          </w:tcPr>
          <w:p w:rsidR="00F92EB5" w:rsidRPr="00F54092" w:rsidRDefault="00F92EB5" w:rsidP="00F54092">
            <w:pPr>
              <w:pStyle w:val="Bezmezer"/>
              <w:ind w:right="-1"/>
              <w:jc w:val="right"/>
              <w:rPr>
                <w:rFonts w:cs="Tahoma"/>
                <w:sz w:val="18"/>
                <w:szCs w:val="18"/>
              </w:rPr>
            </w:pPr>
            <w:r w:rsidRPr="00F54092">
              <w:rPr>
                <w:rFonts w:cs="Tahoma"/>
                <w:sz w:val="18"/>
                <w:szCs w:val="18"/>
              </w:rPr>
              <w:t>2</w:t>
            </w:r>
            <w:r w:rsidR="00F54092">
              <w:rPr>
                <w:rFonts w:cs="Tahoma"/>
                <w:sz w:val="18"/>
                <w:szCs w:val="18"/>
              </w:rPr>
              <w:t xml:space="preserve"> </w:t>
            </w:r>
            <w:r w:rsidRPr="00F54092">
              <w:rPr>
                <w:rFonts w:cs="Tahoma"/>
                <w:sz w:val="18"/>
                <w:szCs w:val="18"/>
              </w:rPr>
              <w:t>479</w:t>
            </w:r>
          </w:p>
        </w:tc>
        <w:tc>
          <w:tcPr>
            <w:tcW w:w="864" w:type="dxa"/>
            <w:tcBorders>
              <w:top w:val="single" w:sz="12" w:space="0" w:color="auto"/>
            </w:tcBorders>
            <w:shd w:val="clear" w:color="auto" w:fill="auto"/>
            <w:vAlign w:val="center"/>
          </w:tcPr>
          <w:p w:rsidR="00F92EB5" w:rsidRPr="00F54092" w:rsidRDefault="00F92EB5" w:rsidP="00F54092">
            <w:pPr>
              <w:pStyle w:val="Bezmezer"/>
              <w:ind w:right="-1"/>
              <w:jc w:val="right"/>
              <w:rPr>
                <w:rFonts w:cs="Tahoma"/>
                <w:sz w:val="18"/>
                <w:szCs w:val="18"/>
              </w:rPr>
            </w:pPr>
            <w:r w:rsidRPr="00F54092">
              <w:rPr>
                <w:rFonts w:cs="Tahoma"/>
                <w:sz w:val="18"/>
                <w:szCs w:val="18"/>
              </w:rPr>
              <w:t>2</w:t>
            </w:r>
            <w:r w:rsidR="00F54092">
              <w:rPr>
                <w:rFonts w:cs="Tahoma"/>
                <w:sz w:val="18"/>
                <w:szCs w:val="18"/>
              </w:rPr>
              <w:t xml:space="preserve"> </w:t>
            </w:r>
            <w:r w:rsidRPr="00F54092">
              <w:rPr>
                <w:rFonts w:cs="Tahoma"/>
                <w:sz w:val="18"/>
                <w:szCs w:val="18"/>
              </w:rPr>
              <w:t>298</w:t>
            </w:r>
          </w:p>
        </w:tc>
      </w:tr>
      <w:tr w:rsidR="00F92EB5" w:rsidTr="00F54092">
        <w:tc>
          <w:tcPr>
            <w:tcW w:w="2268" w:type="dxa"/>
            <w:vMerge/>
            <w:shd w:val="clear" w:color="auto" w:fill="FFFFFF" w:themeFill="background1"/>
          </w:tcPr>
          <w:p w:rsidR="00F92EB5" w:rsidRPr="00F54092" w:rsidRDefault="00F92EB5" w:rsidP="00553415">
            <w:pPr>
              <w:pStyle w:val="Bezmezer"/>
              <w:rPr>
                <w:rFonts w:cs="Tahoma"/>
                <w:sz w:val="18"/>
                <w:szCs w:val="18"/>
              </w:rPr>
            </w:pPr>
          </w:p>
        </w:tc>
        <w:tc>
          <w:tcPr>
            <w:tcW w:w="2977" w:type="dxa"/>
            <w:tcBorders>
              <w:right w:val="single" w:sz="12" w:space="0" w:color="auto"/>
            </w:tcBorders>
            <w:shd w:val="clear" w:color="auto" w:fill="auto"/>
          </w:tcPr>
          <w:p w:rsidR="00F92EB5" w:rsidRPr="00F54092" w:rsidRDefault="00F92EB5" w:rsidP="00553415">
            <w:pPr>
              <w:pStyle w:val="Bezmezer"/>
              <w:rPr>
                <w:rFonts w:cs="Tahoma"/>
                <w:sz w:val="18"/>
                <w:szCs w:val="18"/>
              </w:rPr>
            </w:pPr>
            <w:r w:rsidRPr="00F54092">
              <w:rPr>
                <w:rFonts w:cs="Tahoma"/>
                <w:sz w:val="18"/>
                <w:szCs w:val="18"/>
              </w:rPr>
              <w:t>vlečka Jarý</w:t>
            </w:r>
          </w:p>
        </w:tc>
        <w:tc>
          <w:tcPr>
            <w:tcW w:w="1035" w:type="dxa"/>
            <w:tcBorders>
              <w:left w:val="single" w:sz="12" w:space="0" w:color="auto"/>
            </w:tcBorders>
            <w:shd w:val="clear" w:color="auto" w:fill="auto"/>
            <w:vAlign w:val="center"/>
          </w:tcPr>
          <w:p w:rsidR="00F92EB5" w:rsidRPr="00F54092" w:rsidRDefault="00F92EB5" w:rsidP="00F54092">
            <w:pPr>
              <w:pStyle w:val="Bezmezer"/>
              <w:ind w:right="-1"/>
              <w:jc w:val="right"/>
              <w:rPr>
                <w:rFonts w:cs="Tahoma"/>
                <w:sz w:val="18"/>
                <w:szCs w:val="18"/>
              </w:rPr>
            </w:pPr>
            <w:r w:rsidRPr="00F54092">
              <w:rPr>
                <w:rFonts w:cs="Tahoma"/>
                <w:sz w:val="18"/>
                <w:szCs w:val="18"/>
              </w:rPr>
              <w:t>405</w:t>
            </w:r>
          </w:p>
        </w:tc>
        <w:tc>
          <w:tcPr>
            <w:tcW w:w="1035" w:type="dxa"/>
            <w:shd w:val="clear" w:color="auto" w:fill="auto"/>
            <w:vAlign w:val="center"/>
          </w:tcPr>
          <w:p w:rsidR="00F92EB5" w:rsidRPr="00F54092" w:rsidRDefault="00F92EB5" w:rsidP="00F54092">
            <w:pPr>
              <w:pStyle w:val="Bezmezer"/>
              <w:ind w:right="-1"/>
              <w:jc w:val="right"/>
              <w:rPr>
                <w:rFonts w:cs="Tahoma"/>
                <w:sz w:val="18"/>
                <w:szCs w:val="18"/>
              </w:rPr>
            </w:pPr>
            <w:r w:rsidRPr="00F54092">
              <w:rPr>
                <w:rFonts w:cs="Tahoma"/>
                <w:sz w:val="18"/>
                <w:szCs w:val="18"/>
              </w:rPr>
              <w:t>187</w:t>
            </w:r>
          </w:p>
        </w:tc>
        <w:tc>
          <w:tcPr>
            <w:tcW w:w="1035" w:type="dxa"/>
            <w:shd w:val="clear" w:color="auto" w:fill="auto"/>
            <w:vAlign w:val="center"/>
          </w:tcPr>
          <w:p w:rsidR="00F92EB5" w:rsidRPr="00F54092" w:rsidRDefault="00F92EB5" w:rsidP="00F54092">
            <w:pPr>
              <w:pStyle w:val="Bezmezer"/>
              <w:ind w:right="-1"/>
              <w:jc w:val="right"/>
              <w:rPr>
                <w:rFonts w:cs="Tahoma"/>
                <w:sz w:val="18"/>
                <w:szCs w:val="18"/>
              </w:rPr>
            </w:pPr>
            <w:r w:rsidRPr="00F54092">
              <w:rPr>
                <w:rFonts w:cs="Tahoma"/>
                <w:sz w:val="18"/>
                <w:szCs w:val="18"/>
              </w:rPr>
              <w:t>280</w:t>
            </w:r>
          </w:p>
        </w:tc>
        <w:tc>
          <w:tcPr>
            <w:tcW w:w="864" w:type="dxa"/>
            <w:shd w:val="clear" w:color="auto" w:fill="auto"/>
            <w:vAlign w:val="center"/>
          </w:tcPr>
          <w:p w:rsidR="00F92EB5" w:rsidRPr="00F54092" w:rsidRDefault="00F92EB5" w:rsidP="00F54092">
            <w:pPr>
              <w:pStyle w:val="Bezmezer"/>
              <w:ind w:right="-1"/>
              <w:jc w:val="right"/>
              <w:rPr>
                <w:rFonts w:cs="Tahoma"/>
                <w:sz w:val="18"/>
                <w:szCs w:val="18"/>
              </w:rPr>
            </w:pPr>
            <w:r w:rsidRPr="00F54092">
              <w:rPr>
                <w:rFonts w:cs="Tahoma"/>
                <w:sz w:val="18"/>
                <w:szCs w:val="18"/>
              </w:rPr>
              <w:t>313</w:t>
            </w:r>
          </w:p>
        </w:tc>
      </w:tr>
      <w:tr w:rsidR="00F92EB5" w:rsidTr="00F54092">
        <w:tc>
          <w:tcPr>
            <w:tcW w:w="2268" w:type="dxa"/>
            <w:vMerge/>
            <w:shd w:val="clear" w:color="auto" w:fill="FFFFFF" w:themeFill="background1"/>
          </w:tcPr>
          <w:p w:rsidR="00F92EB5" w:rsidRPr="00F54092" w:rsidRDefault="00F92EB5" w:rsidP="00553415">
            <w:pPr>
              <w:pStyle w:val="Bezmezer"/>
              <w:rPr>
                <w:rFonts w:cs="Tahoma"/>
                <w:sz w:val="18"/>
                <w:szCs w:val="18"/>
              </w:rPr>
            </w:pPr>
          </w:p>
        </w:tc>
        <w:tc>
          <w:tcPr>
            <w:tcW w:w="2977" w:type="dxa"/>
            <w:tcBorders>
              <w:right w:val="single" w:sz="12" w:space="0" w:color="auto"/>
            </w:tcBorders>
            <w:shd w:val="clear" w:color="auto" w:fill="auto"/>
          </w:tcPr>
          <w:p w:rsidR="00F92EB5" w:rsidRPr="00F54092" w:rsidRDefault="00F92EB5" w:rsidP="00F92EB5">
            <w:pPr>
              <w:pStyle w:val="Bezmezer"/>
              <w:rPr>
                <w:rFonts w:cs="Tahoma"/>
                <w:sz w:val="18"/>
                <w:szCs w:val="18"/>
              </w:rPr>
            </w:pPr>
            <w:r w:rsidRPr="00F54092">
              <w:rPr>
                <w:rFonts w:cs="Tahoma"/>
                <w:sz w:val="18"/>
                <w:szCs w:val="18"/>
              </w:rPr>
              <w:t>ostatní vlečky</w:t>
            </w:r>
          </w:p>
        </w:tc>
        <w:tc>
          <w:tcPr>
            <w:tcW w:w="1035" w:type="dxa"/>
            <w:tcBorders>
              <w:left w:val="single" w:sz="12" w:space="0" w:color="auto"/>
            </w:tcBorders>
            <w:shd w:val="clear" w:color="auto" w:fill="auto"/>
            <w:vAlign w:val="center"/>
          </w:tcPr>
          <w:p w:rsidR="00F92EB5" w:rsidRPr="00F54092" w:rsidRDefault="00F92EB5" w:rsidP="00F54092">
            <w:pPr>
              <w:pStyle w:val="Bezmezer"/>
              <w:ind w:right="-1"/>
              <w:jc w:val="right"/>
              <w:rPr>
                <w:rFonts w:cs="Tahoma"/>
                <w:sz w:val="18"/>
                <w:szCs w:val="18"/>
              </w:rPr>
            </w:pPr>
            <w:r w:rsidRPr="00F54092">
              <w:rPr>
                <w:rFonts w:cs="Tahoma"/>
                <w:sz w:val="18"/>
                <w:szCs w:val="18"/>
              </w:rPr>
              <w:t>666</w:t>
            </w:r>
          </w:p>
        </w:tc>
        <w:tc>
          <w:tcPr>
            <w:tcW w:w="1035" w:type="dxa"/>
            <w:shd w:val="clear" w:color="auto" w:fill="auto"/>
            <w:vAlign w:val="center"/>
          </w:tcPr>
          <w:p w:rsidR="00F92EB5" w:rsidRPr="00F54092" w:rsidRDefault="00F92EB5" w:rsidP="00F54092">
            <w:pPr>
              <w:pStyle w:val="Bezmezer"/>
              <w:ind w:right="-1"/>
              <w:jc w:val="right"/>
              <w:rPr>
                <w:rFonts w:cs="Tahoma"/>
                <w:sz w:val="18"/>
                <w:szCs w:val="18"/>
              </w:rPr>
            </w:pPr>
            <w:r w:rsidRPr="00F54092">
              <w:rPr>
                <w:rFonts w:cs="Tahoma"/>
                <w:sz w:val="18"/>
                <w:szCs w:val="18"/>
              </w:rPr>
              <w:t>420</w:t>
            </w:r>
          </w:p>
        </w:tc>
        <w:tc>
          <w:tcPr>
            <w:tcW w:w="1035" w:type="dxa"/>
            <w:shd w:val="clear" w:color="auto" w:fill="auto"/>
            <w:vAlign w:val="center"/>
          </w:tcPr>
          <w:p w:rsidR="00F92EB5" w:rsidRPr="00F54092" w:rsidRDefault="00F92EB5" w:rsidP="00F54092">
            <w:pPr>
              <w:pStyle w:val="Bezmezer"/>
              <w:ind w:right="-1"/>
              <w:jc w:val="right"/>
              <w:rPr>
                <w:rFonts w:cs="Tahoma"/>
                <w:sz w:val="18"/>
                <w:szCs w:val="18"/>
              </w:rPr>
            </w:pPr>
            <w:r w:rsidRPr="00F54092">
              <w:rPr>
                <w:rFonts w:cs="Tahoma"/>
                <w:sz w:val="18"/>
                <w:szCs w:val="18"/>
              </w:rPr>
              <w:t>426</w:t>
            </w:r>
          </w:p>
        </w:tc>
        <w:tc>
          <w:tcPr>
            <w:tcW w:w="864" w:type="dxa"/>
            <w:shd w:val="clear" w:color="auto" w:fill="auto"/>
            <w:vAlign w:val="center"/>
          </w:tcPr>
          <w:p w:rsidR="00F92EB5" w:rsidRPr="00F54092" w:rsidRDefault="00F92EB5" w:rsidP="00F54092">
            <w:pPr>
              <w:pStyle w:val="Bezmezer"/>
              <w:ind w:right="-1"/>
              <w:jc w:val="right"/>
              <w:rPr>
                <w:rFonts w:cs="Tahoma"/>
                <w:sz w:val="18"/>
                <w:szCs w:val="18"/>
              </w:rPr>
            </w:pPr>
            <w:r w:rsidRPr="00F54092">
              <w:rPr>
                <w:rFonts w:cs="Tahoma"/>
                <w:sz w:val="18"/>
                <w:szCs w:val="18"/>
              </w:rPr>
              <w:t>452</w:t>
            </w:r>
          </w:p>
        </w:tc>
      </w:tr>
      <w:tr w:rsidR="00F92EB5" w:rsidTr="00F54092">
        <w:tc>
          <w:tcPr>
            <w:tcW w:w="2268" w:type="dxa"/>
            <w:vMerge/>
            <w:shd w:val="clear" w:color="auto" w:fill="FFFFFF" w:themeFill="background1"/>
          </w:tcPr>
          <w:p w:rsidR="00F92EB5" w:rsidRPr="00F54092" w:rsidRDefault="00F92EB5" w:rsidP="00553415">
            <w:pPr>
              <w:pStyle w:val="Bezmezer"/>
              <w:rPr>
                <w:rFonts w:cs="Tahoma"/>
                <w:sz w:val="18"/>
                <w:szCs w:val="18"/>
              </w:rPr>
            </w:pPr>
          </w:p>
        </w:tc>
        <w:tc>
          <w:tcPr>
            <w:tcW w:w="2977" w:type="dxa"/>
            <w:tcBorders>
              <w:right w:val="single" w:sz="12" w:space="0" w:color="auto"/>
            </w:tcBorders>
            <w:shd w:val="clear" w:color="auto" w:fill="auto"/>
          </w:tcPr>
          <w:p w:rsidR="00F92EB5" w:rsidRPr="00F54092" w:rsidRDefault="00F92EB5" w:rsidP="00553415">
            <w:pPr>
              <w:pStyle w:val="Bezmezer"/>
              <w:rPr>
                <w:rFonts w:cs="Tahoma"/>
                <w:sz w:val="18"/>
                <w:szCs w:val="18"/>
              </w:rPr>
            </w:pPr>
            <w:r w:rsidRPr="00F54092">
              <w:rPr>
                <w:rFonts w:cs="Tahoma"/>
                <w:sz w:val="18"/>
                <w:szCs w:val="18"/>
              </w:rPr>
              <w:t>VNVK</w:t>
            </w:r>
          </w:p>
        </w:tc>
        <w:tc>
          <w:tcPr>
            <w:tcW w:w="1035" w:type="dxa"/>
            <w:tcBorders>
              <w:left w:val="single" w:sz="12" w:space="0" w:color="auto"/>
            </w:tcBorders>
            <w:shd w:val="clear" w:color="auto" w:fill="auto"/>
            <w:vAlign w:val="center"/>
          </w:tcPr>
          <w:p w:rsidR="00F92EB5" w:rsidRPr="00F54092" w:rsidRDefault="00F92EB5" w:rsidP="00F54092">
            <w:pPr>
              <w:pStyle w:val="Bezmezer"/>
              <w:ind w:right="-1"/>
              <w:jc w:val="right"/>
              <w:rPr>
                <w:rFonts w:cs="Tahoma"/>
                <w:sz w:val="18"/>
                <w:szCs w:val="18"/>
              </w:rPr>
            </w:pPr>
            <w:r w:rsidRPr="00F54092">
              <w:rPr>
                <w:rFonts w:cs="Tahoma"/>
                <w:sz w:val="18"/>
                <w:szCs w:val="18"/>
              </w:rPr>
              <w:t>11</w:t>
            </w:r>
          </w:p>
        </w:tc>
        <w:tc>
          <w:tcPr>
            <w:tcW w:w="1035" w:type="dxa"/>
            <w:shd w:val="clear" w:color="auto" w:fill="auto"/>
            <w:vAlign w:val="center"/>
          </w:tcPr>
          <w:p w:rsidR="00F92EB5" w:rsidRPr="00F54092" w:rsidRDefault="00F92EB5" w:rsidP="00F54092">
            <w:pPr>
              <w:pStyle w:val="Bezmezer"/>
              <w:ind w:right="-1"/>
              <w:jc w:val="right"/>
              <w:rPr>
                <w:rFonts w:cs="Tahoma"/>
                <w:sz w:val="18"/>
                <w:szCs w:val="18"/>
              </w:rPr>
            </w:pPr>
            <w:r w:rsidRPr="00F54092">
              <w:rPr>
                <w:rFonts w:cs="Tahoma"/>
                <w:sz w:val="18"/>
                <w:szCs w:val="18"/>
              </w:rPr>
              <w:t>0</w:t>
            </w:r>
          </w:p>
        </w:tc>
        <w:tc>
          <w:tcPr>
            <w:tcW w:w="1035" w:type="dxa"/>
            <w:shd w:val="clear" w:color="auto" w:fill="auto"/>
            <w:vAlign w:val="center"/>
          </w:tcPr>
          <w:p w:rsidR="00F92EB5" w:rsidRPr="00F54092" w:rsidRDefault="00F92EB5" w:rsidP="00F54092">
            <w:pPr>
              <w:pStyle w:val="Bezmezer"/>
              <w:ind w:right="-1"/>
              <w:jc w:val="right"/>
              <w:rPr>
                <w:rFonts w:cs="Tahoma"/>
                <w:sz w:val="18"/>
                <w:szCs w:val="18"/>
              </w:rPr>
            </w:pPr>
            <w:r w:rsidRPr="00F54092">
              <w:rPr>
                <w:rFonts w:cs="Tahoma"/>
                <w:sz w:val="18"/>
                <w:szCs w:val="18"/>
              </w:rPr>
              <w:t>4</w:t>
            </w:r>
          </w:p>
        </w:tc>
        <w:tc>
          <w:tcPr>
            <w:tcW w:w="864" w:type="dxa"/>
            <w:shd w:val="clear" w:color="auto" w:fill="auto"/>
            <w:vAlign w:val="center"/>
          </w:tcPr>
          <w:p w:rsidR="00F92EB5" w:rsidRPr="00F54092" w:rsidRDefault="00F92EB5" w:rsidP="00F54092">
            <w:pPr>
              <w:pStyle w:val="Bezmezer"/>
              <w:ind w:right="-1"/>
              <w:jc w:val="right"/>
              <w:rPr>
                <w:rFonts w:cs="Tahoma"/>
                <w:sz w:val="18"/>
                <w:szCs w:val="18"/>
              </w:rPr>
            </w:pPr>
            <w:r w:rsidRPr="00F54092">
              <w:rPr>
                <w:rFonts w:cs="Tahoma"/>
                <w:sz w:val="18"/>
                <w:szCs w:val="18"/>
              </w:rPr>
              <w:t>2</w:t>
            </w:r>
          </w:p>
        </w:tc>
      </w:tr>
      <w:tr w:rsidR="004912B3" w:rsidTr="00F54092">
        <w:tc>
          <w:tcPr>
            <w:tcW w:w="2268" w:type="dxa"/>
            <w:vMerge w:val="restart"/>
            <w:shd w:val="clear" w:color="auto" w:fill="FFFFFF" w:themeFill="background1"/>
            <w:vAlign w:val="center"/>
          </w:tcPr>
          <w:p w:rsidR="004912B3" w:rsidRPr="00F54092" w:rsidRDefault="004912B3" w:rsidP="00553415">
            <w:pPr>
              <w:pStyle w:val="Bezmezer"/>
              <w:rPr>
                <w:rFonts w:cs="Tahoma"/>
                <w:sz w:val="18"/>
                <w:szCs w:val="18"/>
              </w:rPr>
            </w:pPr>
            <w:r w:rsidRPr="00F54092">
              <w:rPr>
                <w:rFonts w:cs="Tahoma"/>
                <w:sz w:val="18"/>
                <w:szCs w:val="18"/>
              </w:rPr>
              <w:t>Stéblová</w:t>
            </w:r>
          </w:p>
        </w:tc>
        <w:tc>
          <w:tcPr>
            <w:tcW w:w="2977" w:type="dxa"/>
            <w:tcBorders>
              <w:right w:val="single" w:sz="12" w:space="0" w:color="auto"/>
            </w:tcBorders>
          </w:tcPr>
          <w:p w:rsidR="004912B3" w:rsidRPr="00F54092" w:rsidRDefault="004912B3" w:rsidP="00553415">
            <w:pPr>
              <w:pStyle w:val="Bezmezer"/>
              <w:rPr>
                <w:rFonts w:cs="Tahoma"/>
                <w:sz w:val="18"/>
                <w:szCs w:val="18"/>
              </w:rPr>
            </w:pPr>
            <w:r w:rsidRPr="00F54092">
              <w:rPr>
                <w:rFonts w:cs="Tahoma"/>
                <w:sz w:val="18"/>
                <w:szCs w:val="18"/>
              </w:rPr>
              <w:t>vlečka Diton</w:t>
            </w:r>
          </w:p>
        </w:tc>
        <w:tc>
          <w:tcPr>
            <w:tcW w:w="1035" w:type="dxa"/>
            <w:tcBorders>
              <w:left w:val="single" w:sz="12" w:space="0" w:color="auto"/>
            </w:tcBorders>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411</w:t>
            </w:r>
          </w:p>
        </w:tc>
        <w:tc>
          <w:tcPr>
            <w:tcW w:w="1035"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121</w:t>
            </w:r>
          </w:p>
        </w:tc>
        <w:tc>
          <w:tcPr>
            <w:tcW w:w="1035"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14</w:t>
            </w:r>
          </w:p>
        </w:tc>
        <w:tc>
          <w:tcPr>
            <w:tcW w:w="864"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0</w:t>
            </w:r>
          </w:p>
        </w:tc>
      </w:tr>
      <w:tr w:rsidR="004912B3" w:rsidTr="00F54092">
        <w:tc>
          <w:tcPr>
            <w:tcW w:w="2268" w:type="dxa"/>
            <w:vMerge/>
            <w:shd w:val="clear" w:color="auto" w:fill="FFFFFF" w:themeFill="background1"/>
          </w:tcPr>
          <w:p w:rsidR="004912B3" w:rsidRPr="00F54092" w:rsidRDefault="004912B3" w:rsidP="00553415">
            <w:pPr>
              <w:pStyle w:val="Bezmezer"/>
              <w:rPr>
                <w:rFonts w:cs="Tahoma"/>
                <w:sz w:val="18"/>
                <w:szCs w:val="18"/>
              </w:rPr>
            </w:pPr>
          </w:p>
        </w:tc>
        <w:tc>
          <w:tcPr>
            <w:tcW w:w="2977" w:type="dxa"/>
            <w:tcBorders>
              <w:right w:val="single" w:sz="12" w:space="0" w:color="auto"/>
            </w:tcBorders>
          </w:tcPr>
          <w:p w:rsidR="004912B3" w:rsidRPr="00F54092" w:rsidRDefault="004912B3" w:rsidP="00553415">
            <w:pPr>
              <w:pStyle w:val="Bezmezer"/>
              <w:rPr>
                <w:rFonts w:cs="Tahoma"/>
                <w:sz w:val="18"/>
                <w:szCs w:val="18"/>
              </w:rPr>
            </w:pPr>
            <w:r w:rsidRPr="00F54092">
              <w:rPr>
                <w:rFonts w:cs="Tahoma"/>
                <w:sz w:val="18"/>
                <w:szCs w:val="18"/>
              </w:rPr>
              <w:t>VNVK</w:t>
            </w:r>
          </w:p>
        </w:tc>
        <w:tc>
          <w:tcPr>
            <w:tcW w:w="1035" w:type="dxa"/>
            <w:tcBorders>
              <w:left w:val="single" w:sz="12" w:space="0" w:color="auto"/>
            </w:tcBorders>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0</w:t>
            </w:r>
          </w:p>
        </w:tc>
        <w:tc>
          <w:tcPr>
            <w:tcW w:w="1035"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0</w:t>
            </w:r>
          </w:p>
        </w:tc>
        <w:tc>
          <w:tcPr>
            <w:tcW w:w="1035"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0</w:t>
            </w:r>
          </w:p>
        </w:tc>
        <w:tc>
          <w:tcPr>
            <w:tcW w:w="864"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0</w:t>
            </w:r>
          </w:p>
        </w:tc>
      </w:tr>
      <w:tr w:rsidR="004912B3" w:rsidTr="00F54092">
        <w:tc>
          <w:tcPr>
            <w:tcW w:w="2268" w:type="dxa"/>
            <w:vMerge w:val="restart"/>
            <w:shd w:val="clear" w:color="auto" w:fill="FFFFFF" w:themeFill="background1"/>
            <w:vAlign w:val="center"/>
          </w:tcPr>
          <w:p w:rsidR="004912B3" w:rsidRPr="00F54092" w:rsidRDefault="004912B3" w:rsidP="00553415">
            <w:pPr>
              <w:pStyle w:val="Bezmezer"/>
              <w:rPr>
                <w:rFonts w:cs="Tahoma"/>
                <w:sz w:val="18"/>
                <w:szCs w:val="18"/>
              </w:rPr>
            </w:pPr>
            <w:r w:rsidRPr="00F54092">
              <w:rPr>
                <w:rFonts w:cs="Tahoma"/>
                <w:sz w:val="18"/>
                <w:szCs w:val="18"/>
              </w:rPr>
              <w:t>Opatovice nad Labem</w:t>
            </w:r>
          </w:p>
        </w:tc>
        <w:tc>
          <w:tcPr>
            <w:tcW w:w="2977" w:type="dxa"/>
            <w:tcBorders>
              <w:right w:val="single" w:sz="12" w:space="0" w:color="auto"/>
            </w:tcBorders>
          </w:tcPr>
          <w:p w:rsidR="004912B3" w:rsidRPr="00F54092" w:rsidRDefault="004912B3" w:rsidP="00553415">
            <w:pPr>
              <w:pStyle w:val="Bezmezer"/>
              <w:rPr>
                <w:rFonts w:cs="Tahoma"/>
                <w:sz w:val="18"/>
                <w:szCs w:val="18"/>
              </w:rPr>
            </w:pPr>
            <w:r w:rsidRPr="00F54092">
              <w:rPr>
                <w:rFonts w:cs="Tahoma"/>
                <w:sz w:val="18"/>
                <w:szCs w:val="18"/>
              </w:rPr>
              <w:t>vlečka Flaga Český plyn s.r.o.</w:t>
            </w:r>
          </w:p>
        </w:tc>
        <w:tc>
          <w:tcPr>
            <w:tcW w:w="1035" w:type="dxa"/>
            <w:tcBorders>
              <w:left w:val="single" w:sz="12" w:space="0" w:color="auto"/>
            </w:tcBorders>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199</w:t>
            </w:r>
          </w:p>
        </w:tc>
        <w:tc>
          <w:tcPr>
            <w:tcW w:w="1035"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199</w:t>
            </w:r>
          </w:p>
        </w:tc>
        <w:tc>
          <w:tcPr>
            <w:tcW w:w="1035"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195</w:t>
            </w:r>
          </w:p>
        </w:tc>
        <w:tc>
          <w:tcPr>
            <w:tcW w:w="864"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211</w:t>
            </w:r>
          </w:p>
        </w:tc>
      </w:tr>
      <w:tr w:rsidR="004912B3" w:rsidTr="00F54092">
        <w:tc>
          <w:tcPr>
            <w:tcW w:w="2268" w:type="dxa"/>
            <w:vMerge/>
            <w:shd w:val="clear" w:color="auto" w:fill="FFFFFF" w:themeFill="background1"/>
          </w:tcPr>
          <w:p w:rsidR="004912B3" w:rsidRPr="00F54092" w:rsidRDefault="004912B3" w:rsidP="00553415">
            <w:pPr>
              <w:pStyle w:val="Bezmezer"/>
              <w:rPr>
                <w:rFonts w:cs="Tahoma"/>
                <w:sz w:val="18"/>
                <w:szCs w:val="18"/>
              </w:rPr>
            </w:pPr>
          </w:p>
        </w:tc>
        <w:tc>
          <w:tcPr>
            <w:tcW w:w="2977" w:type="dxa"/>
            <w:tcBorders>
              <w:right w:val="single" w:sz="12" w:space="0" w:color="auto"/>
            </w:tcBorders>
          </w:tcPr>
          <w:p w:rsidR="004912B3" w:rsidRPr="00F54092" w:rsidRDefault="004912B3" w:rsidP="00553415">
            <w:pPr>
              <w:pStyle w:val="Bezmezer"/>
              <w:rPr>
                <w:rFonts w:cs="Tahoma"/>
                <w:sz w:val="18"/>
                <w:szCs w:val="18"/>
              </w:rPr>
            </w:pPr>
            <w:r w:rsidRPr="00F54092">
              <w:rPr>
                <w:rFonts w:cs="Tahoma"/>
                <w:sz w:val="18"/>
                <w:szCs w:val="18"/>
              </w:rPr>
              <w:t>vlečka PRIMAGAS s.r.o.</w:t>
            </w:r>
          </w:p>
        </w:tc>
        <w:tc>
          <w:tcPr>
            <w:tcW w:w="1035" w:type="dxa"/>
            <w:tcBorders>
              <w:left w:val="single" w:sz="12" w:space="0" w:color="auto"/>
            </w:tcBorders>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32</w:t>
            </w:r>
          </w:p>
        </w:tc>
        <w:tc>
          <w:tcPr>
            <w:tcW w:w="1035"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31</w:t>
            </w:r>
          </w:p>
        </w:tc>
        <w:tc>
          <w:tcPr>
            <w:tcW w:w="1035"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25</w:t>
            </w:r>
          </w:p>
        </w:tc>
        <w:tc>
          <w:tcPr>
            <w:tcW w:w="864"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23</w:t>
            </w:r>
          </w:p>
        </w:tc>
      </w:tr>
      <w:tr w:rsidR="004912B3" w:rsidTr="00F54092">
        <w:tc>
          <w:tcPr>
            <w:tcW w:w="2268" w:type="dxa"/>
            <w:vMerge/>
            <w:shd w:val="clear" w:color="auto" w:fill="FFFFFF" w:themeFill="background1"/>
          </w:tcPr>
          <w:p w:rsidR="004912B3" w:rsidRPr="00F54092" w:rsidRDefault="004912B3" w:rsidP="00553415">
            <w:pPr>
              <w:pStyle w:val="Bezmezer"/>
              <w:rPr>
                <w:rFonts w:cs="Tahoma"/>
                <w:sz w:val="18"/>
                <w:szCs w:val="18"/>
              </w:rPr>
            </w:pPr>
          </w:p>
        </w:tc>
        <w:tc>
          <w:tcPr>
            <w:tcW w:w="2977" w:type="dxa"/>
            <w:tcBorders>
              <w:right w:val="single" w:sz="12" w:space="0" w:color="auto"/>
            </w:tcBorders>
          </w:tcPr>
          <w:p w:rsidR="004912B3" w:rsidRPr="00F54092" w:rsidRDefault="004912B3" w:rsidP="00553415">
            <w:pPr>
              <w:pStyle w:val="Bezmezer"/>
              <w:rPr>
                <w:rFonts w:cs="Tahoma"/>
                <w:sz w:val="18"/>
                <w:szCs w:val="18"/>
              </w:rPr>
            </w:pPr>
            <w:r w:rsidRPr="00F54092">
              <w:rPr>
                <w:rFonts w:cs="Tahoma"/>
                <w:sz w:val="18"/>
                <w:szCs w:val="18"/>
              </w:rPr>
              <w:t>ostatní vlečky</w:t>
            </w:r>
          </w:p>
        </w:tc>
        <w:tc>
          <w:tcPr>
            <w:tcW w:w="1035" w:type="dxa"/>
            <w:tcBorders>
              <w:left w:val="single" w:sz="12" w:space="0" w:color="auto"/>
            </w:tcBorders>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2</w:t>
            </w:r>
          </w:p>
        </w:tc>
        <w:tc>
          <w:tcPr>
            <w:tcW w:w="1035"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0</w:t>
            </w:r>
          </w:p>
        </w:tc>
        <w:tc>
          <w:tcPr>
            <w:tcW w:w="1035"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21</w:t>
            </w:r>
          </w:p>
        </w:tc>
        <w:tc>
          <w:tcPr>
            <w:tcW w:w="864"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0</w:t>
            </w:r>
          </w:p>
        </w:tc>
      </w:tr>
      <w:tr w:rsidR="004912B3" w:rsidTr="00F54092">
        <w:tc>
          <w:tcPr>
            <w:tcW w:w="2268" w:type="dxa"/>
            <w:vMerge/>
            <w:shd w:val="clear" w:color="auto" w:fill="FFFFFF" w:themeFill="background1"/>
          </w:tcPr>
          <w:p w:rsidR="004912B3" w:rsidRPr="00F54092" w:rsidRDefault="004912B3" w:rsidP="00553415">
            <w:pPr>
              <w:pStyle w:val="Bezmezer"/>
              <w:rPr>
                <w:rFonts w:cs="Tahoma"/>
                <w:sz w:val="18"/>
                <w:szCs w:val="18"/>
              </w:rPr>
            </w:pPr>
          </w:p>
        </w:tc>
        <w:tc>
          <w:tcPr>
            <w:tcW w:w="2977" w:type="dxa"/>
            <w:tcBorders>
              <w:right w:val="single" w:sz="12" w:space="0" w:color="auto"/>
            </w:tcBorders>
          </w:tcPr>
          <w:p w:rsidR="004912B3" w:rsidRPr="00F54092" w:rsidRDefault="004912B3" w:rsidP="00553415">
            <w:pPr>
              <w:pStyle w:val="Bezmezer"/>
              <w:rPr>
                <w:rFonts w:cs="Tahoma"/>
                <w:sz w:val="18"/>
                <w:szCs w:val="18"/>
              </w:rPr>
            </w:pPr>
            <w:r w:rsidRPr="00F54092">
              <w:rPr>
                <w:rFonts w:cs="Tahoma"/>
                <w:sz w:val="18"/>
                <w:szCs w:val="18"/>
              </w:rPr>
              <w:t>VNVK</w:t>
            </w:r>
          </w:p>
        </w:tc>
        <w:tc>
          <w:tcPr>
            <w:tcW w:w="1035" w:type="dxa"/>
            <w:tcBorders>
              <w:left w:val="single" w:sz="12" w:space="0" w:color="auto"/>
            </w:tcBorders>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3</w:t>
            </w:r>
          </w:p>
        </w:tc>
        <w:tc>
          <w:tcPr>
            <w:tcW w:w="1035"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2</w:t>
            </w:r>
          </w:p>
        </w:tc>
        <w:tc>
          <w:tcPr>
            <w:tcW w:w="1035"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47</w:t>
            </w:r>
          </w:p>
        </w:tc>
        <w:tc>
          <w:tcPr>
            <w:tcW w:w="864" w:type="dxa"/>
            <w:vAlign w:val="center"/>
          </w:tcPr>
          <w:p w:rsidR="004912B3" w:rsidRPr="00F54092" w:rsidRDefault="004912B3" w:rsidP="00F54092">
            <w:pPr>
              <w:pStyle w:val="Bezmezer"/>
              <w:ind w:right="-1"/>
              <w:jc w:val="right"/>
              <w:rPr>
                <w:rFonts w:cs="Tahoma"/>
                <w:sz w:val="18"/>
                <w:szCs w:val="18"/>
              </w:rPr>
            </w:pPr>
            <w:r w:rsidRPr="00F54092">
              <w:rPr>
                <w:rFonts w:cs="Tahoma"/>
                <w:sz w:val="18"/>
                <w:szCs w:val="18"/>
              </w:rPr>
              <w:t>140</w:t>
            </w:r>
          </w:p>
        </w:tc>
      </w:tr>
    </w:tbl>
    <w:p w:rsidR="004912B3" w:rsidRDefault="004912B3" w:rsidP="004912B3">
      <w:r>
        <w:t>K tomu: útlum přeprav na vlečce Diton ve Stéblové je dán vnitropodnikovými technologickými důvody a je dočasný, firma přechodně manipuluje na všeobecné nakládkové a vykládkové koleji v Opatovicích nad Labem. Ne všechny vykázané nakládky musí nutně znamenat přepravu zboží, pokud ČD Cargo přepravuje prázdný vůz patřící jinému vlastníku, je přepravován s průvodní listinou a za úhradu.</w:t>
      </w:r>
    </w:p>
    <w:p w:rsidR="00C65DA3" w:rsidRDefault="00C65DA3">
      <w:r>
        <w:rPr>
          <w:b/>
        </w:rPr>
        <w:br w:type="page"/>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3118"/>
        <w:gridCol w:w="1035"/>
        <w:gridCol w:w="1035"/>
        <w:gridCol w:w="1035"/>
        <w:gridCol w:w="1006"/>
      </w:tblGrid>
      <w:tr w:rsidR="004912B3" w:rsidTr="00F54092">
        <w:tc>
          <w:tcPr>
            <w:tcW w:w="9356" w:type="dxa"/>
            <w:gridSpan w:val="6"/>
            <w:tcBorders>
              <w:bottom w:val="single" w:sz="4" w:space="0" w:color="auto"/>
            </w:tcBorders>
          </w:tcPr>
          <w:p w:rsidR="004912B3" w:rsidRPr="00F92EB5" w:rsidRDefault="004912B3" w:rsidP="00C65DA3">
            <w:pPr>
              <w:pStyle w:val="Titulek"/>
            </w:pPr>
            <w:bookmarkStart w:id="133" w:name="_Toc390958758"/>
            <w:bookmarkStart w:id="134" w:name="_Toc391034562"/>
            <w:r w:rsidRPr="00F92EB5">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7</w:t>
            </w:r>
            <w:r w:rsidR="000E79AE">
              <w:fldChar w:fldCharType="end"/>
            </w:r>
            <w:r w:rsidRPr="00F92EB5">
              <w:t>: Přehled vykládky 2008-2011</w:t>
            </w:r>
            <w:bookmarkEnd w:id="133"/>
            <w:bookmarkEnd w:id="134"/>
          </w:p>
        </w:tc>
      </w:tr>
      <w:tr w:rsidR="004912B3" w:rsidTr="00F54092">
        <w:tc>
          <w:tcPr>
            <w:tcW w:w="2127" w:type="dxa"/>
            <w:tcBorders>
              <w:bottom w:val="single" w:sz="12" w:space="0" w:color="auto"/>
            </w:tcBorders>
            <w:shd w:val="clear" w:color="auto" w:fill="FFFFFF" w:themeFill="background1"/>
          </w:tcPr>
          <w:p w:rsidR="004912B3" w:rsidRPr="00F54092" w:rsidRDefault="004912B3" w:rsidP="00F92EB5">
            <w:pPr>
              <w:pStyle w:val="Bezmezer"/>
              <w:rPr>
                <w:sz w:val="18"/>
                <w:szCs w:val="18"/>
              </w:rPr>
            </w:pPr>
            <w:r w:rsidRPr="00F54092">
              <w:rPr>
                <w:sz w:val="18"/>
                <w:szCs w:val="18"/>
              </w:rPr>
              <w:t xml:space="preserve"> Železniční stanice</w:t>
            </w:r>
          </w:p>
        </w:tc>
        <w:tc>
          <w:tcPr>
            <w:tcW w:w="3118" w:type="dxa"/>
            <w:tcBorders>
              <w:bottom w:val="single" w:sz="12" w:space="0" w:color="auto"/>
              <w:right w:val="single" w:sz="12" w:space="0" w:color="auto"/>
            </w:tcBorders>
            <w:shd w:val="clear" w:color="auto" w:fill="FFFFFF" w:themeFill="background1"/>
          </w:tcPr>
          <w:p w:rsidR="004912B3" w:rsidRPr="00F54092" w:rsidRDefault="004912B3" w:rsidP="00F92EB5">
            <w:pPr>
              <w:pStyle w:val="Bezmezer"/>
              <w:rPr>
                <w:sz w:val="18"/>
                <w:szCs w:val="18"/>
              </w:rPr>
            </w:pPr>
            <w:r w:rsidRPr="00F54092">
              <w:rPr>
                <w:sz w:val="18"/>
                <w:szCs w:val="18"/>
              </w:rPr>
              <w:t>místo</w:t>
            </w:r>
          </w:p>
        </w:tc>
        <w:tc>
          <w:tcPr>
            <w:tcW w:w="1035" w:type="dxa"/>
            <w:tcBorders>
              <w:left w:val="single" w:sz="12" w:space="0" w:color="auto"/>
              <w:bottom w:val="single" w:sz="12" w:space="0" w:color="auto"/>
            </w:tcBorders>
            <w:shd w:val="clear" w:color="auto" w:fill="FFFFFF" w:themeFill="background1"/>
          </w:tcPr>
          <w:p w:rsidR="004912B3" w:rsidRPr="00F54092" w:rsidRDefault="004912B3" w:rsidP="00F54092">
            <w:pPr>
              <w:pStyle w:val="Bezmezer"/>
              <w:jc w:val="right"/>
              <w:rPr>
                <w:sz w:val="18"/>
                <w:szCs w:val="18"/>
              </w:rPr>
            </w:pPr>
            <w:r w:rsidRPr="00F54092">
              <w:rPr>
                <w:sz w:val="18"/>
                <w:szCs w:val="18"/>
              </w:rPr>
              <w:t>2008</w:t>
            </w:r>
          </w:p>
        </w:tc>
        <w:tc>
          <w:tcPr>
            <w:tcW w:w="1035" w:type="dxa"/>
            <w:tcBorders>
              <w:bottom w:val="single" w:sz="12" w:space="0" w:color="auto"/>
            </w:tcBorders>
            <w:shd w:val="clear" w:color="auto" w:fill="FFFFFF" w:themeFill="background1"/>
          </w:tcPr>
          <w:p w:rsidR="004912B3" w:rsidRPr="00F54092" w:rsidRDefault="004912B3" w:rsidP="00F54092">
            <w:pPr>
              <w:pStyle w:val="Bezmezer"/>
              <w:jc w:val="right"/>
              <w:rPr>
                <w:sz w:val="18"/>
                <w:szCs w:val="18"/>
              </w:rPr>
            </w:pPr>
            <w:r w:rsidRPr="00F54092">
              <w:rPr>
                <w:sz w:val="18"/>
                <w:szCs w:val="18"/>
              </w:rPr>
              <w:t>2009</w:t>
            </w:r>
          </w:p>
        </w:tc>
        <w:tc>
          <w:tcPr>
            <w:tcW w:w="1035" w:type="dxa"/>
            <w:tcBorders>
              <w:bottom w:val="single" w:sz="12" w:space="0" w:color="auto"/>
            </w:tcBorders>
            <w:shd w:val="clear" w:color="auto" w:fill="FFFFFF" w:themeFill="background1"/>
          </w:tcPr>
          <w:p w:rsidR="004912B3" w:rsidRPr="00F54092" w:rsidRDefault="004912B3" w:rsidP="00F54092">
            <w:pPr>
              <w:pStyle w:val="Bezmezer"/>
              <w:jc w:val="right"/>
              <w:rPr>
                <w:sz w:val="18"/>
                <w:szCs w:val="18"/>
              </w:rPr>
            </w:pPr>
            <w:r w:rsidRPr="00F54092">
              <w:rPr>
                <w:sz w:val="18"/>
                <w:szCs w:val="18"/>
              </w:rPr>
              <w:t>2010</w:t>
            </w:r>
          </w:p>
        </w:tc>
        <w:tc>
          <w:tcPr>
            <w:tcW w:w="1006" w:type="dxa"/>
            <w:tcBorders>
              <w:bottom w:val="single" w:sz="12" w:space="0" w:color="auto"/>
            </w:tcBorders>
            <w:shd w:val="clear" w:color="auto" w:fill="FFFFFF" w:themeFill="background1"/>
          </w:tcPr>
          <w:p w:rsidR="004912B3" w:rsidRPr="00F54092" w:rsidRDefault="004912B3" w:rsidP="00F54092">
            <w:pPr>
              <w:pStyle w:val="Bezmezer"/>
              <w:jc w:val="right"/>
              <w:rPr>
                <w:sz w:val="18"/>
                <w:szCs w:val="18"/>
              </w:rPr>
            </w:pPr>
            <w:r w:rsidRPr="00F54092">
              <w:rPr>
                <w:sz w:val="18"/>
                <w:szCs w:val="18"/>
              </w:rPr>
              <w:t>2011</w:t>
            </w:r>
          </w:p>
        </w:tc>
      </w:tr>
      <w:tr w:rsidR="00F92EB5" w:rsidTr="00F54092">
        <w:tc>
          <w:tcPr>
            <w:tcW w:w="2127" w:type="dxa"/>
            <w:vMerge w:val="restart"/>
            <w:tcBorders>
              <w:top w:val="single" w:sz="12" w:space="0" w:color="auto"/>
            </w:tcBorders>
            <w:shd w:val="clear" w:color="auto" w:fill="FFFFFF" w:themeFill="background1"/>
            <w:vAlign w:val="center"/>
          </w:tcPr>
          <w:p w:rsidR="00F92EB5" w:rsidRPr="00F54092" w:rsidRDefault="00F92EB5" w:rsidP="00F92EB5">
            <w:pPr>
              <w:pStyle w:val="Bezmezer"/>
              <w:jc w:val="left"/>
              <w:rPr>
                <w:sz w:val="18"/>
                <w:szCs w:val="18"/>
              </w:rPr>
            </w:pPr>
            <w:r w:rsidRPr="00F54092">
              <w:rPr>
                <w:sz w:val="18"/>
                <w:szCs w:val="18"/>
              </w:rPr>
              <w:t>Pardubice-Rosice nad Labem</w:t>
            </w:r>
          </w:p>
        </w:tc>
        <w:tc>
          <w:tcPr>
            <w:tcW w:w="3118" w:type="dxa"/>
            <w:tcBorders>
              <w:top w:val="single" w:sz="12" w:space="0" w:color="auto"/>
              <w:right w:val="single" w:sz="12" w:space="0" w:color="auto"/>
            </w:tcBorders>
            <w:shd w:val="clear" w:color="auto" w:fill="FFFFFF" w:themeFill="background1"/>
          </w:tcPr>
          <w:p w:rsidR="00F92EB5" w:rsidRPr="00F54092" w:rsidRDefault="00F92EB5" w:rsidP="00F92EB5">
            <w:pPr>
              <w:pStyle w:val="Bezmezer"/>
              <w:rPr>
                <w:sz w:val="18"/>
                <w:szCs w:val="18"/>
              </w:rPr>
            </w:pPr>
            <w:r w:rsidRPr="00F54092">
              <w:rPr>
                <w:sz w:val="18"/>
                <w:szCs w:val="18"/>
              </w:rPr>
              <w:t>vlečka Synthesia</w:t>
            </w:r>
          </w:p>
        </w:tc>
        <w:tc>
          <w:tcPr>
            <w:tcW w:w="1035" w:type="dxa"/>
            <w:tcBorders>
              <w:top w:val="single" w:sz="12" w:space="0" w:color="auto"/>
              <w:left w:val="single" w:sz="12" w:space="0" w:color="auto"/>
            </w:tcBorders>
            <w:shd w:val="clear" w:color="auto" w:fill="FFFFFF" w:themeFill="background1"/>
          </w:tcPr>
          <w:p w:rsidR="00F92EB5" w:rsidRPr="00F54092" w:rsidRDefault="00F92EB5" w:rsidP="00F54092">
            <w:pPr>
              <w:pStyle w:val="Bezmezer"/>
              <w:jc w:val="right"/>
              <w:rPr>
                <w:sz w:val="18"/>
                <w:szCs w:val="18"/>
              </w:rPr>
            </w:pPr>
            <w:r w:rsidRPr="00F54092">
              <w:rPr>
                <w:sz w:val="18"/>
                <w:szCs w:val="18"/>
              </w:rPr>
              <w:t>6</w:t>
            </w:r>
            <w:r w:rsidR="00F54092">
              <w:rPr>
                <w:sz w:val="18"/>
                <w:szCs w:val="18"/>
              </w:rPr>
              <w:t xml:space="preserve"> </w:t>
            </w:r>
            <w:r w:rsidRPr="00F54092">
              <w:rPr>
                <w:sz w:val="18"/>
                <w:szCs w:val="18"/>
              </w:rPr>
              <w:t>584</w:t>
            </w:r>
          </w:p>
        </w:tc>
        <w:tc>
          <w:tcPr>
            <w:tcW w:w="1035" w:type="dxa"/>
            <w:tcBorders>
              <w:top w:val="single" w:sz="12" w:space="0" w:color="auto"/>
            </w:tcBorders>
            <w:shd w:val="clear" w:color="auto" w:fill="FFFFFF" w:themeFill="background1"/>
          </w:tcPr>
          <w:p w:rsidR="00F92EB5" w:rsidRPr="00F54092" w:rsidRDefault="00F92EB5" w:rsidP="00F54092">
            <w:pPr>
              <w:pStyle w:val="Bezmezer"/>
              <w:jc w:val="right"/>
              <w:rPr>
                <w:sz w:val="18"/>
                <w:szCs w:val="18"/>
              </w:rPr>
            </w:pPr>
            <w:r w:rsidRPr="00F54092">
              <w:rPr>
                <w:sz w:val="18"/>
                <w:szCs w:val="18"/>
              </w:rPr>
              <w:t>3</w:t>
            </w:r>
            <w:r w:rsidR="00F54092">
              <w:rPr>
                <w:sz w:val="18"/>
                <w:szCs w:val="18"/>
              </w:rPr>
              <w:t xml:space="preserve"> </w:t>
            </w:r>
            <w:r w:rsidRPr="00F54092">
              <w:rPr>
                <w:sz w:val="18"/>
                <w:szCs w:val="18"/>
              </w:rPr>
              <w:t>412</w:t>
            </w:r>
          </w:p>
        </w:tc>
        <w:tc>
          <w:tcPr>
            <w:tcW w:w="1035" w:type="dxa"/>
            <w:tcBorders>
              <w:top w:val="single" w:sz="12" w:space="0" w:color="auto"/>
            </w:tcBorders>
            <w:shd w:val="clear" w:color="auto" w:fill="FFFFFF" w:themeFill="background1"/>
          </w:tcPr>
          <w:p w:rsidR="00F92EB5" w:rsidRPr="00F54092" w:rsidRDefault="00F92EB5" w:rsidP="00F54092">
            <w:pPr>
              <w:pStyle w:val="Bezmezer"/>
              <w:jc w:val="right"/>
              <w:rPr>
                <w:sz w:val="18"/>
                <w:szCs w:val="18"/>
              </w:rPr>
            </w:pPr>
            <w:r w:rsidRPr="00F54092">
              <w:rPr>
                <w:sz w:val="18"/>
                <w:szCs w:val="18"/>
              </w:rPr>
              <w:t>3</w:t>
            </w:r>
            <w:r w:rsidR="00F54092">
              <w:rPr>
                <w:sz w:val="18"/>
                <w:szCs w:val="18"/>
              </w:rPr>
              <w:t xml:space="preserve"> </w:t>
            </w:r>
            <w:r w:rsidRPr="00F54092">
              <w:rPr>
                <w:sz w:val="18"/>
                <w:szCs w:val="18"/>
              </w:rPr>
              <w:t>412</w:t>
            </w:r>
          </w:p>
        </w:tc>
        <w:tc>
          <w:tcPr>
            <w:tcW w:w="1006" w:type="dxa"/>
            <w:tcBorders>
              <w:top w:val="single" w:sz="12" w:space="0" w:color="auto"/>
            </w:tcBorders>
            <w:shd w:val="clear" w:color="auto" w:fill="FFFFFF" w:themeFill="background1"/>
          </w:tcPr>
          <w:p w:rsidR="00F92EB5" w:rsidRPr="00F54092" w:rsidRDefault="00F92EB5" w:rsidP="00F54092">
            <w:pPr>
              <w:pStyle w:val="Bezmezer"/>
              <w:jc w:val="right"/>
              <w:rPr>
                <w:sz w:val="18"/>
                <w:szCs w:val="18"/>
              </w:rPr>
            </w:pPr>
            <w:r w:rsidRPr="00F54092">
              <w:rPr>
                <w:sz w:val="18"/>
                <w:szCs w:val="18"/>
              </w:rPr>
              <w:t>3</w:t>
            </w:r>
            <w:r w:rsidR="00F54092">
              <w:rPr>
                <w:sz w:val="18"/>
                <w:szCs w:val="18"/>
              </w:rPr>
              <w:t xml:space="preserve"> </w:t>
            </w:r>
            <w:r w:rsidRPr="00F54092">
              <w:rPr>
                <w:sz w:val="18"/>
                <w:szCs w:val="18"/>
              </w:rPr>
              <w:t>320</w:t>
            </w:r>
          </w:p>
        </w:tc>
      </w:tr>
      <w:tr w:rsidR="00F92EB5" w:rsidTr="00F54092">
        <w:tc>
          <w:tcPr>
            <w:tcW w:w="2127" w:type="dxa"/>
            <w:vMerge/>
            <w:shd w:val="clear" w:color="auto" w:fill="FFFFFF" w:themeFill="background1"/>
          </w:tcPr>
          <w:p w:rsidR="00F92EB5" w:rsidRPr="00F54092" w:rsidRDefault="00F92EB5" w:rsidP="00F92EB5">
            <w:pPr>
              <w:pStyle w:val="Bezmezer"/>
              <w:rPr>
                <w:sz w:val="18"/>
                <w:szCs w:val="18"/>
              </w:rPr>
            </w:pPr>
          </w:p>
        </w:tc>
        <w:tc>
          <w:tcPr>
            <w:tcW w:w="3118" w:type="dxa"/>
            <w:tcBorders>
              <w:right w:val="single" w:sz="12" w:space="0" w:color="auto"/>
            </w:tcBorders>
            <w:shd w:val="clear" w:color="auto" w:fill="FFFFFF" w:themeFill="background1"/>
          </w:tcPr>
          <w:p w:rsidR="00F92EB5" w:rsidRPr="00F54092" w:rsidRDefault="00F92EB5" w:rsidP="00F92EB5">
            <w:pPr>
              <w:pStyle w:val="Bezmezer"/>
              <w:rPr>
                <w:sz w:val="18"/>
                <w:szCs w:val="18"/>
              </w:rPr>
            </w:pPr>
            <w:r w:rsidRPr="00F54092">
              <w:rPr>
                <w:sz w:val="18"/>
                <w:szCs w:val="18"/>
              </w:rPr>
              <w:t>vlečka Jarý</w:t>
            </w:r>
          </w:p>
        </w:tc>
        <w:tc>
          <w:tcPr>
            <w:tcW w:w="1035" w:type="dxa"/>
            <w:tcBorders>
              <w:left w:val="single" w:sz="12" w:space="0" w:color="auto"/>
            </w:tcBorders>
            <w:shd w:val="clear" w:color="auto" w:fill="FFFFFF" w:themeFill="background1"/>
          </w:tcPr>
          <w:p w:rsidR="00F92EB5" w:rsidRPr="00F54092" w:rsidRDefault="00F92EB5" w:rsidP="00F54092">
            <w:pPr>
              <w:pStyle w:val="Bezmezer"/>
              <w:jc w:val="right"/>
              <w:rPr>
                <w:sz w:val="18"/>
                <w:szCs w:val="18"/>
              </w:rPr>
            </w:pPr>
            <w:r w:rsidRPr="00F54092">
              <w:rPr>
                <w:sz w:val="18"/>
                <w:szCs w:val="18"/>
              </w:rPr>
              <w:t>39</w:t>
            </w:r>
          </w:p>
        </w:tc>
        <w:tc>
          <w:tcPr>
            <w:tcW w:w="1035" w:type="dxa"/>
            <w:shd w:val="clear" w:color="auto" w:fill="FFFFFF" w:themeFill="background1"/>
          </w:tcPr>
          <w:p w:rsidR="00F92EB5" w:rsidRPr="00F54092" w:rsidRDefault="00F92EB5" w:rsidP="00F54092">
            <w:pPr>
              <w:pStyle w:val="Bezmezer"/>
              <w:jc w:val="right"/>
              <w:rPr>
                <w:sz w:val="18"/>
                <w:szCs w:val="18"/>
              </w:rPr>
            </w:pPr>
            <w:r w:rsidRPr="00F54092">
              <w:rPr>
                <w:sz w:val="18"/>
                <w:szCs w:val="18"/>
              </w:rPr>
              <w:t>3</w:t>
            </w:r>
          </w:p>
        </w:tc>
        <w:tc>
          <w:tcPr>
            <w:tcW w:w="1035" w:type="dxa"/>
            <w:shd w:val="clear" w:color="auto" w:fill="FFFFFF" w:themeFill="background1"/>
          </w:tcPr>
          <w:p w:rsidR="00F92EB5" w:rsidRPr="00F54092" w:rsidRDefault="00F92EB5" w:rsidP="00F54092">
            <w:pPr>
              <w:pStyle w:val="Bezmezer"/>
              <w:jc w:val="right"/>
              <w:rPr>
                <w:sz w:val="18"/>
                <w:szCs w:val="18"/>
              </w:rPr>
            </w:pPr>
            <w:r w:rsidRPr="00F54092">
              <w:rPr>
                <w:sz w:val="18"/>
                <w:szCs w:val="18"/>
              </w:rPr>
              <w:t>4</w:t>
            </w:r>
          </w:p>
        </w:tc>
        <w:tc>
          <w:tcPr>
            <w:tcW w:w="1006" w:type="dxa"/>
            <w:shd w:val="clear" w:color="auto" w:fill="FFFFFF" w:themeFill="background1"/>
          </w:tcPr>
          <w:p w:rsidR="00F92EB5" w:rsidRPr="00F54092" w:rsidRDefault="00F92EB5" w:rsidP="00F54092">
            <w:pPr>
              <w:pStyle w:val="Bezmezer"/>
              <w:jc w:val="right"/>
              <w:rPr>
                <w:sz w:val="18"/>
                <w:szCs w:val="18"/>
              </w:rPr>
            </w:pPr>
            <w:r w:rsidRPr="00F54092">
              <w:rPr>
                <w:sz w:val="18"/>
                <w:szCs w:val="18"/>
              </w:rPr>
              <w:t>13</w:t>
            </w:r>
          </w:p>
        </w:tc>
      </w:tr>
      <w:tr w:rsidR="00F92EB5" w:rsidTr="00F54092">
        <w:tc>
          <w:tcPr>
            <w:tcW w:w="2127" w:type="dxa"/>
            <w:vMerge/>
            <w:shd w:val="clear" w:color="auto" w:fill="FFFFFF" w:themeFill="background1"/>
          </w:tcPr>
          <w:p w:rsidR="00F92EB5" w:rsidRPr="00F54092" w:rsidRDefault="00F92EB5" w:rsidP="00F92EB5">
            <w:pPr>
              <w:pStyle w:val="Bezmezer"/>
              <w:rPr>
                <w:sz w:val="18"/>
                <w:szCs w:val="18"/>
              </w:rPr>
            </w:pPr>
          </w:p>
        </w:tc>
        <w:tc>
          <w:tcPr>
            <w:tcW w:w="3118" w:type="dxa"/>
            <w:tcBorders>
              <w:right w:val="single" w:sz="12" w:space="0" w:color="auto"/>
            </w:tcBorders>
            <w:shd w:val="clear" w:color="auto" w:fill="FFFFFF" w:themeFill="background1"/>
          </w:tcPr>
          <w:p w:rsidR="00F92EB5" w:rsidRPr="00F54092" w:rsidRDefault="00F92EB5" w:rsidP="00F92EB5">
            <w:pPr>
              <w:pStyle w:val="Bezmezer"/>
              <w:rPr>
                <w:sz w:val="18"/>
                <w:szCs w:val="18"/>
              </w:rPr>
            </w:pPr>
            <w:r w:rsidRPr="00F54092">
              <w:rPr>
                <w:sz w:val="18"/>
                <w:szCs w:val="18"/>
              </w:rPr>
              <w:t>vlečka Schenker</w:t>
            </w:r>
          </w:p>
        </w:tc>
        <w:tc>
          <w:tcPr>
            <w:tcW w:w="1035" w:type="dxa"/>
            <w:tcBorders>
              <w:left w:val="single" w:sz="12" w:space="0" w:color="auto"/>
            </w:tcBorders>
            <w:shd w:val="clear" w:color="auto" w:fill="FFFFFF" w:themeFill="background1"/>
          </w:tcPr>
          <w:p w:rsidR="00F92EB5" w:rsidRPr="00F54092" w:rsidRDefault="00F92EB5" w:rsidP="00F54092">
            <w:pPr>
              <w:pStyle w:val="Bezmezer"/>
              <w:jc w:val="right"/>
              <w:rPr>
                <w:sz w:val="18"/>
                <w:szCs w:val="18"/>
              </w:rPr>
            </w:pPr>
            <w:r w:rsidRPr="00F54092">
              <w:rPr>
                <w:sz w:val="18"/>
                <w:szCs w:val="18"/>
              </w:rPr>
              <w:t>0</w:t>
            </w:r>
          </w:p>
        </w:tc>
        <w:tc>
          <w:tcPr>
            <w:tcW w:w="1035" w:type="dxa"/>
            <w:shd w:val="clear" w:color="auto" w:fill="FFFFFF" w:themeFill="background1"/>
          </w:tcPr>
          <w:p w:rsidR="00F92EB5" w:rsidRPr="00F54092" w:rsidRDefault="00F92EB5" w:rsidP="00F54092">
            <w:pPr>
              <w:pStyle w:val="Bezmezer"/>
              <w:jc w:val="right"/>
              <w:rPr>
                <w:sz w:val="18"/>
                <w:szCs w:val="18"/>
              </w:rPr>
            </w:pPr>
            <w:r w:rsidRPr="00F54092">
              <w:rPr>
                <w:sz w:val="18"/>
                <w:szCs w:val="18"/>
              </w:rPr>
              <w:t>0</w:t>
            </w:r>
          </w:p>
        </w:tc>
        <w:tc>
          <w:tcPr>
            <w:tcW w:w="1035" w:type="dxa"/>
            <w:shd w:val="clear" w:color="auto" w:fill="FFFFFF" w:themeFill="background1"/>
          </w:tcPr>
          <w:p w:rsidR="00F92EB5" w:rsidRPr="00F54092" w:rsidRDefault="00F92EB5" w:rsidP="00F54092">
            <w:pPr>
              <w:pStyle w:val="Bezmezer"/>
              <w:jc w:val="right"/>
              <w:rPr>
                <w:sz w:val="18"/>
                <w:szCs w:val="18"/>
              </w:rPr>
            </w:pPr>
            <w:r w:rsidRPr="00F54092">
              <w:rPr>
                <w:sz w:val="18"/>
                <w:szCs w:val="18"/>
              </w:rPr>
              <w:t>462</w:t>
            </w:r>
          </w:p>
        </w:tc>
        <w:tc>
          <w:tcPr>
            <w:tcW w:w="1006" w:type="dxa"/>
            <w:shd w:val="clear" w:color="auto" w:fill="FFFFFF" w:themeFill="background1"/>
          </w:tcPr>
          <w:p w:rsidR="00F92EB5" w:rsidRPr="00F54092" w:rsidRDefault="00F92EB5" w:rsidP="00F54092">
            <w:pPr>
              <w:pStyle w:val="Bezmezer"/>
              <w:jc w:val="right"/>
              <w:rPr>
                <w:sz w:val="18"/>
                <w:szCs w:val="18"/>
              </w:rPr>
            </w:pPr>
            <w:r w:rsidRPr="00F54092">
              <w:rPr>
                <w:sz w:val="18"/>
                <w:szCs w:val="18"/>
              </w:rPr>
              <w:t>2</w:t>
            </w:r>
            <w:r w:rsidR="00F54092">
              <w:rPr>
                <w:sz w:val="18"/>
                <w:szCs w:val="18"/>
              </w:rPr>
              <w:t xml:space="preserve"> </w:t>
            </w:r>
            <w:r w:rsidRPr="00F54092">
              <w:rPr>
                <w:sz w:val="18"/>
                <w:szCs w:val="18"/>
              </w:rPr>
              <w:t>421</w:t>
            </w:r>
          </w:p>
        </w:tc>
      </w:tr>
      <w:tr w:rsidR="00F92EB5" w:rsidTr="00F54092">
        <w:tc>
          <w:tcPr>
            <w:tcW w:w="2127" w:type="dxa"/>
            <w:vMerge/>
            <w:shd w:val="clear" w:color="auto" w:fill="FFFFFF" w:themeFill="background1"/>
          </w:tcPr>
          <w:p w:rsidR="00F92EB5" w:rsidRPr="00F54092" w:rsidRDefault="00F92EB5" w:rsidP="00F92EB5">
            <w:pPr>
              <w:pStyle w:val="Bezmezer"/>
              <w:rPr>
                <w:sz w:val="18"/>
                <w:szCs w:val="18"/>
              </w:rPr>
            </w:pPr>
          </w:p>
        </w:tc>
        <w:tc>
          <w:tcPr>
            <w:tcW w:w="3118" w:type="dxa"/>
            <w:tcBorders>
              <w:right w:val="single" w:sz="12" w:space="0" w:color="auto"/>
            </w:tcBorders>
            <w:shd w:val="clear" w:color="auto" w:fill="FFFFFF" w:themeFill="background1"/>
          </w:tcPr>
          <w:p w:rsidR="00F92EB5" w:rsidRPr="00F54092" w:rsidRDefault="00F92EB5" w:rsidP="00F92EB5">
            <w:pPr>
              <w:pStyle w:val="Bezmezer"/>
              <w:rPr>
                <w:sz w:val="18"/>
                <w:szCs w:val="18"/>
              </w:rPr>
            </w:pPr>
            <w:r w:rsidRPr="00F54092">
              <w:rPr>
                <w:sz w:val="18"/>
                <w:szCs w:val="18"/>
              </w:rPr>
              <w:t>ostatní vlečky</w:t>
            </w:r>
          </w:p>
        </w:tc>
        <w:tc>
          <w:tcPr>
            <w:tcW w:w="1035" w:type="dxa"/>
            <w:tcBorders>
              <w:left w:val="single" w:sz="12" w:space="0" w:color="auto"/>
            </w:tcBorders>
            <w:shd w:val="clear" w:color="auto" w:fill="FFFFFF" w:themeFill="background1"/>
          </w:tcPr>
          <w:p w:rsidR="00F92EB5" w:rsidRPr="00F54092" w:rsidRDefault="00F92EB5" w:rsidP="00F54092">
            <w:pPr>
              <w:pStyle w:val="Bezmezer"/>
              <w:jc w:val="right"/>
              <w:rPr>
                <w:sz w:val="18"/>
                <w:szCs w:val="18"/>
              </w:rPr>
            </w:pPr>
            <w:r w:rsidRPr="00F54092">
              <w:rPr>
                <w:sz w:val="18"/>
                <w:szCs w:val="18"/>
              </w:rPr>
              <w:t>524</w:t>
            </w:r>
          </w:p>
        </w:tc>
        <w:tc>
          <w:tcPr>
            <w:tcW w:w="1035" w:type="dxa"/>
            <w:shd w:val="clear" w:color="auto" w:fill="FFFFFF" w:themeFill="background1"/>
          </w:tcPr>
          <w:p w:rsidR="00F92EB5" w:rsidRPr="00F54092" w:rsidRDefault="00F92EB5" w:rsidP="00F54092">
            <w:pPr>
              <w:pStyle w:val="Bezmezer"/>
              <w:jc w:val="right"/>
              <w:rPr>
                <w:sz w:val="18"/>
                <w:szCs w:val="18"/>
              </w:rPr>
            </w:pPr>
            <w:r w:rsidRPr="00F54092">
              <w:rPr>
                <w:sz w:val="18"/>
                <w:szCs w:val="18"/>
              </w:rPr>
              <w:t>284</w:t>
            </w:r>
          </w:p>
        </w:tc>
        <w:tc>
          <w:tcPr>
            <w:tcW w:w="1035" w:type="dxa"/>
            <w:shd w:val="clear" w:color="auto" w:fill="FFFFFF" w:themeFill="background1"/>
          </w:tcPr>
          <w:p w:rsidR="00F92EB5" w:rsidRPr="00F54092" w:rsidRDefault="00F92EB5" w:rsidP="00F54092">
            <w:pPr>
              <w:pStyle w:val="Bezmezer"/>
              <w:jc w:val="right"/>
              <w:rPr>
                <w:sz w:val="18"/>
                <w:szCs w:val="18"/>
              </w:rPr>
            </w:pPr>
            <w:r w:rsidRPr="00F54092">
              <w:rPr>
                <w:sz w:val="18"/>
                <w:szCs w:val="18"/>
              </w:rPr>
              <w:t>233</w:t>
            </w:r>
          </w:p>
        </w:tc>
        <w:tc>
          <w:tcPr>
            <w:tcW w:w="1006" w:type="dxa"/>
            <w:shd w:val="clear" w:color="auto" w:fill="FFFFFF" w:themeFill="background1"/>
          </w:tcPr>
          <w:p w:rsidR="00F92EB5" w:rsidRPr="00F54092" w:rsidRDefault="00F92EB5" w:rsidP="00F54092">
            <w:pPr>
              <w:pStyle w:val="Bezmezer"/>
              <w:jc w:val="right"/>
              <w:rPr>
                <w:sz w:val="18"/>
                <w:szCs w:val="18"/>
              </w:rPr>
            </w:pPr>
            <w:r w:rsidRPr="00F54092">
              <w:rPr>
                <w:sz w:val="18"/>
                <w:szCs w:val="18"/>
              </w:rPr>
              <w:t>147</w:t>
            </w:r>
          </w:p>
        </w:tc>
      </w:tr>
      <w:tr w:rsidR="00F92EB5" w:rsidTr="00F54092">
        <w:tc>
          <w:tcPr>
            <w:tcW w:w="2127" w:type="dxa"/>
            <w:vMerge/>
            <w:tcBorders>
              <w:bottom w:val="single" w:sz="4" w:space="0" w:color="auto"/>
            </w:tcBorders>
            <w:shd w:val="clear" w:color="auto" w:fill="FFFFFF" w:themeFill="background1"/>
          </w:tcPr>
          <w:p w:rsidR="00F92EB5" w:rsidRPr="00F54092" w:rsidRDefault="00F92EB5" w:rsidP="00F92EB5">
            <w:pPr>
              <w:pStyle w:val="Bezmezer"/>
              <w:rPr>
                <w:sz w:val="18"/>
                <w:szCs w:val="18"/>
              </w:rPr>
            </w:pPr>
          </w:p>
        </w:tc>
        <w:tc>
          <w:tcPr>
            <w:tcW w:w="3118" w:type="dxa"/>
            <w:tcBorders>
              <w:right w:val="single" w:sz="12" w:space="0" w:color="auto"/>
            </w:tcBorders>
            <w:shd w:val="clear" w:color="auto" w:fill="FFFFFF" w:themeFill="background1"/>
          </w:tcPr>
          <w:p w:rsidR="00F92EB5" w:rsidRPr="00F54092" w:rsidRDefault="00F92EB5" w:rsidP="00F92EB5">
            <w:pPr>
              <w:pStyle w:val="Bezmezer"/>
              <w:rPr>
                <w:sz w:val="18"/>
                <w:szCs w:val="18"/>
              </w:rPr>
            </w:pPr>
            <w:r w:rsidRPr="00F54092">
              <w:rPr>
                <w:sz w:val="18"/>
                <w:szCs w:val="18"/>
              </w:rPr>
              <w:t>VNVK</w:t>
            </w:r>
          </w:p>
        </w:tc>
        <w:tc>
          <w:tcPr>
            <w:tcW w:w="1035" w:type="dxa"/>
            <w:tcBorders>
              <w:left w:val="single" w:sz="12" w:space="0" w:color="auto"/>
            </w:tcBorders>
            <w:shd w:val="clear" w:color="auto" w:fill="FFFFFF" w:themeFill="background1"/>
          </w:tcPr>
          <w:p w:rsidR="00F92EB5" w:rsidRPr="00F54092" w:rsidRDefault="00F92EB5" w:rsidP="00F54092">
            <w:pPr>
              <w:pStyle w:val="Bezmezer"/>
              <w:jc w:val="right"/>
              <w:rPr>
                <w:sz w:val="18"/>
                <w:szCs w:val="18"/>
              </w:rPr>
            </w:pPr>
            <w:r w:rsidRPr="00F54092">
              <w:rPr>
                <w:sz w:val="18"/>
                <w:szCs w:val="18"/>
              </w:rPr>
              <w:t>4</w:t>
            </w:r>
          </w:p>
        </w:tc>
        <w:tc>
          <w:tcPr>
            <w:tcW w:w="1035" w:type="dxa"/>
            <w:shd w:val="clear" w:color="auto" w:fill="FFFFFF" w:themeFill="background1"/>
          </w:tcPr>
          <w:p w:rsidR="00F92EB5" w:rsidRPr="00F54092" w:rsidRDefault="00F92EB5" w:rsidP="00F54092">
            <w:pPr>
              <w:pStyle w:val="Bezmezer"/>
              <w:jc w:val="right"/>
              <w:rPr>
                <w:sz w:val="18"/>
                <w:szCs w:val="18"/>
              </w:rPr>
            </w:pPr>
            <w:r w:rsidRPr="00F54092">
              <w:rPr>
                <w:sz w:val="18"/>
                <w:szCs w:val="18"/>
              </w:rPr>
              <w:t>27</w:t>
            </w:r>
          </w:p>
        </w:tc>
        <w:tc>
          <w:tcPr>
            <w:tcW w:w="1035" w:type="dxa"/>
            <w:shd w:val="clear" w:color="auto" w:fill="FFFFFF" w:themeFill="background1"/>
          </w:tcPr>
          <w:p w:rsidR="00F92EB5" w:rsidRPr="00F54092" w:rsidRDefault="00F92EB5" w:rsidP="00F54092">
            <w:pPr>
              <w:pStyle w:val="Bezmezer"/>
              <w:jc w:val="right"/>
              <w:rPr>
                <w:sz w:val="18"/>
                <w:szCs w:val="18"/>
              </w:rPr>
            </w:pPr>
            <w:r w:rsidRPr="00F54092">
              <w:rPr>
                <w:sz w:val="18"/>
                <w:szCs w:val="18"/>
              </w:rPr>
              <w:t>26</w:t>
            </w:r>
          </w:p>
        </w:tc>
        <w:tc>
          <w:tcPr>
            <w:tcW w:w="1006" w:type="dxa"/>
            <w:shd w:val="clear" w:color="auto" w:fill="FFFFFF" w:themeFill="background1"/>
          </w:tcPr>
          <w:p w:rsidR="00F92EB5" w:rsidRPr="00F54092" w:rsidRDefault="00F92EB5" w:rsidP="00F54092">
            <w:pPr>
              <w:pStyle w:val="Bezmezer"/>
              <w:jc w:val="right"/>
              <w:rPr>
                <w:sz w:val="18"/>
                <w:szCs w:val="18"/>
              </w:rPr>
            </w:pPr>
            <w:r w:rsidRPr="00F54092">
              <w:rPr>
                <w:sz w:val="18"/>
                <w:szCs w:val="18"/>
              </w:rPr>
              <w:t>5</w:t>
            </w:r>
          </w:p>
        </w:tc>
      </w:tr>
      <w:tr w:rsidR="004912B3" w:rsidTr="00F54092">
        <w:tc>
          <w:tcPr>
            <w:tcW w:w="2127" w:type="dxa"/>
            <w:vMerge w:val="restart"/>
            <w:shd w:val="clear" w:color="auto" w:fill="FFFFFF" w:themeFill="background1"/>
            <w:vAlign w:val="center"/>
          </w:tcPr>
          <w:p w:rsidR="004912B3" w:rsidRPr="00F54092" w:rsidRDefault="004912B3" w:rsidP="00F92EB5">
            <w:pPr>
              <w:pStyle w:val="Bezmezer"/>
              <w:rPr>
                <w:sz w:val="18"/>
                <w:szCs w:val="18"/>
              </w:rPr>
            </w:pPr>
            <w:r w:rsidRPr="00F54092">
              <w:rPr>
                <w:sz w:val="18"/>
                <w:szCs w:val="18"/>
              </w:rPr>
              <w:t>Stéblová</w:t>
            </w:r>
          </w:p>
        </w:tc>
        <w:tc>
          <w:tcPr>
            <w:tcW w:w="3118" w:type="dxa"/>
            <w:tcBorders>
              <w:right w:val="single" w:sz="12" w:space="0" w:color="auto"/>
            </w:tcBorders>
            <w:shd w:val="clear" w:color="auto" w:fill="FFFFFF" w:themeFill="background1"/>
          </w:tcPr>
          <w:p w:rsidR="004912B3" w:rsidRPr="00F54092" w:rsidRDefault="004912B3" w:rsidP="00F92EB5">
            <w:pPr>
              <w:pStyle w:val="Bezmezer"/>
              <w:rPr>
                <w:sz w:val="18"/>
                <w:szCs w:val="18"/>
              </w:rPr>
            </w:pPr>
            <w:r w:rsidRPr="00F54092">
              <w:rPr>
                <w:sz w:val="18"/>
                <w:szCs w:val="18"/>
              </w:rPr>
              <w:t>vlečka Diton</w:t>
            </w:r>
          </w:p>
        </w:tc>
        <w:tc>
          <w:tcPr>
            <w:tcW w:w="1035" w:type="dxa"/>
            <w:tcBorders>
              <w:left w:val="single" w:sz="12" w:space="0" w:color="auto"/>
            </w:tcBorders>
            <w:shd w:val="clear" w:color="auto" w:fill="FFFFFF" w:themeFill="background1"/>
          </w:tcPr>
          <w:p w:rsidR="004912B3" w:rsidRPr="00F54092" w:rsidRDefault="004912B3" w:rsidP="00F54092">
            <w:pPr>
              <w:pStyle w:val="Bezmezer"/>
              <w:jc w:val="right"/>
              <w:rPr>
                <w:sz w:val="18"/>
                <w:szCs w:val="18"/>
              </w:rPr>
            </w:pPr>
            <w:r w:rsidRPr="00F54092">
              <w:rPr>
                <w:sz w:val="18"/>
                <w:szCs w:val="18"/>
              </w:rPr>
              <w:t>410</w:t>
            </w:r>
          </w:p>
        </w:tc>
        <w:tc>
          <w:tcPr>
            <w:tcW w:w="1035"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121</w:t>
            </w:r>
          </w:p>
        </w:tc>
        <w:tc>
          <w:tcPr>
            <w:tcW w:w="1035"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14</w:t>
            </w:r>
          </w:p>
        </w:tc>
        <w:tc>
          <w:tcPr>
            <w:tcW w:w="1006"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0</w:t>
            </w:r>
          </w:p>
        </w:tc>
      </w:tr>
      <w:tr w:rsidR="004912B3" w:rsidTr="00F54092">
        <w:tc>
          <w:tcPr>
            <w:tcW w:w="2127" w:type="dxa"/>
            <w:vMerge/>
            <w:shd w:val="clear" w:color="auto" w:fill="FFFFFF" w:themeFill="background1"/>
          </w:tcPr>
          <w:p w:rsidR="004912B3" w:rsidRPr="00F54092" w:rsidRDefault="004912B3" w:rsidP="00F92EB5">
            <w:pPr>
              <w:pStyle w:val="Bezmezer"/>
              <w:rPr>
                <w:sz w:val="18"/>
                <w:szCs w:val="18"/>
              </w:rPr>
            </w:pPr>
          </w:p>
        </w:tc>
        <w:tc>
          <w:tcPr>
            <w:tcW w:w="3118" w:type="dxa"/>
            <w:tcBorders>
              <w:right w:val="single" w:sz="12" w:space="0" w:color="auto"/>
            </w:tcBorders>
            <w:shd w:val="clear" w:color="auto" w:fill="FFFFFF" w:themeFill="background1"/>
          </w:tcPr>
          <w:p w:rsidR="004912B3" w:rsidRPr="00F54092" w:rsidRDefault="004912B3" w:rsidP="00F92EB5">
            <w:pPr>
              <w:pStyle w:val="Bezmezer"/>
              <w:rPr>
                <w:sz w:val="18"/>
                <w:szCs w:val="18"/>
              </w:rPr>
            </w:pPr>
            <w:r w:rsidRPr="00F54092">
              <w:rPr>
                <w:sz w:val="18"/>
                <w:szCs w:val="18"/>
              </w:rPr>
              <w:t>VNVK</w:t>
            </w:r>
          </w:p>
        </w:tc>
        <w:tc>
          <w:tcPr>
            <w:tcW w:w="1035" w:type="dxa"/>
            <w:tcBorders>
              <w:left w:val="single" w:sz="12" w:space="0" w:color="auto"/>
            </w:tcBorders>
            <w:shd w:val="clear" w:color="auto" w:fill="FFFFFF" w:themeFill="background1"/>
          </w:tcPr>
          <w:p w:rsidR="004912B3" w:rsidRPr="00F54092" w:rsidRDefault="004912B3" w:rsidP="00F54092">
            <w:pPr>
              <w:pStyle w:val="Bezmezer"/>
              <w:jc w:val="right"/>
              <w:rPr>
                <w:sz w:val="18"/>
                <w:szCs w:val="18"/>
              </w:rPr>
            </w:pPr>
            <w:r w:rsidRPr="00F54092">
              <w:rPr>
                <w:sz w:val="18"/>
                <w:szCs w:val="18"/>
              </w:rPr>
              <w:t>0</w:t>
            </w:r>
          </w:p>
        </w:tc>
        <w:tc>
          <w:tcPr>
            <w:tcW w:w="1035"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3</w:t>
            </w:r>
          </w:p>
        </w:tc>
        <w:tc>
          <w:tcPr>
            <w:tcW w:w="1035"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5</w:t>
            </w:r>
          </w:p>
        </w:tc>
        <w:tc>
          <w:tcPr>
            <w:tcW w:w="1006"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0</w:t>
            </w:r>
          </w:p>
        </w:tc>
      </w:tr>
      <w:tr w:rsidR="004912B3" w:rsidTr="00F54092">
        <w:tc>
          <w:tcPr>
            <w:tcW w:w="2127" w:type="dxa"/>
            <w:vMerge w:val="restart"/>
            <w:shd w:val="clear" w:color="auto" w:fill="FFFFFF" w:themeFill="background1"/>
            <w:vAlign w:val="center"/>
          </w:tcPr>
          <w:p w:rsidR="004912B3" w:rsidRPr="00F54092" w:rsidRDefault="004912B3" w:rsidP="00F92EB5">
            <w:pPr>
              <w:pStyle w:val="Bezmezer"/>
              <w:rPr>
                <w:sz w:val="18"/>
                <w:szCs w:val="18"/>
              </w:rPr>
            </w:pPr>
            <w:r w:rsidRPr="00F54092">
              <w:rPr>
                <w:sz w:val="18"/>
                <w:szCs w:val="18"/>
              </w:rPr>
              <w:t>Opatovice nad Labem</w:t>
            </w:r>
          </w:p>
        </w:tc>
        <w:tc>
          <w:tcPr>
            <w:tcW w:w="3118" w:type="dxa"/>
            <w:tcBorders>
              <w:right w:val="single" w:sz="12" w:space="0" w:color="auto"/>
            </w:tcBorders>
            <w:shd w:val="clear" w:color="auto" w:fill="FFFFFF" w:themeFill="background1"/>
          </w:tcPr>
          <w:p w:rsidR="004912B3" w:rsidRPr="00F54092" w:rsidRDefault="004912B3" w:rsidP="00F92EB5">
            <w:pPr>
              <w:pStyle w:val="Bezmezer"/>
              <w:rPr>
                <w:sz w:val="18"/>
                <w:szCs w:val="18"/>
              </w:rPr>
            </w:pPr>
            <w:r w:rsidRPr="00F54092">
              <w:rPr>
                <w:sz w:val="18"/>
                <w:szCs w:val="18"/>
              </w:rPr>
              <w:t>vlečka Flaga Český plyn s.r.o.</w:t>
            </w:r>
          </w:p>
        </w:tc>
        <w:tc>
          <w:tcPr>
            <w:tcW w:w="1035" w:type="dxa"/>
            <w:tcBorders>
              <w:left w:val="single" w:sz="12" w:space="0" w:color="auto"/>
            </w:tcBorders>
            <w:shd w:val="clear" w:color="auto" w:fill="FFFFFF" w:themeFill="background1"/>
          </w:tcPr>
          <w:p w:rsidR="004912B3" w:rsidRPr="00F54092" w:rsidRDefault="004912B3" w:rsidP="00F54092">
            <w:pPr>
              <w:pStyle w:val="Bezmezer"/>
              <w:jc w:val="right"/>
              <w:rPr>
                <w:sz w:val="18"/>
                <w:szCs w:val="18"/>
              </w:rPr>
            </w:pPr>
            <w:r w:rsidRPr="00F54092">
              <w:rPr>
                <w:sz w:val="18"/>
                <w:szCs w:val="18"/>
              </w:rPr>
              <w:t>190</w:t>
            </w:r>
          </w:p>
        </w:tc>
        <w:tc>
          <w:tcPr>
            <w:tcW w:w="1035"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193</w:t>
            </w:r>
          </w:p>
        </w:tc>
        <w:tc>
          <w:tcPr>
            <w:tcW w:w="1035"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193</w:t>
            </w:r>
          </w:p>
        </w:tc>
        <w:tc>
          <w:tcPr>
            <w:tcW w:w="1006"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214</w:t>
            </w:r>
          </w:p>
        </w:tc>
      </w:tr>
      <w:tr w:rsidR="004912B3" w:rsidTr="00F54092">
        <w:tc>
          <w:tcPr>
            <w:tcW w:w="2127" w:type="dxa"/>
            <w:vMerge/>
            <w:shd w:val="clear" w:color="auto" w:fill="FFFFFF" w:themeFill="background1"/>
          </w:tcPr>
          <w:p w:rsidR="004912B3" w:rsidRPr="00F54092" w:rsidRDefault="004912B3" w:rsidP="00F92EB5">
            <w:pPr>
              <w:pStyle w:val="Bezmezer"/>
              <w:rPr>
                <w:sz w:val="18"/>
                <w:szCs w:val="18"/>
              </w:rPr>
            </w:pPr>
          </w:p>
        </w:tc>
        <w:tc>
          <w:tcPr>
            <w:tcW w:w="3118" w:type="dxa"/>
            <w:tcBorders>
              <w:right w:val="single" w:sz="12" w:space="0" w:color="auto"/>
            </w:tcBorders>
            <w:shd w:val="clear" w:color="auto" w:fill="FFFFFF" w:themeFill="background1"/>
          </w:tcPr>
          <w:p w:rsidR="004912B3" w:rsidRPr="00F54092" w:rsidRDefault="004912B3" w:rsidP="00F92EB5">
            <w:pPr>
              <w:pStyle w:val="Bezmezer"/>
              <w:rPr>
                <w:sz w:val="18"/>
                <w:szCs w:val="18"/>
              </w:rPr>
            </w:pPr>
            <w:r w:rsidRPr="00F54092">
              <w:rPr>
                <w:sz w:val="18"/>
                <w:szCs w:val="18"/>
              </w:rPr>
              <w:t>vlečka Elektrárny Opatovice a.s.</w:t>
            </w:r>
          </w:p>
        </w:tc>
        <w:tc>
          <w:tcPr>
            <w:tcW w:w="1035" w:type="dxa"/>
            <w:tcBorders>
              <w:left w:val="single" w:sz="12" w:space="0" w:color="auto"/>
            </w:tcBorders>
            <w:shd w:val="clear" w:color="auto" w:fill="FFFFFF" w:themeFill="background1"/>
          </w:tcPr>
          <w:p w:rsidR="004912B3" w:rsidRPr="00F54092" w:rsidRDefault="004912B3" w:rsidP="00F54092">
            <w:pPr>
              <w:pStyle w:val="Bezmezer"/>
              <w:jc w:val="right"/>
              <w:rPr>
                <w:sz w:val="18"/>
                <w:szCs w:val="18"/>
              </w:rPr>
            </w:pPr>
            <w:r w:rsidRPr="00F54092">
              <w:rPr>
                <w:sz w:val="18"/>
                <w:szCs w:val="18"/>
              </w:rPr>
              <w:t>35</w:t>
            </w:r>
            <w:r w:rsidR="00F54092">
              <w:rPr>
                <w:sz w:val="18"/>
                <w:szCs w:val="18"/>
              </w:rPr>
              <w:t xml:space="preserve"> </w:t>
            </w:r>
            <w:r w:rsidRPr="00F54092">
              <w:rPr>
                <w:sz w:val="18"/>
                <w:szCs w:val="18"/>
              </w:rPr>
              <w:t>689</w:t>
            </w:r>
          </w:p>
        </w:tc>
        <w:tc>
          <w:tcPr>
            <w:tcW w:w="1035"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34</w:t>
            </w:r>
            <w:r w:rsidR="00F54092">
              <w:rPr>
                <w:sz w:val="18"/>
                <w:szCs w:val="18"/>
              </w:rPr>
              <w:t xml:space="preserve"> </w:t>
            </w:r>
            <w:r w:rsidRPr="00F54092">
              <w:rPr>
                <w:sz w:val="18"/>
                <w:szCs w:val="18"/>
              </w:rPr>
              <w:t>303</w:t>
            </w:r>
          </w:p>
        </w:tc>
        <w:tc>
          <w:tcPr>
            <w:tcW w:w="1035"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30</w:t>
            </w:r>
            <w:r w:rsidR="00F54092">
              <w:rPr>
                <w:sz w:val="18"/>
                <w:szCs w:val="18"/>
              </w:rPr>
              <w:t xml:space="preserve"> </w:t>
            </w:r>
            <w:r w:rsidRPr="00F54092">
              <w:rPr>
                <w:sz w:val="18"/>
                <w:szCs w:val="18"/>
              </w:rPr>
              <w:t>007</w:t>
            </w:r>
          </w:p>
        </w:tc>
        <w:tc>
          <w:tcPr>
            <w:tcW w:w="1006"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34</w:t>
            </w:r>
            <w:r w:rsidR="00F54092">
              <w:rPr>
                <w:sz w:val="18"/>
                <w:szCs w:val="18"/>
              </w:rPr>
              <w:t xml:space="preserve"> </w:t>
            </w:r>
            <w:r w:rsidRPr="00F54092">
              <w:rPr>
                <w:sz w:val="18"/>
                <w:szCs w:val="18"/>
              </w:rPr>
              <w:t>784</w:t>
            </w:r>
          </w:p>
        </w:tc>
      </w:tr>
      <w:tr w:rsidR="004912B3" w:rsidTr="00F54092">
        <w:tc>
          <w:tcPr>
            <w:tcW w:w="2127" w:type="dxa"/>
            <w:vMerge/>
            <w:shd w:val="clear" w:color="auto" w:fill="FFFFFF" w:themeFill="background1"/>
          </w:tcPr>
          <w:p w:rsidR="004912B3" w:rsidRPr="00F54092" w:rsidRDefault="004912B3" w:rsidP="00F92EB5">
            <w:pPr>
              <w:pStyle w:val="Bezmezer"/>
              <w:rPr>
                <w:sz w:val="18"/>
                <w:szCs w:val="18"/>
              </w:rPr>
            </w:pPr>
          </w:p>
        </w:tc>
        <w:tc>
          <w:tcPr>
            <w:tcW w:w="3118" w:type="dxa"/>
            <w:tcBorders>
              <w:right w:val="single" w:sz="12" w:space="0" w:color="auto"/>
            </w:tcBorders>
            <w:shd w:val="clear" w:color="auto" w:fill="FFFFFF" w:themeFill="background1"/>
          </w:tcPr>
          <w:p w:rsidR="004912B3" w:rsidRPr="00F54092" w:rsidRDefault="004912B3" w:rsidP="00F92EB5">
            <w:pPr>
              <w:pStyle w:val="Bezmezer"/>
              <w:rPr>
                <w:sz w:val="18"/>
                <w:szCs w:val="18"/>
              </w:rPr>
            </w:pPr>
            <w:r w:rsidRPr="00F54092">
              <w:rPr>
                <w:sz w:val="18"/>
                <w:szCs w:val="18"/>
              </w:rPr>
              <w:t>ostatní vlečky</w:t>
            </w:r>
          </w:p>
        </w:tc>
        <w:tc>
          <w:tcPr>
            <w:tcW w:w="1035" w:type="dxa"/>
            <w:tcBorders>
              <w:left w:val="single" w:sz="12" w:space="0" w:color="auto"/>
            </w:tcBorders>
            <w:shd w:val="clear" w:color="auto" w:fill="FFFFFF" w:themeFill="background1"/>
          </w:tcPr>
          <w:p w:rsidR="004912B3" w:rsidRPr="00F54092" w:rsidRDefault="004912B3" w:rsidP="00F54092">
            <w:pPr>
              <w:pStyle w:val="Bezmezer"/>
              <w:jc w:val="right"/>
              <w:rPr>
                <w:sz w:val="18"/>
                <w:szCs w:val="18"/>
              </w:rPr>
            </w:pPr>
            <w:r w:rsidRPr="00F54092">
              <w:rPr>
                <w:sz w:val="18"/>
                <w:szCs w:val="18"/>
              </w:rPr>
              <w:t>84</w:t>
            </w:r>
          </w:p>
        </w:tc>
        <w:tc>
          <w:tcPr>
            <w:tcW w:w="1035"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76</w:t>
            </w:r>
          </w:p>
        </w:tc>
        <w:tc>
          <w:tcPr>
            <w:tcW w:w="1035"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95</w:t>
            </w:r>
          </w:p>
        </w:tc>
        <w:tc>
          <w:tcPr>
            <w:tcW w:w="1006"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106</w:t>
            </w:r>
          </w:p>
        </w:tc>
      </w:tr>
      <w:tr w:rsidR="004912B3" w:rsidTr="00F54092">
        <w:tc>
          <w:tcPr>
            <w:tcW w:w="2127" w:type="dxa"/>
            <w:vMerge/>
            <w:shd w:val="clear" w:color="auto" w:fill="FFFFFF" w:themeFill="background1"/>
          </w:tcPr>
          <w:p w:rsidR="004912B3" w:rsidRPr="00F54092" w:rsidRDefault="004912B3" w:rsidP="00F92EB5">
            <w:pPr>
              <w:pStyle w:val="Bezmezer"/>
              <w:rPr>
                <w:sz w:val="18"/>
                <w:szCs w:val="18"/>
              </w:rPr>
            </w:pPr>
          </w:p>
        </w:tc>
        <w:tc>
          <w:tcPr>
            <w:tcW w:w="3118" w:type="dxa"/>
            <w:tcBorders>
              <w:right w:val="single" w:sz="12" w:space="0" w:color="auto"/>
            </w:tcBorders>
            <w:shd w:val="clear" w:color="auto" w:fill="FFFFFF" w:themeFill="background1"/>
          </w:tcPr>
          <w:p w:rsidR="004912B3" w:rsidRPr="00F54092" w:rsidRDefault="004912B3" w:rsidP="00F92EB5">
            <w:pPr>
              <w:pStyle w:val="Bezmezer"/>
              <w:rPr>
                <w:sz w:val="18"/>
                <w:szCs w:val="18"/>
              </w:rPr>
            </w:pPr>
            <w:r w:rsidRPr="00F54092">
              <w:rPr>
                <w:sz w:val="18"/>
                <w:szCs w:val="18"/>
              </w:rPr>
              <w:t>VNVK</w:t>
            </w:r>
          </w:p>
        </w:tc>
        <w:tc>
          <w:tcPr>
            <w:tcW w:w="1035" w:type="dxa"/>
            <w:tcBorders>
              <w:left w:val="single" w:sz="12" w:space="0" w:color="auto"/>
            </w:tcBorders>
            <w:shd w:val="clear" w:color="auto" w:fill="FFFFFF" w:themeFill="background1"/>
          </w:tcPr>
          <w:p w:rsidR="004912B3" w:rsidRPr="00F54092" w:rsidRDefault="004912B3" w:rsidP="00F54092">
            <w:pPr>
              <w:pStyle w:val="Bezmezer"/>
              <w:jc w:val="right"/>
              <w:rPr>
                <w:sz w:val="18"/>
                <w:szCs w:val="18"/>
              </w:rPr>
            </w:pPr>
            <w:r w:rsidRPr="00F54092">
              <w:rPr>
                <w:sz w:val="18"/>
                <w:szCs w:val="18"/>
              </w:rPr>
              <w:t>1</w:t>
            </w:r>
          </w:p>
        </w:tc>
        <w:tc>
          <w:tcPr>
            <w:tcW w:w="1035"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2</w:t>
            </w:r>
          </w:p>
        </w:tc>
        <w:tc>
          <w:tcPr>
            <w:tcW w:w="1035"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21</w:t>
            </w:r>
          </w:p>
        </w:tc>
        <w:tc>
          <w:tcPr>
            <w:tcW w:w="1006" w:type="dxa"/>
            <w:shd w:val="clear" w:color="auto" w:fill="FFFFFF" w:themeFill="background1"/>
          </w:tcPr>
          <w:p w:rsidR="004912B3" w:rsidRPr="00F54092" w:rsidRDefault="004912B3" w:rsidP="00F54092">
            <w:pPr>
              <w:pStyle w:val="Bezmezer"/>
              <w:jc w:val="right"/>
              <w:rPr>
                <w:sz w:val="18"/>
                <w:szCs w:val="18"/>
              </w:rPr>
            </w:pPr>
            <w:r w:rsidRPr="00F54092">
              <w:rPr>
                <w:sz w:val="18"/>
                <w:szCs w:val="18"/>
              </w:rPr>
              <w:t>61</w:t>
            </w:r>
          </w:p>
        </w:tc>
      </w:tr>
    </w:tbl>
    <w:p w:rsidR="003E596D" w:rsidRPr="004912B3" w:rsidRDefault="004912B3" w:rsidP="003E596D">
      <w:r>
        <w:t xml:space="preserve">K tomu: </w:t>
      </w:r>
      <w:r w:rsidR="00F92EB5">
        <w:t>v Pardubicích-Rosicích nad Labem přibyly logistické přepravy pro skladový areál</w:t>
      </w:r>
      <w:r w:rsidR="00A52C35">
        <w:t xml:space="preserve"> DB Schenker,</w:t>
      </w:r>
      <w:r>
        <w:t xml:space="preserve"> nárůst výkonů na vlečkách a všeobecné nakládkové a vykládkové koleji v Opatovicích v letech </w:t>
      </w:r>
      <w:smartTag w:uri="urn:schemas-microsoft-com:office:smarttags" w:element="metricconverter">
        <w:smartTagPr>
          <w:attr w:name="ProductID" w:val="2010 a"/>
        </w:smartTagPr>
        <w:r>
          <w:t>2010 a</w:t>
        </w:r>
      </w:smartTag>
      <w:r>
        <w:t xml:space="preserve"> 2011 je způsoben příjemcem Diton, který zde manipuluje náhradou za svoji vlečku ve Stéblové. Ostatní vykládka na VNVK ve Stéblové i Opatovicích nad Labem jsou vesměs příležitostné přepravy stavebních firem podílejících se na rekonstrukci železnice. Vlečka Flaga Český plyn odbočuje z vlečky Elektrárny Opatovice (EOP), přístavbu provádí vlečkař EOP svoji lokomotivou.</w:t>
      </w:r>
      <w:r w:rsidR="009D1044" w:rsidRPr="00405637">
        <w:t xml:space="preserve"> </w:t>
      </w:r>
    </w:p>
    <w:p w:rsidR="00225B27" w:rsidRPr="00405637" w:rsidRDefault="00225B27" w:rsidP="00887E61">
      <w:pPr>
        <w:pStyle w:val="Nadpis3"/>
        <w:ind w:hanging="8234"/>
      </w:pPr>
      <w:bookmarkStart w:id="135" w:name="_Ref347842727"/>
      <w:r w:rsidRPr="00405637">
        <w:t>Nákladní doprava – výhledový stav</w:t>
      </w:r>
      <w:bookmarkEnd w:id="135"/>
    </w:p>
    <w:p w:rsidR="00A52C35" w:rsidRDefault="00A52C35" w:rsidP="00A52C35">
      <w:r>
        <w:t>Ve výhledovém stavu se nepočítá s nárůstem tranzitní nákladní dopravy, těžiště</w:t>
      </w:r>
      <w:r w:rsidR="00A05C1B">
        <w:t xml:space="preserve"> nákladní dopravy</w:t>
      </w:r>
      <w:r>
        <w:t xml:space="preserve"> budou i nadále tvořit vlaky určené pro obsluhu manipulačních míst v nácestných stanicích Pardubice-Rosice nad Labem, Stéblová a Opatovice nad Labem, včetně vlečky Elektrárny Opatovice nad Labem. Počet vlaků, resp. objem zpracované zátěže lze v delším časovém výhledu uvažovat s mírným nárůstem.</w:t>
      </w:r>
      <w:r w:rsidR="00E305CC">
        <w:t xml:space="preserve"> ČD Cargo jako majoritní dopravce počítá ve výhledu ve střední části úseku, tj. Pardubice-Rosice nad Labem – Opatovice nad Labem s jedním vlakem navíc oproti současnému stavu.</w:t>
      </w:r>
      <w:r w:rsidRPr="00A52C35">
        <w:t xml:space="preserve"> </w:t>
      </w:r>
    </w:p>
    <w:p w:rsidR="00A52C35" w:rsidRDefault="008B2A57" w:rsidP="00A52C35">
      <w:r>
        <w:t>S</w:t>
      </w:r>
      <w:r w:rsidR="00A52C35">
        <w:t xml:space="preserve">tále </w:t>
      </w:r>
      <w:r>
        <w:t xml:space="preserve">je </w:t>
      </w:r>
      <w:r w:rsidR="00A52C35">
        <w:t xml:space="preserve">aktuální </w:t>
      </w:r>
      <w:r w:rsidR="00A52C35" w:rsidRPr="00405637">
        <w:t xml:space="preserve">projekt výstavby Multimodálního logistického centra Pardubice </w:t>
      </w:r>
      <w:r>
        <w:t xml:space="preserve">a veřejného Přístavu Pardubice </w:t>
      </w:r>
      <w:r w:rsidR="00A52C35" w:rsidRPr="00405637">
        <w:t>s předpokládaným odbočením vlečky v žst Pardubice-Rosice nad L.</w:t>
      </w:r>
      <w:r w:rsidR="00A52C35">
        <w:t xml:space="preserve"> </w:t>
      </w:r>
    </w:p>
    <w:p w:rsidR="00A52C35" w:rsidRDefault="00A52C35" w:rsidP="00A52C35">
      <w:r>
        <w:t>V</w:t>
      </w:r>
      <w:r w:rsidR="002E09A3">
        <w:t> </w:t>
      </w:r>
      <w:r>
        <w:t>žst</w:t>
      </w:r>
      <w:r w:rsidR="002E09A3">
        <w:t>.</w:t>
      </w:r>
      <w:r>
        <w:t xml:space="preserve"> Stéblová se předpokládá obnovení vykládky a nakládky na vlečce Diton.  </w:t>
      </w:r>
    </w:p>
    <w:p w:rsidR="0027050E" w:rsidRDefault="00A52C35" w:rsidP="00A52C35">
      <w:r>
        <w:t>Elektrárny Opatovice a. s. počítají do roku 2015 s roční dodávkou 1000-1200 uhelných souprav, po roce 2015 může dojít k jejich mírnému navýšení. U nakládky se na této vlečce předpokládá odesílání souprav o síle cca 16 vozů naložených energosádrovcem. Zpočátku zhruba 1 souprava týdně s dalším nárůstem na zhruba 100 souprav ročně. Kromě těchto přeprav hromadných substrátů budou i nadále do Elektrárny docházet jednotlivé vozové zásilky, mj. pro příjemce Český Plyn k. s., jehož vlečka odbočuje z vlečky Elektrárny Opatovice a její lokomotivou je obsluhována.</w:t>
      </w:r>
      <w:r w:rsidR="001A58D9">
        <w:t xml:space="preserve"> Vápenec pro odsíření bude podle informace společnosti Elektrárny Opatovice i nadále přepravován silniční dopravou. </w:t>
      </w:r>
    </w:p>
    <w:p w:rsidR="009D6C64" w:rsidRDefault="009D6C64">
      <w:r w:rsidRPr="00405637">
        <w:t>I pro další roky se bude jednat o významnou odklonovou trať v případě výluk na trati Pardubice – Kolín.</w:t>
      </w:r>
      <w:r w:rsidR="00A52C35" w:rsidRPr="00A52C35">
        <w:t xml:space="preserve"> </w:t>
      </w:r>
      <w:r w:rsidR="00A52C35" w:rsidRPr="00405637">
        <w:t>Případný průvoz nákladního vlaku v denní době je možný i v dnešním stavu, ovšem za cenu křižování nebo křižování+předjíždění v každé nácestné stanici.</w:t>
      </w:r>
    </w:p>
    <w:p w:rsidR="00A52C35" w:rsidRPr="00405637" w:rsidRDefault="00A52C35">
      <w:r>
        <w:t>Pokud se týká počtu nákladních vlaků, je možné počítat se současným stavem</w:t>
      </w:r>
      <w:r w:rsidR="00B265EB">
        <w:t xml:space="preserve">. U odvozu energosádrovce z vlečky Elektrárny Opatovice a. s. bude záležet, do jakého závodu bude odvážen ke zpracování. K dalšímu nárůstu počtu vlaků by mohlo dojít po výstavbě Multimodálního logistického centra Pardubice, pravděpodobně ale jen v úseku Pardubice hl. nádr. – Pardubice-Rosice nad Labem. </w:t>
      </w:r>
    </w:p>
    <w:p w:rsidR="00225B27" w:rsidRPr="00405637" w:rsidRDefault="00225B27">
      <w:pPr>
        <w:pStyle w:val="Nadpis2"/>
      </w:pPr>
      <w:bookmarkStart w:id="136" w:name="_Toc390958700"/>
      <w:r w:rsidRPr="00405637">
        <w:t>Jízdní/cestovní doby</w:t>
      </w:r>
      <w:bookmarkEnd w:id="136"/>
    </w:p>
    <w:p w:rsidR="00225B27" w:rsidRPr="00405637" w:rsidRDefault="00FF5F5E" w:rsidP="00887E61">
      <w:pPr>
        <w:pStyle w:val="Nadpis3"/>
        <w:ind w:hanging="8234"/>
      </w:pPr>
      <w:bookmarkStart w:id="137" w:name="_Ref280079446"/>
      <w:r w:rsidRPr="00405637">
        <w:t>Složení vlakových soupra</w:t>
      </w:r>
      <w:r w:rsidR="00991BB5" w:rsidRPr="00405637">
        <w:t>v</w:t>
      </w:r>
      <w:bookmarkEnd w:id="137"/>
    </w:p>
    <w:p w:rsidR="00244159" w:rsidRDefault="0087332F" w:rsidP="00244159">
      <w:r>
        <w:t>Vozový park v</w:t>
      </w:r>
      <w:r w:rsidR="00244159">
        <w:t xml:space="preserve"> regionální </w:t>
      </w:r>
      <w:r>
        <w:t>osobní dopravě</w:t>
      </w:r>
      <w:r w:rsidR="00244159">
        <w:t xml:space="preserve"> byl inovován a lze ho pro příští léta považovat za stabilní. Od roku 2012 je regionální doprava převážně pokrývána novými elektrickými jednotkami řady 650 s obchodním názvem RegioPanter výrobce Škoda Vagónka. Tyto jednotky jsou třídílné, s kapacitou 232 míst ve 2. třídě a 9. míst v 1. třídě, instalovaný výkon 6x 340 kW. Maximální rychlost je 160 km/hod, takže po modernizaci využijí maximální traťovou rychlost. Další typickou soupravu představuje lokomotiva řady 163, 2 přípojné vozy řady Bdmtee a řídící vůz řady Bfhpvee, známý pod přezdívkou „sysel“. Nutnost objíždění lokomotiv ve vratných stanicích tedy není prakticky žádná. </w:t>
      </w:r>
    </w:p>
    <w:p w:rsidR="00D549DA" w:rsidRDefault="0050654F" w:rsidP="00DC61E4">
      <w:r>
        <w:t xml:space="preserve">V nezávislé trakci je situace méně zřetelná. </w:t>
      </w:r>
      <w:r w:rsidRPr="008B2A57">
        <w:t>V roce 201</w:t>
      </w:r>
      <w:r w:rsidR="008B2A57">
        <w:t>5</w:t>
      </w:r>
      <w:r w:rsidRPr="008B2A57">
        <w:t xml:space="preserve"> skon</w:t>
      </w:r>
      <w:r w:rsidRPr="008B2A57">
        <w:rPr>
          <w:rFonts w:hint="eastAsia"/>
        </w:rPr>
        <w:t>čí</w:t>
      </w:r>
      <w:r w:rsidRPr="008B2A57">
        <w:t xml:space="preserve"> smlouva mezi MD </w:t>
      </w:r>
      <w:r w:rsidRPr="008B2A57">
        <w:rPr>
          <w:rFonts w:hint="eastAsia"/>
        </w:rPr>
        <w:t>Č</w:t>
      </w:r>
      <w:r w:rsidRPr="008B2A57">
        <w:t xml:space="preserve">R a </w:t>
      </w:r>
      <w:r w:rsidRPr="008B2A57">
        <w:rPr>
          <w:rFonts w:hint="eastAsia"/>
        </w:rPr>
        <w:t>Č</w:t>
      </w:r>
      <w:r w:rsidRPr="008B2A57">
        <w:t>eskými drahami</w:t>
      </w:r>
      <w:r w:rsidR="00DE6FDB" w:rsidRPr="008B2A57">
        <w:t>, a. s.</w:t>
      </w:r>
      <w:r w:rsidRPr="007814AC">
        <w:t xml:space="preserve"> na </w:t>
      </w:r>
      <w:r w:rsidRPr="008B2A57">
        <w:t>provozování</w:t>
      </w:r>
      <w:r w:rsidR="00AA42E1" w:rsidRPr="008B2A57">
        <w:t xml:space="preserve"> </w:t>
      </w:r>
      <w:r w:rsidRPr="008B2A57">
        <w:t>linky R 14 Pardubice – Liberec a bude vypsáno výb</w:t>
      </w:r>
      <w:r w:rsidRPr="008B2A57">
        <w:rPr>
          <w:rFonts w:hint="eastAsia"/>
        </w:rPr>
        <w:t>ě</w:t>
      </w:r>
      <w:r w:rsidRPr="008B2A57">
        <w:t xml:space="preserve">rové </w:t>
      </w:r>
      <w:r w:rsidRPr="008B2A57">
        <w:rPr>
          <w:rFonts w:hint="eastAsia"/>
        </w:rPr>
        <w:t>ří</w:t>
      </w:r>
      <w:r w:rsidRPr="008B2A57">
        <w:t>zení na nového provozovatele.</w:t>
      </w:r>
      <w:r>
        <w:t xml:space="preserve"> </w:t>
      </w:r>
      <w:r w:rsidR="00746B63">
        <w:t xml:space="preserve">Výběrové řízení bude obsahovat základní požadavky na kapacitu, rychlost vozidla a další technické parametry. Výběr vhodného typu vozidel, které splní podmínky výběrového řízení, je věcí dopravce. </w:t>
      </w:r>
      <w:r w:rsidR="00D549DA">
        <w:t xml:space="preserve">Některé spoje jedoucí v období vyššího zájmu o přepravu mohou být zdvojeny. Je otázkou, </w:t>
      </w:r>
      <w:r w:rsidR="00DE6FDB">
        <w:t xml:space="preserve">jaký uchazeč a </w:t>
      </w:r>
      <w:r w:rsidR="00D549DA">
        <w:t xml:space="preserve">s jakou jednotkou </w:t>
      </w:r>
      <w:r w:rsidR="00DE6FDB">
        <w:t xml:space="preserve">zakázku získá a </w:t>
      </w:r>
      <w:r w:rsidR="00D549DA">
        <w:t xml:space="preserve">bude linku provozovat v dalších letech. Současnou vozbu zajišťují motorový vůz řady </w:t>
      </w:r>
      <w:r w:rsidR="00D549DA" w:rsidRPr="00405637">
        <w:t xml:space="preserve">843 </w:t>
      </w:r>
      <w:r w:rsidR="00D549DA">
        <w:t xml:space="preserve">se </w:t>
      </w:r>
      <w:r w:rsidR="00D549DA" w:rsidRPr="00405637">
        <w:t>dv</w:t>
      </w:r>
      <w:r w:rsidR="00D549DA">
        <w:t>ěma</w:t>
      </w:r>
      <w:r w:rsidR="00D549DA" w:rsidRPr="00405637">
        <w:t xml:space="preserve"> přívěsný</w:t>
      </w:r>
      <w:r w:rsidR="00D549DA">
        <w:t xml:space="preserve">mi </w:t>
      </w:r>
      <w:r w:rsidR="00D549DA" w:rsidRPr="00405637">
        <w:t>voz</w:t>
      </w:r>
      <w:r w:rsidR="00D549DA">
        <w:t>y</w:t>
      </w:r>
      <w:r w:rsidR="00D549DA" w:rsidRPr="00405637">
        <w:t xml:space="preserve"> Btn</w:t>
      </w:r>
      <w:r w:rsidR="00D549DA" w:rsidRPr="00405637">
        <w:rPr>
          <w:vertAlign w:val="superscript"/>
        </w:rPr>
        <w:t>753</w:t>
      </w:r>
      <w:r w:rsidR="00D549DA" w:rsidRPr="00405637">
        <w:t xml:space="preserve"> (043)</w:t>
      </w:r>
      <w:r w:rsidR="00D549DA">
        <w:t xml:space="preserve">. Maximální rychlost tohoto vlaku je </w:t>
      </w:r>
      <w:smartTag w:uri="urn:schemas-microsoft-com:office:smarttags" w:element="metricconverter">
        <w:smartTagPr>
          <w:attr w:name="ProductID" w:val="110ﾠkm/hod"/>
        </w:smartTagPr>
        <w:r w:rsidR="00D549DA">
          <w:t>110 km/hod</w:t>
        </w:r>
      </w:smartTag>
      <w:r w:rsidR="00D549DA">
        <w:t xml:space="preserve">. </w:t>
      </w:r>
    </w:p>
    <w:p w:rsidR="00D549DA" w:rsidRDefault="00D549DA" w:rsidP="00990580">
      <w:r>
        <w:t xml:space="preserve">Na spěšné vlaky na rameni Pardubice hl. nádr. – Trutnov hl. nádr. jsou nyní nasazeny motorové vozy řady 854 s vlečnými vozy </w:t>
      </w:r>
      <w:r w:rsidR="00990580">
        <w:t>Bdtn</w:t>
      </w:r>
      <w:r w:rsidR="00990580">
        <w:rPr>
          <w:vertAlign w:val="superscript"/>
        </w:rPr>
        <w:t>756</w:t>
      </w:r>
      <w:r w:rsidR="00990580">
        <w:t xml:space="preserve"> (054) a řídícími vozy Abfbrdtn</w:t>
      </w:r>
      <w:r w:rsidR="00990580">
        <w:rPr>
          <w:vertAlign w:val="superscript"/>
        </w:rPr>
        <w:t>795</w:t>
      </w:r>
      <w:r w:rsidR="00990580">
        <w:t xml:space="preserve"> (954). Tyto vlaky mají maximální rychlost </w:t>
      </w:r>
      <w:smartTag w:uri="urn:schemas-microsoft-com:office:smarttags" w:element="metricconverter">
        <w:smartTagPr>
          <w:attr w:name="ProductID" w:val="120ﾠkm/hod"/>
        </w:smartTagPr>
        <w:r w:rsidR="00990580">
          <w:t>120 km/hod</w:t>
        </w:r>
      </w:smartTag>
      <w:r w:rsidR="00990580">
        <w:t>.</w:t>
      </w:r>
      <w:r>
        <w:t xml:space="preserve">  </w:t>
      </w:r>
    </w:p>
    <w:p w:rsidR="00DE6FDB" w:rsidRDefault="00D549DA" w:rsidP="00DC61E4">
      <w:r>
        <w:t xml:space="preserve">Projektant počítá s tím, že </w:t>
      </w:r>
      <w:r w:rsidRPr="008B2A57">
        <w:t>v</w:t>
      </w:r>
      <w:r w:rsidR="008B2A57">
        <w:t xml:space="preserve"> Etap</w:t>
      </w:r>
      <w:r w:rsidR="00D5061B">
        <w:t>ě</w:t>
      </w:r>
      <w:r w:rsidR="008B2A57">
        <w:t xml:space="preserve"> </w:t>
      </w:r>
      <w:r>
        <w:t xml:space="preserve">budou nasazeny moderní jednotky s konstrukční rychlostí </w:t>
      </w:r>
      <w:smartTag w:uri="urn:schemas-microsoft-com:office:smarttags" w:element="metricconverter">
        <w:smartTagPr>
          <w:attr w:name="ProductID" w:val="120ﾠkm/hod"/>
        </w:smartTagPr>
        <w:r>
          <w:t>120 km/hod</w:t>
        </w:r>
      </w:smartTag>
      <w:r>
        <w:t xml:space="preserve">. To je standardní rychlost u jednotek regionálního určení a je i </w:t>
      </w:r>
      <w:r w:rsidR="00990580">
        <w:t xml:space="preserve">plně vyhovující z pohledu další jízdy po návazných tratích směrů Trutnov nebo Stará Paka – Turnov – Liberec, kde traťová rychlost nepřevyšuje </w:t>
      </w:r>
      <w:smartTag w:uri="urn:schemas-microsoft-com:office:smarttags" w:element="metricconverter">
        <w:smartTagPr>
          <w:attr w:name="ProductID" w:val="100ﾠkm/hod"/>
        </w:smartTagPr>
        <w:r w:rsidR="00990580">
          <w:t>100 km/hod</w:t>
        </w:r>
      </w:smartTag>
      <w:r w:rsidR="00990580">
        <w:t>. Jako modelovou jednotku</w:t>
      </w:r>
      <w:r w:rsidR="00221AFC">
        <w:t xml:space="preserve"> z hlediska dynamiky jízdy, ne však nutně z hlediska dostatečné kapacity, </w:t>
      </w:r>
      <w:r w:rsidR="00990580">
        <w:t>použil projektant pro výpočet jízdních dob jednotku PESA Link II.</w:t>
      </w:r>
      <w:r w:rsidR="00DE6FDB">
        <w:t xml:space="preserve"> </w:t>
      </w:r>
    </w:p>
    <w:p w:rsidR="00752377" w:rsidRDefault="00DE6FDB" w:rsidP="00DC61E4">
      <w:r>
        <w:t xml:space="preserve">V projektové variantě </w:t>
      </w:r>
      <w:r w:rsidR="00AC0166">
        <w:t>M</w:t>
      </w:r>
      <w:r>
        <w:t xml:space="preserve">aximální </w:t>
      </w:r>
      <w:r w:rsidR="00752377">
        <w:t xml:space="preserve">je dosaženo rychlosti </w:t>
      </w:r>
      <w:smartTag w:uri="urn:schemas-microsoft-com:office:smarttags" w:element="metricconverter">
        <w:smartTagPr>
          <w:attr w:name="ProductID" w:val="160ﾠkm/hod"/>
        </w:smartTagPr>
        <w:r w:rsidR="00752377">
          <w:t>160 km/hod</w:t>
        </w:r>
      </w:smartTag>
      <w:r w:rsidR="00752377">
        <w:t xml:space="preserve"> v převážné délce úseku Pardubice-Rosice nad Labem – Hradec Králové hlavní nádr. a projektant proto počítá s nasazením jednotky s maximální rychlostí </w:t>
      </w:r>
      <w:smartTag w:uri="urn:schemas-microsoft-com:office:smarttags" w:element="metricconverter">
        <w:smartTagPr>
          <w:attr w:name="ProductID" w:val="160ﾠkm/hod"/>
        </w:smartTagPr>
        <w:r w:rsidR="00752377">
          <w:t>160 km/hod</w:t>
        </w:r>
      </w:smartTag>
      <w:r w:rsidR="00752377">
        <w:t xml:space="preserve"> i v dieselové trakci. Navíc realizaci tohoto projektu lze zasadit do vzdálenějšího časového horizontu, ve kterém lze očekávat, že budou postupně modernizovány i meziregionální tahy se zvyšováním traťové rychlosti. Jako modelovou jednotku z hlediska dynamiky jízdy a pro výpočet jízdních doby projektant použil jednotku RegioSwinger (u DB řada 612).   </w:t>
      </w:r>
    </w:p>
    <w:p w:rsidR="006B08CB" w:rsidRDefault="00752377" w:rsidP="00DC61E4">
      <w:r>
        <w:t xml:space="preserve">Je samozřejmě otázkou, jak by v případě nasazování rozdílných </w:t>
      </w:r>
      <w:r w:rsidR="00B125CF">
        <w:t xml:space="preserve">souprav na tomtéž druhu vlaku byl konstruován grafikon vlakové dopravy. Podle současných zvyklostí budou jízdní doby </w:t>
      </w:r>
      <w:r w:rsidR="00991BB5" w:rsidRPr="00405637">
        <w:t xml:space="preserve">v případě aplikace plně taktového GVD homogenizovány, tudíž nové jednotky, případně soupravy klasické s lepší dynamikou by plně nevyužívaly svých trakčních dispozic. </w:t>
      </w:r>
      <w:r w:rsidR="00B125CF">
        <w:t>Nemusí to tak ale nutně být.</w:t>
      </w:r>
    </w:p>
    <w:p w:rsidR="006B08CB" w:rsidRDefault="006B08CB">
      <w:pPr>
        <w:suppressAutoHyphens w:val="0"/>
        <w:spacing w:before="0" w:after="0" w:line="240" w:lineRule="auto"/>
        <w:jc w:val="left"/>
      </w:pPr>
      <w: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2"/>
        <w:gridCol w:w="2112"/>
        <w:gridCol w:w="1275"/>
        <w:gridCol w:w="1134"/>
        <w:gridCol w:w="1134"/>
        <w:gridCol w:w="3119"/>
      </w:tblGrid>
      <w:tr w:rsidR="00991BB5" w:rsidRPr="00405637" w:rsidTr="006B08CB">
        <w:tc>
          <w:tcPr>
            <w:tcW w:w="9356" w:type="dxa"/>
            <w:gridSpan w:val="6"/>
          </w:tcPr>
          <w:p w:rsidR="00991BB5" w:rsidRPr="00405637" w:rsidRDefault="00991BB5" w:rsidP="00C65DA3">
            <w:pPr>
              <w:pStyle w:val="Titulek"/>
              <w:rPr>
                <w:rFonts w:cs="Tahoma"/>
                <w:lang w:eastAsia="cs-CZ"/>
              </w:rPr>
            </w:pPr>
            <w:bookmarkStart w:id="138" w:name="_Toc390958759"/>
            <w:bookmarkStart w:id="139" w:name="_Toc391034563"/>
            <w:r w:rsidRPr="00405637">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8</w:t>
            </w:r>
            <w:r w:rsidR="000E79AE">
              <w:fldChar w:fldCharType="end"/>
            </w:r>
            <w:r w:rsidRPr="00405637">
              <w:t>: Parametry souprav k výpočtu jízdních dob (</w:t>
            </w:r>
            <w:r w:rsidR="002C2C26">
              <w:t xml:space="preserve">SP VlaDyka </w:t>
            </w:r>
            <w:r w:rsidRPr="00405637">
              <w:t>v.</w:t>
            </w:r>
            <w:r w:rsidR="002C2C26">
              <w:t xml:space="preserve"> 1.12.3</w:t>
            </w:r>
            <w:r w:rsidRPr="00405637">
              <w:t>)</w:t>
            </w:r>
            <w:bookmarkEnd w:id="138"/>
            <w:bookmarkEnd w:id="139"/>
          </w:p>
        </w:tc>
      </w:tr>
      <w:tr w:rsidR="00991BB5" w:rsidRPr="00405637" w:rsidTr="006B08CB">
        <w:tc>
          <w:tcPr>
            <w:tcW w:w="582" w:type="dxa"/>
            <w:tcBorders>
              <w:bottom w:val="single" w:sz="12" w:space="0" w:color="auto"/>
              <w:right w:val="single" w:sz="12" w:space="0" w:color="auto"/>
            </w:tcBorders>
            <w:shd w:val="pct10" w:color="auto" w:fill="auto"/>
          </w:tcPr>
          <w:p w:rsidR="00991BB5" w:rsidRPr="00405637" w:rsidRDefault="00991BB5" w:rsidP="00991BB5">
            <w:pPr>
              <w:pStyle w:val="Tabulkovtext"/>
              <w:rPr>
                <w:rFonts w:cs="Tahoma"/>
                <w:lang w:eastAsia="cs-CZ"/>
              </w:rPr>
            </w:pPr>
            <w:r w:rsidRPr="00405637">
              <w:rPr>
                <w:rFonts w:cs="Tahoma"/>
                <w:lang w:eastAsia="cs-CZ"/>
              </w:rPr>
              <w:t>Vlak</w:t>
            </w:r>
          </w:p>
        </w:tc>
        <w:tc>
          <w:tcPr>
            <w:tcW w:w="2112" w:type="dxa"/>
            <w:tcBorders>
              <w:left w:val="single" w:sz="12" w:space="0" w:color="auto"/>
              <w:bottom w:val="single" w:sz="12" w:space="0" w:color="auto"/>
            </w:tcBorders>
            <w:shd w:val="pct10" w:color="auto" w:fill="auto"/>
          </w:tcPr>
          <w:p w:rsidR="00991BB5" w:rsidRPr="00405637" w:rsidRDefault="00991BB5" w:rsidP="00991BB5">
            <w:pPr>
              <w:pStyle w:val="Tabulkovtext"/>
              <w:rPr>
                <w:rFonts w:cs="Tahoma"/>
                <w:lang w:eastAsia="cs-CZ"/>
              </w:rPr>
            </w:pPr>
            <w:r w:rsidRPr="00405637">
              <w:rPr>
                <w:rFonts w:cs="Tahoma"/>
                <w:lang w:eastAsia="cs-CZ"/>
              </w:rPr>
              <w:t>Hnací vozidlo</w:t>
            </w:r>
          </w:p>
        </w:tc>
        <w:tc>
          <w:tcPr>
            <w:tcW w:w="1275" w:type="dxa"/>
            <w:tcBorders>
              <w:bottom w:val="single" w:sz="12" w:space="0" w:color="auto"/>
            </w:tcBorders>
            <w:shd w:val="pct10" w:color="auto" w:fill="auto"/>
          </w:tcPr>
          <w:p w:rsidR="00991BB5" w:rsidRPr="00405637" w:rsidRDefault="005C502A" w:rsidP="005C502A">
            <w:pPr>
              <w:pStyle w:val="Tabulkovtext"/>
              <w:rPr>
                <w:rFonts w:cs="Tahoma"/>
                <w:lang w:eastAsia="cs-CZ"/>
              </w:rPr>
            </w:pPr>
            <w:r w:rsidRPr="00405637">
              <w:rPr>
                <w:rFonts w:cs="Tahoma"/>
                <w:lang w:eastAsia="cs-CZ"/>
              </w:rPr>
              <w:t>H</w:t>
            </w:r>
            <w:r w:rsidR="00DA36CF" w:rsidRPr="00405637">
              <w:rPr>
                <w:rFonts w:cs="Tahoma"/>
                <w:lang w:eastAsia="cs-CZ"/>
              </w:rPr>
              <w:t>motnost</w:t>
            </w:r>
            <w:r w:rsidR="00991BB5" w:rsidRPr="00405637">
              <w:rPr>
                <w:rFonts w:cs="Tahoma"/>
                <w:lang w:eastAsia="cs-CZ"/>
              </w:rPr>
              <w:t xml:space="preserve"> </w:t>
            </w:r>
            <w:r w:rsidR="00991BB5" w:rsidRPr="00405637">
              <w:rPr>
                <w:rFonts w:cs="Tahoma"/>
                <w:lang w:val="en-US" w:eastAsia="cs-CZ"/>
              </w:rPr>
              <w:t>[t]</w:t>
            </w:r>
          </w:p>
        </w:tc>
        <w:tc>
          <w:tcPr>
            <w:tcW w:w="1134" w:type="dxa"/>
            <w:tcBorders>
              <w:bottom w:val="single" w:sz="12" w:space="0" w:color="auto"/>
            </w:tcBorders>
            <w:shd w:val="pct10" w:color="auto" w:fill="auto"/>
          </w:tcPr>
          <w:p w:rsidR="00991BB5" w:rsidRPr="00405637" w:rsidRDefault="00991BB5" w:rsidP="005C502A">
            <w:pPr>
              <w:pStyle w:val="Tabulkovtext"/>
              <w:rPr>
                <w:rFonts w:cs="Tahoma"/>
                <w:lang w:eastAsia="cs-CZ"/>
              </w:rPr>
            </w:pPr>
            <w:r w:rsidRPr="00405637">
              <w:rPr>
                <w:rFonts w:cs="Tahoma"/>
                <w:lang w:eastAsia="cs-CZ"/>
              </w:rPr>
              <w:t>D</w:t>
            </w:r>
            <w:r w:rsidR="005C502A" w:rsidRPr="00405637">
              <w:rPr>
                <w:rFonts w:cs="Tahoma"/>
                <w:lang w:eastAsia="cs-CZ"/>
              </w:rPr>
              <w:t>é</w:t>
            </w:r>
            <w:r w:rsidRPr="00405637">
              <w:rPr>
                <w:rFonts w:cs="Tahoma"/>
                <w:lang w:eastAsia="cs-CZ"/>
              </w:rPr>
              <w:t>lka [m]</w:t>
            </w:r>
          </w:p>
        </w:tc>
        <w:tc>
          <w:tcPr>
            <w:tcW w:w="1134" w:type="dxa"/>
            <w:tcBorders>
              <w:bottom w:val="single" w:sz="12" w:space="0" w:color="auto"/>
            </w:tcBorders>
            <w:shd w:val="pct10" w:color="auto" w:fill="auto"/>
          </w:tcPr>
          <w:p w:rsidR="00991BB5" w:rsidRPr="00405637" w:rsidRDefault="005C502A" w:rsidP="005C502A">
            <w:pPr>
              <w:pStyle w:val="Tabulkovtext"/>
              <w:rPr>
                <w:rFonts w:cs="Tahoma"/>
                <w:lang w:eastAsia="cs-CZ"/>
              </w:rPr>
            </w:pPr>
            <w:r w:rsidRPr="00405637">
              <w:rPr>
                <w:rFonts w:cs="Tahoma"/>
                <w:lang w:eastAsia="cs-CZ"/>
              </w:rPr>
              <w:t>a</w:t>
            </w:r>
            <w:r w:rsidRPr="00405637">
              <w:rPr>
                <w:rFonts w:cs="Tahoma"/>
                <w:vertAlign w:val="subscript"/>
                <w:lang w:eastAsia="cs-CZ"/>
              </w:rPr>
              <w:t xml:space="preserve">brzd </w:t>
            </w:r>
            <w:r w:rsidRPr="00405637">
              <w:rPr>
                <w:rFonts w:cs="Tahoma"/>
                <w:lang w:val="en-US" w:eastAsia="cs-CZ"/>
              </w:rPr>
              <w:t>[m.s</w:t>
            </w:r>
            <w:r w:rsidRPr="00405637">
              <w:rPr>
                <w:rFonts w:cs="Tahoma"/>
                <w:vertAlign w:val="superscript"/>
                <w:lang w:val="en-US" w:eastAsia="cs-CZ"/>
              </w:rPr>
              <w:t>-2</w:t>
            </w:r>
            <w:r w:rsidRPr="00405637">
              <w:rPr>
                <w:rFonts w:cs="Tahoma"/>
                <w:lang w:val="en-US" w:eastAsia="cs-CZ"/>
              </w:rPr>
              <w:t>]</w:t>
            </w:r>
            <w:r w:rsidRPr="00405637">
              <w:rPr>
                <w:rFonts w:cs="Tahoma"/>
                <w:lang w:eastAsia="cs-CZ"/>
              </w:rPr>
              <w:t xml:space="preserve"> </w:t>
            </w:r>
          </w:p>
        </w:tc>
        <w:tc>
          <w:tcPr>
            <w:tcW w:w="3119" w:type="dxa"/>
            <w:tcBorders>
              <w:bottom w:val="single" w:sz="12" w:space="0" w:color="auto"/>
            </w:tcBorders>
            <w:shd w:val="pct10" w:color="auto" w:fill="auto"/>
          </w:tcPr>
          <w:p w:rsidR="00991BB5" w:rsidRPr="00405637" w:rsidRDefault="005C502A" w:rsidP="00991BB5">
            <w:pPr>
              <w:pStyle w:val="Tabulkovtext"/>
              <w:rPr>
                <w:rFonts w:cs="Tahoma"/>
                <w:lang w:eastAsia="cs-CZ"/>
              </w:rPr>
            </w:pPr>
            <w:r w:rsidRPr="00405637">
              <w:rPr>
                <w:rFonts w:cs="Tahoma"/>
                <w:lang w:eastAsia="cs-CZ"/>
              </w:rPr>
              <w:t>Poznámka</w:t>
            </w:r>
          </w:p>
        </w:tc>
      </w:tr>
      <w:tr w:rsidR="00991BB5" w:rsidRPr="00405637" w:rsidTr="006B08CB">
        <w:tc>
          <w:tcPr>
            <w:tcW w:w="582" w:type="dxa"/>
            <w:tcBorders>
              <w:top w:val="single" w:sz="12" w:space="0" w:color="auto"/>
              <w:right w:val="single" w:sz="12" w:space="0" w:color="auto"/>
            </w:tcBorders>
            <w:shd w:val="pct10" w:color="auto" w:fill="auto"/>
          </w:tcPr>
          <w:p w:rsidR="00991BB5" w:rsidRPr="00405637" w:rsidRDefault="005C502A" w:rsidP="00991BB5">
            <w:pPr>
              <w:pStyle w:val="Tabulkovtext"/>
              <w:rPr>
                <w:rFonts w:cs="Tahoma"/>
                <w:lang w:eastAsia="cs-CZ"/>
              </w:rPr>
            </w:pPr>
            <w:r w:rsidRPr="00405637">
              <w:rPr>
                <w:rFonts w:cs="Tahoma"/>
                <w:lang w:eastAsia="cs-CZ"/>
              </w:rPr>
              <w:t>R</w:t>
            </w:r>
          </w:p>
        </w:tc>
        <w:tc>
          <w:tcPr>
            <w:tcW w:w="2112" w:type="dxa"/>
            <w:tcBorders>
              <w:top w:val="single" w:sz="12" w:space="0" w:color="auto"/>
              <w:left w:val="single" w:sz="12" w:space="0" w:color="auto"/>
            </w:tcBorders>
          </w:tcPr>
          <w:p w:rsidR="00991BB5" w:rsidRPr="00405637" w:rsidRDefault="005C502A" w:rsidP="00991BB5">
            <w:pPr>
              <w:pStyle w:val="Tabulkovtext"/>
              <w:rPr>
                <w:rFonts w:cs="Tahoma"/>
                <w:lang w:eastAsia="cs-CZ"/>
              </w:rPr>
            </w:pPr>
            <w:r w:rsidRPr="00405637">
              <w:rPr>
                <w:rFonts w:cs="Tahoma"/>
                <w:lang w:eastAsia="cs-CZ"/>
              </w:rPr>
              <w:t>843</w:t>
            </w:r>
          </w:p>
        </w:tc>
        <w:tc>
          <w:tcPr>
            <w:tcW w:w="1275" w:type="dxa"/>
            <w:tcBorders>
              <w:top w:val="single" w:sz="12" w:space="0" w:color="auto"/>
            </w:tcBorders>
          </w:tcPr>
          <w:p w:rsidR="00991BB5" w:rsidRPr="00405637" w:rsidRDefault="005C502A" w:rsidP="005C502A">
            <w:pPr>
              <w:pStyle w:val="Tabulkovtext"/>
              <w:rPr>
                <w:rFonts w:cs="Tahoma"/>
                <w:lang w:eastAsia="cs-CZ"/>
              </w:rPr>
            </w:pPr>
            <w:r w:rsidRPr="00405637">
              <w:rPr>
                <w:rFonts w:cs="Tahoma"/>
                <w:lang w:eastAsia="cs-CZ"/>
              </w:rPr>
              <w:t>110</w:t>
            </w:r>
          </w:p>
        </w:tc>
        <w:tc>
          <w:tcPr>
            <w:tcW w:w="1134" w:type="dxa"/>
            <w:tcBorders>
              <w:top w:val="single" w:sz="12" w:space="0" w:color="auto"/>
            </w:tcBorders>
          </w:tcPr>
          <w:p w:rsidR="00991BB5" w:rsidRPr="00405637" w:rsidRDefault="005C502A" w:rsidP="00991BB5">
            <w:pPr>
              <w:pStyle w:val="Tabulkovtext"/>
              <w:rPr>
                <w:rFonts w:cs="Tahoma"/>
                <w:lang w:eastAsia="cs-CZ"/>
              </w:rPr>
            </w:pPr>
            <w:r w:rsidRPr="00405637">
              <w:rPr>
                <w:rFonts w:cs="Tahoma"/>
                <w:lang w:eastAsia="cs-CZ"/>
              </w:rPr>
              <w:t>60</w:t>
            </w:r>
          </w:p>
        </w:tc>
        <w:tc>
          <w:tcPr>
            <w:tcW w:w="1134" w:type="dxa"/>
            <w:tcBorders>
              <w:top w:val="single" w:sz="12" w:space="0" w:color="auto"/>
            </w:tcBorders>
          </w:tcPr>
          <w:p w:rsidR="00991BB5" w:rsidRPr="00405637" w:rsidRDefault="00991BB5" w:rsidP="00804582">
            <w:pPr>
              <w:pStyle w:val="Tabulkovtext"/>
              <w:rPr>
                <w:rFonts w:cs="Tahoma"/>
                <w:lang w:eastAsia="cs-CZ"/>
              </w:rPr>
            </w:pPr>
          </w:p>
        </w:tc>
        <w:tc>
          <w:tcPr>
            <w:tcW w:w="3119" w:type="dxa"/>
            <w:tcBorders>
              <w:top w:val="single" w:sz="12" w:space="0" w:color="auto"/>
            </w:tcBorders>
          </w:tcPr>
          <w:p w:rsidR="00991BB5" w:rsidRPr="00405637" w:rsidRDefault="005C502A" w:rsidP="00991BB5">
            <w:pPr>
              <w:pStyle w:val="Tabulkovtext"/>
              <w:rPr>
                <w:rFonts w:cs="Tahoma"/>
                <w:lang w:eastAsia="cs-CZ"/>
              </w:rPr>
            </w:pPr>
            <w:r w:rsidRPr="00405637">
              <w:rPr>
                <w:rFonts w:cs="Tahoma"/>
                <w:lang w:eastAsia="cs-CZ"/>
              </w:rPr>
              <w:t>Rk, 2x Btn753</w:t>
            </w:r>
          </w:p>
        </w:tc>
      </w:tr>
      <w:tr w:rsidR="00991BB5" w:rsidRPr="00405637" w:rsidTr="006B08CB">
        <w:tc>
          <w:tcPr>
            <w:tcW w:w="582" w:type="dxa"/>
            <w:tcBorders>
              <w:right w:val="single" w:sz="12" w:space="0" w:color="auto"/>
            </w:tcBorders>
            <w:shd w:val="pct10" w:color="auto" w:fill="auto"/>
          </w:tcPr>
          <w:p w:rsidR="00991BB5" w:rsidRPr="00405637" w:rsidRDefault="00B125CF" w:rsidP="00B125CF">
            <w:pPr>
              <w:pStyle w:val="Tabulkovtext"/>
              <w:rPr>
                <w:rFonts w:cs="Tahoma"/>
                <w:lang w:eastAsia="cs-CZ"/>
              </w:rPr>
            </w:pPr>
            <w:r>
              <w:rPr>
                <w:rFonts w:cs="Tahoma"/>
                <w:lang w:eastAsia="cs-CZ"/>
              </w:rPr>
              <w:t>Sp</w:t>
            </w:r>
          </w:p>
        </w:tc>
        <w:tc>
          <w:tcPr>
            <w:tcW w:w="2112" w:type="dxa"/>
            <w:tcBorders>
              <w:left w:val="single" w:sz="12" w:space="0" w:color="auto"/>
            </w:tcBorders>
          </w:tcPr>
          <w:p w:rsidR="00991BB5" w:rsidRPr="00405637" w:rsidRDefault="005C502A" w:rsidP="00991BB5">
            <w:pPr>
              <w:pStyle w:val="Tabulkovtext"/>
              <w:rPr>
                <w:rFonts w:cs="Tahoma"/>
                <w:lang w:eastAsia="cs-CZ"/>
              </w:rPr>
            </w:pPr>
            <w:r w:rsidRPr="00405637">
              <w:rPr>
                <w:rFonts w:cs="Tahoma"/>
                <w:lang w:eastAsia="cs-CZ"/>
              </w:rPr>
              <w:t>163</w:t>
            </w:r>
          </w:p>
        </w:tc>
        <w:tc>
          <w:tcPr>
            <w:tcW w:w="1275" w:type="dxa"/>
          </w:tcPr>
          <w:p w:rsidR="00991BB5" w:rsidRPr="00405637" w:rsidRDefault="005C502A" w:rsidP="005C502A">
            <w:pPr>
              <w:pStyle w:val="Tabulkovtext"/>
              <w:rPr>
                <w:rFonts w:cs="Tahoma"/>
                <w:lang w:eastAsia="cs-CZ"/>
              </w:rPr>
            </w:pPr>
            <w:r w:rsidRPr="00405637">
              <w:rPr>
                <w:rFonts w:cs="Tahoma"/>
                <w:lang w:eastAsia="cs-CZ"/>
              </w:rPr>
              <w:t>550</w:t>
            </w:r>
          </w:p>
        </w:tc>
        <w:tc>
          <w:tcPr>
            <w:tcW w:w="1134" w:type="dxa"/>
          </w:tcPr>
          <w:p w:rsidR="00991BB5" w:rsidRPr="00405637" w:rsidRDefault="005C502A" w:rsidP="00991BB5">
            <w:pPr>
              <w:pStyle w:val="Tabulkovtext"/>
              <w:rPr>
                <w:rFonts w:cs="Tahoma"/>
                <w:lang w:eastAsia="cs-CZ"/>
              </w:rPr>
            </w:pPr>
            <w:r w:rsidRPr="00405637">
              <w:rPr>
                <w:rFonts w:cs="Tahoma"/>
                <w:lang w:eastAsia="cs-CZ"/>
              </w:rPr>
              <w:t>300</w:t>
            </w:r>
          </w:p>
        </w:tc>
        <w:tc>
          <w:tcPr>
            <w:tcW w:w="1134" w:type="dxa"/>
          </w:tcPr>
          <w:p w:rsidR="00991BB5" w:rsidRPr="00405637" w:rsidRDefault="00991BB5" w:rsidP="00804582">
            <w:pPr>
              <w:pStyle w:val="Tabulkovtext"/>
              <w:rPr>
                <w:rFonts w:cs="Tahoma"/>
                <w:lang w:eastAsia="cs-CZ"/>
              </w:rPr>
            </w:pPr>
          </w:p>
        </w:tc>
        <w:tc>
          <w:tcPr>
            <w:tcW w:w="3119" w:type="dxa"/>
          </w:tcPr>
          <w:p w:rsidR="00991BB5" w:rsidRPr="00405637" w:rsidRDefault="005C502A" w:rsidP="00991BB5">
            <w:pPr>
              <w:pStyle w:val="Tabulkovtext"/>
              <w:rPr>
                <w:rFonts w:cs="Tahoma"/>
                <w:lang w:eastAsia="cs-CZ"/>
              </w:rPr>
            </w:pPr>
            <w:r w:rsidRPr="00405637">
              <w:rPr>
                <w:rFonts w:cs="Tahoma"/>
                <w:lang w:eastAsia="cs-CZ"/>
              </w:rPr>
              <w:t>R, 11x Y/X (CH – HK)</w:t>
            </w:r>
          </w:p>
        </w:tc>
      </w:tr>
      <w:tr w:rsidR="00991BB5" w:rsidRPr="00405637" w:rsidTr="006B08CB">
        <w:tc>
          <w:tcPr>
            <w:tcW w:w="582" w:type="dxa"/>
            <w:tcBorders>
              <w:right w:val="single" w:sz="12" w:space="0" w:color="auto"/>
            </w:tcBorders>
            <w:shd w:val="pct10" w:color="auto" w:fill="auto"/>
          </w:tcPr>
          <w:p w:rsidR="00991BB5" w:rsidRPr="00405637" w:rsidRDefault="005C502A" w:rsidP="00991BB5">
            <w:pPr>
              <w:pStyle w:val="Tabulkovtext"/>
              <w:rPr>
                <w:rFonts w:cs="Tahoma"/>
                <w:lang w:eastAsia="cs-CZ"/>
              </w:rPr>
            </w:pPr>
            <w:r w:rsidRPr="00405637">
              <w:rPr>
                <w:rFonts w:cs="Tahoma"/>
                <w:lang w:eastAsia="cs-CZ"/>
              </w:rPr>
              <w:t>Os</w:t>
            </w:r>
          </w:p>
        </w:tc>
        <w:tc>
          <w:tcPr>
            <w:tcW w:w="2112" w:type="dxa"/>
            <w:tcBorders>
              <w:left w:val="single" w:sz="12" w:space="0" w:color="auto"/>
            </w:tcBorders>
          </w:tcPr>
          <w:p w:rsidR="00991BB5" w:rsidRPr="00405637" w:rsidRDefault="005C502A" w:rsidP="00991BB5">
            <w:pPr>
              <w:pStyle w:val="Tabulkovtext"/>
              <w:rPr>
                <w:rFonts w:cs="Tahoma"/>
                <w:lang w:eastAsia="cs-CZ"/>
              </w:rPr>
            </w:pPr>
            <w:r w:rsidRPr="00405637">
              <w:rPr>
                <w:rFonts w:cs="Tahoma"/>
                <w:lang w:eastAsia="cs-CZ"/>
              </w:rPr>
              <w:t>163</w:t>
            </w:r>
          </w:p>
        </w:tc>
        <w:tc>
          <w:tcPr>
            <w:tcW w:w="1275" w:type="dxa"/>
          </w:tcPr>
          <w:p w:rsidR="00991BB5" w:rsidRPr="00405637" w:rsidRDefault="005C502A" w:rsidP="005C502A">
            <w:pPr>
              <w:pStyle w:val="Tabulkovtext"/>
              <w:rPr>
                <w:rFonts w:cs="Tahoma"/>
                <w:lang w:eastAsia="cs-CZ"/>
              </w:rPr>
            </w:pPr>
            <w:r w:rsidRPr="00405637">
              <w:rPr>
                <w:rFonts w:cs="Tahoma"/>
                <w:lang w:eastAsia="cs-CZ"/>
              </w:rPr>
              <w:t>230</w:t>
            </w:r>
          </w:p>
        </w:tc>
        <w:tc>
          <w:tcPr>
            <w:tcW w:w="1134" w:type="dxa"/>
          </w:tcPr>
          <w:p w:rsidR="00991BB5" w:rsidRPr="00405637" w:rsidRDefault="005C502A" w:rsidP="00991BB5">
            <w:pPr>
              <w:pStyle w:val="Tabulkovtext"/>
              <w:rPr>
                <w:rFonts w:cs="Tahoma"/>
                <w:lang w:eastAsia="cs-CZ"/>
              </w:rPr>
            </w:pPr>
            <w:r w:rsidRPr="00405637">
              <w:rPr>
                <w:rFonts w:cs="Tahoma"/>
                <w:lang w:eastAsia="cs-CZ"/>
              </w:rPr>
              <w:t>110</w:t>
            </w:r>
          </w:p>
        </w:tc>
        <w:tc>
          <w:tcPr>
            <w:tcW w:w="1134" w:type="dxa"/>
          </w:tcPr>
          <w:p w:rsidR="00991BB5" w:rsidRPr="00405637" w:rsidRDefault="00991BB5" w:rsidP="00804582">
            <w:pPr>
              <w:pStyle w:val="Tabulkovtext"/>
              <w:rPr>
                <w:rFonts w:cs="Tahoma"/>
                <w:lang w:eastAsia="cs-CZ"/>
              </w:rPr>
            </w:pPr>
          </w:p>
        </w:tc>
        <w:tc>
          <w:tcPr>
            <w:tcW w:w="3119" w:type="dxa"/>
          </w:tcPr>
          <w:p w:rsidR="00991BB5" w:rsidRPr="00405637" w:rsidRDefault="005C502A" w:rsidP="00991BB5">
            <w:pPr>
              <w:pStyle w:val="Tabulkovtext"/>
              <w:rPr>
                <w:rFonts w:cs="Tahoma"/>
                <w:lang w:eastAsia="cs-CZ"/>
              </w:rPr>
            </w:pPr>
            <w:r w:rsidRPr="00405637">
              <w:rPr>
                <w:rFonts w:cs="Tahoma"/>
                <w:lang w:eastAsia="cs-CZ"/>
              </w:rPr>
              <w:t>R, 4x X</w:t>
            </w:r>
          </w:p>
        </w:tc>
      </w:tr>
      <w:tr w:rsidR="00991BB5" w:rsidRPr="00405637" w:rsidTr="006B08CB">
        <w:tc>
          <w:tcPr>
            <w:tcW w:w="582" w:type="dxa"/>
            <w:tcBorders>
              <w:right w:val="single" w:sz="12" w:space="0" w:color="auto"/>
            </w:tcBorders>
            <w:shd w:val="pct10" w:color="auto" w:fill="auto"/>
          </w:tcPr>
          <w:p w:rsidR="00991BB5" w:rsidRPr="00405637" w:rsidRDefault="00804582" w:rsidP="00991BB5">
            <w:pPr>
              <w:pStyle w:val="Tabulkovtext"/>
              <w:rPr>
                <w:rFonts w:cs="Tahoma"/>
                <w:lang w:eastAsia="cs-CZ"/>
              </w:rPr>
            </w:pPr>
            <w:r>
              <w:rPr>
                <w:rFonts w:cs="Tahoma"/>
                <w:lang w:eastAsia="cs-CZ"/>
              </w:rPr>
              <w:t>Sp, Os</w:t>
            </w:r>
          </w:p>
        </w:tc>
        <w:tc>
          <w:tcPr>
            <w:tcW w:w="2112" w:type="dxa"/>
            <w:tcBorders>
              <w:left w:val="single" w:sz="12" w:space="0" w:color="auto"/>
            </w:tcBorders>
          </w:tcPr>
          <w:p w:rsidR="00991BB5" w:rsidRPr="00405637" w:rsidRDefault="00804582" w:rsidP="00991BB5">
            <w:pPr>
              <w:pStyle w:val="Tabulkovtext"/>
              <w:rPr>
                <w:rFonts w:cs="Tahoma"/>
                <w:lang w:eastAsia="cs-CZ"/>
              </w:rPr>
            </w:pPr>
            <w:r>
              <w:rPr>
                <w:rFonts w:cs="Tahoma"/>
                <w:lang w:eastAsia="cs-CZ"/>
              </w:rPr>
              <w:t>E-jednotka RegioPanter V=160</w:t>
            </w:r>
          </w:p>
        </w:tc>
        <w:tc>
          <w:tcPr>
            <w:tcW w:w="1275" w:type="dxa"/>
          </w:tcPr>
          <w:p w:rsidR="00991BB5" w:rsidRPr="00405637" w:rsidRDefault="00804582" w:rsidP="005C502A">
            <w:pPr>
              <w:pStyle w:val="Tabulkovtext"/>
              <w:rPr>
                <w:rFonts w:cs="Tahoma"/>
                <w:lang w:eastAsia="cs-CZ"/>
              </w:rPr>
            </w:pPr>
            <w:r>
              <w:rPr>
                <w:rFonts w:cs="Tahoma"/>
                <w:lang w:eastAsia="cs-CZ"/>
              </w:rPr>
              <w:t>160</w:t>
            </w:r>
          </w:p>
        </w:tc>
        <w:tc>
          <w:tcPr>
            <w:tcW w:w="1134" w:type="dxa"/>
          </w:tcPr>
          <w:p w:rsidR="00991BB5" w:rsidRPr="00405637" w:rsidRDefault="00804582" w:rsidP="00991BB5">
            <w:pPr>
              <w:pStyle w:val="Tabulkovtext"/>
              <w:rPr>
                <w:rFonts w:cs="Tahoma"/>
                <w:lang w:eastAsia="cs-CZ"/>
              </w:rPr>
            </w:pPr>
            <w:r>
              <w:rPr>
                <w:rFonts w:cs="Tahoma"/>
                <w:lang w:eastAsia="cs-CZ"/>
              </w:rPr>
              <w:t>79,4</w:t>
            </w:r>
          </w:p>
        </w:tc>
        <w:tc>
          <w:tcPr>
            <w:tcW w:w="1134" w:type="dxa"/>
          </w:tcPr>
          <w:p w:rsidR="00991BB5" w:rsidRPr="00405637" w:rsidRDefault="00804582" w:rsidP="00991BB5">
            <w:pPr>
              <w:pStyle w:val="Tabulkovtext"/>
              <w:rPr>
                <w:rFonts w:cs="Tahoma"/>
                <w:lang w:eastAsia="cs-CZ"/>
              </w:rPr>
            </w:pPr>
            <w:r>
              <w:rPr>
                <w:rFonts w:cs="Tahoma"/>
                <w:lang w:eastAsia="cs-CZ"/>
              </w:rPr>
              <w:t>0,55</w:t>
            </w:r>
          </w:p>
        </w:tc>
        <w:tc>
          <w:tcPr>
            <w:tcW w:w="3119" w:type="dxa"/>
          </w:tcPr>
          <w:p w:rsidR="006819BA" w:rsidRDefault="00804582" w:rsidP="00092F1A">
            <w:pPr>
              <w:pStyle w:val="Tabulkovtext"/>
              <w:rPr>
                <w:rFonts w:cs="Tahoma"/>
                <w:b/>
                <w:bCs/>
                <w:kern w:val="28"/>
                <w:szCs w:val="32"/>
                <w:lang w:eastAsia="cs-CZ"/>
              </w:rPr>
            </w:pPr>
            <w:r>
              <w:rPr>
                <w:rFonts w:cs="Tahoma"/>
                <w:lang w:eastAsia="cs-CZ"/>
              </w:rPr>
              <w:t>není TCH</w:t>
            </w:r>
            <w:r w:rsidR="002C2C26">
              <w:rPr>
                <w:rFonts w:cs="Tahoma"/>
                <w:lang w:eastAsia="cs-CZ"/>
              </w:rPr>
              <w:t xml:space="preserve"> od výrobce, použita vlastní</w:t>
            </w:r>
          </w:p>
        </w:tc>
      </w:tr>
      <w:tr w:rsidR="00991BB5" w:rsidRPr="00405637" w:rsidTr="006B08CB">
        <w:tc>
          <w:tcPr>
            <w:tcW w:w="582" w:type="dxa"/>
            <w:tcBorders>
              <w:right w:val="single" w:sz="12" w:space="0" w:color="auto"/>
            </w:tcBorders>
            <w:shd w:val="pct10" w:color="auto" w:fill="auto"/>
          </w:tcPr>
          <w:p w:rsidR="00991BB5" w:rsidRPr="00405637" w:rsidRDefault="00804582" w:rsidP="00991BB5">
            <w:pPr>
              <w:pStyle w:val="Tabulkovtext"/>
              <w:rPr>
                <w:rFonts w:cs="Tahoma"/>
                <w:lang w:eastAsia="cs-CZ"/>
              </w:rPr>
            </w:pPr>
            <w:r>
              <w:rPr>
                <w:rFonts w:cs="Tahoma"/>
                <w:lang w:eastAsia="cs-CZ"/>
              </w:rPr>
              <w:t>R,Sp</w:t>
            </w:r>
          </w:p>
        </w:tc>
        <w:tc>
          <w:tcPr>
            <w:tcW w:w="2112" w:type="dxa"/>
            <w:tcBorders>
              <w:left w:val="single" w:sz="12" w:space="0" w:color="auto"/>
            </w:tcBorders>
          </w:tcPr>
          <w:p w:rsidR="00991BB5" w:rsidRPr="00405637" w:rsidRDefault="00804582" w:rsidP="00991BB5">
            <w:pPr>
              <w:pStyle w:val="Tabulkovtext"/>
              <w:rPr>
                <w:rFonts w:cs="Tahoma"/>
                <w:lang w:eastAsia="cs-CZ"/>
              </w:rPr>
            </w:pPr>
            <w:r>
              <w:rPr>
                <w:rFonts w:cs="Tahoma"/>
                <w:lang w:eastAsia="cs-CZ"/>
              </w:rPr>
              <w:t>D-jednotka V=120</w:t>
            </w:r>
          </w:p>
        </w:tc>
        <w:tc>
          <w:tcPr>
            <w:tcW w:w="1275" w:type="dxa"/>
          </w:tcPr>
          <w:p w:rsidR="00991BB5" w:rsidRPr="00405637" w:rsidRDefault="00991BB5" w:rsidP="005C502A">
            <w:pPr>
              <w:pStyle w:val="Tabulkovtext"/>
              <w:rPr>
                <w:rFonts w:cs="Tahoma"/>
                <w:lang w:eastAsia="cs-CZ"/>
              </w:rPr>
            </w:pPr>
          </w:p>
        </w:tc>
        <w:tc>
          <w:tcPr>
            <w:tcW w:w="1134" w:type="dxa"/>
          </w:tcPr>
          <w:p w:rsidR="00991BB5" w:rsidRPr="00405637" w:rsidRDefault="00804582" w:rsidP="00991BB5">
            <w:pPr>
              <w:pStyle w:val="Tabulkovtext"/>
              <w:rPr>
                <w:rFonts w:cs="Tahoma"/>
                <w:lang w:eastAsia="cs-CZ"/>
              </w:rPr>
            </w:pPr>
            <w:r>
              <w:rPr>
                <w:rFonts w:cs="Tahoma"/>
                <w:lang w:eastAsia="cs-CZ"/>
              </w:rPr>
              <w:t>cca 80</w:t>
            </w:r>
          </w:p>
        </w:tc>
        <w:tc>
          <w:tcPr>
            <w:tcW w:w="1134" w:type="dxa"/>
          </w:tcPr>
          <w:p w:rsidR="00991BB5" w:rsidRPr="00405637" w:rsidRDefault="00804582" w:rsidP="00991BB5">
            <w:pPr>
              <w:pStyle w:val="Tabulkovtext"/>
              <w:rPr>
                <w:rFonts w:cs="Tahoma"/>
                <w:lang w:eastAsia="cs-CZ"/>
              </w:rPr>
            </w:pPr>
            <w:r>
              <w:rPr>
                <w:rFonts w:cs="Tahoma"/>
                <w:lang w:eastAsia="cs-CZ"/>
              </w:rPr>
              <w:t>0,55</w:t>
            </w:r>
          </w:p>
        </w:tc>
        <w:tc>
          <w:tcPr>
            <w:tcW w:w="3119" w:type="dxa"/>
          </w:tcPr>
          <w:p w:rsidR="00991BB5" w:rsidRPr="00405637" w:rsidRDefault="00804582" w:rsidP="00991BB5">
            <w:pPr>
              <w:pStyle w:val="Tabulkovtext"/>
              <w:rPr>
                <w:rFonts w:cs="Tahoma"/>
                <w:lang w:eastAsia="cs-CZ"/>
              </w:rPr>
            </w:pPr>
            <w:r>
              <w:rPr>
                <w:rFonts w:cs="Tahoma"/>
                <w:lang w:eastAsia="cs-CZ"/>
              </w:rPr>
              <w:t>modelová jednotka PESA Link II</w:t>
            </w:r>
          </w:p>
        </w:tc>
      </w:tr>
      <w:tr w:rsidR="00991BB5" w:rsidRPr="00405637" w:rsidTr="006B08CB">
        <w:tc>
          <w:tcPr>
            <w:tcW w:w="582" w:type="dxa"/>
            <w:tcBorders>
              <w:right w:val="single" w:sz="12" w:space="0" w:color="auto"/>
            </w:tcBorders>
            <w:shd w:val="pct10" w:color="auto" w:fill="auto"/>
          </w:tcPr>
          <w:p w:rsidR="00991BB5" w:rsidRPr="00405637" w:rsidRDefault="00804582" w:rsidP="00991BB5">
            <w:pPr>
              <w:pStyle w:val="Tabulkovtext"/>
              <w:rPr>
                <w:rFonts w:cs="Tahoma"/>
                <w:lang w:eastAsia="cs-CZ"/>
              </w:rPr>
            </w:pPr>
            <w:r>
              <w:rPr>
                <w:rFonts w:cs="Tahoma"/>
                <w:lang w:eastAsia="cs-CZ"/>
              </w:rPr>
              <w:t>R,Sp</w:t>
            </w:r>
          </w:p>
        </w:tc>
        <w:tc>
          <w:tcPr>
            <w:tcW w:w="2112" w:type="dxa"/>
            <w:tcBorders>
              <w:left w:val="single" w:sz="12" w:space="0" w:color="auto"/>
            </w:tcBorders>
          </w:tcPr>
          <w:p w:rsidR="00991BB5" w:rsidRPr="00405637" w:rsidRDefault="00804582" w:rsidP="00804582">
            <w:pPr>
              <w:pStyle w:val="Tabulkovtext"/>
              <w:rPr>
                <w:rFonts w:cs="Tahoma"/>
                <w:lang w:eastAsia="cs-CZ"/>
              </w:rPr>
            </w:pPr>
            <w:r>
              <w:rPr>
                <w:rFonts w:cs="Tahoma"/>
                <w:lang w:eastAsia="cs-CZ"/>
              </w:rPr>
              <w:t>D-jednotka V=160</w:t>
            </w:r>
          </w:p>
        </w:tc>
        <w:tc>
          <w:tcPr>
            <w:tcW w:w="1275" w:type="dxa"/>
          </w:tcPr>
          <w:p w:rsidR="00991BB5" w:rsidRPr="00405637" w:rsidRDefault="00991BB5" w:rsidP="005C502A">
            <w:pPr>
              <w:pStyle w:val="Tabulkovtext"/>
              <w:rPr>
                <w:rFonts w:cs="Tahoma"/>
                <w:lang w:eastAsia="cs-CZ"/>
              </w:rPr>
            </w:pPr>
          </w:p>
        </w:tc>
        <w:tc>
          <w:tcPr>
            <w:tcW w:w="1134" w:type="dxa"/>
          </w:tcPr>
          <w:p w:rsidR="00991BB5" w:rsidRPr="00405637" w:rsidRDefault="00804582" w:rsidP="00991BB5">
            <w:pPr>
              <w:pStyle w:val="Tabulkovtext"/>
              <w:rPr>
                <w:rFonts w:cs="Tahoma"/>
                <w:lang w:eastAsia="cs-CZ"/>
              </w:rPr>
            </w:pPr>
            <w:r>
              <w:rPr>
                <w:rFonts w:cs="Tahoma"/>
                <w:lang w:eastAsia="cs-CZ"/>
              </w:rPr>
              <w:t>cca 80</w:t>
            </w:r>
          </w:p>
        </w:tc>
        <w:tc>
          <w:tcPr>
            <w:tcW w:w="1134" w:type="dxa"/>
          </w:tcPr>
          <w:p w:rsidR="00991BB5" w:rsidRPr="00405637" w:rsidRDefault="00804582" w:rsidP="00991BB5">
            <w:pPr>
              <w:pStyle w:val="Tabulkovtext"/>
              <w:rPr>
                <w:rFonts w:cs="Tahoma"/>
                <w:lang w:eastAsia="cs-CZ"/>
              </w:rPr>
            </w:pPr>
            <w:r>
              <w:rPr>
                <w:rFonts w:cs="Tahoma"/>
                <w:lang w:eastAsia="cs-CZ"/>
              </w:rPr>
              <w:t>0,55</w:t>
            </w:r>
          </w:p>
        </w:tc>
        <w:tc>
          <w:tcPr>
            <w:tcW w:w="3119" w:type="dxa"/>
          </w:tcPr>
          <w:p w:rsidR="00991BB5" w:rsidRPr="00405637" w:rsidRDefault="00804582" w:rsidP="00991BB5">
            <w:pPr>
              <w:pStyle w:val="Tabulkovtext"/>
              <w:rPr>
                <w:rFonts w:cs="Tahoma"/>
                <w:lang w:eastAsia="cs-CZ"/>
              </w:rPr>
            </w:pPr>
            <w:r>
              <w:rPr>
                <w:rFonts w:cs="Tahoma"/>
                <w:lang w:eastAsia="cs-CZ"/>
              </w:rPr>
              <w:t>modelová jednotka RegioSwinger</w:t>
            </w:r>
          </w:p>
        </w:tc>
      </w:tr>
    </w:tbl>
    <w:p w:rsidR="009C5C68" w:rsidRPr="00405637" w:rsidRDefault="009C5C68" w:rsidP="00887E61">
      <w:pPr>
        <w:pStyle w:val="Nadpis3"/>
        <w:ind w:hanging="8234"/>
      </w:pPr>
      <w:r w:rsidRPr="00405637">
        <w:t>Současné jízdní doby</w:t>
      </w:r>
    </w:p>
    <w:p w:rsidR="009C5C68" w:rsidRPr="00405637" w:rsidRDefault="009C5C68" w:rsidP="009C5C68">
      <w:r w:rsidRPr="00405637">
        <w:t>Současné jízdní doby uvedené v následujících tabulkách jsou převzaty z GVD 20</w:t>
      </w:r>
      <w:r w:rsidR="004A25D0">
        <w:t>11</w:t>
      </w:r>
      <w:r w:rsidRPr="00405637">
        <w:t>/20</w:t>
      </w:r>
      <w:r w:rsidR="004A25D0">
        <w:t>12</w:t>
      </w:r>
      <w:r w:rsidRPr="00405637">
        <w:t xml:space="preserve"> a jedná se o jízdní doby náležející danému druhu vlaku. Uveden je pouze stav jízdních dob za předmětný úsek Pardubice – Hradec Králové.</w:t>
      </w:r>
      <w:r w:rsidR="005D5D7D">
        <w:t xml:space="preserve"> Jízdní doby představují typické jízdní doby pro daný druh vlaku a daný směr, </w:t>
      </w:r>
      <w:r w:rsidR="009C3A91">
        <w:t>cestovní doby jsou průměrem pro daný druh vlaků a zahrnují kromě jízdních dob a pobytů pro nástup a výstup cestujících také pobyty, které jsou vynucené křižováním nebo čekáním na křižování.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0"/>
        <w:gridCol w:w="851"/>
        <w:gridCol w:w="992"/>
        <w:gridCol w:w="850"/>
        <w:gridCol w:w="851"/>
        <w:gridCol w:w="850"/>
        <w:gridCol w:w="851"/>
        <w:gridCol w:w="850"/>
        <w:gridCol w:w="851"/>
      </w:tblGrid>
      <w:tr w:rsidR="00E42FF9" w:rsidRPr="00405637" w:rsidTr="006B08CB">
        <w:tc>
          <w:tcPr>
            <w:tcW w:w="9356" w:type="dxa"/>
            <w:gridSpan w:val="9"/>
            <w:tcBorders>
              <w:bottom w:val="single" w:sz="4" w:space="0" w:color="000000"/>
            </w:tcBorders>
          </w:tcPr>
          <w:p w:rsidR="00E42FF9" w:rsidRPr="00405637" w:rsidRDefault="00E42FF9" w:rsidP="00C65DA3">
            <w:pPr>
              <w:pStyle w:val="Titulek"/>
              <w:rPr>
                <w:rFonts w:cs="Tahoma"/>
                <w:lang w:eastAsia="cs-CZ"/>
              </w:rPr>
            </w:pPr>
            <w:bookmarkStart w:id="140" w:name="_Toc390958760"/>
            <w:bookmarkStart w:id="141" w:name="_Toc391034564"/>
            <w:r w:rsidRPr="00405637">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9</w:t>
            </w:r>
            <w:r w:rsidR="000E79AE">
              <w:fldChar w:fldCharType="end"/>
            </w:r>
            <w:r w:rsidRPr="00405637">
              <w:t>: Jízdní doby v úseku Pardubice hl. nádr. – Hradec Králové hl. nádr., současný stav</w:t>
            </w:r>
            <w:bookmarkEnd w:id="140"/>
            <w:bookmarkEnd w:id="141"/>
          </w:p>
        </w:tc>
      </w:tr>
      <w:tr w:rsidR="00E42FF9" w:rsidRPr="00405637" w:rsidTr="006B08CB">
        <w:tc>
          <w:tcPr>
            <w:tcW w:w="2410" w:type="dxa"/>
            <w:vMerge w:val="restart"/>
            <w:tcBorders>
              <w:right w:val="single" w:sz="12" w:space="0" w:color="auto"/>
            </w:tcBorders>
            <w:shd w:val="pct10" w:color="auto" w:fill="auto"/>
            <w:vAlign w:val="center"/>
          </w:tcPr>
          <w:p w:rsidR="00E42FF9" w:rsidRPr="00405637" w:rsidRDefault="00E42FF9" w:rsidP="006B08CB">
            <w:pPr>
              <w:pStyle w:val="Tabulkovtext"/>
              <w:jc w:val="left"/>
              <w:rPr>
                <w:rFonts w:cs="Tahoma"/>
                <w:lang w:eastAsia="cs-CZ"/>
              </w:rPr>
            </w:pPr>
            <w:r w:rsidRPr="00405637">
              <w:rPr>
                <w:rFonts w:cs="Tahoma"/>
                <w:lang w:eastAsia="cs-CZ"/>
              </w:rPr>
              <w:t>Dopravna, zastávka</w:t>
            </w:r>
          </w:p>
        </w:tc>
        <w:tc>
          <w:tcPr>
            <w:tcW w:w="851" w:type="dxa"/>
            <w:tcBorders>
              <w:left w:val="single" w:sz="12" w:space="0" w:color="auto"/>
            </w:tcBorders>
            <w:shd w:val="pct10" w:color="auto" w:fill="auto"/>
          </w:tcPr>
          <w:p w:rsidR="00E42FF9" w:rsidRPr="00405637" w:rsidRDefault="00E42FF9" w:rsidP="00C5314E">
            <w:pPr>
              <w:pStyle w:val="Tabulkovtext"/>
              <w:rPr>
                <w:rFonts w:cs="Tahoma"/>
                <w:lang w:eastAsia="cs-CZ"/>
              </w:rPr>
            </w:pPr>
            <w:r w:rsidRPr="00405637">
              <w:rPr>
                <w:rFonts w:cs="Tahoma"/>
                <w:lang w:eastAsia="cs-CZ"/>
              </w:rPr>
              <w:t>R</w:t>
            </w:r>
          </w:p>
        </w:tc>
        <w:tc>
          <w:tcPr>
            <w:tcW w:w="992" w:type="dxa"/>
            <w:shd w:val="pct10" w:color="auto" w:fill="auto"/>
          </w:tcPr>
          <w:p w:rsidR="00E42FF9" w:rsidRPr="00405637" w:rsidRDefault="006411F3" w:rsidP="00C5314E">
            <w:pPr>
              <w:pStyle w:val="Tabulkovtext"/>
              <w:rPr>
                <w:rFonts w:cs="Tahoma"/>
                <w:lang w:eastAsia="cs-CZ"/>
              </w:rPr>
            </w:pPr>
            <w:r>
              <w:rPr>
                <w:rFonts w:cs="Tahoma"/>
                <w:lang w:eastAsia="cs-CZ"/>
              </w:rPr>
              <w:t>Sp</w:t>
            </w:r>
          </w:p>
        </w:tc>
        <w:tc>
          <w:tcPr>
            <w:tcW w:w="850" w:type="dxa"/>
            <w:shd w:val="pct10" w:color="auto" w:fill="auto"/>
          </w:tcPr>
          <w:p w:rsidR="00E42FF9" w:rsidRPr="00405637" w:rsidRDefault="00E42FF9" w:rsidP="00C5314E">
            <w:pPr>
              <w:pStyle w:val="Tabulkovtext"/>
              <w:rPr>
                <w:rFonts w:cs="Tahoma"/>
                <w:lang w:eastAsia="cs-CZ"/>
              </w:rPr>
            </w:pPr>
            <w:r w:rsidRPr="00405637">
              <w:rPr>
                <w:rFonts w:cs="Tahoma"/>
                <w:lang w:eastAsia="cs-CZ"/>
              </w:rPr>
              <w:t>Os</w:t>
            </w:r>
          </w:p>
        </w:tc>
        <w:tc>
          <w:tcPr>
            <w:tcW w:w="851" w:type="dxa"/>
            <w:shd w:val="pct10" w:color="auto" w:fill="auto"/>
          </w:tcPr>
          <w:p w:rsidR="00E42FF9" w:rsidRPr="00405637" w:rsidRDefault="00E42FF9" w:rsidP="00C5314E">
            <w:pPr>
              <w:pStyle w:val="Tabulkovtext"/>
              <w:rPr>
                <w:rFonts w:cs="Tahoma"/>
                <w:lang w:eastAsia="cs-CZ"/>
              </w:rPr>
            </w:pPr>
          </w:p>
        </w:tc>
        <w:tc>
          <w:tcPr>
            <w:tcW w:w="850" w:type="dxa"/>
            <w:shd w:val="pct10" w:color="auto" w:fill="auto"/>
          </w:tcPr>
          <w:p w:rsidR="00E42FF9" w:rsidRPr="00405637" w:rsidRDefault="00E42FF9" w:rsidP="00C5314E">
            <w:pPr>
              <w:pStyle w:val="Tabulkovtext"/>
              <w:rPr>
                <w:rFonts w:cs="Tahoma"/>
                <w:lang w:eastAsia="cs-CZ"/>
              </w:rPr>
            </w:pPr>
          </w:p>
        </w:tc>
        <w:tc>
          <w:tcPr>
            <w:tcW w:w="851" w:type="dxa"/>
            <w:shd w:val="pct10" w:color="auto" w:fill="auto"/>
          </w:tcPr>
          <w:p w:rsidR="00E42FF9" w:rsidRPr="00405637" w:rsidRDefault="00E42FF9" w:rsidP="00C5314E">
            <w:pPr>
              <w:pStyle w:val="Tabulkovtext"/>
              <w:rPr>
                <w:rFonts w:cs="Tahoma"/>
                <w:lang w:eastAsia="cs-CZ"/>
              </w:rPr>
            </w:pPr>
          </w:p>
        </w:tc>
        <w:tc>
          <w:tcPr>
            <w:tcW w:w="850" w:type="dxa"/>
            <w:shd w:val="pct10" w:color="auto" w:fill="auto"/>
          </w:tcPr>
          <w:p w:rsidR="00E42FF9" w:rsidRPr="00405637" w:rsidRDefault="00E42FF9" w:rsidP="00C5314E">
            <w:pPr>
              <w:pStyle w:val="Tabulkovtext"/>
              <w:rPr>
                <w:rFonts w:cs="Tahoma"/>
                <w:lang w:eastAsia="cs-CZ"/>
              </w:rPr>
            </w:pPr>
            <w:r w:rsidRPr="00405637">
              <w:rPr>
                <w:rFonts w:cs="Tahoma"/>
                <w:lang w:eastAsia="cs-CZ"/>
              </w:rPr>
              <w:t>Pn</w:t>
            </w:r>
          </w:p>
        </w:tc>
        <w:tc>
          <w:tcPr>
            <w:tcW w:w="851" w:type="dxa"/>
            <w:shd w:val="pct10" w:color="auto" w:fill="auto"/>
          </w:tcPr>
          <w:p w:rsidR="00E42FF9" w:rsidRPr="00405637" w:rsidRDefault="00E42FF9" w:rsidP="00C5314E">
            <w:pPr>
              <w:pStyle w:val="Tabulkovtext"/>
              <w:rPr>
                <w:rFonts w:cs="Tahoma"/>
                <w:lang w:eastAsia="cs-CZ"/>
              </w:rPr>
            </w:pPr>
            <w:r w:rsidRPr="00405637">
              <w:rPr>
                <w:rFonts w:cs="Tahoma"/>
                <w:lang w:eastAsia="cs-CZ"/>
              </w:rPr>
              <w:t>Mn</w:t>
            </w:r>
          </w:p>
        </w:tc>
      </w:tr>
      <w:tr w:rsidR="00E42FF9" w:rsidRPr="00405637" w:rsidTr="006B08CB">
        <w:tc>
          <w:tcPr>
            <w:tcW w:w="2410" w:type="dxa"/>
            <w:vMerge/>
            <w:tcBorders>
              <w:bottom w:val="single" w:sz="12" w:space="0" w:color="auto"/>
              <w:right w:val="single" w:sz="12" w:space="0" w:color="auto"/>
            </w:tcBorders>
            <w:shd w:val="pct10" w:color="auto" w:fill="auto"/>
          </w:tcPr>
          <w:p w:rsidR="00E42FF9" w:rsidRPr="00405637" w:rsidRDefault="00E42FF9" w:rsidP="00C5314E">
            <w:pPr>
              <w:pStyle w:val="Tabulkovtext"/>
              <w:rPr>
                <w:rFonts w:cs="Tahoma"/>
                <w:lang w:eastAsia="cs-CZ"/>
              </w:rPr>
            </w:pPr>
          </w:p>
        </w:tc>
        <w:tc>
          <w:tcPr>
            <w:tcW w:w="851" w:type="dxa"/>
            <w:tcBorders>
              <w:left w:val="single" w:sz="12" w:space="0" w:color="auto"/>
              <w:bottom w:val="single" w:sz="12" w:space="0" w:color="auto"/>
            </w:tcBorders>
            <w:shd w:val="pct10" w:color="auto" w:fill="auto"/>
          </w:tcPr>
          <w:p w:rsidR="00E42FF9" w:rsidRPr="00405637" w:rsidRDefault="00E42FF9" w:rsidP="00E42FF9">
            <w:pPr>
              <w:pStyle w:val="Tabulkovtext"/>
              <w:rPr>
                <w:rFonts w:cs="Tahoma"/>
                <w:lang w:eastAsia="cs-CZ"/>
              </w:rPr>
            </w:pPr>
            <w:r w:rsidRPr="00405637">
              <w:rPr>
                <w:rFonts w:cs="Tahoma"/>
                <w:lang w:eastAsia="cs-CZ"/>
              </w:rPr>
              <w:t>843</w:t>
            </w:r>
          </w:p>
        </w:tc>
        <w:tc>
          <w:tcPr>
            <w:tcW w:w="992" w:type="dxa"/>
            <w:tcBorders>
              <w:bottom w:val="single" w:sz="12" w:space="0" w:color="auto"/>
            </w:tcBorders>
            <w:shd w:val="pct10" w:color="auto" w:fill="auto"/>
          </w:tcPr>
          <w:p w:rsidR="00E42FF9" w:rsidRPr="00405637" w:rsidRDefault="00E42FF9" w:rsidP="00C5314E">
            <w:pPr>
              <w:pStyle w:val="Tabulkovtext"/>
              <w:rPr>
                <w:rFonts w:cs="Tahoma"/>
                <w:szCs w:val="18"/>
                <w:lang w:eastAsia="cs-CZ"/>
              </w:rPr>
            </w:pPr>
            <w:r w:rsidRPr="00405637">
              <w:rPr>
                <w:rFonts w:cs="Tahoma"/>
                <w:szCs w:val="18"/>
                <w:lang w:eastAsia="cs-CZ"/>
              </w:rPr>
              <w:t>163</w:t>
            </w:r>
            <w:r w:rsidR="002E036E">
              <w:rPr>
                <w:rFonts w:cs="Tahoma"/>
                <w:szCs w:val="18"/>
                <w:lang w:eastAsia="cs-CZ"/>
              </w:rPr>
              <w:t>, 854</w:t>
            </w:r>
          </w:p>
        </w:tc>
        <w:tc>
          <w:tcPr>
            <w:tcW w:w="850" w:type="dxa"/>
            <w:tcBorders>
              <w:bottom w:val="single" w:sz="12" w:space="0" w:color="auto"/>
            </w:tcBorders>
            <w:shd w:val="pct10" w:color="auto" w:fill="auto"/>
          </w:tcPr>
          <w:p w:rsidR="00E42FF9" w:rsidRPr="00405637" w:rsidRDefault="00E42FF9" w:rsidP="00C5314E">
            <w:pPr>
              <w:pStyle w:val="Tabulkovtext"/>
              <w:rPr>
                <w:rFonts w:cs="Tahoma"/>
                <w:szCs w:val="18"/>
                <w:lang w:eastAsia="cs-CZ"/>
              </w:rPr>
            </w:pPr>
            <w:r w:rsidRPr="00405637">
              <w:rPr>
                <w:rFonts w:cs="Tahoma"/>
                <w:szCs w:val="18"/>
                <w:lang w:eastAsia="cs-CZ"/>
              </w:rPr>
              <w:t>163</w:t>
            </w:r>
          </w:p>
        </w:tc>
        <w:tc>
          <w:tcPr>
            <w:tcW w:w="851" w:type="dxa"/>
            <w:tcBorders>
              <w:bottom w:val="single" w:sz="12" w:space="0" w:color="auto"/>
            </w:tcBorders>
            <w:shd w:val="pct10" w:color="auto" w:fill="auto"/>
          </w:tcPr>
          <w:p w:rsidR="00E42FF9" w:rsidRPr="00405637" w:rsidRDefault="00E42FF9" w:rsidP="00C5314E">
            <w:pPr>
              <w:pStyle w:val="Tabulkovtext"/>
              <w:rPr>
                <w:rFonts w:cs="Tahoma"/>
                <w:lang w:eastAsia="cs-CZ"/>
              </w:rPr>
            </w:pPr>
          </w:p>
        </w:tc>
        <w:tc>
          <w:tcPr>
            <w:tcW w:w="850" w:type="dxa"/>
            <w:tcBorders>
              <w:bottom w:val="single" w:sz="12" w:space="0" w:color="auto"/>
            </w:tcBorders>
            <w:shd w:val="pct10" w:color="auto" w:fill="auto"/>
          </w:tcPr>
          <w:p w:rsidR="00E42FF9" w:rsidRPr="00405637" w:rsidRDefault="00E42FF9" w:rsidP="00C5314E">
            <w:pPr>
              <w:pStyle w:val="Tabulkovtext"/>
              <w:rPr>
                <w:rFonts w:cs="Tahoma"/>
                <w:lang w:eastAsia="cs-CZ"/>
              </w:rPr>
            </w:pPr>
          </w:p>
        </w:tc>
        <w:tc>
          <w:tcPr>
            <w:tcW w:w="851" w:type="dxa"/>
            <w:tcBorders>
              <w:bottom w:val="single" w:sz="12" w:space="0" w:color="auto"/>
            </w:tcBorders>
            <w:shd w:val="pct10" w:color="auto" w:fill="auto"/>
          </w:tcPr>
          <w:p w:rsidR="00E42FF9" w:rsidRPr="00405637" w:rsidRDefault="00E42FF9" w:rsidP="00C5314E">
            <w:pPr>
              <w:pStyle w:val="Tabulkovtext"/>
              <w:rPr>
                <w:rFonts w:cs="Tahoma"/>
                <w:lang w:eastAsia="cs-CZ"/>
              </w:rPr>
            </w:pPr>
          </w:p>
        </w:tc>
        <w:tc>
          <w:tcPr>
            <w:tcW w:w="850" w:type="dxa"/>
            <w:tcBorders>
              <w:bottom w:val="single" w:sz="12" w:space="0" w:color="auto"/>
            </w:tcBorders>
            <w:shd w:val="pct10" w:color="auto" w:fill="auto"/>
          </w:tcPr>
          <w:p w:rsidR="00E42FF9" w:rsidRPr="00405637" w:rsidRDefault="00E42FF9" w:rsidP="00C5314E">
            <w:pPr>
              <w:pStyle w:val="Tabulkovtext"/>
              <w:rPr>
                <w:rFonts w:cs="Tahoma"/>
                <w:lang w:eastAsia="cs-CZ"/>
              </w:rPr>
            </w:pPr>
            <w:r w:rsidRPr="00405637">
              <w:rPr>
                <w:rFonts w:cs="Tahoma"/>
                <w:lang w:eastAsia="cs-CZ"/>
              </w:rPr>
              <w:t>111</w:t>
            </w:r>
          </w:p>
        </w:tc>
        <w:tc>
          <w:tcPr>
            <w:tcW w:w="851" w:type="dxa"/>
            <w:tcBorders>
              <w:bottom w:val="single" w:sz="12" w:space="0" w:color="auto"/>
            </w:tcBorders>
            <w:shd w:val="pct10" w:color="auto" w:fill="auto"/>
          </w:tcPr>
          <w:p w:rsidR="00E42FF9" w:rsidRPr="00405637" w:rsidRDefault="00E42FF9" w:rsidP="00C5314E">
            <w:pPr>
              <w:pStyle w:val="Tabulkovtext"/>
              <w:rPr>
                <w:rFonts w:cs="Tahoma"/>
                <w:lang w:eastAsia="cs-CZ"/>
              </w:rPr>
            </w:pPr>
            <w:r w:rsidRPr="00405637">
              <w:rPr>
                <w:rFonts w:cs="Tahoma"/>
                <w:lang w:eastAsia="cs-CZ"/>
              </w:rPr>
              <w:t>730</w:t>
            </w:r>
          </w:p>
        </w:tc>
      </w:tr>
      <w:tr w:rsidR="00E42FF9" w:rsidRPr="00405637" w:rsidTr="006B08CB">
        <w:tc>
          <w:tcPr>
            <w:tcW w:w="2410" w:type="dxa"/>
            <w:tcBorders>
              <w:top w:val="single" w:sz="12" w:space="0" w:color="auto"/>
              <w:right w:val="single" w:sz="12" w:space="0" w:color="auto"/>
            </w:tcBorders>
            <w:shd w:val="pct10" w:color="auto" w:fill="auto"/>
          </w:tcPr>
          <w:p w:rsidR="00E42FF9" w:rsidRPr="00405637" w:rsidRDefault="00E42FF9" w:rsidP="00C5314E">
            <w:pPr>
              <w:pStyle w:val="Tabulkovtext"/>
              <w:rPr>
                <w:rFonts w:cs="Tahoma"/>
                <w:lang w:eastAsia="cs-CZ"/>
              </w:rPr>
            </w:pPr>
          </w:p>
        </w:tc>
        <w:tc>
          <w:tcPr>
            <w:tcW w:w="6946" w:type="dxa"/>
            <w:gridSpan w:val="8"/>
            <w:tcBorders>
              <w:top w:val="single" w:sz="12" w:space="0" w:color="auto"/>
              <w:left w:val="single" w:sz="12" w:space="0" w:color="auto"/>
            </w:tcBorders>
          </w:tcPr>
          <w:p w:rsidR="00E42FF9" w:rsidRPr="00405637" w:rsidRDefault="00E42FF9" w:rsidP="00E42FF9">
            <w:pPr>
              <w:pStyle w:val="Tabulkovtext"/>
              <w:rPr>
                <w:rFonts w:cs="Tahoma"/>
                <w:i/>
                <w:lang w:eastAsia="cs-CZ"/>
              </w:rPr>
            </w:pPr>
            <w:r w:rsidRPr="00405637">
              <w:rPr>
                <w:rFonts w:cs="Tahoma"/>
                <w:i/>
                <w:lang w:eastAsia="cs-CZ"/>
              </w:rPr>
              <w:t>Sudý směr, Pardubice hl. nádr. – Hradec Králové hl. nádr.</w:t>
            </w:r>
          </w:p>
        </w:tc>
      </w:tr>
      <w:tr w:rsidR="00E42FF9" w:rsidRPr="00405637" w:rsidTr="006B08CB">
        <w:tc>
          <w:tcPr>
            <w:tcW w:w="2410" w:type="dxa"/>
            <w:tcBorders>
              <w:right w:val="single" w:sz="12" w:space="0" w:color="auto"/>
            </w:tcBorders>
            <w:shd w:val="pct10" w:color="auto" w:fill="auto"/>
          </w:tcPr>
          <w:p w:rsidR="00E42FF9" w:rsidRPr="00405637" w:rsidRDefault="00E42FF9" w:rsidP="00E42FF9">
            <w:pPr>
              <w:pStyle w:val="Tabulkovtext"/>
              <w:rPr>
                <w:rFonts w:cs="Tahoma"/>
                <w:lang w:eastAsia="cs-CZ"/>
              </w:rPr>
            </w:pPr>
            <w:r w:rsidRPr="00405637">
              <w:rPr>
                <w:rFonts w:cs="Tahoma"/>
                <w:lang w:eastAsia="cs-CZ"/>
              </w:rPr>
              <w:t>Pardubice hlavní nádr.</w:t>
            </w:r>
          </w:p>
        </w:tc>
        <w:tc>
          <w:tcPr>
            <w:tcW w:w="851" w:type="dxa"/>
            <w:tcBorders>
              <w:left w:val="single" w:sz="12" w:space="0" w:color="auto"/>
            </w:tcBorders>
          </w:tcPr>
          <w:p w:rsidR="00E42FF9" w:rsidRPr="00405637" w:rsidRDefault="00E42FF9" w:rsidP="00C5314E">
            <w:pPr>
              <w:suppressAutoHyphens w:val="0"/>
              <w:autoSpaceDE w:val="0"/>
              <w:autoSpaceDN w:val="0"/>
              <w:adjustRightInd w:val="0"/>
              <w:spacing w:before="0" w:after="0" w:line="240" w:lineRule="auto"/>
              <w:jc w:val="center"/>
              <w:rPr>
                <w:rFonts w:ascii="MS Shell Dlg" w:hAnsi="MS Shell Dlg" w:cs="MS Shell Dlg"/>
                <w:sz w:val="18"/>
                <w:szCs w:val="18"/>
                <w:lang w:eastAsia="cs-CZ"/>
              </w:rPr>
            </w:pPr>
          </w:p>
        </w:tc>
        <w:tc>
          <w:tcPr>
            <w:tcW w:w="992" w:type="dxa"/>
          </w:tcPr>
          <w:p w:rsidR="00E42FF9" w:rsidRPr="00405637" w:rsidRDefault="00E42FF9" w:rsidP="00C5314E">
            <w:pPr>
              <w:pStyle w:val="Tabulkovtext"/>
              <w:jc w:val="center"/>
              <w:rPr>
                <w:rFonts w:cs="Tahoma"/>
                <w:lang w:eastAsia="cs-CZ"/>
              </w:rPr>
            </w:pPr>
          </w:p>
        </w:tc>
        <w:tc>
          <w:tcPr>
            <w:tcW w:w="850" w:type="dxa"/>
          </w:tcPr>
          <w:p w:rsidR="00E42FF9" w:rsidRPr="00405637" w:rsidRDefault="00E42FF9" w:rsidP="00C5314E">
            <w:pPr>
              <w:pStyle w:val="Tabulkovtext"/>
              <w:jc w:val="center"/>
              <w:rPr>
                <w:rFonts w:cs="Tahoma"/>
                <w:lang w:eastAsia="cs-CZ"/>
              </w:rPr>
            </w:pPr>
          </w:p>
        </w:tc>
        <w:tc>
          <w:tcPr>
            <w:tcW w:w="851" w:type="dxa"/>
          </w:tcPr>
          <w:p w:rsidR="00E42FF9" w:rsidRPr="00405637" w:rsidRDefault="00E42FF9" w:rsidP="00C5314E">
            <w:pPr>
              <w:pStyle w:val="Tabulkovtext"/>
              <w:rPr>
                <w:rFonts w:cs="Tahoma"/>
                <w:lang w:eastAsia="cs-CZ"/>
              </w:rPr>
            </w:pPr>
          </w:p>
        </w:tc>
        <w:tc>
          <w:tcPr>
            <w:tcW w:w="850" w:type="dxa"/>
          </w:tcPr>
          <w:p w:rsidR="00E42FF9" w:rsidRPr="00405637" w:rsidRDefault="00E42FF9" w:rsidP="00C5314E">
            <w:pPr>
              <w:pStyle w:val="Tabulkovtext"/>
              <w:rPr>
                <w:rFonts w:cs="Tahoma"/>
                <w:lang w:eastAsia="cs-CZ"/>
              </w:rPr>
            </w:pPr>
          </w:p>
        </w:tc>
        <w:tc>
          <w:tcPr>
            <w:tcW w:w="851" w:type="dxa"/>
          </w:tcPr>
          <w:p w:rsidR="00E42FF9" w:rsidRPr="00405637" w:rsidRDefault="00E42FF9" w:rsidP="00C5314E">
            <w:pPr>
              <w:pStyle w:val="Tabulkovtext"/>
              <w:rPr>
                <w:rFonts w:cs="Tahoma"/>
                <w:lang w:eastAsia="cs-CZ"/>
              </w:rPr>
            </w:pPr>
          </w:p>
        </w:tc>
        <w:tc>
          <w:tcPr>
            <w:tcW w:w="850" w:type="dxa"/>
          </w:tcPr>
          <w:p w:rsidR="00E42FF9" w:rsidRPr="00405637" w:rsidRDefault="00E42FF9" w:rsidP="00C5314E">
            <w:pPr>
              <w:pStyle w:val="Tabulkovtext"/>
              <w:rPr>
                <w:rFonts w:cs="Tahoma"/>
                <w:lang w:eastAsia="cs-CZ"/>
              </w:rPr>
            </w:pPr>
          </w:p>
        </w:tc>
        <w:tc>
          <w:tcPr>
            <w:tcW w:w="851" w:type="dxa"/>
          </w:tcPr>
          <w:p w:rsidR="00E42FF9" w:rsidRPr="00405637" w:rsidRDefault="00E42FF9" w:rsidP="00C5314E">
            <w:pPr>
              <w:pStyle w:val="Tabulkovtext"/>
              <w:rPr>
                <w:rFonts w:cs="Tahoma"/>
                <w:lang w:eastAsia="cs-CZ"/>
              </w:rPr>
            </w:pPr>
          </w:p>
        </w:tc>
      </w:tr>
      <w:tr w:rsidR="00E42FF9" w:rsidRPr="00405637" w:rsidTr="006B08CB">
        <w:tc>
          <w:tcPr>
            <w:tcW w:w="2410" w:type="dxa"/>
            <w:tcBorders>
              <w:right w:val="single" w:sz="12" w:space="0" w:color="auto"/>
            </w:tcBorders>
            <w:shd w:val="pct10" w:color="auto" w:fill="auto"/>
          </w:tcPr>
          <w:p w:rsidR="00E42FF9" w:rsidRPr="00405637" w:rsidRDefault="00E42FF9" w:rsidP="00C5314E">
            <w:pPr>
              <w:pStyle w:val="Tabulkovtext"/>
              <w:rPr>
                <w:rFonts w:cs="Tahoma"/>
                <w:lang w:eastAsia="cs-CZ"/>
              </w:rPr>
            </w:pPr>
            <w:r w:rsidRPr="00405637">
              <w:rPr>
                <w:rFonts w:cs="Tahoma"/>
                <w:lang w:eastAsia="cs-CZ"/>
              </w:rPr>
              <w:t>Pardubice-Rosice n. L.</w:t>
            </w:r>
          </w:p>
        </w:tc>
        <w:tc>
          <w:tcPr>
            <w:tcW w:w="851" w:type="dxa"/>
            <w:tcBorders>
              <w:left w:val="single" w:sz="12" w:space="0" w:color="auto"/>
            </w:tcBorders>
          </w:tcPr>
          <w:p w:rsidR="00E42FF9" w:rsidRPr="00405637" w:rsidRDefault="002B074D" w:rsidP="000F14CE">
            <w:pPr>
              <w:pStyle w:val="Tabulkovtext"/>
              <w:jc w:val="center"/>
              <w:rPr>
                <w:rFonts w:ascii="MS Shell Dlg" w:hAnsi="MS Shell Dlg" w:cs="MS Shell Dlg"/>
                <w:sz w:val="17"/>
                <w:szCs w:val="17"/>
                <w:lang w:eastAsia="cs-CZ"/>
              </w:rPr>
            </w:pPr>
            <w:r w:rsidRPr="000F14CE">
              <w:rPr>
                <w:rFonts w:cs="Tahoma"/>
                <w:szCs w:val="18"/>
                <w:lang w:eastAsia="cs-CZ"/>
              </w:rPr>
              <w:t>3,0</w:t>
            </w:r>
          </w:p>
        </w:tc>
        <w:tc>
          <w:tcPr>
            <w:tcW w:w="992" w:type="dxa"/>
          </w:tcPr>
          <w:p w:rsidR="00E42FF9" w:rsidRPr="00405637" w:rsidRDefault="002B074D" w:rsidP="00C5314E">
            <w:pPr>
              <w:pStyle w:val="Tabulkovtext"/>
              <w:jc w:val="center"/>
              <w:rPr>
                <w:rFonts w:cs="Tahoma"/>
                <w:lang w:eastAsia="cs-CZ"/>
              </w:rPr>
            </w:pPr>
            <w:r w:rsidRPr="00405637">
              <w:rPr>
                <w:rFonts w:cs="Tahoma"/>
                <w:szCs w:val="18"/>
                <w:lang w:eastAsia="cs-CZ"/>
              </w:rPr>
              <w:t>3,0</w:t>
            </w:r>
          </w:p>
        </w:tc>
        <w:tc>
          <w:tcPr>
            <w:tcW w:w="850" w:type="dxa"/>
          </w:tcPr>
          <w:p w:rsidR="00E42FF9" w:rsidRPr="00405637" w:rsidRDefault="002B074D" w:rsidP="00C5314E">
            <w:pPr>
              <w:pStyle w:val="Tabulkovtext"/>
              <w:jc w:val="center"/>
              <w:rPr>
                <w:rFonts w:cs="Tahoma"/>
                <w:lang w:eastAsia="cs-CZ"/>
              </w:rPr>
            </w:pPr>
            <w:r w:rsidRPr="00405637">
              <w:rPr>
                <w:rFonts w:cs="Tahoma"/>
                <w:lang w:eastAsia="cs-CZ"/>
              </w:rPr>
              <w:t>3</w:t>
            </w:r>
            <w:r w:rsidR="00E42FF9" w:rsidRPr="00405637">
              <w:rPr>
                <w:rFonts w:cs="Tahoma"/>
                <w:lang w:eastAsia="cs-CZ"/>
              </w:rPr>
              <w:t>,0</w:t>
            </w:r>
          </w:p>
        </w:tc>
        <w:tc>
          <w:tcPr>
            <w:tcW w:w="851" w:type="dxa"/>
          </w:tcPr>
          <w:p w:rsidR="00E42FF9" w:rsidRPr="00405637" w:rsidRDefault="00E42FF9" w:rsidP="00C5314E">
            <w:pPr>
              <w:pStyle w:val="Tabulkovtext"/>
              <w:rPr>
                <w:rFonts w:cs="Tahoma"/>
                <w:lang w:eastAsia="cs-CZ"/>
              </w:rPr>
            </w:pPr>
          </w:p>
        </w:tc>
        <w:tc>
          <w:tcPr>
            <w:tcW w:w="850" w:type="dxa"/>
          </w:tcPr>
          <w:p w:rsidR="00E42FF9" w:rsidRPr="00405637" w:rsidRDefault="00E42FF9" w:rsidP="00C5314E">
            <w:pPr>
              <w:pStyle w:val="Tabulkovtext"/>
              <w:rPr>
                <w:rFonts w:cs="Tahoma"/>
                <w:lang w:eastAsia="cs-CZ"/>
              </w:rPr>
            </w:pPr>
          </w:p>
        </w:tc>
        <w:tc>
          <w:tcPr>
            <w:tcW w:w="851" w:type="dxa"/>
          </w:tcPr>
          <w:p w:rsidR="00E42FF9" w:rsidRPr="00405637" w:rsidRDefault="00E42FF9" w:rsidP="00C5314E">
            <w:pPr>
              <w:pStyle w:val="Tabulkovtext"/>
              <w:rPr>
                <w:rFonts w:cs="Tahoma"/>
                <w:lang w:eastAsia="cs-CZ"/>
              </w:rPr>
            </w:pPr>
          </w:p>
        </w:tc>
        <w:tc>
          <w:tcPr>
            <w:tcW w:w="850" w:type="dxa"/>
          </w:tcPr>
          <w:p w:rsidR="00E42FF9" w:rsidRPr="00405637" w:rsidRDefault="002B074D" w:rsidP="00C5314E">
            <w:pPr>
              <w:pStyle w:val="Tabulkovtext"/>
              <w:jc w:val="center"/>
              <w:rPr>
                <w:rFonts w:cs="Tahoma"/>
                <w:lang w:eastAsia="cs-CZ"/>
              </w:rPr>
            </w:pPr>
            <w:r w:rsidRPr="00405637">
              <w:rPr>
                <w:rFonts w:cs="Tahoma"/>
                <w:lang w:eastAsia="cs-CZ"/>
              </w:rPr>
              <w:t>5,0</w:t>
            </w:r>
          </w:p>
        </w:tc>
        <w:tc>
          <w:tcPr>
            <w:tcW w:w="851" w:type="dxa"/>
          </w:tcPr>
          <w:p w:rsidR="00E42FF9" w:rsidRPr="00405637" w:rsidRDefault="002B074D" w:rsidP="00C5314E">
            <w:pPr>
              <w:pStyle w:val="Tabulkovtext"/>
              <w:jc w:val="center"/>
              <w:rPr>
                <w:rFonts w:cs="Tahoma"/>
                <w:lang w:eastAsia="cs-CZ"/>
              </w:rPr>
            </w:pPr>
            <w:r w:rsidRPr="00405637">
              <w:rPr>
                <w:rFonts w:cs="Tahoma"/>
                <w:szCs w:val="18"/>
                <w:lang w:eastAsia="cs-CZ"/>
              </w:rPr>
              <w:t>7,0</w:t>
            </w:r>
          </w:p>
        </w:tc>
      </w:tr>
      <w:tr w:rsidR="002B074D" w:rsidRPr="00405637" w:rsidTr="006B08CB">
        <w:tc>
          <w:tcPr>
            <w:tcW w:w="2410" w:type="dxa"/>
            <w:tcBorders>
              <w:right w:val="single" w:sz="12" w:space="0" w:color="auto"/>
            </w:tcBorders>
            <w:shd w:val="pct10" w:color="auto" w:fill="auto"/>
          </w:tcPr>
          <w:p w:rsidR="002B074D" w:rsidRPr="00405637" w:rsidRDefault="002B074D" w:rsidP="00C5314E">
            <w:pPr>
              <w:pStyle w:val="Tabulkovtext"/>
              <w:rPr>
                <w:rFonts w:cs="Tahoma"/>
                <w:lang w:eastAsia="cs-CZ"/>
              </w:rPr>
            </w:pPr>
            <w:r w:rsidRPr="00405637">
              <w:rPr>
                <w:rFonts w:cs="Tahoma"/>
                <w:lang w:eastAsia="cs-CZ"/>
              </w:rPr>
              <w:t>Pardubice-Semtín z</w:t>
            </w:r>
          </w:p>
        </w:tc>
        <w:tc>
          <w:tcPr>
            <w:tcW w:w="851" w:type="dxa"/>
            <w:tcBorders>
              <w:left w:val="single" w:sz="12" w:space="0" w:color="auto"/>
            </w:tcBorders>
          </w:tcPr>
          <w:p w:rsidR="002B074D" w:rsidRPr="00405637" w:rsidRDefault="002B074D" w:rsidP="00C5314E">
            <w:pPr>
              <w:pStyle w:val="Tabulkovtext"/>
              <w:jc w:val="center"/>
              <w:rPr>
                <w:rFonts w:cs="Tahoma"/>
                <w:lang w:eastAsia="cs-CZ"/>
              </w:rPr>
            </w:pPr>
            <w:r w:rsidRPr="00405637">
              <w:rPr>
                <w:rFonts w:cs="Tahoma"/>
                <w:szCs w:val="18"/>
                <w:lang w:eastAsia="cs-CZ"/>
              </w:rPr>
              <w:t>|</w:t>
            </w:r>
          </w:p>
        </w:tc>
        <w:tc>
          <w:tcPr>
            <w:tcW w:w="992" w:type="dxa"/>
          </w:tcPr>
          <w:p w:rsidR="002B074D" w:rsidRPr="00405637" w:rsidRDefault="002B074D" w:rsidP="00C5314E">
            <w:pPr>
              <w:pStyle w:val="Tabulkovtext"/>
              <w:jc w:val="center"/>
              <w:rPr>
                <w:rFonts w:cs="Tahoma"/>
                <w:lang w:eastAsia="cs-CZ"/>
              </w:rPr>
            </w:pPr>
            <w:r w:rsidRPr="00405637">
              <w:rPr>
                <w:rFonts w:cs="Tahoma"/>
                <w:szCs w:val="18"/>
                <w:lang w:eastAsia="cs-CZ"/>
              </w:rPr>
              <w:t>|</w:t>
            </w:r>
          </w:p>
        </w:tc>
        <w:tc>
          <w:tcPr>
            <w:tcW w:w="850" w:type="dxa"/>
          </w:tcPr>
          <w:p w:rsidR="002B074D" w:rsidRPr="00405637" w:rsidRDefault="002B074D" w:rsidP="00C5314E">
            <w:pPr>
              <w:pStyle w:val="Tabulkovtext"/>
              <w:jc w:val="center"/>
              <w:rPr>
                <w:rFonts w:cs="Tahoma"/>
                <w:lang w:eastAsia="cs-CZ"/>
              </w:rPr>
            </w:pPr>
            <w:r w:rsidRPr="00405637">
              <w:rPr>
                <w:rFonts w:cs="Tahoma"/>
                <w:lang w:eastAsia="cs-CZ"/>
              </w:rPr>
              <w:t>2,5</w:t>
            </w:r>
          </w:p>
        </w:tc>
        <w:tc>
          <w:tcPr>
            <w:tcW w:w="851" w:type="dxa"/>
          </w:tcPr>
          <w:p w:rsidR="002B074D" w:rsidRPr="00405637" w:rsidRDefault="002B074D" w:rsidP="00C5314E">
            <w:pPr>
              <w:pStyle w:val="Tabulkovtext"/>
              <w:rPr>
                <w:rFonts w:cs="Tahoma"/>
                <w:lang w:eastAsia="cs-CZ"/>
              </w:rPr>
            </w:pPr>
          </w:p>
        </w:tc>
        <w:tc>
          <w:tcPr>
            <w:tcW w:w="850" w:type="dxa"/>
          </w:tcPr>
          <w:p w:rsidR="002B074D" w:rsidRPr="00405637" w:rsidRDefault="002B074D" w:rsidP="00C5314E">
            <w:pPr>
              <w:pStyle w:val="Tabulkovtext"/>
              <w:rPr>
                <w:rFonts w:cs="Tahoma"/>
                <w:lang w:eastAsia="cs-CZ"/>
              </w:rPr>
            </w:pPr>
          </w:p>
        </w:tc>
        <w:tc>
          <w:tcPr>
            <w:tcW w:w="851" w:type="dxa"/>
          </w:tcPr>
          <w:p w:rsidR="002B074D" w:rsidRPr="00405637" w:rsidRDefault="002B074D" w:rsidP="00C5314E">
            <w:pPr>
              <w:pStyle w:val="Tabulkovtext"/>
              <w:rPr>
                <w:rFonts w:cs="Tahoma"/>
                <w:lang w:eastAsia="cs-CZ"/>
              </w:rPr>
            </w:pPr>
          </w:p>
        </w:tc>
        <w:tc>
          <w:tcPr>
            <w:tcW w:w="850" w:type="dxa"/>
          </w:tcPr>
          <w:p w:rsidR="002B074D" w:rsidRPr="00405637" w:rsidRDefault="002B074D" w:rsidP="000579C3">
            <w:pPr>
              <w:pStyle w:val="Tabulkovtext"/>
              <w:jc w:val="center"/>
              <w:rPr>
                <w:rFonts w:cs="Tahoma"/>
                <w:lang w:eastAsia="cs-CZ"/>
              </w:rPr>
            </w:pPr>
            <w:r w:rsidRPr="00405637">
              <w:rPr>
                <w:rFonts w:cs="Tahoma"/>
                <w:szCs w:val="18"/>
                <w:lang w:eastAsia="cs-CZ"/>
              </w:rPr>
              <w:t>|</w:t>
            </w:r>
          </w:p>
        </w:tc>
        <w:tc>
          <w:tcPr>
            <w:tcW w:w="851" w:type="dxa"/>
          </w:tcPr>
          <w:p w:rsidR="002B074D" w:rsidRPr="00405637" w:rsidRDefault="002B074D" w:rsidP="000579C3">
            <w:pPr>
              <w:pStyle w:val="Tabulkovtext"/>
              <w:jc w:val="center"/>
              <w:rPr>
                <w:rFonts w:cs="Tahoma"/>
                <w:lang w:eastAsia="cs-CZ"/>
              </w:rPr>
            </w:pPr>
            <w:r w:rsidRPr="00405637">
              <w:rPr>
                <w:rFonts w:cs="Tahoma"/>
                <w:szCs w:val="18"/>
                <w:lang w:eastAsia="cs-CZ"/>
              </w:rPr>
              <w:t>|</w:t>
            </w:r>
          </w:p>
        </w:tc>
      </w:tr>
      <w:tr w:rsidR="00E42FF9" w:rsidRPr="00405637" w:rsidTr="006B08CB">
        <w:tc>
          <w:tcPr>
            <w:tcW w:w="2410" w:type="dxa"/>
            <w:tcBorders>
              <w:right w:val="single" w:sz="12" w:space="0" w:color="auto"/>
            </w:tcBorders>
            <w:shd w:val="pct10" w:color="auto" w:fill="auto"/>
          </w:tcPr>
          <w:p w:rsidR="00E42FF9" w:rsidRPr="00405637" w:rsidRDefault="00E42FF9" w:rsidP="00C5314E">
            <w:pPr>
              <w:pStyle w:val="Tabulkovtext"/>
              <w:rPr>
                <w:rFonts w:cs="Tahoma"/>
                <w:lang w:eastAsia="cs-CZ"/>
              </w:rPr>
            </w:pPr>
            <w:r w:rsidRPr="00405637">
              <w:rPr>
                <w:rFonts w:cs="Tahoma"/>
                <w:lang w:eastAsia="cs-CZ"/>
              </w:rPr>
              <w:t>Stéblová</w:t>
            </w:r>
          </w:p>
        </w:tc>
        <w:tc>
          <w:tcPr>
            <w:tcW w:w="851" w:type="dxa"/>
            <w:tcBorders>
              <w:left w:val="single" w:sz="12" w:space="0" w:color="auto"/>
            </w:tcBorders>
          </w:tcPr>
          <w:p w:rsidR="00E42FF9" w:rsidRPr="00405637" w:rsidRDefault="006411F3" w:rsidP="00C5314E">
            <w:pPr>
              <w:pStyle w:val="Tabulkovtext"/>
              <w:jc w:val="center"/>
              <w:rPr>
                <w:rFonts w:cs="Tahoma"/>
                <w:lang w:eastAsia="cs-CZ"/>
              </w:rPr>
            </w:pPr>
            <w:r>
              <w:rPr>
                <w:rFonts w:cs="Tahoma"/>
                <w:szCs w:val="18"/>
                <w:lang w:eastAsia="cs-CZ"/>
              </w:rPr>
              <w:t>5,0</w:t>
            </w:r>
          </w:p>
        </w:tc>
        <w:tc>
          <w:tcPr>
            <w:tcW w:w="992" w:type="dxa"/>
          </w:tcPr>
          <w:p w:rsidR="00E42FF9" w:rsidRPr="00405637" w:rsidRDefault="008C653C" w:rsidP="00C5314E">
            <w:pPr>
              <w:pStyle w:val="Tabulkovtext"/>
              <w:jc w:val="center"/>
              <w:rPr>
                <w:rFonts w:cs="Tahoma"/>
                <w:lang w:eastAsia="cs-CZ"/>
              </w:rPr>
            </w:pPr>
            <w:r>
              <w:rPr>
                <w:rFonts w:cs="Tahoma"/>
                <w:lang w:eastAsia="cs-CZ"/>
              </w:rPr>
              <w:t>5,5</w:t>
            </w:r>
          </w:p>
        </w:tc>
        <w:tc>
          <w:tcPr>
            <w:tcW w:w="850" w:type="dxa"/>
          </w:tcPr>
          <w:p w:rsidR="00E42FF9" w:rsidRPr="00405637" w:rsidRDefault="002B074D" w:rsidP="00C5314E">
            <w:pPr>
              <w:pStyle w:val="Tabulkovtext"/>
              <w:jc w:val="center"/>
              <w:rPr>
                <w:rFonts w:cs="Tahoma"/>
                <w:lang w:eastAsia="cs-CZ"/>
              </w:rPr>
            </w:pPr>
            <w:r w:rsidRPr="00405637">
              <w:rPr>
                <w:rFonts w:cs="Tahoma"/>
                <w:lang w:eastAsia="cs-CZ"/>
              </w:rPr>
              <w:t>4,0</w:t>
            </w:r>
          </w:p>
        </w:tc>
        <w:tc>
          <w:tcPr>
            <w:tcW w:w="851" w:type="dxa"/>
          </w:tcPr>
          <w:p w:rsidR="00E42FF9" w:rsidRPr="00405637" w:rsidRDefault="00E42FF9" w:rsidP="00C5314E">
            <w:pPr>
              <w:pStyle w:val="Tabulkovtext"/>
              <w:rPr>
                <w:rFonts w:cs="Tahoma"/>
                <w:lang w:eastAsia="cs-CZ"/>
              </w:rPr>
            </w:pPr>
          </w:p>
        </w:tc>
        <w:tc>
          <w:tcPr>
            <w:tcW w:w="850" w:type="dxa"/>
          </w:tcPr>
          <w:p w:rsidR="00E42FF9" w:rsidRPr="00405637" w:rsidRDefault="00E42FF9" w:rsidP="00C5314E">
            <w:pPr>
              <w:pStyle w:val="Tabulkovtext"/>
              <w:rPr>
                <w:rFonts w:cs="Tahoma"/>
                <w:lang w:eastAsia="cs-CZ"/>
              </w:rPr>
            </w:pPr>
          </w:p>
        </w:tc>
        <w:tc>
          <w:tcPr>
            <w:tcW w:w="851" w:type="dxa"/>
          </w:tcPr>
          <w:p w:rsidR="00E42FF9" w:rsidRPr="00405637" w:rsidRDefault="00E42FF9" w:rsidP="00C5314E">
            <w:pPr>
              <w:pStyle w:val="Tabulkovtext"/>
              <w:rPr>
                <w:rFonts w:cs="Tahoma"/>
                <w:lang w:eastAsia="cs-CZ"/>
              </w:rPr>
            </w:pPr>
          </w:p>
        </w:tc>
        <w:tc>
          <w:tcPr>
            <w:tcW w:w="850" w:type="dxa"/>
          </w:tcPr>
          <w:p w:rsidR="00E42FF9" w:rsidRPr="00405637" w:rsidRDefault="002B074D" w:rsidP="00C5314E">
            <w:pPr>
              <w:pStyle w:val="Tabulkovtext"/>
              <w:jc w:val="center"/>
              <w:rPr>
                <w:rFonts w:cs="Tahoma"/>
                <w:lang w:eastAsia="cs-CZ"/>
              </w:rPr>
            </w:pPr>
            <w:r w:rsidRPr="00405637">
              <w:rPr>
                <w:rFonts w:cs="Tahoma"/>
                <w:szCs w:val="18"/>
                <w:lang w:eastAsia="cs-CZ"/>
              </w:rPr>
              <w:t>10,0</w:t>
            </w:r>
          </w:p>
        </w:tc>
        <w:tc>
          <w:tcPr>
            <w:tcW w:w="851" w:type="dxa"/>
          </w:tcPr>
          <w:p w:rsidR="00E42FF9" w:rsidRPr="00405637" w:rsidRDefault="002B074D" w:rsidP="00C5314E">
            <w:pPr>
              <w:pStyle w:val="Tabulkovtext"/>
              <w:jc w:val="center"/>
              <w:rPr>
                <w:rFonts w:cs="Tahoma"/>
                <w:lang w:eastAsia="cs-CZ"/>
              </w:rPr>
            </w:pPr>
            <w:r w:rsidRPr="00405637">
              <w:rPr>
                <w:rFonts w:cs="Tahoma"/>
                <w:lang w:eastAsia="cs-CZ"/>
              </w:rPr>
              <w:t>10,0</w:t>
            </w:r>
          </w:p>
        </w:tc>
      </w:tr>
      <w:tr w:rsidR="00E42FF9" w:rsidRPr="00405637" w:rsidTr="006B08CB">
        <w:tc>
          <w:tcPr>
            <w:tcW w:w="2410" w:type="dxa"/>
            <w:tcBorders>
              <w:right w:val="single" w:sz="12" w:space="0" w:color="auto"/>
            </w:tcBorders>
            <w:shd w:val="pct10" w:color="auto" w:fill="auto"/>
          </w:tcPr>
          <w:p w:rsidR="00E42FF9" w:rsidRPr="00405637" w:rsidRDefault="00E42FF9" w:rsidP="00C5314E">
            <w:pPr>
              <w:pStyle w:val="Tabulkovtext"/>
              <w:rPr>
                <w:rFonts w:cs="Tahoma"/>
                <w:lang w:eastAsia="cs-CZ"/>
              </w:rPr>
            </w:pPr>
            <w:r w:rsidRPr="00405637">
              <w:rPr>
                <w:rFonts w:cs="Tahoma"/>
                <w:lang w:eastAsia="cs-CZ"/>
              </w:rPr>
              <w:t>Čeperka Hl. z.</w:t>
            </w:r>
          </w:p>
        </w:tc>
        <w:tc>
          <w:tcPr>
            <w:tcW w:w="851" w:type="dxa"/>
            <w:tcBorders>
              <w:left w:val="single" w:sz="12" w:space="0" w:color="auto"/>
            </w:tcBorders>
          </w:tcPr>
          <w:p w:rsidR="00E42FF9" w:rsidRPr="00405637" w:rsidRDefault="002B074D" w:rsidP="006411F3">
            <w:pPr>
              <w:pStyle w:val="Tabulkovtext"/>
              <w:jc w:val="center"/>
              <w:rPr>
                <w:rFonts w:cs="Tahoma"/>
                <w:szCs w:val="18"/>
                <w:lang w:eastAsia="cs-CZ"/>
              </w:rPr>
            </w:pPr>
            <w:r w:rsidRPr="00405637">
              <w:rPr>
                <w:rFonts w:cs="Tahoma"/>
                <w:szCs w:val="18"/>
                <w:lang w:eastAsia="cs-CZ"/>
              </w:rPr>
              <w:t>2,</w:t>
            </w:r>
            <w:r w:rsidR="006411F3">
              <w:rPr>
                <w:rFonts w:cs="Tahoma"/>
                <w:szCs w:val="18"/>
                <w:lang w:eastAsia="cs-CZ"/>
              </w:rPr>
              <w:t>0</w:t>
            </w:r>
          </w:p>
        </w:tc>
        <w:tc>
          <w:tcPr>
            <w:tcW w:w="992" w:type="dxa"/>
          </w:tcPr>
          <w:p w:rsidR="00E42FF9" w:rsidRPr="00405637" w:rsidRDefault="008C653C" w:rsidP="00C5314E">
            <w:pPr>
              <w:pStyle w:val="Tabulkovtext"/>
              <w:jc w:val="center"/>
              <w:rPr>
                <w:rFonts w:cs="Tahoma"/>
                <w:szCs w:val="18"/>
                <w:lang w:eastAsia="cs-CZ"/>
              </w:rPr>
            </w:pPr>
            <w:r>
              <w:rPr>
                <w:rFonts w:cs="Tahoma"/>
                <w:szCs w:val="18"/>
                <w:lang w:eastAsia="cs-CZ"/>
              </w:rPr>
              <w:t>2,5</w:t>
            </w:r>
          </w:p>
        </w:tc>
        <w:tc>
          <w:tcPr>
            <w:tcW w:w="850" w:type="dxa"/>
          </w:tcPr>
          <w:p w:rsidR="00E42FF9" w:rsidRPr="00405637" w:rsidRDefault="006411F3" w:rsidP="00C5314E">
            <w:pPr>
              <w:pStyle w:val="Tabulkovtext"/>
              <w:jc w:val="center"/>
              <w:rPr>
                <w:rFonts w:cs="Tahoma"/>
                <w:lang w:eastAsia="cs-CZ"/>
              </w:rPr>
            </w:pPr>
            <w:r>
              <w:rPr>
                <w:rFonts w:cs="Tahoma"/>
                <w:lang w:eastAsia="cs-CZ"/>
              </w:rPr>
              <w:t>2,5</w:t>
            </w:r>
          </w:p>
        </w:tc>
        <w:tc>
          <w:tcPr>
            <w:tcW w:w="851" w:type="dxa"/>
          </w:tcPr>
          <w:p w:rsidR="00E42FF9" w:rsidRPr="00405637" w:rsidRDefault="00E42FF9" w:rsidP="00C5314E">
            <w:pPr>
              <w:pStyle w:val="Tabulkovtext"/>
              <w:rPr>
                <w:rFonts w:cs="Tahoma"/>
                <w:lang w:eastAsia="cs-CZ"/>
              </w:rPr>
            </w:pPr>
          </w:p>
        </w:tc>
        <w:tc>
          <w:tcPr>
            <w:tcW w:w="850" w:type="dxa"/>
          </w:tcPr>
          <w:p w:rsidR="00E42FF9" w:rsidRPr="00405637" w:rsidRDefault="00E42FF9" w:rsidP="00C5314E">
            <w:pPr>
              <w:pStyle w:val="Tabulkovtext"/>
              <w:rPr>
                <w:rFonts w:cs="Tahoma"/>
                <w:lang w:eastAsia="cs-CZ"/>
              </w:rPr>
            </w:pPr>
          </w:p>
        </w:tc>
        <w:tc>
          <w:tcPr>
            <w:tcW w:w="851" w:type="dxa"/>
          </w:tcPr>
          <w:p w:rsidR="00E42FF9" w:rsidRPr="00405637" w:rsidRDefault="00E42FF9" w:rsidP="00C5314E">
            <w:pPr>
              <w:pStyle w:val="Tabulkovtext"/>
              <w:rPr>
                <w:rFonts w:cs="Tahoma"/>
                <w:lang w:eastAsia="cs-CZ"/>
              </w:rPr>
            </w:pPr>
          </w:p>
        </w:tc>
        <w:tc>
          <w:tcPr>
            <w:tcW w:w="850" w:type="dxa"/>
          </w:tcPr>
          <w:p w:rsidR="00E42FF9" w:rsidRPr="00405637" w:rsidRDefault="002B074D" w:rsidP="00C5314E">
            <w:pPr>
              <w:pStyle w:val="Tabulkovtext"/>
              <w:jc w:val="center"/>
              <w:rPr>
                <w:rFonts w:cs="Tahoma"/>
                <w:szCs w:val="18"/>
                <w:lang w:eastAsia="cs-CZ"/>
              </w:rPr>
            </w:pPr>
            <w:r w:rsidRPr="00405637">
              <w:rPr>
                <w:rFonts w:cs="Tahoma"/>
                <w:szCs w:val="18"/>
                <w:lang w:eastAsia="cs-CZ"/>
              </w:rPr>
              <w:t>4,0</w:t>
            </w:r>
          </w:p>
        </w:tc>
        <w:tc>
          <w:tcPr>
            <w:tcW w:w="851" w:type="dxa"/>
          </w:tcPr>
          <w:p w:rsidR="00E42FF9" w:rsidRPr="00405637" w:rsidRDefault="002B074D" w:rsidP="00C5314E">
            <w:pPr>
              <w:pStyle w:val="Tabulkovtext"/>
              <w:jc w:val="center"/>
              <w:rPr>
                <w:rFonts w:cs="Tahoma"/>
                <w:szCs w:val="18"/>
                <w:lang w:eastAsia="cs-CZ"/>
              </w:rPr>
            </w:pPr>
            <w:r w:rsidRPr="00405637">
              <w:rPr>
                <w:rFonts w:cs="Tahoma"/>
                <w:szCs w:val="18"/>
                <w:lang w:eastAsia="cs-CZ"/>
              </w:rPr>
              <w:t>5,0</w:t>
            </w:r>
          </w:p>
        </w:tc>
      </w:tr>
      <w:tr w:rsidR="00E42FF9" w:rsidRPr="00405637" w:rsidTr="006B08CB">
        <w:tc>
          <w:tcPr>
            <w:tcW w:w="2410" w:type="dxa"/>
            <w:tcBorders>
              <w:right w:val="single" w:sz="12" w:space="0" w:color="auto"/>
            </w:tcBorders>
            <w:shd w:val="pct10" w:color="auto" w:fill="auto"/>
          </w:tcPr>
          <w:p w:rsidR="00E42FF9" w:rsidRPr="00405637" w:rsidRDefault="00E42FF9" w:rsidP="00C5314E">
            <w:pPr>
              <w:pStyle w:val="Tabulkovtext"/>
              <w:rPr>
                <w:rFonts w:cs="Tahoma"/>
                <w:lang w:eastAsia="cs-CZ"/>
              </w:rPr>
            </w:pPr>
            <w:r w:rsidRPr="00405637">
              <w:rPr>
                <w:rFonts w:cs="Tahoma"/>
                <w:lang w:eastAsia="cs-CZ"/>
              </w:rPr>
              <w:t>Opatovice nad Labem</w:t>
            </w:r>
          </w:p>
        </w:tc>
        <w:tc>
          <w:tcPr>
            <w:tcW w:w="851" w:type="dxa"/>
            <w:tcBorders>
              <w:left w:val="single" w:sz="12" w:space="0" w:color="auto"/>
            </w:tcBorders>
          </w:tcPr>
          <w:p w:rsidR="00E42FF9" w:rsidRPr="00405637" w:rsidRDefault="002B074D" w:rsidP="006411F3">
            <w:pPr>
              <w:pStyle w:val="Tabulkovtext"/>
              <w:jc w:val="center"/>
              <w:rPr>
                <w:rFonts w:cs="Tahoma"/>
                <w:lang w:eastAsia="cs-CZ"/>
              </w:rPr>
            </w:pPr>
            <w:r w:rsidRPr="00405637">
              <w:rPr>
                <w:rFonts w:cs="Tahoma"/>
                <w:szCs w:val="18"/>
                <w:lang w:eastAsia="cs-CZ"/>
              </w:rPr>
              <w:t>3,</w:t>
            </w:r>
            <w:r w:rsidR="006411F3">
              <w:rPr>
                <w:rFonts w:cs="Tahoma"/>
                <w:szCs w:val="18"/>
                <w:lang w:eastAsia="cs-CZ"/>
              </w:rPr>
              <w:t>0</w:t>
            </w:r>
          </w:p>
        </w:tc>
        <w:tc>
          <w:tcPr>
            <w:tcW w:w="992" w:type="dxa"/>
          </w:tcPr>
          <w:p w:rsidR="00E42FF9" w:rsidRPr="00405637" w:rsidRDefault="002B074D" w:rsidP="00C5314E">
            <w:pPr>
              <w:pStyle w:val="Tabulkovtext"/>
              <w:jc w:val="center"/>
              <w:rPr>
                <w:rFonts w:cs="Tahoma"/>
                <w:lang w:eastAsia="cs-CZ"/>
              </w:rPr>
            </w:pPr>
            <w:r w:rsidRPr="00405637">
              <w:rPr>
                <w:rFonts w:cs="Tahoma"/>
                <w:szCs w:val="18"/>
                <w:lang w:eastAsia="cs-CZ"/>
              </w:rPr>
              <w:t>3,0</w:t>
            </w:r>
          </w:p>
        </w:tc>
        <w:tc>
          <w:tcPr>
            <w:tcW w:w="850" w:type="dxa"/>
          </w:tcPr>
          <w:p w:rsidR="00E42FF9" w:rsidRPr="00405637" w:rsidRDefault="000F14CE" w:rsidP="00C5314E">
            <w:pPr>
              <w:pStyle w:val="Tabulkovtext"/>
              <w:jc w:val="center"/>
              <w:rPr>
                <w:rFonts w:cs="Tahoma"/>
                <w:lang w:eastAsia="cs-CZ"/>
              </w:rPr>
            </w:pPr>
            <w:r>
              <w:rPr>
                <w:rFonts w:cs="Tahoma"/>
                <w:lang w:eastAsia="cs-CZ"/>
              </w:rPr>
              <w:t>3,5</w:t>
            </w:r>
          </w:p>
        </w:tc>
        <w:tc>
          <w:tcPr>
            <w:tcW w:w="851" w:type="dxa"/>
          </w:tcPr>
          <w:p w:rsidR="00E42FF9" w:rsidRPr="00405637" w:rsidRDefault="00E42FF9" w:rsidP="00C5314E">
            <w:pPr>
              <w:pStyle w:val="Tabulkovtext"/>
              <w:rPr>
                <w:rFonts w:cs="Tahoma"/>
                <w:lang w:eastAsia="cs-CZ"/>
              </w:rPr>
            </w:pPr>
          </w:p>
        </w:tc>
        <w:tc>
          <w:tcPr>
            <w:tcW w:w="850" w:type="dxa"/>
          </w:tcPr>
          <w:p w:rsidR="00E42FF9" w:rsidRPr="00405637" w:rsidRDefault="00E42FF9" w:rsidP="00C5314E">
            <w:pPr>
              <w:pStyle w:val="Tabulkovtext"/>
              <w:rPr>
                <w:rFonts w:cs="Tahoma"/>
                <w:lang w:eastAsia="cs-CZ"/>
              </w:rPr>
            </w:pPr>
          </w:p>
        </w:tc>
        <w:tc>
          <w:tcPr>
            <w:tcW w:w="851" w:type="dxa"/>
          </w:tcPr>
          <w:p w:rsidR="00E42FF9" w:rsidRPr="00405637" w:rsidRDefault="00E42FF9" w:rsidP="00C5314E">
            <w:pPr>
              <w:pStyle w:val="Tabulkovtext"/>
              <w:rPr>
                <w:rFonts w:cs="Tahoma"/>
                <w:lang w:eastAsia="cs-CZ"/>
              </w:rPr>
            </w:pPr>
          </w:p>
        </w:tc>
        <w:tc>
          <w:tcPr>
            <w:tcW w:w="850" w:type="dxa"/>
          </w:tcPr>
          <w:p w:rsidR="00E42FF9" w:rsidRPr="00405637" w:rsidRDefault="002B074D" w:rsidP="00C5314E">
            <w:pPr>
              <w:pStyle w:val="Tabulkovtext"/>
              <w:jc w:val="center"/>
              <w:rPr>
                <w:rFonts w:cs="Tahoma"/>
                <w:lang w:eastAsia="cs-CZ"/>
              </w:rPr>
            </w:pPr>
            <w:r w:rsidRPr="00405637">
              <w:rPr>
                <w:rFonts w:cs="Tahoma"/>
                <w:szCs w:val="18"/>
                <w:lang w:eastAsia="cs-CZ"/>
              </w:rPr>
              <w:t>8,0</w:t>
            </w:r>
          </w:p>
        </w:tc>
        <w:tc>
          <w:tcPr>
            <w:tcW w:w="851" w:type="dxa"/>
          </w:tcPr>
          <w:p w:rsidR="00E42FF9" w:rsidRPr="00405637" w:rsidRDefault="002B074D" w:rsidP="00C5314E">
            <w:pPr>
              <w:pStyle w:val="Tabulkovtext"/>
              <w:jc w:val="center"/>
              <w:rPr>
                <w:rFonts w:cs="Tahoma"/>
                <w:lang w:eastAsia="cs-CZ"/>
              </w:rPr>
            </w:pPr>
            <w:r w:rsidRPr="00405637">
              <w:rPr>
                <w:rFonts w:cs="Tahoma"/>
                <w:szCs w:val="18"/>
                <w:lang w:eastAsia="cs-CZ"/>
              </w:rPr>
              <w:t>6,0</w:t>
            </w:r>
          </w:p>
        </w:tc>
      </w:tr>
      <w:tr w:rsidR="00E42FF9" w:rsidRPr="00405637" w:rsidTr="006B08CB">
        <w:tc>
          <w:tcPr>
            <w:tcW w:w="2410" w:type="dxa"/>
            <w:tcBorders>
              <w:right w:val="single" w:sz="12" w:space="0" w:color="auto"/>
            </w:tcBorders>
            <w:shd w:val="pct10" w:color="auto" w:fill="auto"/>
          </w:tcPr>
          <w:p w:rsidR="00E42FF9" w:rsidRPr="00405637" w:rsidRDefault="00E42FF9" w:rsidP="00C5314E">
            <w:pPr>
              <w:pStyle w:val="Tabulkovtext"/>
              <w:rPr>
                <w:rFonts w:cs="Tahoma"/>
                <w:lang w:eastAsia="cs-CZ"/>
              </w:rPr>
            </w:pPr>
            <w:r w:rsidRPr="00405637">
              <w:rPr>
                <w:rFonts w:cs="Tahoma"/>
                <w:lang w:eastAsia="cs-CZ"/>
              </w:rPr>
              <w:t>Hradec Králové hlav. nádr.</w:t>
            </w:r>
          </w:p>
        </w:tc>
        <w:tc>
          <w:tcPr>
            <w:tcW w:w="851" w:type="dxa"/>
            <w:tcBorders>
              <w:left w:val="single" w:sz="12" w:space="0" w:color="auto"/>
            </w:tcBorders>
          </w:tcPr>
          <w:p w:rsidR="00E42FF9" w:rsidRPr="00405637" w:rsidRDefault="006411F3" w:rsidP="006411F3">
            <w:pPr>
              <w:pStyle w:val="Tabulkovtext"/>
              <w:jc w:val="center"/>
              <w:rPr>
                <w:rFonts w:cs="Tahoma"/>
                <w:lang w:eastAsia="cs-CZ"/>
              </w:rPr>
            </w:pPr>
            <w:r>
              <w:rPr>
                <w:rFonts w:cs="Tahoma"/>
                <w:lang w:eastAsia="cs-CZ"/>
              </w:rPr>
              <w:t>4</w:t>
            </w:r>
            <w:r w:rsidR="002B074D" w:rsidRPr="00405637">
              <w:rPr>
                <w:rFonts w:cs="Tahoma"/>
                <w:lang w:eastAsia="cs-CZ"/>
              </w:rPr>
              <w:t>,</w:t>
            </w:r>
            <w:r>
              <w:rPr>
                <w:rFonts w:cs="Tahoma"/>
                <w:lang w:eastAsia="cs-CZ"/>
              </w:rPr>
              <w:t>0</w:t>
            </w:r>
          </w:p>
        </w:tc>
        <w:tc>
          <w:tcPr>
            <w:tcW w:w="992" w:type="dxa"/>
          </w:tcPr>
          <w:p w:rsidR="00E42FF9" w:rsidRPr="00405637" w:rsidRDefault="002B074D" w:rsidP="006411F3">
            <w:pPr>
              <w:pStyle w:val="Tabulkovtext"/>
              <w:jc w:val="center"/>
              <w:rPr>
                <w:rFonts w:cs="Tahoma"/>
                <w:lang w:eastAsia="cs-CZ"/>
              </w:rPr>
            </w:pPr>
            <w:r w:rsidRPr="00405637">
              <w:rPr>
                <w:rFonts w:cs="Tahoma"/>
                <w:lang w:eastAsia="cs-CZ"/>
              </w:rPr>
              <w:t>4,</w:t>
            </w:r>
            <w:r w:rsidR="008C653C">
              <w:rPr>
                <w:rFonts w:cs="Tahoma"/>
                <w:lang w:eastAsia="cs-CZ"/>
              </w:rPr>
              <w:t>5</w:t>
            </w:r>
          </w:p>
        </w:tc>
        <w:tc>
          <w:tcPr>
            <w:tcW w:w="850" w:type="dxa"/>
          </w:tcPr>
          <w:p w:rsidR="00E42FF9" w:rsidRPr="00405637" w:rsidRDefault="000F14CE" w:rsidP="00C5314E">
            <w:pPr>
              <w:pStyle w:val="Tabulkovtext"/>
              <w:jc w:val="center"/>
              <w:rPr>
                <w:rFonts w:cs="Tahoma"/>
                <w:lang w:eastAsia="cs-CZ"/>
              </w:rPr>
            </w:pPr>
            <w:r>
              <w:rPr>
                <w:rFonts w:cs="Tahoma"/>
                <w:lang w:eastAsia="cs-CZ"/>
              </w:rPr>
              <w:t>5,0</w:t>
            </w:r>
          </w:p>
        </w:tc>
        <w:tc>
          <w:tcPr>
            <w:tcW w:w="851" w:type="dxa"/>
          </w:tcPr>
          <w:p w:rsidR="00E42FF9" w:rsidRPr="00405637" w:rsidRDefault="00E42FF9" w:rsidP="00C5314E">
            <w:pPr>
              <w:pStyle w:val="Tabulkovtext"/>
              <w:rPr>
                <w:rFonts w:cs="Tahoma"/>
                <w:lang w:eastAsia="cs-CZ"/>
              </w:rPr>
            </w:pPr>
          </w:p>
        </w:tc>
        <w:tc>
          <w:tcPr>
            <w:tcW w:w="850" w:type="dxa"/>
          </w:tcPr>
          <w:p w:rsidR="00E42FF9" w:rsidRPr="00405637" w:rsidRDefault="00E42FF9" w:rsidP="00C5314E">
            <w:pPr>
              <w:pStyle w:val="Tabulkovtext"/>
              <w:rPr>
                <w:rFonts w:cs="Tahoma"/>
                <w:lang w:eastAsia="cs-CZ"/>
              </w:rPr>
            </w:pPr>
          </w:p>
        </w:tc>
        <w:tc>
          <w:tcPr>
            <w:tcW w:w="851" w:type="dxa"/>
          </w:tcPr>
          <w:p w:rsidR="00E42FF9" w:rsidRPr="00405637" w:rsidRDefault="00E42FF9" w:rsidP="00C5314E">
            <w:pPr>
              <w:pStyle w:val="Tabulkovtext"/>
              <w:rPr>
                <w:rFonts w:cs="Tahoma"/>
                <w:lang w:eastAsia="cs-CZ"/>
              </w:rPr>
            </w:pPr>
          </w:p>
        </w:tc>
        <w:tc>
          <w:tcPr>
            <w:tcW w:w="850" w:type="dxa"/>
          </w:tcPr>
          <w:p w:rsidR="00E42FF9" w:rsidRPr="00405637" w:rsidRDefault="00E42FF9" w:rsidP="00C5314E">
            <w:pPr>
              <w:pStyle w:val="Tabulkovtext"/>
              <w:jc w:val="center"/>
              <w:rPr>
                <w:rFonts w:cs="Tahoma"/>
                <w:lang w:eastAsia="cs-CZ"/>
              </w:rPr>
            </w:pPr>
            <w:r w:rsidRPr="00405637">
              <w:rPr>
                <w:rFonts w:cs="Tahoma"/>
                <w:lang w:eastAsia="cs-CZ"/>
              </w:rPr>
              <w:t>11,0</w:t>
            </w:r>
          </w:p>
        </w:tc>
        <w:tc>
          <w:tcPr>
            <w:tcW w:w="851" w:type="dxa"/>
          </w:tcPr>
          <w:p w:rsidR="00E42FF9" w:rsidRPr="00405637" w:rsidRDefault="002B074D" w:rsidP="00C5314E">
            <w:pPr>
              <w:pStyle w:val="Tabulkovtext"/>
              <w:jc w:val="center"/>
              <w:rPr>
                <w:rFonts w:cs="Tahoma"/>
                <w:lang w:eastAsia="cs-CZ"/>
              </w:rPr>
            </w:pPr>
            <w:r w:rsidRPr="00405637">
              <w:rPr>
                <w:rFonts w:cs="Tahoma"/>
                <w:lang w:eastAsia="cs-CZ"/>
              </w:rPr>
              <w:t>9</w:t>
            </w:r>
            <w:r w:rsidR="00E42FF9" w:rsidRPr="00405637">
              <w:rPr>
                <w:rFonts w:cs="Tahoma"/>
                <w:lang w:eastAsia="cs-CZ"/>
              </w:rPr>
              <w:t>,0</w:t>
            </w:r>
          </w:p>
        </w:tc>
      </w:tr>
      <w:tr w:rsidR="00E42FF9" w:rsidRPr="00405637" w:rsidTr="006B08CB">
        <w:tc>
          <w:tcPr>
            <w:tcW w:w="2410" w:type="dxa"/>
            <w:tcBorders>
              <w:right w:val="single" w:sz="12" w:space="0" w:color="auto"/>
            </w:tcBorders>
            <w:shd w:val="pct10" w:color="auto" w:fill="auto"/>
          </w:tcPr>
          <w:p w:rsidR="00E42FF9" w:rsidRPr="00405637" w:rsidRDefault="00E42FF9" w:rsidP="00C5314E">
            <w:pPr>
              <w:pStyle w:val="Tabulkovtext"/>
              <w:rPr>
                <w:rFonts w:cs="Tahoma"/>
                <w:b/>
                <w:lang w:eastAsia="cs-CZ"/>
              </w:rPr>
            </w:pPr>
            <w:r w:rsidRPr="00405637">
              <w:rPr>
                <w:rFonts w:ascii="Symbol" w:hAnsi="Symbol" w:cs="Tahoma"/>
                <w:b/>
                <w:lang w:eastAsia="cs-CZ"/>
              </w:rPr>
              <w:t></w:t>
            </w:r>
            <w:r w:rsidRPr="00405637">
              <w:rPr>
                <w:rFonts w:cs="Tahoma"/>
                <w:b/>
                <w:lang w:eastAsia="cs-CZ"/>
              </w:rPr>
              <w:t xml:space="preserve"> jizdních dob</w:t>
            </w:r>
          </w:p>
        </w:tc>
        <w:tc>
          <w:tcPr>
            <w:tcW w:w="851" w:type="dxa"/>
            <w:tcBorders>
              <w:left w:val="single" w:sz="12" w:space="0" w:color="auto"/>
            </w:tcBorders>
          </w:tcPr>
          <w:p w:rsidR="00E42FF9" w:rsidRPr="00405637" w:rsidRDefault="006411F3" w:rsidP="00C5314E">
            <w:pPr>
              <w:pStyle w:val="Tabulkovtext"/>
              <w:jc w:val="center"/>
              <w:rPr>
                <w:rFonts w:cs="Tahoma"/>
                <w:b/>
                <w:lang w:eastAsia="cs-CZ"/>
              </w:rPr>
            </w:pPr>
            <w:r>
              <w:rPr>
                <w:rFonts w:cs="Tahoma"/>
                <w:b/>
                <w:lang w:eastAsia="cs-CZ"/>
              </w:rPr>
              <w:t>17</w:t>
            </w:r>
            <w:r w:rsidR="00E42FF9" w:rsidRPr="00405637">
              <w:rPr>
                <w:rFonts w:cs="Tahoma"/>
                <w:b/>
                <w:lang w:eastAsia="cs-CZ"/>
              </w:rPr>
              <w:t>,0</w:t>
            </w:r>
          </w:p>
        </w:tc>
        <w:tc>
          <w:tcPr>
            <w:tcW w:w="992" w:type="dxa"/>
          </w:tcPr>
          <w:p w:rsidR="008C653C" w:rsidRPr="00405637" w:rsidRDefault="008C653C" w:rsidP="008C653C">
            <w:pPr>
              <w:pStyle w:val="Tabulkovtext"/>
              <w:jc w:val="center"/>
              <w:rPr>
                <w:rFonts w:cs="Tahoma"/>
                <w:b/>
                <w:lang w:eastAsia="cs-CZ"/>
              </w:rPr>
            </w:pPr>
            <w:r>
              <w:rPr>
                <w:rFonts w:cs="Tahoma"/>
                <w:b/>
                <w:lang w:eastAsia="cs-CZ"/>
              </w:rPr>
              <w:t>18,5</w:t>
            </w:r>
          </w:p>
        </w:tc>
        <w:tc>
          <w:tcPr>
            <w:tcW w:w="850" w:type="dxa"/>
          </w:tcPr>
          <w:p w:rsidR="00E42FF9" w:rsidRPr="00405637" w:rsidRDefault="002B074D" w:rsidP="006411F3">
            <w:pPr>
              <w:pStyle w:val="Tabulkovtext"/>
              <w:jc w:val="center"/>
              <w:rPr>
                <w:rFonts w:cs="Tahoma"/>
                <w:b/>
                <w:lang w:eastAsia="cs-CZ"/>
              </w:rPr>
            </w:pPr>
            <w:r w:rsidRPr="00405637">
              <w:rPr>
                <w:rFonts w:cs="Tahoma"/>
                <w:b/>
                <w:lang w:eastAsia="cs-CZ"/>
              </w:rPr>
              <w:t>2</w:t>
            </w:r>
            <w:r w:rsidR="006411F3">
              <w:rPr>
                <w:rFonts w:cs="Tahoma"/>
                <w:b/>
                <w:lang w:eastAsia="cs-CZ"/>
              </w:rPr>
              <w:t>0</w:t>
            </w:r>
            <w:r w:rsidR="00E42FF9" w:rsidRPr="00405637">
              <w:rPr>
                <w:rFonts w:cs="Tahoma"/>
                <w:b/>
                <w:lang w:eastAsia="cs-CZ"/>
              </w:rPr>
              <w:t>,</w:t>
            </w:r>
            <w:r w:rsidR="006411F3">
              <w:rPr>
                <w:rFonts w:cs="Tahoma"/>
                <w:b/>
                <w:lang w:eastAsia="cs-CZ"/>
              </w:rPr>
              <w:t>5</w:t>
            </w:r>
          </w:p>
        </w:tc>
        <w:tc>
          <w:tcPr>
            <w:tcW w:w="851" w:type="dxa"/>
          </w:tcPr>
          <w:p w:rsidR="00E42FF9" w:rsidRPr="00405637" w:rsidRDefault="00E42FF9" w:rsidP="00C5314E">
            <w:pPr>
              <w:pStyle w:val="Tabulkovtext"/>
              <w:rPr>
                <w:rFonts w:cs="Tahoma"/>
                <w:b/>
                <w:lang w:eastAsia="cs-CZ"/>
              </w:rPr>
            </w:pPr>
          </w:p>
        </w:tc>
        <w:tc>
          <w:tcPr>
            <w:tcW w:w="850" w:type="dxa"/>
          </w:tcPr>
          <w:p w:rsidR="00E42FF9" w:rsidRPr="00405637" w:rsidRDefault="00E42FF9" w:rsidP="00C5314E">
            <w:pPr>
              <w:pStyle w:val="Tabulkovtext"/>
              <w:rPr>
                <w:rFonts w:cs="Tahoma"/>
                <w:b/>
                <w:lang w:eastAsia="cs-CZ"/>
              </w:rPr>
            </w:pPr>
          </w:p>
        </w:tc>
        <w:tc>
          <w:tcPr>
            <w:tcW w:w="851" w:type="dxa"/>
          </w:tcPr>
          <w:p w:rsidR="00E42FF9" w:rsidRPr="00405637" w:rsidRDefault="00E42FF9" w:rsidP="00C5314E">
            <w:pPr>
              <w:pStyle w:val="Tabulkovtext"/>
              <w:rPr>
                <w:rFonts w:cs="Tahoma"/>
                <w:b/>
                <w:lang w:eastAsia="cs-CZ"/>
              </w:rPr>
            </w:pPr>
          </w:p>
        </w:tc>
        <w:tc>
          <w:tcPr>
            <w:tcW w:w="850" w:type="dxa"/>
          </w:tcPr>
          <w:p w:rsidR="00E42FF9" w:rsidRPr="00405637" w:rsidRDefault="002B074D" w:rsidP="00C5314E">
            <w:pPr>
              <w:pStyle w:val="Tabulkovtext"/>
              <w:jc w:val="center"/>
              <w:rPr>
                <w:rFonts w:cs="Tahoma"/>
                <w:b/>
                <w:lang w:eastAsia="cs-CZ"/>
              </w:rPr>
            </w:pPr>
            <w:r w:rsidRPr="00405637">
              <w:rPr>
                <w:rFonts w:cs="Tahoma"/>
                <w:b/>
                <w:lang w:eastAsia="cs-CZ"/>
              </w:rPr>
              <w:t>3</w:t>
            </w:r>
            <w:r w:rsidR="00E42FF9" w:rsidRPr="00405637">
              <w:rPr>
                <w:rFonts w:cs="Tahoma"/>
                <w:b/>
                <w:lang w:eastAsia="cs-CZ"/>
              </w:rPr>
              <w:t>8,0</w:t>
            </w:r>
          </w:p>
        </w:tc>
        <w:tc>
          <w:tcPr>
            <w:tcW w:w="851" w:type="dxa"/>
          </w:tcPr>
          <w:p w:rsidR="00E42FF9" w:rsidRPr="00405637" w:rsidRDefault="002B074D" w:rsidP="002B074D">
            <w:pPr>
              <w:pStyle w:val="Tabulkovtext"/>
              <w:jc w:val="center"/>
              <w:rPr>
                <w:rFonts w:cs="Tahoma"/>
                <w:b/>
                <w:lang w:eastAsia="cs-CZ"/>
              </w:rPr>
            </w:pPr>
            <w:r w:rsidRPr="00405637">
              <w:rPr>
                <w:rFonts w:cs="Tahoma"/>
                <w:b/>
                <w:lang w:eastAsia="cs-CZ"/>
              </w:rPr>
              <w:t>37</w:t>
            </w:r>
            <w:r w:rsidR="00E42FF9" w:rsidRPr="00405637">
              <w:rPr>
                <w:rFonts w:cs="Tahoma"/>
                <w:b/>
                <w:lang w:eastAsia="cs-CZ"/>
              </w:rPr>
              <w:t>,0</w:t>
            </w:r>
          </w:p>
        </w:tc>
      </w:tr>
      <w:tr w:rsidR="00E42FF9" w:rsidRPr="00405637" w:rsidTr="006B08CB">
        <w:tc>
          <w:tcPr>
            <w:tcW w:w="2410" w:type="dxa"/>
            <w:tcBorders>
              <w:bottom w:val="single" w:sz="12" w:space="0" w:color="auto"/>
              <w:right w:val="single" w:sz="12" w:space="0" w:color="auto"/>
            </w:tcBorders>
            <w:shd w:val="pct10" w:color="auto" w:fill="auto"/>
          </w:tcPr>
          <w:p w:rsidR="00E42FF9" w:rsidRPr="00405637" w:rsidRDefault="00E42FF9" w:rsidP="00E42FF9">
            <w:pPr>
              <w:pStyle w:val="Tabulkovtext"/>
              <w:rPr>
                <w:rFonts w:cs="Tahoma"/>
                <w:lang w:eastAsia="cs-CZ"/>
              </w:rPr>
            </w:pPr>
            <w:r w:rsidRPr="00405637">
              <w:rPr>
                <w:rFonts w:cs="Tahoma"/>
                <w:lang w:eastAsia="cs-CZ"/>
              </w:rPr>
              <w:t>Cestovní doba Par - HK</w:t>
            </w:r>
          </w:p>
        </w:tc>
        <w:tc>
          <w:tcPr>
            <w:tcW w:w="851" w:type="dxa"/>
            <w:tcBorders>
              <w:left w:val="single" w:sz="12" w:space="0" w:color="auto"/>
              <w:bottom w:val="single" w:sz="12" w:space="0" w:color="auto"/>
            </w:tcBorders>
          </w:tcPr>
          <w:p w:rsidR="00E42FF9" w:rsidRPr="00405637" w:rsidRDefault="006411F3" w:rsidP="006411F3">
            <w:pPr>
              <w:pStyle w:val="Tabulkovtext"/>
              <w:jc w:val="center"/>
              <w:rPr>
                <w:rFonts w:cs="Tahoma"/>
                <w:lang w:eastAsia="cs-CZ"/>
              </w:rPr>
            </w:pPr>
            <w:r>
              <w:rPr>
                <w:rFonts w:cs="Tahoma"/>
                <w:lang w:eastAsia="cs-CZ"/>
              </w:rPr>
              <w:t>18</w:t>
            </w:r>
            <w:r w:rsidR="00E42FF9" w:rsidRPr="00405637">
              <w:rPr>
                <w:rFonts w:cs="Tahoma"/>
                <w:lang w:eastAsia="cs-CZ"/>
              </w:rPr>
              <w:t>,0</w:t>
            </w:r>
          </w:p>
        </w:tc>
        <w:tc>
          <w:tcPr>
            <w:tcW w:w="992" w:type="dxa"/>
            <w:tcBorders>
              <w:bottom w:val="single" w:sz="12" w:space="0" w:color="auto"/>
            </w:tcBorders>
          </w:tcPr>
          <w:p w:rsidR="00E42FF9" w:rsidRPr="00405637" w:rsidRDefault="002E036E" w:rsidP="00C85ACF">
            <w:pPr>
              <w:pStyle w:val="Tabulkovtext"/>
              <w:jc w:val="center"/>
              <w:rPr>
                <w:rFonts w:cs="Tahoma"/>
                <w:lang w:eastAsia="cs-CZ"/>
              </w:rPr>
            </w:pPr>
            <w:r>
              <w:rPr>
                <w:rFonts w:cs="Tahoma"/>
                <w:lang w:eastAsia="cs-CZ"/>
              </w:rPr>
              <w:t>2</w:t>
            </w:r>
            <w:r w:rsidR="00C85ACF">
              <w:rPr>
                <w:rFonts w:cs="Tahoma"/>
                <w:lang w:eastAsia="cs-CZ"/>
              </w:rPr>
              <w:t>3</w:t>
            </w:r>
            <w:r>
              <w:rPr>
                <w:rFonts w:cs="Tahoma"/>
                <w:lang w:eastAsia="cs-CZ"/>
              </w:rPr>
              <w:t>,</w:t>
            </w:r>
            <w:r w:rsidR="00C85ACF">
              <w:rPr>
                <w:rFonts w:cs="Tahoma"/>
                <w:lang w:eastAsia="cs-CZ"/>
              </w:rPr>
              <w:t>0</w:t>
            </w:r>
          </w:p>
        </w:tc>
        <w:tc>
          <w:tcPr>
            <w:tcW w:w="850" w:type="dxa"/>
            <w:tcBorders>
              <w:bottom w:val="single" w:sz="12" w:space="0" w:color="auto"/>
            </w:tcBorders>
          </w:tcPr>
          <w:p w:rsidR="00E42FF9" w:rsidRPr="00405637" w:rsidRDefault="000A363A" w:rsidP="008C653C">
            <w:pPr>
              <w:pStyle w:val="Tabulkovtext"/>
              <w:jc w:val="center"/>
              <w:rPr>
                <w:rFonts w:cs="Tahoma"/>
                <w:lang w:eastAsia="cs-CZ"/>
              </w:rPr>
            </w:pPr>
            <w:r>
              <w:rPr>
                <w:rFonts w:cs="Tahoma"/>
                <w:lang w:eastAsia="cs-CZ"/>
              </w:rPr>
              <w:t>26</w:t>
            </w:r>
            <w:r w:rsidR="00E42FF9" w:rsidRPr="00405637">
              <w:rPr>
                <w:rFonts w:cs="Tahoma"/>
                <w:lang w:eastAsia="cs-CZ"/>
              </w:rPr>
              <w:t>,</w:t>
            </w:r>
            <w:r w:rsidR="008C653C">
              <w:rPr>
                <w:rFonts w:cs="Tahoma"/>
                <w:lang w:eastAsia="cs-CZ"/>
              </w:rPr>
              <w:t>5</w:t>
            </w:r>
          </w:p>
        </w:tc>
        <w:tc>
          <w:tcPr>
            <w:tcW w:w="851" w:type="dxa"/>
            <w:tcBorders>
              <w:bottom w:val="single" w:sz="12" w:space="0" w:color="auto"/>
            </w:tcBorders>
          </w:tcPr>
          <w:p w:rsidR="00E42FF9" w:rsidRPr="00405637" w:rsidRDefault="00E42FF9" w:rsidP="00C5314E">
            <w:pPr>
              <w:pStyle w:val="Tabulkovtext"/>
              <w:rPr>
                <w:rFonts w:cs="Tahoma"/>
                <w:lang w:eastAsia="cs-CZ"/>
              </w:rPr>
            </w:pPr>
          </w:p>
        </w:tc>
        <w:tc>
          <w:tcPr>
            <w:tcW w:w="850" w:type="dxa"/>
            <w:tcBorders>
              <w:bottom w:val="single" w:sz="12" w:space="0" w:color="auto"/>
            </w:tcBorders>
          </w:tcPr>
          <w:p w:rsidR="00E42FF9" w:rsidRPr="00405637" w:rsidRDefault="00E42FF9" w:rsidP="00C5314E">
            <w:pPr>
              <w:pStyle w:val="Tabulkovtext"/>
              <w:rPr>
                <w:rFonts w:cs="Tahoma"/>
                <w:lang w:eastAsia="cs-CZ"/>
              </w:rPr>
            </w:pPr>
          </w:p>
        </w:tc>
        <w:tc>
          <w:tcPr>
            <w:tcW w:w="851" w:type="dxa"/>
            <w:tcBorders>
              <w:bottom w:val="single" w:sz="12" w:space="0" w:color="auto"/>
            </w:tcBorders>
          </w:tcPr>
          <w:p w:rsidR="00E42FF9" w:rsidRPr="00405637" w:rsidRDefault="00E42FF9" w:rsidP="00C5314E">
            <w:pPr>
              <w:pStyle w:val="Tabulkovtext"/>
              <w:rPr>
                <w:rFonts w:cs="Tahoma"/>
                <w:lang w:eastAsia="cs-CZ"/>
              </w:rPr>
            </w:pPr>
          </w:p>
        </w:tc>
        <w:tc>
          <w:tcPr>
            <w:tcW w:w="850" w:type="dxa"/>
            <w:tcBorders>
              <w:bottom w:val="single" w:sz="12" w:space="0" w:color="auto"/>
            </w:tcBorders>
          </w:tcPr>
          <w:p w:rsidR="00E42FF9" w:rsidRPr="00405637" w:rsidRDefault="00E42FF9" w:rsidP="00C5314E">
            <w:pPr>
              <w:pStyle w:val="Tabulkovtext"/>
              <w:rPr>
                <w:rFonts w:cs="Tahoma"/>
                <w:lang w:eastAsia="cs-CZ"/>
              </w:rPr>
            </w:pPr>
          </w:p>
        </w:tc>
        <w:tc>
          <w:tcPr>
            <w:tcW w:w="851" w:type="dxa"/>
            <w:tcBorders>
              <w:bottom w:val="single" w:sz="12" w:space="0" w:color="auto"/>
            </w:tcBorders>
          </w:tcPr>
          <w:p w:rsidR="00E42FF9" w:rsidRPr="00405637" w:rsidRDefault="00E42FF9" w:rsidP="00C5314E">
            <w:pPr>
              <w:pStyle w:val="Tabulkovtext"/>
              <w:rPr>
                <w:rFonts w:cs="Tahoma"/>
                <w:lang w:eastAsia="cs-CZ"/>
              </w:rPr>
            </w:pPr>
          </w:p>
        </w:tc>
      </w:tr>
      <w:tr w:rsidR="00E42FF9" w:rsidRPr="00405637" w:rsidTr="006B08CB">
        <w:tc>
          <w:tcPr>
            <w:tcW w:w="2410" w:type="dxa"/>
            <w:tcBorders>
              <w:top w:val="single" w:sz="12" w:space="0" w:color="auto"/>
              <w:right w:val="single" w:sz="12" w:space="0" w:color="auto"/>
            </w:tcBorders>
            <w:shd w:val="pct10" w:color="auto" w:fill="auto"/>
          </w:tcPr>
          <w:p w:rsidR="00E42FF9" w:rsidRPr="00405637" w:rsidRDefault="00E42FF9" w:rsidP="00C5314E">
            <w:pPr>
              <w:pStyle w:val="Tabulkovtext"/>
              <w:rPr>
                <w:rFonts w:cs="Tahoma"/>
                <w:lang w:eastAsia="cs-CZ"/>
              </w:rPr>
            </w:pPr>
          </w:p>
        </w:tc>
        <w:tc>
          <w:tcPr>
            <w:tcW w:w="6946" w:type="dxa"/>
            <w:gridSpan w:val="8"/>
            <w:tcBorders>
              <w:top w:val="single" w:sz="12" w:space="0" w:color="auto"/>
              <w:left w:val="single" w:sz="12" w:space="0" w:color="auto"/>
            </w:tcBorders>
          </w:tcPr>
          <w:p w:rsidR="00E42FF9" w:rsidRPr="00405637" w:rsidRDefault="00E42FF9" w:rsidP="00E42FF9">
            <w:pPr>
              <w:pStyle w:val="Tabulkovtext"/>
              <w:rPr>
                <w:rFonts w:cs="Tahoma"/>
                <w:lang w:eastAsia="cs-CZ"/>
              </w:rPr>
            </w:pPr>
            <w:r w:rsidRPr="00405637">
              <w:rPr>
                <w:rFonts w:cs="Tahoma"/>
                <w:i/>
                <w:lang w:eastAsia="cs-CZ"/>
              </w:rPr>
              <w:t>Lichý směr, Hradec Králové hl. nádr. – Pardubice hl. nádr.</w:t>
            </w:r>
          </w:p>
        </w:tc>
      </w:tr>
      <w:tr w:rsidR="00E42FF9" w:rsidRPr="00405637" w:rsidTr="006B08CB">
        <w:tc>
          <w:tcPr>
            <w:tcW w:w="2410" w:type="dxa"/>
            <w:tcBorders>
              <w:right w:val="single" w:sz="12" w:space="0" w:color="auto"/>
            </w:tcBorders>
            <w:shd w:val="pct10" w:color="auto" w:fill="auto"/>
          </w:tcPr>
          <w:p w:rsidR="00E42FF9" w:rsidRPr="00405637" w:rsidRDefault="00E42FF9" w:rsidP="00C5314E">
            <w:pPr>
              <w:pStyle w:val="Tabulkovtext"/>
              <w:rPr>
                <w:rFonts w:cs="Tahoma"/>
                <w:lang w:eastAsia="cs-CZ"/>
              </w:rPr>
            </w:pPr>
            <w:r w:rsidRPr="00405637">
              <w:rPr>
                <w:rFonts w:cs="Tahoma"/>
                <w:lang w:eastAsia="cs-CZ"/>
              </w:rPr>
              <w:t>Hradec Králové hlav. nádr.</w:t>
            </w:r>
          </w:p>
        </w:tc>
        <w:tc>
          <w:tcPr>
            <w:tcW w:w="851" w:type="dxa"/>
            <w:tcBorders>
              <w:left w:val="single" w:sz="12" w:space="0" w:color="auto"/>
            </w:tcBorders>
          </w:tcPr>
          <w:p w:rsidR="00E42FF9" w:rsidRPr="00405637" w:rsidRDefault="00E42FF9" w:rsidP="00C5314E">
            <w:pPr>
              <w:pStyle w:val="Tabulkovtext"/>
              <w:jc w:val="center"/>
              <w:rPr>
                <w:rFonts w:cs="Tahoma"/>
                <w:lang w:eastAsia="cs-CZ"/>
              </w:rPr>
            </w:pPr>
          </w:p>
        </w:tc>
        <w:tc>
          <w:tcPr>
            <w:tcW w:w="992" w:type="dxa"/>
          </w:tcPr>
          <w:p w:rsidR="00E42FF9" w:rsidRPr="00405637" w:rsidRDefault="00E42FF9" w:rsidP="00C5314E">
            <w:pPr>
              <w:pStyle w:val="Tabulkovtext"/>
              <w:jc w:val="center"/>
              <w:rPr>
                <w:rFonts w:cs="Tahoma"/>
                <w:lang w:eastAsia="cs-CZ"/>
              </w:rPr>
            </w:pPr>
          </w:p>
        </w:tc>
        <w:tc>
          <w:tcPr>
            <w:tcW w:w="850" w:type="dxa"/>
          </w:tcPr>
          <w:p w:rsidR="00E42FF9" w:rsidRPr="00405637" w:rsidRDefault="00E42FF9" w:rsidP="00C5314E">
            <w:pPr>
              <w:pStyle w:val="Tabulkovtext"/>
              <w:jc w:val="center"/>
              <w:rPr>
                <w:rFonts w:cs="Tahoma"/>
                <w:lang w:eastAsia="cs-CZ"/>
              </w:rPr>
            </w:pPr>
          </w:p>
        </w:tc>
        <w:tc>
          <w:tcPr>
            <w:tcW w:w="851" w:type="dxa"/>
          </w:tcPr>
          <w:p w:rsidR="00E42FF9" w:rsidRPr="00405637" w:rsidRDefault="00E42FF9" w:rsidP="00C5314E">
            <w:pPr>
              <w:pStyle w:val="Tabulkovtext"/>
              <w:jc w:val="center"/>
              <w:rPr>
                <w:rFonts w:cs="Tahoma"/>
                <w:lang w:eastAsia="cs-CZ"/>
              </w:rPr>
            </w:pPr>
          </w:p>
        </w:tc>
        <w:tc>
          <w:tcPr>
            <w:tcW w:w="850" w:type="dxa"/>
          </w:tcPr>
          <w:p w:rsidR="00E42FF9" w:rsidRPr="00405637" w:rsidRDefault="00E42FF9" w:rsidP="00C5314E">
            <w:pPr>
              <w:pStyle w:val="Tabulkovtext"/>
              <w:jc w:val="center"/>
              <w:rPr>
                <w:rFonts w:cs="Tahoma"/>
                <w:lang w:eastAsia="cs-CZ"/>
              </w:rPr>
            </w:pPr>
          </w:p>
        </w:tc>
        <w:tc>
          <w:tcPr>
            <w:tcW w:w="851" w:type="dxa"/>
          </w:tcPr>
          <w:p w:rsidR="00E42FF9" w:rsidRPr="00405637" w:rsidRDefault="00E42FF9" w:rsidP="00C5314E">
            <w:pPr>
              <w:pStyle w:val="Tabulkovtext"/>
              <w:jc w:val="center"/>
              <w:rPr>
                <w:rFonts w:cs="Tahoma"/>
                <w:lang w:eastAsia="cs-CZ"/>
              </w:rPr>
            </w:pPr>
          </w:p>
        </w:tc>
        <w:tc>
          <w:tcPr>
            <w:tcW w:w="850" w:type="dxa"/>
          </w:tcPr>
          <w:p w:rsidR="00E42FF9" w:rsidRPr="00405637" w:rsidRDefault="00E42FF9" w:rsidP="00C5314E">
            <w:pPr>
              <w:pStyle w:val="Tabulkovtext"/>
              <w:jc w:val="center"/>
              <w:rPr>
                <w:rFonts w:cs="Tahoma"/>
                <w:lang w:eastAsia="cs-CZ"/>
              </w:rPr>
            </w:pPr>
          </w:p>
        </w:tc>
        <w:tc>
          <w:tcPr>
            <w:tcW w:w="851" w:type="dxa"/>
          </w:tcPr>
          <w:p w:rsidR="00E42FF9" w:rsidRPr="00405637" w:rsidRDefault="00E42FF9" w:rsidP="00C5314E">
            <w:pPr>
              <w:pStyle w:val="Tabulkovtext"/>
              <w:jc w:val="center"/>
              <w:rPr>
                <w:rFonts w:cs="Tahoma"/>
                <w:lang w:eastAsia="cs-CZ"/>
              </w:rPr>
            </w:pPr>
          </w:p>
        </w:tc>
      </w:tr>
      <w:tr w:rsidR="00E42FF9" w:rsidRPr="00405637" w:rsidTr="006B08CB">
        <w:tc>
          <w:tcPr>
            <w:tcW w:w="2410" w:type="dxa"/>
            <w:tcBorders>
              <w:right w:val="single" w:sz="12" w:space="0" w:color="auto"/>
            </w:tcBorders>
            <w:shd w:val="pct10" w:color="auto" w:fill="auto"/>
          </w:tcPr>
          <w:p w:rsidR="00E42FF9" w:rsidRPr="00405637" w:rsidRDefault="00E42FF9" w:rsidP="00C5314E">
            <w:pPr>
              <w:pStyle w:val="Tabulkovtext"/>
              <w:rPr>
                <w:rFonts w:cs="Tahoma"/>
                <w:lang w:eastAsia="cs-CZ"/>
              </w:rPr>
            </w:pPr>
            <w:r w:rsidRPr="00405637">
              <w:rPr>
                <w:rFonts w:cs="Tahoma"/>
                <w:lang w:eastAsia="cs-CZ"/>
              </w:rPr>
              <w:t>Opatovice nad Labem</w:t>
            </w:r>
          </w:p>
        </w:tc>
        <w:tc>
          <w:tcPr>
            <w:tcW w:w="851" w:type="dxa"/>
            <w:tcBorders>
              <w:left w:val="single" w:sz="12" w:space="0" w:color="auto"/>
            </w:tcBorders>
          </w:tcPr>
          <w:p w:rsidR="00E42FF9" w:rsidRPr="00405637" w:rsidRDefault="006411F3" w:rsidP="00C5314E">
            <w:pPr>
              <w:pStyle w:val="Tabulkovtext"/>
              <w:jc w:val="center"/>
              <w:rPr>
                <w:rFonts w:cs="Tahoma"/>
                <w:lang w:eastAsia="cs-CZ"/>
              </w:rPr>
            </w:pPr>
            <w:r>
              <w:rPr>
                <w:rFonts w:cs="Tahoma"/>
                <w:szCs w:val="18"/>
                <w:lang w:eastAsia="cs-CZ"/>
              </w:rPr>
              <w:t>4</w:t>
            </w:r>
            <w:r w:rsidR="002B074D" w:rsidRPr="00405637">
              <w:rPr>
                <w:rFonts w:cs="Tahoma"/>
                <w:szCs w:val="18"/>
                <w:lang w:eastAsia="cs-CZ"/>
              </w:rPr>
              <w:t>,5</w:t>
            </w:r>
          </w:p>
        </w:tc>
        <w:tc>
          <w:tcPr>
            <w:tcW w:w="992" w:type="dxa"/>
          </w:tcPr>
          <w:p w:rsidR="00E42FF9" w:rsidRPr="00405637" w:rsidRDefault="002B074D" w:rsidP="00C5314E">
            <w:pPr>
              <w:pStyle w:val="Tabulkovtext"/>
              <w:jc w:val="center"/>
              <w:rPr>
                <w:rFonts w:cs="Tahoma"/>
                <w:lang w:eastAsia="cs-CZ"/>
              </w:rPr>
            </w:pPr>
            <w:r w:rsidRPr="00405637">
              <w:rPr>
                <w:rFonts w:cs="Tahoma"/>
                <w:szCs w:val="18"/>
                <w:lang w:eastAsia="cs-CZ"/>
              </w:rPr>
              <w:t>4,5</w:t>
            </w:r>
          </w:p>
        </w:tc>
        <w:tc>
          <w:tcPr>
            <w:tcW w:w="850" w:type="dxa"/>
          </w:tcPr>
          <w:p w:rsidR="008C653C" w:rsidRPr="00405637" w:rsidRDefault="000F14CE" w:rsidP="008C653C">
            <w:pPr>
              <w:pStyle w:val="Tabulkovtext"/>
              <w:jc w:val="center"/>
              <w:rPr>
                <w:rFonts w:cs="Tahoma"/>
                <w:lang w:eastAsia="cs-CZ"/>
              </w:rPr>
            </w:pPr>
            <w:r>
              <w:rPr>
                <w:rFonts w:cs="Tahoma"/>
                <w:lang w:eastAsia="cs-CZ"/>
              </w:rPr>
              <w:t>5</w:t>
            </w:r>
            <w:r w:rsidR="008C653C">
              <w:rPr>
                <w:rFonts w:cs="Tahoma"/>
                <w:lang w:eastAsia="cs-CZ"/>
              </w:rPr>
              <w:t>,5</w:t>
            </w:r>
          </w:p>
        </w:tc>
        <w:tc>
          <w:tcPr>
            <w:tcW w:w="851" w:type="dxa"/>
          </w:tcPr>
          <w:p w:rsidR="00E42FF9" w:rsidRPr="00405637" w:rsidRDefault="00E42FF9" w:rsidP="00C5314E">
            <w:pPr>
              <w:pStyle w:val="Tabulkovtext"/>
              <w:jc w:val="center"/>
              <w:rPr>
                <w:rFonts w:cs="Tahoma"/>
                <w:lang w:eastAsia="cs-CZ"/>
              </w:rPr>
            </w:pPr>
          </w:p>
        </w:tc>
        <w:tc>
          <w:tcPr>
            <w:tcW w:w="850" w:type="dxa"/>
          </w:tcPr>
          <w:p w:rsidR="00E42FF9" w:rsidRPr="00405637" w:rsidRDefault="00E42FF9" w:rsidP="00C5314E">
            <w:pPr>
              <w:pStyle w:val="Tabulkovtext"/>
              <w:jc w:val="center"/>
              <w:rPr>
                <w:rFonts w:cs="Tahoma"/>
                <w:lang w:eastAsia="cs-CZ"/>
              </w:rPr>
            </w:pPr>
          </w:p>
        </w:tc>
        <w:tc>
          <w:tcPr>
            <w:tcW w:w="851" w:type="dxa"/>
          </w:tcPr>
          <w:p w:rsidR="00E42FF9" w:rsidRPr="00405637" w:rsidRDefault="00E42FF9" w:rsidP="00C5314E">
            <w:pPr>
              <w:pStyle w:val="Tabulkovtext"/>
              <w:jc w:val="center"/>
              <w:rPr>
                <w:rFonts w:cs="Tahoma"/>
                <w:lang w:eastAsia="cs-CZ"/>
              </w:rPr>
            </w:pPr>
          </w:p>
        </w:tc>
        <w:tc>
          <w:tcPr>
            <w:tcW w:w="850" w:type="dxa"/>
          </w:tcPr>
          <w:p w:rsidR="00E42FF9" w:rsidRPr="00405637" w:rsidRDefault="002B074D" w:rsidP="00C5314E">
            <w:pPr>
              <w:pStyle w:val="Tabulkovtext"/>
              <w:jc w:val="center"/>
              <w:rPr>
                <w:rFonts w:cs="Tahoma"/>
                <w:lang w:eastAsia="cs-CZ"/>
              </w:rPr>
            </w:pPr>
            <w:r w:rsidRPr="00405637">
              <w:rPr>
                <w:rFonts w:cs="Tahoma"/>
                <w:szCs w:val="18"/>
                <w:lang w:eastAsia="cs-CZ"/>
              </w:rPr>
              <w:t>8,0</w:t>
            </w:r>
          </w:p>
        </w:tc>
        <w:tc>
          <w:tcPr>
            <w:tcW w:w="851" w:type="dxa"/>
          </w:tcPr>
          <w:p w:rsidR="00E42FF9" w:rsidRPr="00405637" w:rsidRDefault="002B074D" w:rsidP="00C5314E">
            <w:pPr>
              <w:pStyle w:val="Tabulkovtext"/>
              <w:jc w:val="center"/>
              <w:rPr>
                <w:rFonts w:cs="Tahoma"/>
                <w:lang w:eastAsia="cs-CZ"/>
              </w:rPr>
            </w:pPr>
            <w:r w:rsidRPr="00405637">
              <w:rPr>
                <w:rFonts w:cs="Tahoma"/>
                <w:szCs w:val="18"/>
                <w:lang w:eastAsia="cs-CZ"/>
              </w:rPr>
              <w:t>9,0</w:t>
            </w:r>
          </w:p>
        </w:tc>
      </w:tr>
      <w:tr w:rsidR="00E42FF9" w:rsidRPr="00405637" w:rsidTr="006B08CB">
        <w:tc>
          <w:tcPr>
            <w:tcW w:w="2410" w:type="dxa"/>
            <w:tcBorders>
              <w:right w:val="single" w:sz="12" w:space="0" w:color="auto"/>
            </w:tcBorders>
            <w:shd w:val="pct10" w:color="auto" w:fill="auto"/>
          </w:tcPr>
          <w:p w:rsidR="00E42FF9" w:rsidRPr="00405637" w:rsidRDefault="00E42FF9" w:rsidP="00C5314E">
            <w:pPr>
              <w:pStyle w:val="Tabulkovtext"/>
              <w:rPr>
                <w:rFonts w:cs="Tahoma"/>
                <w:lang w:eastAsia="cs-CZ"/>
              </w:rPr>
            </w:pPr>
            <w:r w:rsidRPr="00405637">
              <w:rPr>
                <w:rFonts w:cs="Tahoma"/>
                <w:lang w:eastAsia="cs-CZ"/>
              </w:rPr>
              <w:t>Čeperka Hl. z.</w:t>
            </w:r>
          </w:p>
        </w:tc>
        <w:tc>
          <w:tcPr>
            <w:tcW w:w="851" w:type="dxa"/>
            <w:tcBorders>
              <w:left w:val="single" w:sz="12" w:space="0" w:color="auto"/>
            </w:tcBorders>
          </w:tcPr>
          <w:p w:rsidR="00E42FF9" w:rsidRPr="00405637" w:rsidRDefault="006411F3" w:rsidP="006411F3">
            <w:pPr>
              <w:pStyle w:val="Tabulkovtext"/>
              <w:jc w:val="center"/>
              <w:rPr>
                <w:rFonts w:cs="Tahoma"/>
                <w:lang w:eastAsia="cs-CZ"/>
              </w:rPr>
            </w:pPr>
            <w:r>
              <w:rPr>
                <w:rFonts w:cs="Tahoma"/>
                <w:szCs w:val="18"/>
                <w:lang w:eastAsia="cs-CZ"/>
              </w:rPr>
              <w:t>2,5</w:t>
            </w:r>
          </w:p>
        </w:tc>
        <w:tc>
          <w:tcPr>
            <w:tcW w:w="992" w:type="dxa"/>
          </w:tcPr>
          <w:p w:rsidR="00E42FF9" w:rsidRPr="00405637" w:rsidRDefault="002B074D" w:rsidP="00C5314E">
            <w:pPr>
              <w:pStyle w:val="Tabulkovtext"/>
              <w:jc w:val="center"/>
              <w:rPr>
                <w:rFonts w:cs="Tahoma"/>
                <w:lang w:eastAsia="cs-CZ"/>
              </w:rPr>
            </w:pPr>
            <w:r w:rsidRPr="00405637">
              <w:rPr>
                <w:rFonts w:cs="Tahoma"/>
                <w:szCs w:val="18"/>
                <w:lang w:eastAsia="cs-CZ"/>
              </w:rPr>
              <w:t>2,5</w:t>
            </w:r>
          </w:p>
        </w:tc>
        <w:tc>
          <w:tcPr>
            <w:tcW w:w="850" w:type="dxa"/>
          </w:tcPr>
          <w:p w:rsidR="00E42FF9" w:rsidRPr="00405637" w:rsidRDefault="008C653C" w:rsidP="00C5314E">
            <w:pPr>
              <w:pStyle w:val="Tabulkovtext"/>
              <w:jc w:val="center"/>
              <w:rPr>
                <w:rFonts w:cs="Tahoma"/>
                <w:lang w:eastAsia="cs-CZ"/>
              </w:rPr>
            </w:pPr>
            <w:r>
              <w:rPr>
                <w:rFonts w:cs="Tahoma"/>
                <w:lang w:eastAsia="cs-CZ"/>
              </w:rPr>
              <w:t>4,0</w:t>
            </w:r>
          </w:p>
        </w:tc>
        <w:tc>
          <w:tcPr>
            <w:tcW w:w="851" w:type="dxa"/>
          </w:tcPr>
          <w:p w:rsidR="00E42FF9" w:rsidRPr="00405637" w:rsidRDefault="00E42FF9" w:rsidP="00C5314E">
            <w:pPr>
              <w:pStyle w:val="Tabulkovtext"/>
              <w:jc w:val="center"/>
              <w:rPr>
                <w:rFonts w:cs="Tahoma"/>
                <w:lang w:eastAsia="cs-CZ"/>
              </w:rPr>
            </w:pPr>
          </w:p>
        </w:tc>
        <w:tc>
          <w:tcPr>
            <w:tcW w:w="850" w:type="dxa"/>
          </w:tcPr>
          <w:p w:rsidR="00E42FF9" w:rsidRPr="00405637" w:rsidRDefault="00E42FF9" w:rsidP="00C5314E">
            <w:pPr>
              <w:pStyle w:val="Tabulkovtext"/>
              <w:jc w:val="center"/>
              <w:rPr>
                <w:rFonts w:cs="Tahoma"/>
                <w:lang w:eastAsia="cs-CZ"/>
              </w:rPr>
            </w:pPr>
          </w:p>
        </w:tc>
        <w:tc>
          <w:tcPr>
            <w:tcW w:w="851" w:type="dxa"/>
          </w:tcPr>
          <w:p w:rsidR="00E42FF9" w:rsidRPr="00405637" w:rsidRDefault="00E42FF9" w:rsidP="00C5314E">
            <w:pPr>
              <w:pStyle w:val="Tabulkovtext"/>
              <w:jc w:val="center"/>
              <w:rPr>
                <w:rFonts w:cs="Tahoma"/>
                <w:lang w:eastAsia="cs-CZ"/>
              </w:rPr>
            </w:pPr>
          </w:p>
        </w:tc>
        <w:tc>
          <w:tcPr>
            <w:tcW w:w="850" w:type="dxa"/>
          </w:tcPr>
          <w:p w:rsidR="00E42FF9" w:rsidRPr="00405637" w:rsidRDefault="002B074D" w:rsidP="00C5314E">
            <w:pPr>
              <w:pStyle w:val="Tabulkovtext"/>
              <w:jc w:val="center"/>
              <w:rPr>
                <w:rFonts w:cs="Tahoma"/>
                <w:lang w:eastAsia="cs-CZ"/>
              </w:rPr>
            </w:pPr>
            <w:r w:rsidRPr="00405637">
              <w:rPr>
                <w:rFonts w:cs="Tahoma"/>
                <w:szCs w:val="18"/>
                <w:lang w:eastAsia="cs-CZ"/>
              </w:rPr>
              <w:t>4,0</w:t>
            </w:r>
          </w:p>
        </w:tc>
        <w:tc>
          <w:tcPr>
            <w:tcW w:w="851" w:type="dxa"/>
          </w:tcPr>
          <w:p w:rsidR="00E42FF9" w:rsidRPr="00405637" w:rsidRDefault="002B074D" w:rsidP="00C5314E">
            <w:pPr>
              <w:pStyle w:val="Tabulkovtext"/>
              <w:jc w:val="center"/>
              <w:rPr>
                <w:rFonts w:cs="Tahoma"/>
                <w:lang w:eastAsia="cs-CZ"/>
              </w:rPr>
            </w:pPr>
            <w:r w:rsidRPr="00405637">
              <w:rPr>
                <w:rFonts w:cs="Tahoma"/>
                <w:szCs w:val="18"/>
                <w:lang w:eastAsia="cs-CZ"/>
              </w:rPr>
              <w:t>5,0</w:t>
            </w:r>
          </w:p>
        </w:tc>
      </w:tr>
      <w:tr w:rsidR="00E42FF9" w:rsidRPr="00405637" w:rsidTr="006B08CB">
        <w:tc>
          <w:tcPr>
            <w:tcW w:w="2410" w:type="dxa"/>
            <w:tcBorders>
              <w:right w:val="single" w:sz="12" w:space="0" w:color="auto"/>
            </w:tcBorders>
            <w:shd w:val="pct10" w:color="auto" w:fill="auto"/>
          </w:tcPr>
          <w:p w:rsidR="00E42FF9" w:rsidRPr="00405637" w:rsidRDefault="00E42FF9" w:rsidP="00C5314E">
            <w:pPr>
              <w:pStyle w:val="Tabulkovtext"/>
              <w:rPr>
                <w:rFonts w:cs="Tahoma"/>
                <w:lang w:eastAsia="cs-CZ"/>
              </w:rPr>
            </w:pPr>
            <w:r w:rsidRPr="00405637">
              <w:rPr>
                <w:rFonts w:cs="Tahoma"/>
                <w:lang w:eastAsia="cs-CZ"/>
              </w:rPr>
              <w:t>Stéblová</w:t>
            </w:r>
          </w:p>
        </w:tc>
        <w:tc>
          <w:tcPr>
            <w:tcW w:w="851" w:type="dxa"/>
            <w:tcBorders>
              <w:left w:val="single" w:sz="12" w:space="0" w:color="auto"/>
            </w:tcBorders>
          </w:tcPr>
          <w:p w:rsidR="00E42FF9" w:rsidRPr="00405637" w:rsidRDefault="006411F3" w:rsidP="00C5314E">
            <w:pPr>
              <w:pStyle w:val="Tabulkovtext"/>
              <w:jc w:val="center"/>
              <w:rPr>
                <w:rFonts w:cs="Tahoma"/>
                <w:lang w:eastAsia="cs-CZ"/>
              </w:rPr>
            </w:pPr>
            <w:r>
              <w:rPr>
                <w:rFonts w:cs="Tahoma"/>
                <w:lang w:eastAsia="cs-CZ"/>
              </w:rPr>
              <w:t>2,5</w:t>
            </w:r>
          </w:p>
        </w:tc>
        <w:tc>
          <w:tcPr>
            <w:tcW w:w="992" w:type="dxa"/>
          </w:tcPr>
          <w:p w:rsidR="00E42FF9" w:rsidRPr="00405637" w:rsidRDefault="00C85ACF" w:rsidP="00C85ACF">
            <w:pPr>
              <w:pStyle w:val="Tabulkovtext"/>
              <w:jc w:val="center"/>
              <w:rPr>
                <w:rFonts w:cs="Tahoma"/>
                <w:lang w:eastAsia="cs-CZ"/>
              </w:rPr>
            </w:pPr>
            <w:r>
              <w:rPr>
                <w:rFonts w:cs="Tahoma"/>
                <w:lang w:eastAsia="cs-CZ"/>
              </w:rPr>
              <w:t>3</w:t>
            </w:r>
            <w:r w:rsidR="008C653C">
              <w:rPr>
                <w:rFonts w:cs="Tahoma"/>
                <w:lang w:eastAsia="cs-CZ"/>
              </w:rPr>
              <w:t>,</w:t>
            </w:r>
            <w:r>
              <w:rPr>
                <w:rFonts w:cs="Tahoma"/>
                <w:lang w:eastAsia="cs-CZ"/>
              </w:rPr>
              <w:t>0</w:t>
            </w:r>
          </w:p>
        </w:tc>
        <w:tc>
          <w:tcPr>
            <w:tcW w:w="850" w:type="dxa"/>
          </w:tcPr>
          <w:p w:rsidR="00E42FF9" w:rsidRPr="00405637" w:rsidRDefault="006B5310" w:rsidP="00C5314E">
            <w:pPr>
              <w:pStyle w:val="Tabulkovtext"/>
              <w:jc w:val="center"/>
              <w:rPr>
                <w:rFonts w:cs="Tahoma"/>
                <w:lang w:eastAsia="cs-CZ"/>
              </w:rPr>
            </w:pPr>
            <w:r w:rsidRPr="00405637">
              <w:rPr>
                <w:rFonts w:cs="Tahoma"/>
                <w:lang w:eastAsia="cs-CZ"/>
              </w:rPr>
              <w:t>3,0</w:t>
            </w:r>
          </w:p>
        </w:tc>
        <w:tc>
          <w:tcPr>
            <w:tcW w:w="851" w:type="dxa"/>
          </w:tcPr>
          <w:p w:rsidR="00E42FF9" w:rsidRPr="00405637" w:rsidRDefault="00E42FF9" w:rsidP="00C5314E">
            <w:pPr>
              <w:pStyle w:val="Tabulkovtext"/>
              <w:jc w:val="center"/>
              <w:rPr>
                <w:rFonts w:cs="Tahoma"/>
                <w:lang w:eastAsia="cs-CZ"/>
              </w:rPr>
            </w:pPr>
          </w:p>
        </w:tc>
        <w:tc>
          <w:tcPr>
            <w:tcW w:w="850" w:type="dxa"/>
          </w:tcPr>
          <w:p w:rsidR="00E42FF9" w:rsidRPr="00405637" w:rsidRDefault="00E42FF9" w:rsidP="00C5314E">
            <w:pPr>
              <w:pStyle w:val="Tabulkovtext"/>
              <w:jc w:val="center"/>
              <w:rPr>
                <w:rFonts w:cs="Tahoma"/>
                <w:lang w:eastAsia="cs-CZ"/>
              </w:rPr>
            </w:pPr>
          </w:p>
        </w:tc>
        <w:tc>
          <w:tcPr>
            <w:tcW w:w="851" w:type="dxa"/>
          </w:tcPr>
          <w:p w:rsidR="00E42FF9" w:rsidRPr="00405637" w:rsidRDefault="00E42FF9" w:rsidP="00C5314E">
            <w:pPr>
              <w:pStyle w:val="Tabulkovtext"/>
              <w:jc w:val="center"/>
              <w:rPr>
                <w:rFonts w:cs="Tahoma"/>
                <w:lang w:eastAsia="cs-CZ"/>
              </w:rPr>
            </w:pPr>
          </w:p>
        </w:tc>
        <w:tc>
          <w:tcPr>
            <w:tcW w:w="850" w:type="dxa"/>
          </w:tcPr>
          <w:p w:rsidR="00E42FF9" w:rsidRPr="00405637" w:rsidRDefault="002B074D" w:rsidP="00C5314E">
            <w:pPr>
              <w:pStyle w:val="Tabulkovtext"/>
              <w:jc w:val="center"/>
              <w:rPr>
                <w:rFonts w:cs="Tahoma"/>
                <w:lang w:eastAsia="cs-CZ"/>
              </w:rPr>
            </w:pPr>
            <w:r w:rsidRPr="00405637">
              <w:rPr>
                <w:rFonts w:cs="Tahoma"/>
                <w:lang w:eastAsia="cs-CZ"/>
              </w:rPr>
              <w:t>3</w:t>
            </w:r>
            <w:r w:rsidR="00E42FF9" w:rsidRPr="00405637">
              <w:rPr>
                <w:rFonts w:cs="Tahoma"/>
                <w:lang w:eastAsia="cs-CZ"/>
              </w:rPr>
              <w:t>,0</w:t>
            </w:r>
          </w:p>
        </w:tc>
        <w:tc>
          <w:tcPr>
            <w:tcW w:w="851" w:type="dxa"/>
          </w:tcPr>
          <w:p w:rsidR="00E42FF9" w:rsidRPr="00405637" w:rsidRDefault="002B074D" w:rsidP="00C5314E">
            <w:pPr>
              <w:pStyle w:val="Tabulkovtext"/>
              <w:jc w:val="center"/>
              <w:rPr>
                <w:rFonts w:cs="Tahoma"/>
                <w:lang w:eastAsia="cs-CZ"/>
              </w:rPr>
            </w:pPr>
            <w:r w:rsidRPr="00405637">
              <w:rPr>
                <w:rFonts w:cs="Tahoma"/>
                <w:lang w:eastAsia="cs-CZ"/>
              </w:rPr>
              <w:t>5</w:t>
            </w:r>
            <w:r w:rsidR="00E42FF9" w:rsidRPr="00405637">
              <w:rPr>
                <w:rFonts w:cs="Tahoma"/>
                <w:lang w:eastAsia="cs-CZ"/>
              </w:rPr>
              <w:t>,0</w:t>
            </w:r>
          </w:p>
        </w:tc>
      </w:tr>
      <w:tr w:rsidR="002B074D" w:rsidRPr="00405637" w:rsidTr="006B08CB">
        <w:tc>
          <w:tcPr>
            <w:tcW w:w="2410" w:type="dxa"/>
            <w:tcBorders>
              <w:right w:val="single" w:sz="12" w:space="0" w:color="auto"/>
            </w:tcBorders>
            <w:shd w:val="pct10" w:color="auto" w:fill="auto"/>
          </w:tcPr>
          <w:p w:rsidR="002B074D" w:rsidRPr="00405637" w:rsidRDefault="002B074D" w:rsidP="00C5314E">
            <w:pPr>
              <w:pStyle w:val="Tabulkovtext"/>
              <w:rPr>
                <w:rFonts w:cs="Tahoma"/>
                <w:lang w:eastAsia="cs-CZ"/>
              </w:rPr>
            </w:pPr>
            <w:r w:rsidRPr="00405637">
              <w:rPr>
                <w:rFonts w:cs="Tahoma"/>
                <w:lang w:eastAsia="cs-CZ"/>
              </w:rPr>
              <w:t>Pardubice-Semtín z</w:t>
            </w:r>
          </w:p>
        </w:tc>
        <w:tc>
          <w:tcPr>
            <w:tcW w:w="851" w:type="dxa"/>
            <w:tcBorders>
              <w:left w:val="single" w:sz="12" w:space="0" w:color="auto"/>
            </w:tcBorders>
          </w:tcPr>
          <w:p w:rsidR="002B074D" w:rsidRPr="00405637" w:rsidRDefault="002B074D" w:rsidP="000579C3">
            <w:pPr>
              <w:pStyle w:val="Tabulkovtext"/>
              <w:jc w:val="center"/>
              <w:rPr>
                <w:rFonts w:cs="Tahoma"/>
                <w:lang w:eastAsia="cs-CZ"/>
              </w:rPr>
            </w:pPr>
            <w:r w:rsidRPr="00405637">
              <w:rPr>
                <w:rFonts w:cs="Tahoma"/>
                <w:szCs w:val="18"/>
                <w:lang w:eastAsia="cs-CZ"/>
              </w:rPr>
              <w:t>|</w:t>
            </w:r>
          </w:p>
        </w:tc>
        <w:tc>
          <w:tcPr>
            <w:tcW w:w="992" w:type="dxa"/>
          </w:tcPr>
          <w:p w:rsidR="002B074D" w:rsidRPr="00405637" w:rsidRDefault="002B074D" w:rsidP="000579C3">
            <w:pPr>
              <w:pStyle w:val="Tabulkovtext"/>
              <w:jc w:val="center"/>
              <w:rPr>
                <w:rFonts w:cs="Tahoma"/>
                <w:lang w:eastAsia="cs-CZ"/>
              </w:rPr>
            </w:pPr>
            <w:r w:rsidRPr="00405637">
              <w:rPr>
                <w:rFonts w:cs="Tahoma"/>
                <w:szCs w:val="18"/>
                <w:lang w:eastAsia="cs-CZ"/>
              </w:rPr>
              <w:t>|</w:t>
            </w:r>
          </w:p>
        </w:tc>
        <w:tc>
          <w:tcPr>
            <w:tcW w:w="850" w:type="dxa"/>
          </w:tcPr>
          <w:p w:rsidR="002B074D" w:rsidRPr="00405637" w:rsidRDefault="006B5310" w:rsidP="00C5314E">
            <w:pPr>
              <w:pStyle w:val="Tabulkovtext"/>
              <w:jc w:val="center"/>
              <w:rPr>
                <w:rFonts w:cs="Tahoma"/>
                <w:lang w:eastAsia="cs-CZ"/>
              </w:rPr>
            </w:pPr>
            <w:r w:rsidRPr="00405637">
              <w:rPr>
                <w:rFonts w:cs="Tahoma"/>
                <w:lang w:eastAsia="cs-CZ"/>
              </w:rPr>
              <w:t>4,0</w:t>
            </w:r>
          </w:p>
        </w:tc>
        <w:tc>
          <w:tcPr>
            <w:tcW w:w="851" w:type="dxa"/>
          </w:tcPr>
          <w:p w:rsidR="002B074D" w:rsidRPr="00405637" w:rsidRDefault="002B074D" w:rsidP="00C5314E">
            <w:pPr>
              <w:pStyle w:val="Tabulkovtext"/>
              <w:jc w:val="center"/>
              <w:rPr>
                <w:rFonts w:cs="Tahoma"/>
                <w:lang w:eastAsia="cs-CZ"/>
              </w:rPr>
            </w:pPr>
          </w:p>
        </w:tc>
        <w:tc>
          <w:tcPr>
            <w:tcW w:w="850" w:type="dxa"/>
          </w:tcPr>
          <w:p w:rsidR="002B074D" w:rsidRPr="00405637" w:rsidRDefault="002B074D" w:rsidP="00C5314E">
            <w:pPr>
              <w:pStyle w:val="Tabulkovtext"/>
              <w:jc w:val="center"/>
              <w:rPr>
                <w:rFonts w:cs="Tahoma"/>
                <w:lang w:eastAsia="cs-CZ"/>
              </w:rPr>
            </w:pPr>
          </w:p>
        </w:tc>
        <w:tc>
          <w:tcPr>
            <w:tcW w:w="851" w:type="dxa"/>
          </w:tcPr>
          <w:p w:rsidR="002B074D" w:rsidRPr="00405637" w:rsidRDefault="002B074D" w:rsidP="00C5314E">
            <w:pPr>
              <w:pStyle w:val="Tabulkovtext"/>
              <w:jc w:val="center"/>
              <w:rPr>
                <w:rFonts w:cs="Tahoma"/>
                <w:lang w:eastAsia="cs-CZ"/>
              </w:rPr>
            </w:pPr>
          </w:p>
        </w:tc>
        <w:tc>
          <w:tcPr>
            <w:tcW w:w="850" w:type="dxa"/>
          </w:tcPr>
          <w:p w:rsidR="002B074D" w:rsidRPr="00405637" w:rsidRDefault="002B074D" w:rsidP="000579C3">
            <w:pPr>
              <w:pStyle w:val="Tabulkovtext"/>
              <w:jc w:val="center"/>
              <w:rPr>
                <w:rFonts w:cs="Tahoma"/>
                <w:lang w:eastAsia="cs-CZ"/>
              </w:rPr>
            </w:pPr>
            <w:r w:rsidRPr="00405637">
              <w:rPr>
                <w:rFonts w:cs="Tahoma"/>
                <w:szCs w:val="18"/>
                <w:lang w:eastAsia="cs-CZ"/>
              </w:rPr>
              <w:t>|</w:t>
            </w:r>
          </w:p>
        </w:tc>
        <w:tc>
          <w:tcPr>
            <w:tcW w:w="851" w:type="dxa"/>
          </w:tcPr>
          <w:p w:rsidR="002B074D" w:rsidRPr="00405637" w:rsidRDefault="002B074D" w:rsidP="000579C3">
            <w:pPr>
              <w:pStyle w:val="Tabulkovtext"/>
              <w:jc w:val="center"/>
              <w:rPr>
                <w:rFonts w:cs="Tahoma"/>
                <w:lang w:eastAsia="cs-CZ"/>
              </w:rPr>
            </w:pPr>
            <w:r w:rsidRPr="00405637">
              <w:rPr>
                <w:rFonts w:cs="Tahoma"/>
                <w:szCs w:val="18"/>
                <w:lang w:eastAsia="cs-CZ"/>
              </w:rPr>
              <w:t>|</w:t>
            </w:r>
          </w:p>
        </w:tc>
      </w:tr>
      <w:tr w:rsidR="002B074D" w:rsidRPr="00405637" w:rsidTr="006B08CB">
        <w:tc>
          <w:tcPr>
            <w:tcW w:w="2410" w:type="dxa"/>
            <w:tcBorders>
              <w:right w:val="single" w:sz="12" w:space="0" w:color="auto"/>
            </w:tcBorders>
            <w:shd w:val="pct10" w:color="auto" w:fill="auto"/>
          </w:tcPr>
          <w:p w:rsidR="002B074D" w:rsidRPr="00405637" w:rsidRDefault="002B074D" w:rsidP="00C5314E">
            <w:pPr>
              <w:pStyle w:val="Tabulkovtext"/>
              <w:rPr>
                <w:rFonts w:cs="Tahoma"/>
                <w:lang w:eastAsia="cs-CZ"/>
              </w:rPr>
            </w:pPr>
            <w:r w:rsidRPr="00405637">
              <w:rPr>
                <w:rFonts w:cs="Tahoma"/>
                <w:lang w:eastAsia="cs-CZ"/>
              </w:rPr>
              <w:t>Pardubice-Rosice n. L.</w:t>
            </w:r>
          </w:p>
        </w:tc>
        <w:tc>
          <w:tcPr>
            <w:tcW w:w="851" w:type="dxa"/>
            <w:tcBorders>
              <w:left w:val="single" w:sz="12" w:space="0" w:color="auto"/>
            </w:tcBorders>
          </w:tcPr>
          <w:p w:rsidR="002B074D" w:rsidRPr="00405637" w:rsidRDefault="002B074D" w:rsidP="006411F3">
            <w:pPr>
              <w:pStyle w:val="Tabulkovtext"/>
              <w:jc w:val="center"/>
              <w:rPr>
                <w:rFonts w:cs="Tahoma"/>
                <w:lang w:eastAsia="cs-CZ"/>
              </w:rPr>
            </w:pPr>
            <w:r w:rsidRPr="00405637">
              <w:rPr>
                <w:rFonts w:cs="Tahoma"/>
                <w:lang w:eastAsia="cs-CZ"/>
              </w:rPr>
              <w:t>5,</w:t>
            </w:r>
            <w:r w:rsidR="006411F3">
              <w:rPr>
                <w:rFonts w:cs="Tahoma"/>
                <w:lang w:eastAsia="cs-CZ"/>
              </w:rPr>
              <w:t>5</w:t>
            </w:r>
          </w:p>
        </w:tc>
        <w:tc>
          <w:tcPr>
            <w:tcW w:w="992" w:type="dxa"/>
          </w:tcPr>
          <w:p w:rsidR="002B074D" w:rsidRPr="00405637" w:rsidRDefault="008C653C" w:rsidP="00C85ACF">
            <w:pPr>
              <w:pStyle w:val="Tabulkovtext"/>
              <w:jc w:val="center"/>
              <w:rPr>
                <w:rFonts w:cs="Tahoma"/>
                <w:lang w:eastAsia="cs-CZ"/>
              </w:rPr>
            </w:pPr>
            <w:r>
              <w:rPr>
                <w:rFonts w:cs="Tahoma"/>
                <w:lang w:eastAsia="cs-CZ"/>
              </w:rPr>
              <w:t>5</w:t>
            </w:r>
            <w:r w:rsidR="002B074D" w:rsidRPr="00405637">
              <w:rPr>
                <w:rFonts w:cs="Tahoma"/>
                <w:lang w:eastAsia="cs-CZ"/>
              </w:rPr>
              <w:t>,</w:t>
            </w:r>
            <w:r w:rsidR="00C85ACF">
              <w:rPr>
                <w:rFonts w:cs="Tahoma"/>
                <w:lang w:eastAsia="cs-CZ"/>
              </w:rPr>
              <w:t>5</w:t>
            </w:r>
          </w:p>
        </w:tc>
        <w:tc>
          <w:tcPr>
            <w:tcW w:w="850" w:type="dxa"/>
          </w:tcPr>
          <w:p w:rsidR="002B074D" w:rsidRPr="00405637" w:rsidRDefault="00974AE4" w:rsidP="00974AE4">
            <w:pPr>
              <w:pStyle w:val="Tabulkovtext"/>
              <w:jc w:val="center"/>
              <w:rPr>
                <w:rFonts w:cs="Tahoma"/>
                <w:lang w:eastAsia="cs-CZ"/>
              </w:rPr>
            </w:pPr>
            <w:r>
              <w:rPr>
                <w:rFonts w:cs="Tahoma"/>
                <w:lang w:eastAsia="cs-CZ"/>
              </w:rPr>
              <w:t>2</w:t>
            </w:r>
            <w:r w:rsidR="006B5310" w:rsidRPr="00405637">
              <w:rPr>
                <w:rFonts w:cs="Tahoma"/>
                <w:lang w:eastAsia="cs-CZ"/>
              </w:rPr>
              <w:t>,0</w:t>
            </w:r>
          </w:p>
        </w:tc>
        <w:tc>
          <w:tcPr>
            <w:tcW w:w="851" w:type="dxa"/>
          </w:tcPr>
          <w:p w:rsidR="002B074D" w:rsidRPr="00405637" w:rsidRDefault="002B074D" w:rsidP="00C5314E">
            <w:pPr>
              <w:pStyle w:val="Tabulkovtext"/>
              <w:jc w:val="center"/>
              <w:rPr>
                <w:rFonts w:cs="Tahoma"/>
                <w:lang w:eastAsia="cs-CZ"/>
              </w:rPr>
            </w:pPr>
          </w:p>
        </w:tc>
        <w:tc>
          <w:tcPr>
            <w:tcW w:w="850" w:type="dxa"/>
          </w:tcPr>
          <w:p w:rsidR="002B074D" w:rsidRPr="00405637" w:rsidRDefault="002B074D" w:rsidP="00C5314E">
            <w:pPr>
              <w:pStyle w:val="Tabulkovtext"/>
              <w:jc w:val="center"/>
              <w:rPr>
                <w:rFonts w:cs="Tahoma"/>
                <w:lang w:eastAsia="cs-CZ"/>
              </w:rPr>
            </w:pPr>
          </w:p>
        </w:tc>
        <w:tc>
          <w:tcPr>
            <w:tcW w:w="851" w:type="dxa"/>
          </w:tcPr>
          <w:p w:rsidR="002B074D" w:rsidRPr="00405637" w:rsidRDefault="002B074D" w:rsidP="00C5314E">
            <w:pPr>
              <w:pStyle w:val="Tabulkovtext"/>
              <w:jc w:val="center"/>
              <w:rPr>
                <w:rFonts w:cs="Tahoma"/>
                <w:lang w:eastAsia="cs-CZ"/>
              </w:rPr>
            </w:pPr>
          </w:p>
        </w:tc>
        <w:tc>
          <w:tcPr>
            <w:tcW w:w="850" w:type="dxa"/>
          </w:tcPr>
          <w:p w:rsidR="002B074D" w:rsidRPr="00405637" w:rsidRDefault="002B074D" w:rsidP="00C5314E">
            <w:pPr>
              <w:pStyle w:val="Tabulkovtext"/>
              <w:jc w:val="center"/>
              <w:rPr>
                <w:rFonts w:cs="Tahoma"/>
                <w:lang w:eastAsia="cs-CZ"/>
              </w:rPr>
            </w:pPr>
            <w:r w:rsidRPr="00405637">
              <w:rPr>
                <w:rFonts w:cs="Tahoma"/>
                <w:szCs w:val="18"/>
                <w:lang w:eastAsia="cs-CZ"/>
              </w:rPr>
              <w:t>7,0</w:t>
            </w:r>
          </w:p>
        </w:tc>
        <w:tc>
          <w:tcPr>
            <w:tcW w:w="851" w:type="dxa"/>
          </w:tcPr>
          <w:p w:rsidR="002B074D" w:rsidRPr="00405637" w:rsidRDefault="002B074D" w:rsidP="00C5314E">
            <w:pPr>
              <w:pStyle w:val="Tabulkovtext"/>
              <w:jc w:val="center"/>
              <w:rPr>
                <w:rFonts w:cs="Tahoma"/>
                <w:lang w:eastAsia="cs-CZ"/>
              </w:rPr>
            </w:pPr>
            <w:r w:rsidRPr="00405637">
              <w:rPr>
                <w:rFonts w:cs="Tahoma"/>
                <w:szCs w:val="18"/>
                <w:lang w:eastAsia="cs-CZ"/>
              </w:rPr>
              <w:t>9,0</w:t>
            </w:r>
          </w:p>
        </w:tc>
      </w:tr>
      <w:tr w:rsidR="002B074D" w:rsidRPr="00405637" w:rsidTr="006B08CB">
        <w:tc>
          <w:tcPr>
            <w:tcW w:w="2410" w:type="dxa"/>
            <w:tcBorders>
              <w:right w:val="single" w:sz="12" w:space="0" w:color="auto"/>
            </w:tcBorders>
            <w:shd w:val="pct10" w:color="auto" w:fill="auto"/>
          </w:tcPr>
          <w:p w:rsidR="002B074D" w:rsidRPr="00405637" w:rsidRDefault="002B074D" w:rsidP="00C5314E">
            <w:pPr>
              <w:pStyle w:val="Tabulkovtext"/>
              <w:rPr>
                <w:rFonts w:cs="Tahoma"/>
                <w:lang w:eastAsia="cs-CZ"/>
              </w:rPr>
            </w:pPr>
            <w:r w:rsidRPr="00405637">
              <w:rPr>
                <w:rFonts w:cs="Tahoma"/>
                <w:lang w:eastAsia="cs-CZ"/>
              </w:rPr>
              <w:t>Pardubice hlavní nádr.</w:t>
            </w:r>
          </w:p>
        </w:tc>
        <w:tc>
          <w:tcPr>
            <w:tcW w:w="851" w:type="dxa"/>
            <w:tcBorders>
              <w:left w:val="single" w:sz="12" w:space="0" w:color="auto"/>
            </w:tcBorders>
          </w:tcPr>
          <w:p w:rsidR="002B074D" w:rsidRPr="00405637" w:rsidRDefault="006411F3" w:rsidP="00C5314E">
            <w:pPr>
              <w:pStyle w:val="Tabulkovtext"/>
              <w:jc w:val="center"/>
              <w:rPr>
                <w:rFonts w:cs="Tahoma"/>
                <w:lang w:eastAsia="cs-CZ"/>
              </w:rPr>
            </w:pPr>
            <w:r>
              <w:rPr>
                <w:rFonts w:cs="Tahoma"/>
                <w:lang w:eastAsia="cs-CZ"/>
              </w:rPr>
              <w:t>3,0</w:t>
            </w:r>
          </w:p>
        </w:tc>
        <w:tc>
          <w:tcPr>
            <w:tcW w:w="992" w:type="dxa"/>
          </w:tcPr>
          <w:p w:rsidR="002B074D" w:rsidRPr="00405637" w:rsidRDefault="00974AE4" w:rsidP="00C5314E">
            <w:pPr>
              <w:pStyle w:val="Tabulkovtext"/>
              <w:jc w:val="center"/>
              <w:rPr>
                <w:rFonts w:cs="Tahoma"/>
                <w:lang w:eastAsia="cs-CZ"/>
              </w:rPr>
            </w:pPr>
            <w:r>
              <w:rPr>
                <w:rFonts w:cs="Tahoma"/>
                <w:lang w:eastAsia="cs-CZ"/>
              </w:rPr>
              <w:t>3,0</w:t>
            </w:r>
          </w:p>
        </w:tc>
        <w:tc>
          <w:tcPr>
            <w:tcW w:w="850" w:type="dxa"/>
          </w:tcPr>
          <w:p w:rsidR="002B074D" w:rsidRPr="00405637" w:rsidRDefault="00974AE4" w:rsidP="00C5314E">
            <w:pPr>
              <w:pStyle w:val="Tabulkovtext"/>
              <w:jc w:val="center"/>
              <w:rPr>
                <w:rFonts w:cs="Tahoma"/>
                <w:lang w:eastAsia="cs-CZ"/>
              </w:rPr>
            </w:pPr>
            <w:r>
              <w:rPr>
                <w:rFonts w:cs="Tahoma"/>
                <w:lang w:eastAsia="cs-CZ"/>
              </w:rPr>
              <w:t>3,0</w:t>
            </w:r>
          </w:p>
        </w:tc>
        <w:tc>
          <w:tcPr>
            <w:tcW w:w="851" w:type="dxa"/>
          </w:tcPr>
          <w:p w:rsidR="002B074D" w:rsidRPr="00405637" w:rsidRDefault="002B074D" w:rsidP="00C5314E">
            <w:pPr>
              <w:pStyle w:val="Tabulkovtext"/>
              <w:jc w:val="center"/>
              <w:rPr>
                <w:rFonts w:cs="Tahoma"/>
                <w:lang w:eastAsia="cs-CZ"/>
              </w:rPr>
            </w:pPr>
          </w:p>
        </w:tc>
        <w:tc>
          <w:tcPr>
            <w:tcW w:w="850" w:type="dxa"/>
          </w:tcPr>
          <w:p w:rsidR="002B074D" w:rsidRPr="00405637" w:rsidRDefault="002B074D" w:rsidP="00C5314E">
            <w:pPr>
              <w:pStyle w:val="Tabulkovtext"/>
              <w:jc w:val="center"/>
              <w:rPr>
                <w:rFonts w:cs="Tahoma"/>
                <w:lang w:eastAsia="cs-CZ"/>
              </w:rPr>
            </w:pPr>
          </w:p>
        </w:tc>
        <w:tc>
          <w:tcPr>
            <w:tcW w:w="851" w:type="dxa"/>
          </w:tcPr>
          <w:p w:rsidR="002B074D" w:rsidRPr="00405637" w:rsidRDefault="002B074D" w:rsidP="00C5314E">
            <w:pPr>
              <w:pStyle w:val="Tabulkovtext"/>
              <w:jc w:val="center"/>
              <w:rPr>
                <w:rFonts w:cs="Tahoma"/>
                <w:lang w:eastAsia="cs-CZ"/>
              </w:rPr>
            </w:pPr>
          </w:p>
        </w:tc>
        <w:tc>
          <w:tcPr>
            <w:tcW w:w="850" w:type="dxa"/>
          </w:tcPr>
          <w:p w:rsidR="002B074D" w:rsidRPr="00405637" w:rsidRDefault="002B074D" w:rsidP="00C5314E">
            <w:pPr>
              <w:pStyle w:val="Tabulkovtext"/>
              <w:jc w:val="center"/>
              <w:rPr>
                <w:rFonts w:cs="Tahoma"/>
                <w:lang w:eastAsia="cs-CZ"/>
              </w:rPr>
            </w:pPr>
            <w:r w:rsidRPr="00405637">
              <w:rPr>
                <w:rFonts w:cs="Tahoma"/>
                <w:lang w:eastAsia="cs-CZ"/>
              </w:rPr>
              <w:t>5,0</w:t>
            </w:r>
          </w:p>
        </w:tc>
        <w:tc>
          <w:tcPr>
            <w:tcW w:w="851" w:type="dxa"/>
          </w:tcPr>
          <w:p w:rsidR="002B074D" w:rsidRPr="00405637" w:rsidRDefault="002B074D" w:rsidP="00C5314E">
            <w:pPr>
              <w:pStyle w:val="Tabulkovtext"/>
              <w:jc w:val="center"/>
              <w:rPr>
                <w:rFonts w:cs="Tahoma"/>
                <w:lang w:eastAsia="cs-CZ"/>
              </w:rPr>
            </w:pPr>
            <w:r w:rsidRPr="00405637">
              <w:rPr>
                <w:rFonts w:cs="Tahoma"/>
                <w:lang w:eastAsia="cs-CZ"/>
              </w:rPr>
              <w:t>6,0</w:t>
            </w:r>
          </w:p>
        </w:tc>
      </w:tr>
      <w:tr w:rsidR="002B074D" w:rsidRPr="00405637" w:rsidTr="006B08CB">
        <w:tc>
          <w:tcPr>
            <w:tcW w:w="2410" w:type="dxa"/>
            <w:tcBorders>
              <w:right w:val="single" w:sz="12" w:space="0" w:color="auto"/>
            </w:tcBorders>
            <w:shd w:val="pct10" w:color="auto" w:fill="auto"/>
          </w:tcPr>
          <w:p w:rsidR="002B074D" w:rsidRPr="00405637" w:rsidRDefault="002B074D" w:rsidP="00C5314E">
            <w:pPr>
              <w:pStyle w:val="Tabulkovtext"/>
              <w:rPr>
                <w:rFonts w:cs="Tahoma"/>
                <w:b/>
                <w:lang w:eastAsia="cs-CZ"/>
              </w:rPr>
            </w:pPr>
            <w:r w:rsidRPr="00405637">
              <w:rPr>
                <w:rFonts w:ascii="Symbol" w:hAnsi="Symbol" w:cs="Tahoma"/>
                <w:b/>
                <w:lang w:eastAsia="cs-CZ"/>
              </w:rPr>
              <w:t></w:t>
            </w:r>
            <w:r w:rsidRPr="00405637">
              <w:rPr>
                <w:rFonts w:cs="Tahoma"/>
                <w:b/>
                <w:lang w:eastAsia="cs-CZ"/>
              </w:rPr>
              <w:t xml:space="preserve"> jizdních dob</w:t>
            </w:r>
          </w:p>
        </w:tc>
        <w:tc>
          <w:tcPr>
            <w:tcW w:w="851" w:type="dxa"/>
            <w:tcBorders>
              <w:left w:val="single" w:sz="12" w:space="0" w:color="auto"/>
            </w:tcBorders>
          </w:tcPr>
          <w:p w:rsidR="002B074D" w:rsidRPr="00405637" w:rsidRDefault="006411F3" w:rsidP="006411F3">
            <w:pPr>
              <w:pStyle w:val="Tabulkovtext"/>
              <w:jc w:val="center"/>
              <w:rPr>
                <w:rFonts w:cs="Tahoma"/>
                <w:b/>
                <w:lang w:eastAsia="cs-CZ"/>
              </w:rPr>
            </w:pPr>
            <w:r>
              <w:rPr>
                <w:rFonts w:cs="Tahoma"/>
                <w:b/>
                <w:lang w:eastAsia="cs-CZ"/>
              </w:rPr>
              <w:t>18</w:t>
            </w:r>
            <w:r w:rsidR="002B074D" w:rsidRPr="00405637">
              <w:rPr>
                <w:rFonts w:cs="Tahoma"/>
                <w:b/>
                <w:lang w:eastAsia="cs-CZ"/>
              </w:rPr>
              <w:t>,0</w:t>
            </w:r>
          </w:p>
        </w:tc>
        <w:tc>
          <w:tcPr>
            <w:tcW w:w="992" w:type="dxa"/>
          </w:tcPr>
          <w:p w:rsidR="002B074D" w:rsidRPr="00405637" w:rsidRDefault="00C85ACF" w:rsidP="00C85ACF">
            <w:pPr>
              <w:pStyle w:val="Tabulkovtext"/>
              <w:jc w:val="center"/>
              <w:rPr>
                <w:rFonts w:cs="Tahoma"/>
                <w:b/>
                <w:lang w:eastAsia="cs-CZ"/>
              </w:rPr>
            </w:pPr>
            <w:r w:rsidRPr="00405637">
              <w:rPr>
                <w:rFonts w:cs="Tahoma"/>
                <w:b/>
                <w:lang w:eastAsia="cs-CZ"/>
              </w:rPr>
              <w:t>1</w:t>
            </w:r>
            <w:r>
              <w:rPr>
                <w:rFonts w:cs="Tahoma"/>
                <w:b/>
                <w:lang w:eastAsia="cs-CZ"/>
              </w:rPr>
              <w:t>8</w:t>
            </w:r>
            <w:r w:rsidR="002B074D" w:rsidRPr="00405637">
              <w:rPr>
                <w:rFonts w:cs="Tahoma"/>
                <w:b/>
                <w:lang w:eastAsia="cs-CZ"/>
              </w:rPr>
              <w:t>,</w:t>
            </w:r>
            <w:r w:rsidR="000F14CE">
              <w:rPr>
                <w:rFonts w:cs="Tahoma"/>
                <w:b/>
                <w:lang w:eastAsia="cs-CZ"/>
              </w:rPr>
              <w:t>5</w:t>
            </w:r>
          </w:p>
        </w:tc>
        <w:tc>
          <w:tcPr>
            <w:tcW w:w="850" w:type="dxa"/>
          </w:tcPr>
          <w:p w:rsidR="002B074D" w:rsidRPr="00405637" w:rsidRDefault="008C653C" w:rsidP="000F14CE">
            <w:pPr>
              <w:pStyle w:val="Tabulkovtext"/>
              <w:jc w:val="center"/>
              <w:rPr>
                <w:rFonts w:cs="Tahoma"/>
                <w:b/>
                <w:lang w:eastAsia="cs-CZ"/>
              </w:rPr>
            </w:pPr>
            <w:r>
              <w:rPr>
                <w:rFonts w:cs="Tahoma"/>
                <w:b/>
                <w:lang w:eastAsia="cs-CZ"/>
              </w:rPr>
              <w:t>2</w:t>
            </w:r>
            <w:r w:rsidR="000F14CE">
              <w:rPr>
                <w:rFonts w:cs="Tahoma"/>
                <w:b/>
                <w:lang w:eastAsia="cs-CZ"/>
              </w:rPr>
              <w:t>1</w:t>
            </w:r>
            <w:r w:rsidR="002B074D" w:rsidRPr="00405637">
              <w:rPr>
                <w:rFonts w:cs="Tahoma"/>
                <w:b/>
                <w:lang w:eastAsia="cs-CZ"/>
              </w:rPr>
              <w:t>,</w:t>
            </w:r>
            <w:r>
              <w:rPr>
                <w:rFonts w:cs="Tahoma"/>
                <w:b/>
                <w:lang w:eastAsia="cs-CZ"/>
              </w:rPr>
              <w:t>5</w:t>
            </w:r>
          </w:p>
        </w:tc>
        <w:tc>
          <w:tcPr>
            <w:tcW w:w="851" w:type="dxa"/>
          </w:tcPr>
          <w:p w:rsidR="002B074D" w:rsidRPr="00405637" w:rsidRDefault="002B074D" w:rsidP="00C5314E">
            <w:pPr>
              <w:pStyle w:val="Tabulkovtext"/>
              <w:jc w:val="center"/>
              <w:rPr>
                <w:rFonts w:cs="Tahoma"/>
                <w:b/>
                <w:lang w:eastAsia="cs-CZ"/>
              </w:rPr>
            </w:pPr>
          </w:p>
        </w:tc>
        <w:tc>
          <w:tcPr>
            <w:tcW w:w="850" w:type="dxa"/>
          </w:tcPr>
          <w:p w:rsidR="002B074D" w:rsidRPr="00405637" w:rsidRDefault="002B074D" w:rsidP="00C5314E">
            <w:pPr>
              <w:pStyle w:val="Tabulkovtext"/>
              <w:jc w:val="center"/>
              <w:rPr>
                <w:rFonts w:cs="Tahoma"/>
                <w:b/>
                <w:lang w:eastAsia="cs-CZ"/>
              </w:rPr>
            </w:pPr>
          </w:p>
        </w:tc>
        <w:tc>
          <w:tcPr>
            <w:tcW w:w="851" w:type="dxa"/>
          </w:tcPr>
          <w:p w:rsidR="002B074D" w:rsidRPr="00405637" w:rsidRDefault="002B074D" w:rsidP="00C5314E">
            <w:pPr>
              <w:pStyle w:val="Tabulkovtext"/>
              <w:jc w:val="center"/>
              <w:rPr>
                <w:rFonts w:cs="Tahoma"/>
                <w:b/>
                <w:lang w:eastAsia="cs-CZ"/>
              </w:rPr>
            </w:pPr>
          </w:p>
        </w:tc>
        <w:tc>
          <w:tcPr>
            <w:tcW w:w="850" w:type="dxa"/>
          </w:tcPr>
          <w:p w:rsidR="002B074D" w:rsidRPr="00405637" w:rsidRDefault="002B074D" w:rsidP="00C5314E">
            <w:pPr>
              <w:pStyle w:val="Tabulkovtext"/>
              <w:jc w:val="center"/>
              <w:rPr>
                <w:rFonts w:cs="Tahoma"/>
                <w:b/>
                <w:lang w:eastAsia="cs-CZ"/>
              </w:rPr>
            </w:pPr>
            <w:r w:rsidRPr="00405637">
              <w:rPr>
                <w:rFonts w:cs="Tahoma"/>
                <w:b/>
                <w:lang w:eastAsia="cs-CZ"/>
              </w:rPr>
              <w:t>27,0</w:t>
            </w:r>
          </w:p>
        </w:tc>
        <w:tc>
          <w:tcPr>
            <w:tcW w:w="851" w:type="dxa"/>
          </w:tcPr>
          <w:p w:rsidR="002B074D" w:rsidRPr="00405637" w:rsidRDefault="002B074D" w:rsidP="00C5314E">
            <w:pPr>
              <w:pStyle w:val="Tabulkovtext"/>
              <w:jc w:val="center"/>
              <w:rPr>
                <w:rFonts w:cs="Tahoma"/>
                <w:b/>
                <w:lang w:eastAsia="cs-CZ"/>
              </w:rPr>
            </w:pPr>
            <w:r w:rsidRPr="00405637">
              <w:rPr>
                <w:rFonts w:cs="Tahoma"/>
                <w:b/>
                <w:lang w:eastAsia="cs-CZ"/>
              </w:rPr>
              <w:t>34,0</w:t>
            </w:r>
          </w:p>
        </w:tc>
      </w:tr>
      <w:tr w:rsidR="002B074D" w:rsidRPr="00405637" w:rsidTr="006B08CB">
        <w:tc>
          <w:tcPr>
            <w:tcW w:w="2410" w:type="dxa"/>
            <w:tcBorders>
              <w:right w:val="single" w:sz="12" w:space="0" w:color="auto"/>
            </w:tcBorders>
            <w:shd w:val="pct10" w:color="auto" w:fill="auto"/>
          </w:tcPr>
          <w:p w:rsidR="002B074D" w:rsidRPr="00405637" w:rsidRDefault="002B074D" w:rsidP="00B9709B">
            <w:pPr>
              <w:pStyle w:val="Tabulkovtext"/>
              <w:rPr>
                <w:rFonts w:cs="Tahoma"/>
                <w:lang w:eastAsia="cs-CZ"/>
              </w:rPr>
            </w:pPr>
            <w:r w:rsidRPr="00405637">
              <w:rPr>
                <w:rFonts w:cs="Tahoma"/>
                <w:lang w:eastAsia="cs-CZ"/>
              </w:rPr>
              <w:t xml:space="preserve">Cestovní doba </w:t>
            </w:r>
            <w:r w:rsidR="00B9709B" w:rsidRPr="00405637">
              <w:rPr>
                <w:rFonts w:cs="Tahoma"/>
                <w:lang w:eastAsia="cs-CZ"/>
              </w:rPr>
              <w:t xml:space="preserve">HK - </w:t>
            </w:r>
            <w:r w:rsidRPr="00405637">
              <w:rPr>
                <w:rFonts w:cs="Tahoma"/>
                <w:lang w:eastAsia="cs-CZ"/>
              </w:rPr>
              <w:t>Par</w:t>
            </w:r>
          </w:p>
        </w:tc>
        <w:tc>
          <w:tcPr>
            <w:tcW w:w="851" w:type="dxa"/>
            <w:tcBorders>
              <w:left w:val="single" w:sz="12" w:space="0" w:color="auto"/>
            </w:tcBorders>
          </w:tcPr>
          <w:p w:rsidR="002B074D" w:rsidRPr="00405637" w:rsidRDefault="006411F3" w:rsidP="00C5314E">
            <w:pPr>
              <w:pStyle w:val="Tabulkovtext"/>
              <w:jc w:val="center"/>
              <w:rPr>
                <w:rFonts w:cs="Tahoma"/>
                <w:lang w:eastAsia="cs-CZ"/>
              </w:rPr>
            </w:pPr>
            <w:r>
              <w:rPr>
                <w:rFonts w:cs="Tahoma"/>
                <w:lang w:eastAsia="cs-CZ"/>
              </w:rPr>
              <w:t>19</w:t>
            </w:r>
            <w:r w:rsidR="002B074D" w:rsidRPr="00405637">
              <w:rPr>
                <w:rFonts w:cs="Tahoma"/>
                <w:lang w:eastAsia="cs-CZ"/>
              </w:rPr>
              <w:t>,0</w:t>
            </w:r>
          </w:p>
        </w:tc>
        <w:tc>
          <w:tcPr>
            <w:tcW w:w="992" w:type="dxa"/>
          </w:tcPr>
          <w:p w:rsidR="002B074D" w:rsidRPr="00405637" w:rsidRDefault="005E0389" w:rsidP="005E0389">
            <w:pPr>
              <w:pStyle w:val="Tabulkovtext"/>
              <w:jc w:val="center"/>
              <w:rPr>
                <w:rFonts w:cs="Tahoma"/>
                <w:lang w:eastAsia="cs-CZ"/>
              </w:rPr>
            </w:pPr>
            <w:r>
              <w:rPr>
                <w:rFonts w:cs="Tahoma"/>
                <w:lang w:eastAsia="cs-CZ"/>
              </w:rPr>
              <w:t>24</w:t>
            </w:r>
            <w:r w:rsidR="002E036E">
              <w:rPr>
                <w:rFonts w:cs="Tahoma"/>
                <w:lang w:eastAsia="cs-CZ"/>
              </w:rPr>
              <w:t>,5</w:t>
            </w:r>
          </w:p>
        </w:tc>
        <w:tc>
          <w:tcPr>
            <w:tcW w:w="850" w:type="dxa"/>
          </w:tcPr>
          <w:p w:rsidR="002B074D" w:rsidRPr="00405637" w:rsidRDefault="006B5310" w:rsidP="000A363A">
            <w:pPr>
              <w:pStyle w:val="Tabulkovtext"/>
              <w:jc w:val="center"/>
              <w:rPr>
                <w:rFonts w:cs="Tahoma"/>
                <w:lang w:eastAsia="cs-CZ"/>
              </w:rPr>
            </w:pPr>
            <w:r w:rsidRPr="00405637">
              <w:rPr>
                <w:rFonts w:cs="Tahoma"/>
                <w:lang w:eastAsia="cs-CZ"/>
              </w:rPr>
              <w:t>2</w:t>
            </w:r>
            <w:r w:rsidR="000A363A">
              <w:rPr>
                <w:rFonts w:cs="Tahoma"/>
                <w:lang w:eastAsia="cs-CZ"/>
              </w:rPr>
              <w:t>7</w:t>
            </w:r>
            <w:r w:rsidRPr="00405637">
              <w:rPr>
                <w:rFonts w:cs="Tahoma"/>
                <w:lang w:eastAsia="cs-CZ"/>
              </w:rPr>
              <w:t>,0</w:t>
            </w:r>
          </w:p>
        </w:tc>
        <w:tc>
          <w:tcPr>
            <w:tcW w:w="851" w:type="dxa"/>
          </w:tcPr>
          <w:p w:rsidR="002B074D" w:rsidRPr="00405637" w:rsidRDefault="002B074D" w:rsidP="00C5314E">
            <w:pPr>
              <w:pStyle w:val="Tabulkovtext"/>
              <w:jc w:val="center"/>
              <w:rPr>
                <w:rFonts w:cs="Tahoma"/>
                <w:lang w:eastAsia="cs-CZ"/>
              </w:rPr>
            </w:pPr>
          </w:p>
        </w:tc>
        <w:tc>
          <w:tcPr>
            <w:tcW w:w="850" w:type="dxa"/>
          </w:tcPr>
          <w:p w:rsidR="002B074D" w:rsidRPr="00405637" w:rsidRDefault="002B074D" w:rsidP="00C5314E">
            <w:pPr>
              <w:pStyle w:val="Tabulkovtext"/>
              <w:jc w:val="center"/>
              <w:rPr>
                <w:rFonts w:cs="Tahoma"/>
                <w:lang w:eastAsia="cs-CZ"/>
              </w:rPr>
            </w:pPr>
          </w:p>
        </w:tc>
        <w:tc>
          <w:tcPr>
            <w:tcW w:w="851" w:type="dxa"/>
          </w:tcPr>
          <w:p w:rsidR="002B074D" w:rsidRPr="00405637" w:rsidRDefault="002B074D" w:rsidP="00C5314E">
            <w:pPr>
              <w:pStyle w:val="Tabulkovtext"/>
              <w:jc w:val="center"/>
              <w:rPr>
                <w:rFonts w:cs="Tahoma"/>
                <w:lang w:eastAsia="cs-CZ"/>
              </w:rPr>
            </w:pPr>
          </w:p>
        </w:tc>
        <w:tc>
          <w:tcPr>
            <w:tcW w:w="850" w:type="dxa"/>
          </w:tcPr>
          <w:p w:rsidR="002B074D" w:rsidRPr="00405637" w:rsidRDefault="002B074D" w:rsidP="00C5314E">
            <w:pPr>
              <w:pStyle w:val="Tabulkovtext"/>
              <w:jc w:val="center"/>
              <w:rPr>
                <w:rFonts w:cs="Tahoma"/>
                <w:lang w:eastAsia="cs-CZ"/>
              </w:rPr>
            </w:pPr>
          </w:p>
        </w:tc>
        <w:tc>
          <w:tcPr>
            <w:tcW w:w="851" w:type="dxa"/>
          </w:tcPr>
          <w:p w:rsidR="002B074D" w:rsidRPr="00405637" w:rsidRDefault="002B074D" w:rsidP="00C5314E">
            <w:pPr>
              <w:pStyle w:val="Tabulkovtext"/>
              <w:jc w:val="center"/>
              <w:rPr>
                <w:rFonts w:cs="Tahoma"/>
                <w:lang w:eastAsia="cs-CZ"/>
              </w:rPr>
            </w:pPr>
          </w:p>
        </w:tc>
      </w:tr>
    </w:tbl>
    <w:p w:rsidR="00CB4644" w:rsidRDefault="005D5D7D" w:rsidP="00CB4644">
      <w:r>
        <w:t xml:space="preserve">Uvedené doby platí také pro </w:t>
      </w:r>
      <w:r w:rsidRPr="005D5D7D">
        <w:rPr>
          <w:u w:val="single"/>
        </w:rPr>
        <w:t xml:space="preserve">variantu </w:t>
      </w:r>
      <w:r w:rsidR="00AC0166">
        <w:rPr>
          <w:u w:val="single"/>
        </w:rPr>
        <w:t>B</w:t>
      </w:r>
      <w:r w:rsidRPr="005D5D7D">
        <w:rPr>
          <w:u w:val="single"/>
        </w:rPr>
        <w:t xml:space="preserve">ez projektu </w:t>
      </w:r>
      <w:r>
        <w:t xml:space="preserve">a </w:t>
      </w:r>
      <w:r w:rsidRPr="005D5D7D">
        <w:rPr>
          <w:u w:val="single"/>
        </w:rPr>
        <w:t xml:space="preserve">variantu projektovou </w:t>
      </w:r>
      <w:r w:rsidR="00AC0166">
        <w:rPr>
          <w:u w:val="single"/>
        </w:rPr>
        <w:t>M</w:t>
      </w:r>
      <w:r w:rsidRPr="005D5D7D">
        <w:rPr>
          <w:u w:val="single"/>
        </w:rPr>
        <w:t>inimální</w:t>
      </w:r>
      <w:r w:rsidR="003F3F9C">
        <w:t xml:space="preserve"> při použití současného vozového parku.</w:t>
      </w:r>
      <w:r>
        <w:t xml:space="preserve"> V těchto variantách infrastruktura zachovává parametry současného stavu.</w:t>
      </w:r>
    </w:p>
    <w:p w:rsidR="002E5756" w:rsidRDefault="002E5756">
      <w:pPr>
        <w:suppressAutoHyphens w:val="0"/>
        <w:spacing w:before="0" w:after="0" w:line="240" w:lineRule="auto"/>
        <w:jc w:val="left"/>
        <w:rPr>
          <w:b/>
          <w:bCs/>
          <w:sz w:val="24"/>
        </w:rPr>
      </w:pPr>
      <w:r>
        <w:br w:type="page"/>
      </w:r>
    </w:p>
    <w:p w:rsidR="00225B27" w:rsidRPr="00974AE4" w:rsidRDefault="00225B27" w:rsidP="00551B53">
      <w:pPr>
        <w:pStyle w:val="Nadpis3"/>
        <w:ind w:hanging="8234"/>
      </w:pPr>
      <w:r w:rsidRPr="00974AE4">
        <w:t>Výhledové jízdní doby</w:t>
      </w:r>
    </w:p>
    <w:p w:rsidR="006B5310" w:rsidRPr="00974AE4" w:rsidRDefault="006B5310" w:rsidP="006B5310">
      <w:r w:rsidRPr="00974AE4">
        <w:t xml:space="preserve">Jízdní doby byly vypočítány programem </w:t>
      </w:r>
      <w:r w:rsidR="005D5D7D">
        <w:t>Vla</w:t>
      </w:r>
      <w:r w:rsidR="002C2C26">
        <w:t>D</w:t>
      </w:r>
      <w:r w:rsidR="005D5D7D">
        <w:t xml:space="preserve">yka 1.12.3 </w:t>
      </w:r>
      <w:r w:rsidR="00995344" w:rsidRPr="00974AE4">
        <w:t xml:space="preserve">s využitím souprav uvedených </w:t>
      </w:r>
      <w:r w:rsidRPr="00974AE4">
        <w:t xml:space="preserve">v kapitole </w:t>
      </w:r>
      <w:r w:rsidR="00B52A13">
        <w:fldChar w:fldCharType="begin"/>
      </w:r>
      <w:r w:rsidR="00B52A13">
        <w:instrText xml:space="preserve"> REF _Ref280079446 \r \h  \* MERGEFORMAT </w:instrText>
      </w:r>
      <w:r w:rsidR="00B52A13">
        <w:fldChar w:fldCharType="separate"/>
      </w:r>
      <w:r w:rsidR="003843F3">
        <w:t>4.2.1</w:t>
      </w:r>
      <w:r w:rsidR="00B52A13">
        <w:fldChar w:fldCharType="end"/>
      </w:r>
      <w:r w:rsidR="00995344" w:rsidRPr="00974AE4">
        <w:t>,</w:t>
      </w:r>
      <w:r w:rsidRPr="00974AE4">
        <w:t xml:space="preserve"> Teoretické jízdní doby získané vlastním výpočtem jsou následně </w:t>
      </w:r>
      <w:r w:rsidR="00995344" w:rsidRPr="00974AE4">
        <w:t xml:space="preserve">navýšeny o </w:t>
      </w:r>
      <w:r w:rsidRPr="00974AE4">
        <w:t>přirážku 4 % u vlaků osobní dopravy</w:t>
      </w:r>
      <w:r w:rsidR="00995344" w:rsidRPr="00974AE4">
        <w:t xml:space="preserve"> a zaokrouhleny na 0,5 min.</w:t>
      </w:r>
      <w:r w:rsidRPr="00974AE4">
        <w:t xml:space="preserve"> </w:t>
      </w:r>
    </w:p>
    <w:p w:rsidR="006B5310" w:rsidRDefault="0039293C" w:rsidP="006B5310">
      <w:r w:rsidRPr="00974AE4">
        <w:t>V úseku Pardubice hlavní nádr. – Hradec Králové hlavní nádr. jsou jízdní doby pro projektov</w:t>
      </w:r>
      <w:r w:rsidR="003F3F9C">
        <w:t>é</w:t>
      </w:r>
      <w:r w:rsidRPr="00974AE4">
        <w:t xml:space="preserve"> variant</w:t>
      </w:r>
      <w:r w:rsidR="003F3F9C">
        <w:t xml:space="preserve">y </w:t>
      </w:r>
      <w:r w:rsidRPr="00974AE4">
        <w:t>uveden</w:t>
      </w:r>
      <w:r w:rsidR="003F3F9C">
        <w:t>é</w:t>
      </w:r>
      <w:r w:rsidRPr="00974AE4">
        <w:t xml:space="preserve"> v následující</w:t>
      </w:r>
      <w:r w:rsidR="003F3F9C">
        <w:t>ch</w:t>
      </w:r>
      <w:r w:rsidRPr="00974AE4">
        <w:t xml:space="preserve"> tabul</w:t>
      </w:r>
      <w:r w:rsidR="003F3F9C">
        <w:t>kách</w:t>
      </w:r>
      <w:r w:rsidRPr="00974AE4">
        <w:t>:</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0"/>
        <w:gridCol w:w="851"/>
        <w:gridCol w:w="992"/>
        <w:gridCol w:w="850"/>
        <w:gridCol w:w="851"/>
        <w:gridCol w:w="850"/>
        <w:gridCol w:w="851"/>
        <w:gridCol w:w="850"/>
        <w:gridCol w:w="851"/>
      </w:tblGrid>
      <w:tr w:rsidR="003F3F9C" w:rsidRPr="00974AE4" w:rsidTr="006B08CB">
        <w:tc>
          <w:tcPr>
            <w:tcW w:w="9356" w:type="dxa"/>
            <w:gridSpan w:val="9"/>
            <w:tcBorders>
              <w:bottom w:val="single" w:sz="4" w:space="0" w:color="000000"/>
            </w:tcBorders>
          </w:tcPr>
          <w:p w:rsidR="003F3F9C" w:rsidRPr="00974AE4" w:rsidRDefault="003F3F9C" w:rsidP="00C65DA3">
            <w:pPr>
              <w:pStyle w:val="Titulek"/>
              <w:rPr>
                <w:rFonts w:cs="Tahoma"/>
                <w:lang w:eastAsia="cs-CZ"/>
              </w:rPr>
            </w:pPr>
            <w:bookmarkStart w:id="142" w:name="_Toc390958761"/>
            <w:bookmarkStart w:id="143" w:name="_Toc391034565"/>
            <w:r w:rsidRPr="00974AE4">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10</w:t>
            </w:r>
            <w:r w:rsidR="000E79AE">
              <w:fldChar w:fldCharType="end"/>
            </w:r>
            <w:r w:rsidRPr="00974AE4">
              <w:t xml:space="preserve">: Jízdní doby v úseku Pardubice hl. n. – Hradec Králové hl. n., var. proj. </w:t>
            </w:r>
            <w:r w:rsidR="00AC0166">
              <w:t>M</w:t>
            </w:r>
            <w:r>
              <w:t>inimální</w:t>
            </w:r>
            <w:bookmarkEnd w:id="142"/>
            <w:bookmarkEnd w:id="143"/>
          </w:p>
        </w:tc>
      </w:tr>
      <w:tr w:rsidR="003F3F9C" w:rsidRPr="00974AE4" w:rsidTr="006B08CB">
        <w:tc>
          <w:tcPr>
            <w:tcW w:w="2410" w:type="dxa"/>
            <w:vMerge w:val="restart"/>
            <w:tcBorders>
              <w:right w:val="single" w:sz="12" w:space="0" w:color="auto"/>
            </w:tcBorders>
            <w:shd w:val="pct10" w:color="auto" w:fill="auto"/>
          </w:tcPr>
          <w:p w:rsidR="003F3F9C" w:rsidRPr="00974AE4" w:rsidRDefault="003F3F9C" w:rsidP="003F3F9C">
            <w:pPr>
              <w:pStyle w:val="Tabulkovtext"/>
              <w:rPr>
                <w:rFonts w:cs="Tahoma"/>
                <w:lang w:eastAsia="cs-CZ"/>
              </w:rPr>
            </w:pPr>
          </w:p>
          <w:p w:rsidR="003F3F9C" w:rsidRPr="00974AE4" w:rsidRDefault="003F3F9C" w:rsidP="003F3F9C">
            <w:pPr>
              <w:pStyle w:val="Tabulkovtext"/>
              <w:rPr>
                <w:rFonts w:cs="Tahoma"/>
                <w:lang w:eastAsia="cs-CZ"/>
              </w:rPr>
            </w:pPr>
            <w:r w:rsidRPr="00974AE4">
              <w:rPr>
                <w:rFonts w:cs="Tahoma"/>
                <w:lang w:eastAsia="cs-CZ"/>
              </w:rPr>
              <w:t>Dopravna, zastávka</w:t>
            </w:r>
          </w:p>
        </w:tc>
        <w:tc>
          <w:tcPr>
            <w:tcW w:w="851" w:type="dxa"/>
            <w:tcBorders>
              <w:lef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R</w:t>
            </w:r>
          </w:p>
        </w:tc>
        <w:tc>
          <w:tcPr>
            <w:tcW w:w="992" w:type="dxa"/>
            <w:shd w:val="pct10" w:color="auto" w:fill="auto"/>
          </w:tcPr>
          <w:p w:rsidR="003F3F9C" w:rsidRPr="00974AE4" w:rsidRDefault="003F3F9C" w:rsidP="003F3F9C">
            <w:pPr>
              <w:pStyle w:val="Tabulkovtext"/>
              <w:rPr>
                <w:rFonts w:cs="Tahoma"/>
                <w:lang w:eastAsia="cs-CZ"/>
              </w:rPr>
            </w:pPr>
            <w:r>
              <w:rPr>
                <w:rFonts w:cs="Tahoma"/>
                <w:lang w:eastAsia="cs-CZ"/>
              </w:rPr>
              <w:t>Sp</w:t>
            </w:r>
          </w:p>
        </w:tc>
        <w:tc>
          <w:tcPr>
            <w:tcW w:w="850" w:type="dxa"/>
            <w:shd w:val="pct10" w:color="auto" w:fill="auto"/>
          </w:tcPr>
          <w:p w:rsidR="003F3F9C" w:rsidRPr="00974AE4" w:rsidRDefault="003F3F9C" w:rsidP="003F3F9C">
            <w:pPr>
              <w:pStyle w:val="Tabulkovtext"/>
              <w:rPr>
                <w:rFonts w:cs="Tahoma"/>
                <w:lang w:eastAsia="cs-CZ"/>
              </w:rPr>
            </w:pPr>
            <w:r w:rsidRPr="00974AE4">
              <w:rPr>
                <w:rFonts w:cs="Tahoma"/>
                <w:lang w:eastAsia="cs-CZ"/>
              </w:rPr>
              <w:t>Os</w:t>
            </w:r>
          </w:p>
        </w:tc>
        <w:tc>
          <w:tcPr>
            <w:tcW w:w="851" w:type="dxa"/>
            <w:shd w:val="pct10" w:color="auto" w:fill="auto"/>
          </w:tcPr>
          <w:p w:rsidR="003F3F9C" w:rsidRPr="00974AE4" w:rsidRDefault="003F3F9C" w:rsidP="003F3F9C">
            <w:pPr>
              <w:pStyle w:val="Tabulkovtext"/>
              <w:rPr>
                <w:rFonts w:cs="Tahoma"/>
                <w:lang w:eastAsia="cs-CZ"/>
              </w:rPr>
            </w:pPr>
          </w:p>
        </w:tc>
        <w:tc>
          <w:tcPr>
            <w:tcW w:w="850" w:type="dxa"/>
            <w:shd w:val="pct10" w:color="auto" w:fill="auto"/>
          </w:tcPr>
          <w:p w:rsidR="003F3F9C" w:rsidRPr="00974AE4" w:rsidRDefault="003F3F9C" w:rsidP="003F3F9C">
            <w:pPr>
              <w:pStyle w:val="Tabulkovtext"/>
              <w:rPr>
                <w:rFonts w:cs="Tahoma"/>
                <w:lang w:eastAsia="cs-CZ"/>
              </w:rPr>
            </w:pPr>
          </w:p>
        </w:tc>
        <w:tc>
          <w:tcPr>
            <w:tcW w:w="851" w:type="dxa"/>
            <w:shd w:val="pct10" w:color="auto" w:fill="auto"/>
          </w:tcPr>
          <w:p w:rsidR="003F3F9C" w:rsidRPr="00974AE4" w:rsidRDefault="003F3F9C" w:rsidP="003F3F9C">
            <w:pPr>
              <w:pStyle w:val="Tabulkovtext"/>
              <w:rPr>
                <w:rFonts w:cs="Tahoma"/>
                <w:lang w:eastAsia="cs-CZ"/>
              </w:rPr>
            </w:pPr>
          </w:p>
        </w:tc>
        <w:tc>
          <w:tcPr>
            <w:tcW w:w="850" w:type="dxa"/>
            <w:shd w:val="pct10" w:color="auto" w:fill="auto"/>
          </w:tcPr>
          <w:p w:rsidR="003F3F9C" w:rsidRPr="00974AE4" w:rsidRDefault="003F3F9C" w:rsidP="003F3F9C">
            <w:pPr>
              <w:pStyle w:val="Tabulkovtext"/>
              <w:rPr>
                <w:rFonts w:cs="Tahoma"/>
                <w:lang w:eastAsia="cs-CZ"/>
              </w:rPr>
            </w:pPr>
          </w:p>
        </w:tc>
        <w:tc>
          <w:tcPr>
            <w:tcW w:w="851" w:type="dxa"/>
            <w:shd w:val="pct10" w:color="auto" w:fill="auto"/>
          </w:tcPr>
          <w:p w:rsidR="003F3F9C" w:rsidRPr="00974AE4" w:rsidRDefault="003F3F9C" w:rsidP="003F3F9C">
            <w:pPr>
              <w:pStyle w:val="Tabulkovtext"/>
              <w:rPr>
                <w:rFonts w:cs="Tahoma"/>
                <w:lang w:eastAsia="cs-CZ"/>
              </w:rPr>
            </w:pPr>
          </w:p>
        </w:tc>
      </w:tr>
      <w:tr w:rsidR="003F3F9C" w:rsidRPr="00974AE4" w:rsidTr="006B08CB">
        <w:tc>
          <w:tcPr>
            <w:tcW w:w="2410" w:type="dxa"/>
            <w:vMerge/>
            <w:tcBorders>
              <w:bottom w:val="single" w:sz="12" w:space="0" w:color="auto"/>
              <w:right w:val="single" w:sz="12" w:space="0" w:color="auto"/>
            </w:tcBorders>
            <w:shd w:val="pct10" w:color="auto" w:fill="auto"/>
          </w:tcPr>
          <w:p w:rsidR="003F3F9C" w:rsidRPr="00974AE4" w:rsidRDefault="003F3F9C" w:rsidP="003F3F9C">
            <w:pPr>
              <w:pStyle w:val="Tabulkovtext"/>
              <w:rPr>
                <w:rFonts w:cs="Tahoma"/>
                <w:lang w:eastAsia="cs-CZ"/>
              </w:rPr>
            </w:pPr>
          </w:p>
        </w:tc>
        <w:tc>
          <w:tcPr>
            <w:tcW w:w="851" w:type="dxa"/>
            <w:tcBorders>
              <w:left w:val="single" w:sz="12" w:space="0" w:color="auto"/>
              <w:bottom w:val="single" w:sz="12" w:space="0" w:color="auto"/>
            </w:tcBorders>
            <w:shd w:val="pct10" w:color="auto" w:fill="auto"/>
          </w:tcPr>
          <w:p w:rsidR="003F3F9C" w:rsidRPr="00974AE4" w:rsidRDefault="003F3F9C" w:rsidP="003F3F9C">
            <w:pPr>
              <w:pStyle w:val="Tabulkovtext"/>
              <w:rPr>
                <w:rFonts w:cs="Tahoma"/>
                <w:lang w:eastAsia="cs-CZ"/>
              </w:rPr>
            </w:pPr>
            <w:r>
              <w:rPr>
                <w:rFonts w:cs="Tahoma"/>
                <w:lang w:eastAsia="cs-CZ"/>
              </w:rPr>
              <w:t>PESA Lint II</w:t>
            </w:r>
          </w:p>
        </w:tc>
        <w:tc>
          <w:tcPr>
            <w:tcW w:w="992" w:type="dxa"/>
            <w:tcBorders>
              <w:bottom w:val="single" w:sz="12" w:space="0" w:color="auto"/>
            </w:tcBorders>
            <w:shd w:val="pct10" w:color="auto" w:fill="auto"/>
          </w:tcPr>
          <w:p w:rsidR="003F3F9C" w:rsidRPr="00974AE4" w:rsidRDefault="003F3F9C" w:rsidP="003F3F9C">
            <w:pPr>
              <w:pStyle w:val="Tabulkovtext"/>
              <w:rPr>
                <w:rFonts w:cs="Tahoma"/>
                <w:szCs w:val="18"/>
                <w:lang w:eastAsia="cs-CZ"/>
              </w:rPr>
            </w:pPr>
            <w:r>
              <w:rPr>
                <w:rFonts w:cs="Tahoma"/>
                <w:szCs w:val="18"/>
                <w:lang w:eastAsia="cs-CZ"/>
              </w:rPr>
              <w:t>Regio Panter</w:t>
            </w:r>
          </w:p>
        </w:tc>
        <w:tc>
          <w:tcPr>
            <w:tcW w:w="850" w:type="dxa"/>
            <w:tcBorders>
              <w:bottom w:val="single" w:sz="12" w:space="0" w:color="auto"/>
            </w:tcBorders>
            <w:shd w:val="pct10" w:color="auto" w:fill="auto"/>
          </w:tcPr>
          <w:p w:rsidR="003F3F9C" w:rsidRPr="00974AE4" w:rsidRDefault="003F3F9C" w:rsidP="003F3F9C">
            <w:pPr>
              <w:pStyle w:val="Tabulkovtext"/>
              <w:rPr>
                <w:rFonts w:cs="Tahoma"/>
                <w:szCs w:val="18"/>
                <w:lang w:eastAsia="cs-CZ"/>
              </w:rPr>
            </w:pPr>
            <w:r>
              <w:rPr>
                <w:rFonts w:cs="Tahoma"/>
                <w:szCs w:val="18"/>
                <w:lang w:eastAsia="cs-CZ"/>
              </w:rPr>
              <w:t>Regio Panter</w:t>
            </w:r>
          </w:p>
        </w:tc>
        <w:tc>
          <w:tcPr>
            <w:tcW w:w="851" w:type="dxa"/>
            <w:tcBorders>
              <w:bottom w:val="single" w:sz="12" w:space="0" w:color="auto"/>
            </w:tcBorders>
            <w:shd w:val="pct10" w:color="auto" w:fill="auto"/>
          </w:tcPr>
          <w:p w:rsidR="003F3F9C" w:rsidRPr="00974AE4" w:rsidRDefault="003F3F9C" w:rsidP="003F3F9C">
            <w:pPr>
              <w:pStyle w:val="Tabulkovtext"/>
              <w:rPr>
                <w:rFonts w:cs="Tahoma"/>
                <w:lang w:eastAsia="cs-CZ"/>
              </w:rPr>
            </w:pPr>
          </w:p>
        </w:tc>
        <w:tc>
          <w:tcPr>
            <w:tcW w:w="850" w:type="dxa"/>
            <w:tcBorders>
              <w:bottom w:val="single" w:sz="12" w:space="0" w:color="auto"/>
            </w:tcBorders>
            <w:shd w:val="pct10" w:color="auto" w:fill="auto"/>
          </w:tcPr>
          <w:p w:rsidR="003F3F9C" w:rsidRPr="00974AE4" w:rsidRDefault="003F3F9C" w:rsidP="003F3F9C">
            <w:pPr>
              <w:pStyle w:val="Tabulkovtext"/>
              <w:rPr>
                <w:rFonts w:cs="Tahoma"/>
                <w:lang w:eastAsia="cs-CZ"/>
              </w:rPr>
            </w:pPr>
          </w:p>
        </w:tc>
        <w:tc>
          <w:tcPr>
            <w:tcW w:w="851" w:type="dxa"/>
            <w:tcBorders>
              <w:bottom w:val="single" w:sz="12" w:space="0" w:color="auto"/>
            </w:tcBorders>
            <w:shd w:val="pct10" w:color="auto" w:fill="auto"/>
          </w:tcPr>
          <w:p w:rsidR="003F3F9C" w:rsidRPr="00974AE4" w:rsidRDefault="003F3F9C" w:rsidP="003F3F9C">
            <w:pPr>
              <w:pStyle w:val="Tabulkovtext"/>
              <w:rPr>
                <w:rFonts w:cs="Tahoma"/>
                <w:lang w:eastAsia="cs-CZ"/>
              </w:rPr>
            </w:pPr>
          </w:p>
        </w:tc>
        <w:tc>
          <w:tcPr>
            <w:tcW w:w="850" w:type="dxa"/>
            <w:tcBorders>
              <w:bottom w:val="single" w:sz="12" w:space="0" w:color="auto"/>
            </w:tcBorders>
            <w:shd w:val="pct10" w:color="auto" w:fill="auto"/>
          </w:tcPr>
          <w:p w:rsidR="003F3F9C" w:rsidRPr="00974AE4" w:rsidRDefault="003F3F9C" w:rsidP="003F3F9C">
            <w:pPr>
              <w:pStyle w:val="Tabulkovtext"/>
              <w:rPr>
                <w:rFonts w:cs="Tahoma"/>
                <w:lang w:eastAsia="cs-CZ"/>
              </w:rPr>
            </w:pPr>
          </w:p>
        </w:tc>
        <w:tc>
          <w:tcPr>
            <w:tcW w:w="851" w:type="dxa"/>
            <w:tcBorders>
              <w:bottom w:val="single" w:sz="12" w:space="0" w:color="auto"/>
            </w:tcBorders>
            <w:shd w:val="pct10" w:color="auto" w:fill="auto"/>
          </w:tcPr>
          <w:p w:rsidR="003F3F9C" w:rsidRPr="00974AE4" w:rsidRDefault="003F3F9C" w:rsidP="003F3F9C">
            <w:pPr>
              <w:pStyle w:val="Tabulkovtext"/>
              <w:rPr>
                <w:rFonts w:cs="Tahoma"/>
                <w:lang w:eastAsia="cs-CZ"/>
              </w:rPr>
            </w:pPr>
          </w:p>
        </w:tc>
      </w:tr>
      <w:tr w:rsidR="003F3F9C" w:rsidRPr="00974AE4" w:rsidTr="006B08CB">
        <w:tc>
          <w:tcPr>
            <w:tcW w:w="2410" w:type="dxa"/>
            <w:tcBorders>
              <w:top w:val="single" w:sz="12" w:space="0" w:color="auto"/>
              <w:right w:val="single" w:sz="12" w:space="0" w:color="auto"/>
            </w:tcBorders>
            <w:shd w:val="pct10" w:color="auto" w:fill="auto"/>
          </w:tcPr>
          <w:p w:rsidR="003F3F9C" w:rsidRPr="00974AE4" w:rsidRDefault="003F3F9C" w:rsidP="003F3F9C">
            <w:pPr>
              <w:pStyle w:val="Tabulkovtext"/>
              <w:rPr>
                <w:rFonts w:cs="Tahoma"/>
                <w:lang w:eastAsia="cs-CZ"/>
              </w:rPr>
            </w:pPr>
          </w:p>
        </w:tc>
        <w:tc>
          <w:tcPr>
            <w:tcW w:w="6946" w:type="dxa"/>
            <w:gridSpan w:val="8"/>
            <w:tcBorders>
              <w:top w:val="single" w:sz="12" w:space="0" w:color="auto"/>
              <w:left w:val="single" w:sz="12" w:space="0" w:color="auto"/>
            </w:tcBorders>
          </w:tcPr>
          <w:p w:rsidR="003F3F9C" w:rsidRPr="00974AE4" w:rsidRDefault="003F3F9C" w:rsidP="003F3F9C">
            <w:pPr>
              <w:pStyle w:val="Tabulkovtext"/>
              <w:rPr>
                <w:rFonts w:cs="Tahoma"/>
                <w:i/>
                <w:lang w:eastAsia="cs-CZ"/>
              </w:rPr>
            </w:pPr>
            <w:r w:rsidRPr="00974AE4">
              <w:rPr>
                <w:rFonts w:cs="Tahoma"/>
                <w:i/>
                <w:lang w:eastAsia="cs-CZ"/>
              </w:rPr>
              <w:t>Sudý směr, Pardubice hl. nádr. – Hradec Králové hl. nádr.</w:t>
            </w: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Pardubice hlavní nádr.</w:t>
            </w:r>
          </w:p>
        </w:tc>
        <w:tc>
          <w:tcPr>
            <w:tcW w:w="851" w:type="dxa"/>
            <w:tcBorders>
              <w:left w:val="single" w:sz="12" w:space="0" w:color="auto"/>
            </w:tcBorders>
          </w:tcPr>
          <w:p w:rsidR="003F3F9C" w:rsidRPr="00974AE4" w:rsidRDefault="003F3F9C" w:rsidP="003F3F9C">
            <w:pPr>
              <w:suppressAutoHyphens w:val="0"/>
              <w:autoSpaceDE w:val="0"/>
              <w:autoSpaceDN w:val="0"/>
              <w:adjustRightInd w:val="0"/>
              <w:spacing w:before="0" w:after="0" w:line="240" w:lineRule="auto"/>
              <w:jc w:val="center"/>
              <w:rPr>
                <w:rFonts w:ascii="MS Shell Dlg" w:hAnsi="MS Shell Dlg" w:cs="MS Shell Dlg"/>
                <w:sz w:val="18"/>
                <w:szCs w:val="18"/>
                <w:lang w:eastAsia="cs-CZ"/>
              </w:rPr>
            </w:pPr>
          </w:p>
        </w:tc>
        <w:tc>
          <w:tcPr>
            <w:tcW w:w="992"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rPr>
                <w:rFonts w:cs="Tahoma"/>
                <w:lang w:eastAsia="cs-CZ"/>
              </w:rPr>
            </w:pPr>
          </w:p>
        </w:tc>
        <w:tc>
          <w:tcPr>
            <w:tcW w:w="850" w:type="dxa"/>
          </w:tcPr>
          <w:p w:rsidR="003F3F9C" w:rsidRPr="00974AE4" w:rsidRDefault="003F3F9C" w:rsidP="003F3F9C">
            <w:pPr>
              <w:pStyle w:val="Tabulkovtext"/>
              <w:rPr>
                <w:rFonts w:cs="Tahoma"/>
                <w:lang w:eastAsia="cs-CZ"/>
              </w:rPr>
            </w:pPr>
          </w:p>
        </w:tc>
        <w:tc>
          <w:tcPr>
            <w:tcW w:w="851" w:type="dxa"/>
          </w:tcPr>
          <w:p w:rsidR="003F3F9C" w:rsidRPr="00974AE4" w:rsidRDefault="003F3F9C" w:rsidP="003F3F9C">
            <w:pPr>
              <w:pStyle w:val="Tabulkovtext"/>
              <w:rPr>
                <w:rFonts w:cs="Tahoma"/>
                <w:lang w:eastAsia="cs-CZ"/>
              </w:rPr>
            </w:pPr>
          </w:p>
        </w:tc>
        <w:tc>
          <w:tcPr>
            <w:tcW w:w="850" w:type="dxa"/>
          </w:tcPr>
          <w:p w:rsidR="003F3F9C" w:rsidRPr="00974AE4" w:rsidRDefault="003F3F9C" w:rsidP="003F3F9C">
            <w:pPr>
              <w:pStyle w:val="Tabulkovtext"/>
              <w:rPr>
                <w:rFonts w:cs="Tahoma"/>
                <w:lang w:eastAsia="cs-CZ"/>
              </w:rPr>
            </w:pPr>
          </w:p>
        </w:tc>
        <w:tc>
          <w:tcPr>
            <w:tcW w:w="851" w:type="dxa"/>
          </w:tcPr>
          <w:p w:rsidR="003F3F9C" w:rsidRPr="00974AE4" w:rsidRDefault="003F3F9C" w:rsidP="003F3F9C">
            <w:pPr>
              <w:pStyle w:val="Tabulkovtext"/>
              <w:rPr>
                <w:rFonts w:cs="Tahoma"/>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Pardubice-Rosice n. L.</w:t>
            </w:r>
          </w:p>
        </w:tc>
        <w:tc>
          <w:tcPr>
            <w:tcW w:w="851" w:type="dxa"/>
            <w:tcBorders>
              <w:left w:val="single" w:sz="12" w:space="0" w:color="auto"/>
            </w:tcBorders>
            <w:vAlign w:val="center"/>
          </w:tcPr>
          <w:p w:rsidR="003F3F9C" w:rsidRPr="00974AE4" w:rsidRDefault="003F3F9C" w:rsidP="003F3F9C">
            <w:pPr>
              <w:suppressAutoHyphens w:val="0"/>
              <w:autoSpaceDE w:val="0"/>
              <w:autoSpaceDN w:val="0"/>
              <w:adjustRightInd w:val="0"/>
              <w:spacing w:before="0" w:after="0" w:line="240" w:lineRule="auto"/>
              <w:jc w:val="center"/>
              <w:rPr>
                <w:rFonts w:ascii="MS Shell Dlg" w:hAnsi="MS Shell Dlg" w:cs="MS Shell Dlg"/>
                <w:sz w:val="17"/>
                <w:szCs w:val="17"/>
                <w:lang w:eastAsia="cs-CZ"/>
              </w:rPr>
            </w:pPr>
            <w:r w:rsidRPr="00974AE4">
              <w:rPr>
                <w:rFonts w:ascii="MS Shell Dlg" w:hAnsi="MS Shell Dlg" w:cs="MS Shell Dlg"/>
                <w:sz w:val="17"/>
                <w:szCs w:val="17"/>
                <w:lang w:eastAsia="cs-CZ"/>
              </w:rPr>
              <w:t>3,0</w:t>
            </w:r>
          </w:p>
        </w:tc>
        <w:tc>
          <w:tcPr>
            <w:tcW w:w="992" w:type="dxa"/>
          </w:tcPr>
          <w:p w:rsidR="003F3F9C" w:rsidRPr="00974AE4" w:rsidRDefault="003F3F9C" w:rsidP="003F3F9C">
            <w:pPr>
              <w:pStyle w:val="Tabulkovtext"/>
              <w:jc w:val="center"/>
              <w:rPr>
                <w:rFonts w:cs="Tahoma"/>
                <w:lang w:eastAsia="cs-CZ"/>
              </w:rPr>
            </w:pPr>
            <w:r w:rsidRPr="00974AE4">
              <w:rPr>
                <w:rFonts w:cs="Tahoma"/>
                <w:szCs w:val="18"/>
                <w:lang w:eastAsia="cs-CZ"/>
              </w:rPr>
              <w:t>3,0</w:t>
            </w:r>
          </w:p>
        </w:tc>
        <w:tc>
          <w:tcPr>
            <w:tcW w:w="850" w:type="dxa"/>
          </w:tcPr>
          <w:p w:rsidR="003F3F9C" w:rsidRPr="00974AE4" w:rsidRDefault="003F3F9C" w:rsidP="003F3F9C">
            <w:pPr>
              <w:pStyle w:val="Tabulkovtext"/>
              <w:jc w:val="center"/>
              <w:rPr>
                <w:rFonts w:cs="Tahoma"/>
                <w:lang w:eastAsia="cs-CZ"/>
              </w:rPr>
            </w:pPr>
            <w:r w:rsidRPr="00974AE4">
              <w:rPr>
                <w:rFonts w:cs="Tahoma"/>
                <w:lang w:eastAsia="cs-CZ"/>
              </w:rPr>
              <w:t>3,0</w:t>
            </w: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Pardubice-Semtín z</w:t>
            </w:r>
          </w:p>
        </w:tc>
        <w:tc>
          <w:tcPr>
            <w:tcW w:w="851" w:type="dxa"/>
            <w:tcBorders>
              <w:left w:val="single" w:sz="12" w:space="0" w:color="auto"/>
            </w:tcBorders>
          </w:tcPr>
          <w:p w:rsidR="003F3F9C" w:rsidRPr="00974AE4" w:rsidRDefault="003F3F9C" w:rsidP="003F3F9C">
            <w:pPr>
              <w:pStyle w:val="Tabulkovtext"/>
              <w:jc w:val="center"/>
              <w:rPr>
                <w:rFonts w:cs="Tahoma"/>
                <w:lang w:eastAsia="cs-CZ"/>
              </w:rPr>
            </w:pPr>
            <w:r w:rsidRPr="00974AE4">
              <w:rPr>
                <w:rFonts w:cs="Tahoma"/>
                <w:szCs w:val="18"/>
                <w:lang w:eastAsia="cs-CZ"/>
              </w:rPr>
              <w:t>|</w:t>
            </w:r>
          </w:p>
        </w:tc>
        <w:tc>
          <w:tcPr>
            <w:tcW w:w="992" w:type="dxa"/>
          </w:tcPr>
          <w:p w:rsidR="003F3F9C" w:rsidRPr="00974AE4" w:rsidRDefault="003F3F9C" w:rsidP="003F3F9C">
            <w:pPr>
              <w:pStyle w:val="Tabulkovtext"/>
              <w:jc w:val="center"/>
              <w:rPr>
                <w:rFonts w:cs="Tahoma"/>
                <w:lang w:eastAsia="cs-CZ"/>
              </w:rPr>
            </w:pPr>
            <w:r w:rsidRPr="00974AE4">
              <w:rPr>
                <w:rFonts w:cs="Tahoma"/>
                <w:szCs w:val="18"/>
                <w:lang w:eastAsia="cs-CZ"/>
              </w:rPr>
              <w:t>|</w:t>
            </w:r>
          </w:p>
        </w:tc>
        <w:tc>
          <w:tcPr>
            <w:tcW w:w="850" w:type="dxa"/>
          </w:tcPr>
          <w:p w:rsidR="003F3F9C" w:rsidRPr="00974AE4" w:rsidRDefault="003F3F9C" w:rsidP="003F3F9C">
            <w:pPr>
              <w:pStyle w:val="Tabulkovtext"/>
              <w:jc w:val="center"/>
              <w:rPr>
                <w:rFonts w:cs="Tahoma"/>
                <w:lang w:eastAsia="cs-CZ"/>
              </w:rPr>
            </w:pPr>
            <w:r>
              <w:rPr>
                <w:rFonts w:cs="Tahoma"/>
                <w:szCs w:val="18"/>
                <w:lang w:eastAsia="cs-CZ"/>
              </w:rPr>
              <w:t>2,5</w:t>
            </w: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Stéblová</w:t>
            </w:r>
          </w:p>
        </w:tc>
        <w:tc>
          <w:tcPr>
            <w:tcW w:w="851" w:type="dxa"/>
            <w:tcBorders>
              <w:left w:val="single" w:sz="12" w:space="0" w:color="auto"/>
            </w:tcBorders>
          </w:tcPr>
          <w:p w:rsidR="003F3F9C" w:rsidRPr="00974AE4" w:rsidRDefault="003F3F9C" w:rsidP="003F3F9C">
            <w:pPr>
              <w:pStyle w:val="Tabulkovtext"/>
              <w:jc w:val="center"/>
              <w:rPr>
                <w:rFonts w:cs="Tahoma"/>
                <w:lang w:eastAsia="cs-CZ"/>
              </w:rPr>
            </w:pPr>
            <w:r>
              <w:rPr>
                <w:rFonts w:cs="Tahoma"/>
                <w:szCs w:val="18"/>
                <w:lang w:eastAsia="cs-CZ"/>
              </w:rPr>
              <w:t>5,0</w:t>
            </w:r>
          </w:p>
        </w:tc>
        <w:tc>
          <w:tcPr>
            <w:tcW w:w="992" w:type="dxa"/>
          </w:tcPr>
          <w:p w:rsidR="003F3F9C" w:rsidRPr="00974AE4" w:rsidRDefault="003F3F9C" w:rsidP="003F3F9C">
            <w:pPr>
              <w:pStyle w:val="Tabulkovtext"/>
              <w:jc w:val="center"/>
              <w:rPr>
                <w:rFonts w:cs="Tahoma"/>
                <w:lang w:eastAsia="cs-CZ"/>
              </w:rPr>
            </w:pPr>
            <w:r w:rsidRPr="00974AE4">
              <w:rPr>
                <w:rFonts w:cs="Tahoma"/>
                <w:lang w:eastAsia="cs-CZ"/>
              </w:rPr>
              <w:t>5,0</w:t>
            </w:r>
          </w:p>
        </w:tc>
        <w:tc>
          <w:tcPr>
            <w:tcW w:w="850" w:type="dxa"/>
          </w:tcPr>
          <w:p w:rsidR="003F3F9C" w:rsidRPr="00974AE4" w:rsidRDefault="003F3F9C" w:rsidP="003F3F9C">
            <w:pPr>
              <w:pStyle w:val="Tabulkovtext"/>
              <w:jc w:val="center"/>
              <w:rPr>
                <w:rFonts w:cs="Tahoma"/>
                <w:lang w:eastAsia="cs-CZ"/>
              </w:rPr>
            </w:pPr>
            <w:r>
              <w:rPr>
                <w:rFonts w:cs="Tahoma"/>
                <w:lang w:eastAsia="cs-CZ"/>
              </w:rPr>
              <w:t>4,0</w:t>
            </w: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Čeperka Hl. z.</w:t>
            </w:r>
          </w:p>
        </w:tc>
        <w:tc>
          <w:tcPr>
            <w:tcW w:w="851" w:type="dxa"/>
            <w:tcBorders>
              <w:left w:val="single" w:sz="12" w:space="0" w:color="auto"/>
            </w:tcBorders>
          </w:tcPr>
          <w:p w:rsidR="003F3F9C" w:rsidRPr="00974AE4" w:rsidRDefault="003F3F9C" w:rsidP="003F3F9C">
            <w:pPr>
              <w:pStyle w:val="Tabulkovtext"/>
              <w:jc w:val="center"/>
              <w:rPr>
                <w:rFonts w:cs="Tahoma"/>
                <w:szCs w:val="18"/>
                <w:lang w:eastAsia="cs-CZ"/>
              </w:rPr>
            </w:pPr>
            <w:r>
              <w:rPr>
                <w:rFonts w:cs="Tahoma"/>
                <w:szCs w:val="18"/>
                <w:lang w:eastAsia="cs-CZ"/>
              </w:rPr>
              <w:t>2,0</w:t>
            </w:r>
          </w:p>
        </w:tc>
        <w:tc>
          <w:tcPr>
            <w:tcW w:w="992" w:type="dxa"/>
          </w:tcPr>
          <w:p w:rsidR="003F3F9C" w:rsidRPr="00974AE4" w:rsidRDefault="003F3F9C" w:rsidP="003F3F9C">
            <w:pPr>
              <w:pStyle w:val="Tabulkovtext"/>
              <w:jc w:val="center"/>
              <w:rPr>
                <w:rFonts w:cs="Tahoma"/>
                <w:szCs w:val="18"/>
                <w:lang w:eastAsia="cs-CZ"/>
              </w:rPr>
            </w:pPr>
            <w:r>
              <w:rPr>
                <w:rFonts w:cs="Tahoma"/>
                <w:szCs w:val="18"/>
                <w:lang w:eastAsia="cs-CZ"/>
              </w:rPr>
              <w:t>2,0</w:t>
            </w:r>
          </w:p>
        </w:tc>
        <w:tc>
          <w:tcPr>
            <w:tcW w:w="850" w:type="dxa"/>
          </w:tcPr>
          <w:p w:rsidR="003F3F9C" w:rsidRPr="00974AE4" w:rsidRDefault="003F3F9C" w:rsidP="003F3F9C">
            <w:pPr>
              <w:pStyle w:val="Tabulkovtext"/>
              <w:jc w:val="center"/>
              <w:rPr>
                <w:rFonts w:cs="Tahoma"/>
                <w:lang w:eastAsia="cs-CZ"/>
              </w:rPr>
            </w:pPr>
            <w:r>
              <w:rPr>
                <w:rFonts w:cs="Tahoma"/>
                <w:szCs w:val="18"/>
                <w:lang w:eastAsia="cs-CZ"/>
              </w:rPr>
              <w:t>3,0</w:t>
            </w: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szCs w:val="18"/>
                <w:lang w:eastAsia="cs-CZ"/>
              </w:rPr>
            </w:pPr>
          </w:p>
        </w:tc>
        <w:tc>
          <w:tcPr>
            <w:tcW w:w="851" w:type="dxa"/>
          </w:tcPr>
          <w:p w:rsidR="003F3F9C" w:rsidRPr="00974AE4" w:rsidRDefault="003F3F9C" w:rsidP="003F3F9C">
            <w:pPr>
              <w:pStyle w:val="Tabulkovtext"/>
              <w:jc w:val="center"/>
              <w:rPr>
                <w:rFonts w:cs="Tahoma"/>
                <w:szCs w:val="18"/>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Opatovice nad Labem</w:t>
            </w:r>
          </w:p>
        </w:tc>
        <w:tc>
          <w:tcPr>
            <w:tcW w:w="851" w:type="dxa"/>
            <w:tcBorders>
              <w:left w:val="single" w:sz="12" w:space="0" w:color="auto"/>
            </w:tcBorders>
          </w:tcPr>
          <w:p w:rsidR="003F3F9C" w:rsidRPr="00974AE4" w:rsidRDefault="003F3F9C" w:rsidP="003F3F9C">
            <w:pPr>
              <w:pStyle w:val="Tabulkovtext"/>
              <w:jc w:val="center"/>
              <w:rPr>
                <w:rFonts w:cs="Tahoma"/>
                <w:lang w:eastAsia="cs-CZ"/>
              </w:rPr>
            </w:pPr>
            <w:r>
              <w:rPr>
                <w:rFonts w:cs="Tahoma"/>
                <w:szCs w:val="18"/>
                <w:lang w:eastAsia="cs-CZ"/>
              </w:rPr>
              <w:t>3,0</w:t>
            </w:r>
          </w:p>
        </w:tc>
        <w:tc>
          <w:tcPr>
            <w:tcW w:w="992" w:type="dxa"/>
          </w:tcPr>
          <w:p w:rsidR="003F3F9C" w:rsidRPr="00974AE4" w:rsidRDefault="003F3F9C" w:rsidP="003F3F9C">
            <w:pPr>
              <w:pStyle w:val="Tabulkovtext"/>
              <w:jc w:val="center"/>
              <w:rPr>
                <w:rFonts w:cs="Tahoma"/>
                <w:lang w:eastAsia="cs-CZ"/>
              </w:rPr>
            </w:pPr>
            <w:r>
              <w:rPr>
                <w:rFonts w:cs="Tahoma"/>
                <w:lang w:eastAsia="cs-CZ"/>
              </w:rPr>
              <w:t>2,5</w:t>
            </w:r>
          </w:p>
        </w:tc>
        <w:tc>
          <w:tcPr>
            <w:tcW w:w="850" w:type="dxa"/>
          </w:tcPr>
          <w:p w:rsidR="003F3F9C" w:rsidRPr="00974AE4" w:rsidRDefault="003F3F9C" w:rsidP="003F3F9C">
            <w:pPr>
              <w:pStyle w:val="Tabulkovtext"/>
              <w:jc w:val="center"/>
              <w:rPr>
                <w:rFonts w:cs="Tahoma"/>
                <w:lang w:eastAsia="cs-CZ"/>
              </w:rPr>
            </w:pPr>
            <w:r>
              <w:rPr>
                <w:rFonts w:cs="Tahoma"/>
                <w:lang w:eastAsia="cs-CZ"/>
              </w:rPr>
              <w:t>3,5</w:t>
            </w: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Hradec Králové hlav. nádr.</w:t>
            </w:r>
          </w:p>
        </w:tc>
        <w:tc>
          <w:tcPr>
            <w:tcW w:w="851" w:type="dxa"/>
            <w:tcBorders>
              <w:left w:val="single" w:sz="12" w:space="0" w:color="auto"/>
            </w:tcBorders>
          </w:tcPr>
          <w:p w:rsidR="003F3F9C" w:rsidRPr="00974AE4" w:rsidRDefault="003F3F9C" w:rsidP="003F3F9C">
            <w:pPr>
              <w:pStyle w:val="Tabulkovtext"/>
              <w:jc w:val="center"/>
              <w:rPr>
                <w:rFonts w:cs="Tahoma"/>
                <w:lang w:eastAsia="cs-CZ"/>
              </w:rPr>
            </w:pPr>
            <w:r w:rsidRPr="00974AE4">
              <w:rPr>
                <w:rFonts w:cs="Tahoma"/>
                <w:lang w:eastAsia="cs-CZ"/>
              </w:rPr>
              <w:t>4,</w:t>
            </w:r>
            <w:r>
              <w:rPr>
                <w:rFonts w:cs="Tahoma"/>
                <w:lang w:eastAsia="cs-CZ"/>
              </w:rPr>
              <w:t>5</w:t>
            </w:r>
          </w:p>
        </w:tc>
        <w:tc>
          <w:tcPr>
            <w:tcW w:w="992" w:type="dxa"/>
          </w:tcPr>
          <w:p w:rsidR="003F3F9C" w:rsidRPr="00974AE4" w:rsidRDefault="003F3F9C" w:rsidP="003F3F9C">
            <w:pPr>
              <w:pStyle w:val="Tabulkovtext"/>
              <w:jc w:val="center"/>
              <w:rPr>
                <w:rFonts w:cs="Tahoma"/>
                <w:lang w:eastAsia="cs-CZ"/>
              </w:rPr>
            </w:pPr>
            <w:r w:rsidRPr="00974AE4">
              <w:rPr>
                <w:rFonts w:cs="Tahoma"/>
                <w:lang w:eastAsia="cs-CZ"/>
              </w:rPr>
              <w:t>4,</w:t>
            </w:r>
            <w:r>
              <w:rPr>
                <w:rFonts w:cs="Tahoma"/>
                <w:lang w:eastAsia="cs-CZ"/>
              </w:rPr>
              <w:t>5</w:t>
            </w:r>
          </w:p>
        </w:tc>
        <w:tc>
          <w:tcPr>
            <w:tcW w:w="850" w:type="dxa"/>
          </w:tcPr>
          <w:p w:rsidR="003F3F9C" w:rsidRPr="00974AE4" w:rsidRDefault="003F3F9C" w:rsidP="003F3F9C">
            <w:pPr>
              <w:pStyle w:val="Tabulkovtext"/>
              <w:jc w:val="center"/>
              <w:rPr>
                <w:rFonts w:cs="Tahoma"/>
                <w:lang w:eastAsia="cs-CZ"/>
              </w:rPr>
            </w:pPr>
            <w:r>
              <w:rPr>
                <w:rFonts w:cs="Tahoma"/>
                <w:lang w:eastAsia="cs-CZ"/>
              </w:rPr>
              <w:t>5,5</w:t>
            </w: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b/>
                <w:lang w:eastAsia="cs-CZ"/>
              </w:rPr>
            </w:pPr>
            <w:r w:rsidRPr="00974AE4">
              <w:rPr>
                <w:rFonts w:ascii="Symbol" w:hAnsi="Symbol" w:cs="Tahoma"/>
                <w:b/>
                <w:lang w:eastAsia="cs-CZ"/>
              </w:rPr>
              <w:t></w:t>
            </w:r>
            <w:r w:rsidRPr="00974AE4">
              <w:rPr>
                <w:rFonts w:cs="Tahoma"/>
                <w:b/>
                <w:lang w:eastAsia="cs-CZ"/>
              </w:rPr>
              <w:t xml:space="preserve"> jizdních dob</w:t>
            </w:r>
          </w:p>
        </w:tc>
        <w:tc>
          <w:tcPr>
            <w:tcW w:w="851" w:type="dxa"/>
            <w:tcBorders>
              <w:left w:val="single" w:sz="12" w:space="0" w:color="auto"/>
            </w:tcBorders>
          </w:tcPr>
          <w:p w:rsidR="003F3F9C" w:rsidRPr="00974AE4" w:rsidRDefault="003F3F9C" w:rsidP="003F3F9C">
            <w:pPr>
              <w:pStyle w:val="Tabulkovtext"/>
              <w:jc w:val="center"/>
              <w:rPr>
                <w:rFonts w:cs="Tahoma"/>
                <w:b/>
                <w:lang w:eastAsia="cs-CZ"/>
              </w:rPr>
            </w:pPr>
            <w:r w:rsidRPr="00974AE4">
              <w:rPr>
                <w:rFonts w:cs="Tahoma"/>
                <w:b/>
                <w:lang w:eastAsia="cs-CZ"/>
              </w:rPr>
              <w:t>1</w:t>
            </w:r>
            <w:r>
              <w:rPr>
                <w:rFonts w:cs="Tahoma"/>
                <w:b/>
                <w:lang w:eastAsia="cs-CZ"/>
              </w:rPr>
              <w:t>7</w:t>
            </w:r>
            <w:r w:rsidRPr="00974AE4">
              <w:rPr>
                <w:rFonts w:cs="Tahoma"/>
                <w:b/>
                <w:lang w:eastAsia="cs-CZ"/>
              </w:rPr>
              <w:t>,5</w:t>
            </w:r>
          </w:p>
        </w:tc>
        <w:tc>
          <w:tcPr>
            <w:tcW w:w="992" w:type="dxa"/>
          </w:tcPr>
          <w:p w:rsidR="003F3F9C" w:rsidRPr="00974AE4" w:rsidRDefault="003F3F9C" w:rsidP="003F3F9C">
            <w:pPr>
              <w:pStyle w:val="Tabulkovtext"/>
              <w:jc w:val="center"/>
              <w:rPr>
                <w:rFonts w:cs="Tahoma"/>
                <w:b/>
                <w:lang w:eastAsia="cs-CZ"/>
              </w:rPr>
            </w:pPr>
            <w:r>
              <w:rPr>
                <w:rFonts w:cs="Tahoma"/>
                <w:b/>
                <w:lang w:eastAsia="cs-CZ"/>
              </w:rPr>
              <w:t>17,0</w:t>
            </w:r>
          </w:p>
        </w:tc>
        <w:tc>
          <w:tcPr>
            <w:tcW w:w="850" w:type="dxa"/>
          </w:tcPr>
          <w:p w:rsidR="003F3F9C" w:rsidRPr="00974AE4" w:rsidRDefault="003F3F9C" w:rsidP="003F3F9C">
            <w:pPr>
              <w:pStyle w:val="Tabulkovtext"/>
              <w:jc w:val="center"/>
              <w:rPr>
                <w:rFonts w:cs="Tahoma"/>
                <w:b/>
                <w:lang w:eastAsia="cs-CZ"/>
              </w:rPr>
            </w:pPr>
            <w:r>
              <w:rPr>
                <w:rFonts w:cs="Tahoma"/>
                <w:b/>
                <w:lang w:eastAsia="cs-CZ"/>
              </w:rPr>
              <w:t>21,5</w:t>
            </w:r>
          </w:p>
        </w:tc>
        <w:tc>
          <w:tcPr>
            <w:tcW w:w="851" w:type="dxa"/>
          </w:tcPr>
          <w:p w:rsidR="003F3F9C" w:rsidRPr="00974AE4" w:rsidRDefault="003F3F9C" w:rsidP="003F3F9C">
            <w:pPr>
              <w:pStyle w:val="Tabulkovtext"/>
              <w:jc w:val="center"/>
              <w:rPr>
                <w:rFonts w:cs="Tahoma"/>
                <w:b/>
                <w:lang w:eastAsia="cs-CZ"/>
              </w:rPr>
            </w:pPr>
          </w:p>
        </w:tc>
        <w:tc>
          <w:tcPr>
            <w:tcW w:w="850" w:type="dxa"/>
          </w:tcPr>
          <w:p w:rsidR="003F3F9C" w:rsidRPr="00974AE4" w:rsidRDefault="003F3F9C" w:rsidP="003F3F9C">
            <w:pPr>
              <w:pStyle w:val="Tabulkovtext"/>
              <w:jc w:val="center"/>
              <w:rPr>
                <w:rFonts w:cs="Tahoma"/>
                <w:b/>
                <w:lang w:eastAsia="cs-CZ"/>
              </w:rPr>
            </w:pPr>
          </w:p>
        </w:tc>
        <w:tc>
          <w:tcPr>
            <w:tcW w:w="851" w:type="dxa"/>
          </w:tcPr>
          <w:p w:rsidR="003F3F9C" w:rsidRPr="00974AE4" w:rsidRDefault="003F3F9C" w:rsidP="003F3F9C">
            <w:pPr>
              <w:pStyle w:val="Tabulkovtext"/>
              <w:jc w:val="center"/>
              <w:rPr>
                <w:rFonts w:cs="Tahoma"/>
                <w:b/>
                <w:lang w:eastAsia="cs-CZ"/>
              </w:rPr>
            </w:pPr>
          </w:p>
        </w:tc>
        <w:tc>
          <w:tcPr>
            <w:tcW w:w="850" w:type="dxa"/>
          </w:tcPr>
          <w:p w:rsidR="003F3F9C" w:rsidRPr="00974AE4" w:rsidRDefault="003F3F9C" w:rsidP="003F3F9C">
            <w:pPr>
              <w:pStyle w:val="Tabulkovtext"/>
              <w:jc w:val="center"/>
              <w:rPr>
                <w:rFonts w:cs="Tahoma"/>
                <w:b/>
                <w:lang w:eastAsia="cs-CZ"/>
              </w:rPr>
            </w:pPr>
          </w:p>
        </w:tc>
        <w:tc>
          <w:tcPr>
            <w:tcW w:w="851" w:type="dxa"/>
          </w:tcPr>
          <w:p w:rsidR="003F3F9C" w:rsidRPr="00974AE4" w:rsidRDefault="003F3F9C" w:rsidP="003F3F9C">
            <w:pPr>
              <w:pStyle w:val="Tabulkovtext"/>
              <w:jc w:val="center"/>
              <w:rPr>
                <w:rFonts w:cs="Tahoma"/>
                <w:b/>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Cestovní doba Par - HK</w:t>
            </w:r>
          </w:p>
        </w:tc>
        <w:tc>
          <w:tcPr>
            <w:tcW w:w="851" w:type="dxa"/>
            <w:tcBorders>
              <w:left w:val="single" w:sz="12" w:space="0" w:color="auto"/>
            </w:tcBorders>
          </w:tcPr>
          <w:p w:rsidR="003F3F9C" w:rsidRPr="00974AE4" w:rsidRDefault="003F3F9C" w:rsidP="003F3F9C">
            <w:pPr>
              <w:pStyle w:val="Tabulkovtext"/>
              <w:jc w:val="center"/>
              <w:rPr>
                <w:rFonts w:cs="Tahoma"/>
                <w:lang w:eastAsia="cs-CZ"/>
              </w:rPr>
            </w:pPr>
            <w:r>
              <w:rPr>
                <w:rFonts w:cs="Tahoma"/>
                <w:lang w:eastAsia="cs-CZ"/>
              </w:rPr>
              <w:t>18,5</w:t>
            </w:r>
          </w:p>
        </w:tc>
        <w:tc>
          <w:tcPr>
            <w:tcW w:w="992" w:type="dxa"/>
          </w:tcPr>
          <w:p w:rsidR="003F3F9C" w:rsidRPr="00974AE4" w:rsidRDefault="003F3F9C" w:rsidP="003F3F9C">
            <w:pPr>
              <w:pStyle w:val="Tabulkovtext"/>
              <w:jc w:val="center"/>
              <w:rPr>
                <w:rFonts w:cs="Tahoma"/>
                <w:lang w:eastAsia="cs-CZ"/>
              </w:rPr>
            </w:pPr>
            <w:r>
              <w:rPr>
                <w:rFonts w:cs="Tahoma"/>
                <w:lang w:eastAsia="cs-CZ"/>
              </w:rPr>
              <w:t>21,0</w:t>
            </w:r>
          </w:p>
        </w:tc>
        <w:tc>
          <w:tcPr>
            <w:tcW w:w="850" w:type="dxa"/>
          </w:tcPr>
          <w:p w:rsidR="003F3F9C" w:rsidRPr="00974AE4" w:rsidRDefault="003F3F9C" w:rsidP="003F3F9C">
            <w:pPr>
              <w:pStyle w:val="Tabulkovtext"/>
              <w:jc w:val="center"/>
              <w:rPr>
                <w:rFonts w:cs="Tahoma"/>
                <w:lang w:eastAsia="cs-CZ"/>
              </w:rPr>
            </w:pPr>
            <w:r>
              <w:rPr>
                <w:rFonts w:cs="Tahoma"/>
                <w:lang w:eastAsia="cs-CZ"/>
              </w:rPr>
              <w:t>27,5</w:t>
            </w: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r>
      <w:tr w:rsidR="003F3F9C" w:rsidRPr="00974AE4" w:rsidTr="006B08CB">
        <w:tc>
          <w:tcPr>
            <w:tcW w:w="2410" w:type="dxa"/>
            <w:tcBorders>
              <w:bottom w:val="single" w:sz="12" w:space="0" w:color="auto"/>
              <w:right w:val="single" w:sz="12" w:space="0" w:color="auto"/>
            </w:tcBorders>
            <w:shd w:val="pct10" w:color="auto" w:fill="auto"/>
          </w:tcPr>
          <w:p w:rsidR="003F3F9C" w:rsidRPr="00B95BFD" w:rsidRDefault="003F3F9C" w:rsidP="003F3F9C">
            <w:pPr>
              <w:pStyle w:val="Tabulkovtext"/>
              <w:rPr>
                <w:rFonts w:cs="Tahoma"/>
                <w:i/>
                <w:lang w:eastAsia="cs-CZ"/>
              </w:rPr>
            </w:pPr>
            <w:r w:rsidRPr="00B95BFD">
              <w:rPr>
                <w:rFonts w:cs="Tahoma"/>
                <w:i/>
                <w:lang w:eastAsia="cs-CZ"/>
              </w:rPr>
              <w:t>úspora oproti současnosti</w:t>
            </w:r>
          </w:p>
        </w:tc>
        <w:tc>
          <w:tcPr>
            <w:tcW w:w="851" w:type="dxa"/>
            <w:tcBorders>
              <w:left w:val="single" w:sz="12" w:space="0" w:color="auto"/>
              <w:bottom w:val="single" w:sz="12" w:space="0" w:color="auto"/>
            </w:tcBorders>
          </w:tcPr>
          <w:p w:rsidR="003F3F9C" w:rsidRPr="00F118F9" w:rsidRDefault="008D5F0F" w:rsidP="003F3F9C">
            <w:pPr>
              <w:pStyle w:val="Tabulkovtext"/>
              <w:jc w:val="center"/>
              <w:rPr>
                <w:rFonts w:cs="Tahoma"/>
                <w:b/>
                <w:i/>
                <w:lang w:eastAsia="cs-CZ"/>
              </w:rPr>
            </w:pPr>
            <w:r>
              <w:rPr>
                <w:rFonts w:cs="Tahoma"/>
                <w:b/>
                <w:i/>
                <w:lang w:eastAsia="cs-CZ"/>
              </w:rPr>
              <w:t>-0,5</w:t>
            </w:r>
          </w:p>
        </w:tc>
        <w:tc>
          <w:tcPr>
            <w:tcW w:w="992" w:type="dxa"/>
            <w:tcBorders>
              <w:bottom w:val="single" w:sz="12" w:space="0" w:color="auto"/>
            </w:tcBorders>
          </w:tcPr>
          <w:p w:rsidR="003F3F9C" w:rsidRPr="00F118F9" w:rsidRDefault="001C50D3" w:rsidP="003F3F9C">
            <w:pPr>
              <w:pStyle w:val="Tabulkovtext"/>
              <w:jc w:val="center"/>
              <w:rPr>
                <w:rFonts w:cs="Tahoma"/>
                <w:b/>
                <w:i/>
                <w:lang w:eastAsia="cs-CZ"/>
              </w:rPr>
            </w:pPr>
            <w:r>
              <w:rPr>
                <w:rFonts w:cs="Tahoma"/>
                <w:b/>
                <w:i/>
                <w:lang w:eastAsia="cs-CZ"/>
              </w:rPr>
              <w:t>2,0</w:t>
            </w:r>
          </w:p>
        </w:tc>
        <w:tc>
          <w:tcPr>
            <w:tcW w:w="850" w:type="dxa"/>
            <w:tcBorders>
              <w:bottom w:val="single" w:sz="12" w:space="0" w:color="auto"/>
            </w:tcBorders>
          </w:tcPr>
          <w:p w:rsidR="003F3F9C" w:rsidRPr="00F118F9" w:rsidRDefault="001C50D3" w:rsidP="003F3F9C">
            <w:pPr>
              <w:pStyle w:val="Tabulkovtext"/>
              <w:jc w:val="center"/>
              <w:rPr>
                <w:rFonts w:cs="Tahoma"/>
                <w:b/>
                <w:i/>
                <w:lang w:eastAsia="cs-CZ"/>
              </w:rPr>
            </w:pPr>
            <w:r>
              <w:rPr>
                <w:rFonts w:cs="Tahoma"/>
                <w:b/>
                <w:i/>
                <w:lang w:eastAsia="cs-CZ"/>
              </w:rPr>
              <w:t>-1,0</w:t>
            </w:r>
          </w:p>
        </w:tc>
        <w:tc>
          <w:tcPr>
            <w:tcW w:w="851" w:type="dxa"/>
            <w:tcBorders>
              <w:bottom w:val="single" w:sz="12" w:space="0" w:color="auto"/>
            </w:tcBorders>
          </w:tcPr>
          <w:p w:rsidR="003F3F9C" w:rsidRPr="00B95BFD" w:rsidRDefault="003F3F9C" w:rsidP="003F3F9C">
            <w:pPr>
              <w:pStyle w:val="Tabulkovtext"/>
              <w:jc w:val="center"/>
              <w:rPr>
                <w:rFonts w:cs="Tahoma"/>
                <w:i/>
                <w:lang w:eastAsia="cs-CZ"/>
              </w:rPr>
            </w:pPr>
          </w:p>
        </w:tc>
        <w:tc>
          <w:tcPr>
            <w:tcW w:w="850" w:type="dxa"/>
            <w:tcBorders>
              <w:bottom w:val="single" w:sz="12" w:space="0" w:color="auto"/>
            </w:tcBorders>
          </w:tcPr>
          <w:p w:rsidR="003F3F9C" w:rsidRPr="00B95BFD" w:rsidRDefault="003F3F9C" w:rsidP="003F3F9C">
            <w:pPr>
              <w:pStyle w:val="Tabulkovtext"/>
              <w:jc w:val="center"/>
              <w:rPr>
                <w:rFonts w:cs="Tahoma"/>
                <w:i/>
                <w:lang w:eastAsia="cs-CZ"/>
              </w:rPr>
            </w:pPr>
          </w:p>
        </w:tc>
        <w:tc>
          <w:tcPr>
            <w:tcW w:w="851" w:type="dxa"/>
            <w:tcBorders>
              <w:bottom w:val="single" w:sz="12" w:space="0" w:color="auto"/>
            </w:tcBorders>
          </w:tcPr>
          <w:p w:rsidR="003F3F9C" w:rsidRPr="00B95BFD" w:rsidRDefault="003F3F9C" w:rsidP="003F3F9C">
            <w:pPr>
              <w:pStyle w:val="Tabulkovtext"/>
              <w:jc w:val="center"/>
              <w:rPr>
                <w:rFonts w:cs="Tahoma"/>
                <w:i/>
                <w:lang w:eastAsia="cs-CZ"/>
              </w:rPr>
            </w:pPr>
          </w:p>
        </w:tc>
        <w:tc>
          <w:tcPr>
            <w:tcW w:w="850" w:type="dxa"/>
            <w:tcBorders>
              <w:bottom w:val="single" w:sz="12" w:space="0" w:color="auto"/>
            </w:tcBorders>
          </w:tcPr>
          <w:p w:rsidR="003F3F9C" w:rsidRPr="00B95BFD" w:rsidRDefault="003F3F9C" w:rsidP="003F3F9C">
            <w:pPr>
              <w:pStyle w:val="Tabulkovtext"/>
              <w:jc w:val="center"/>
              <w:rPr>
                <w:rFonts w:cs="Tahoma"/>
                <w:i/>
                <w:lang w:eastAsia="cs-CZ"/>
              </w:rPr>
            </w:pPr>
          </w:p>
        </w:tc>
        <w:tc>
          <w:tcPr>
            <w:tcW w:w="851" w:type="dxa"/>
            <w:tcBorders>
              <w:bottom w:val="single" w:sz="12" w:space="0" w:color="auto"/>
            </w:tcBorders>
          </w:tcPr>
          <w:p w:rsidR="003F3F9C" w:rsidRPr="00B95BFD" w:rsidRDefault="003F3F9C" w:rsidP="003F3F9C">
            <w:pPr>
              <w:pStyle w:val="Tabulkovtext"/>
              <w:jc w:val="center"/>
              <w:rPr>
                <w:rFonts w:cs="Tahoma"/>
                <w:i/>
                <w:lang w:eastAsia="cs-CZ"/>
              </w:rPr>
            </w:pPr>
          </w:p>
        </w:tc>
      </w:tr>
      <w:tr w:rsidR="003F3F9C" w:rsidRPr="00974AE4" w:rsidTr="006B08CB">
        <w:tc>
          <w:tcPr>
            <w:tcW w:w="2410" w:type="dxa"/>
            <w:tcBorders>
              <w:top w:val="single" w:sz="12" w:space="0" w:color="auto"/>
              <w:right w:val="single" w:sz="12" w:space="0" w:color="auto"/>
            </w:tcBorders>
            <w:shd w:val="pct10" w:color="auto" w:fill="auto"/>
          </w:tcPr>
          <w:p w:rsidR="003F3F9C" w:rsidRPr="00974AE4" w:rsidRDefault="003F3F9C" w:rsidP="003F3F9C">
            <w:pPr>
              <w:pStyle w:val="Tabulkovtext"/>
              <w:rPr>
                <w:rFonts w:cs="Tahoma"/>
                <w:lang w:eastAsia="cs-CZ"/>
              </w:rPr>
            </w:pPr>
          </w:p>
        </w:tc>
        <w:tc>
          <w:tcPr>
            <w:tcW w:w="6946" w:type="dxa"/>
            <w:gridSpan w:val="8"/>
            <w:tcBorders>
              <w:top w:val="single" w:sz="12" w:space="0" w:color="auto"/>
              <w:left w:val="single" w:sz="12" w:space="0" w:color="auto"/>
            </w:tcBorders>
          </w:tcPr>
          <w:p w:rsidR="003F3F9C" w:rsidRPr="00974AE4" w:rsidRDefault="003F3F9C" w:rsidP="003F3F9C">
            <w:pPr>
              <w:pStyle w:val="Tabulkovtext"/>
              <w:rPr>
                <w:rFonts w:cs="Tahoma"/>
                <w:lang w:eastAsia="cs-CZ"/>
              </w:rPr>
            </w:pPr>
            <w:r w:rsidRPr="00974AE4">
              <w:rPr>
                <w:rFonts w:cs="Tahoma"/>
                <w:i/>
                <w:lang w:eastAsia="cs-CZ"/>
              </w:rPr>
              <w:t>Lichý směr, Hradec Králové hl. nádr. – Pardubice hl. nádr.</w:t>
            </w: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Hradec Králové hlav. nádr.</w:t>
            </w:r>
          </w:p>
        </w:tc>
        <w:tc>
          <w:tcPr>
            <w:tcW w:w="851" w:type="dxa"/>
            <w:tcBorders>
              <w:left w:val="single" w:sz="12" w:space="0" w:color="auto"/>
            </w:tcBorders>
          </w:tcPr>
          <w:p w:rsidR="003F3F9C" w:rsidRPr="00974AE4" w:rsidRDefault="003F3F9C" w:rsidP="003F3F9C">
            <w:pPr>
              <w:pStyle w:val="Tabulkovtext"/>
              <w:jc w:val="center"/>
              <w:rPr>
                <w:rFonts w:cs="Tahoma"/>
                <w:lang w:eastAsia="cs-CZ"/>
              </w:rPr>
            </w:pPr>
          </w:p>
        </w:tc>
        <w:tc>
          <w:tcPr>
            <w:tcW w:w="992"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Opatovice nad Labem</w:t>
            </w:r>
          </w:p>
        </w:tc>
        <w:tc>
          <w:tcPr>
            <w:tcW w:w="851" w:type="dxa"/>
            <w:tcBorders>
              <w:left w:val="single" w:sz="12" w:space="0" w:color="auto"/>
            </w:tcBorders>
          </w:tcPr>
          <w:p w:rsidR="003F3F9C" w:rsidRPr="00974AE4" w:rsidRDefault="003F3F9C" w:rsidP="003F3F9C">
            <w:pPr>
              <w:pStyle w:val="Tabulkovtext"/>
              <w:jc w:val="center"/>
              <w:rPr>
                <w:rFonts w:cs="Tahoma"/>
                <w:lang w:eastAsia="cs-CZ"/>
              </w:rPr>
            </w:pPr>
            <w:r>
              <w:rPr>
                <w:rFonts w:cs="Tahoma"/>
                <w:lang w:eastAsia="cs-CZ"/>
              </w:rPr>
              <w:t>4,5</w:t>
            </w:r>
          </w:p>
        </w:tc>
        <w:tc>
          <w:tcPr>
            <w:tcW w:w="992" w:type="dxa"/>
          </w:tcPr>
          <w:p w:rsidR="003F3F9C" w:rsidRPr="00974AE4" w:rsidRDefault="003F3F9C" w:rsidP="003F3F9C">
            <w:pPr>
              <w:pStyle w:val="Tabulkovtext"/>
              <w:jc w:val="center"/>
              <w:rPr>
                <w:rFonts w:cs="Tahoma"/>
                <w:lang w:eastAsia="cs-CZ"/>
              </w:rPr>
            </w:pPr>
            <w:r w:rsidRPr="00974AE4">
              <w:rPr>
                <w:rFonts w:cs="Tahoma"/>
                <w:lang w:eastAsia="cs-CZ"/>
              </w:rPr>
              <w:t>4,5</w:t>
            </w:r>
          </w:p>
        </w:tc>
        <w:tc>
          <w:tcPr>
            <w:tcW w:w="850" w:type="dxa"/>
          </w:tcPr>
          <w:p w:rsidR="003F3F9C" w:rsidRPr="00974AE4" w:rsidRDefault="009C3A91" w:rsidP="003F3F9C">
            <w:pPr>
              <w:pStyle w:val="Tabulkovtext"/>
              <w:jc w:val="center"/>
              <w:rPr>
                <w:rFonts w:cs="Tahoma"/>
                <w:lang w:eastAsia="cs-CZ"/>
              </w:rPr>
            </w:pPr>
            <w:r>
              <w:rPr>
                <w:rFonts w:cs="Tahoma"/>
                <w:lang w:eastAsia="cs-CZ"/>
              </w:rPr>
              <w:t>5,0</w:t>
            </w: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Čeperka Hl. z.</w:t>
            </w:r>
          </w:p>
        </w:tc>
        <w:tc>
          <w:tcPr>
            <w:tcW w:w="851" w:type="dxa"/>
            <w:tcBorders>
              <w:left w:val="single" w:sz="12" w:space="0" w:color="auto"/>
            </w:tcBorders>
          </w:tcPr>
          <w:p w:rsidR="003F3F9C" w:rsidRPr="00974AE4" w:rsidRDefault="009C3A91" w:rsidP="003F3F9C">
            <w:pPr>
              <w:pStyle w:val="Tabulkovtext"/>
              <w:jc w:val="center"/>
              <w:rPr>
                <w:rFonts w:cs="Tahoma"/>
                <w:lang w:eastAsia="cs-CZ"/>
              </w:rPr>
            </w:pPr>
            <w:r>
              <w:rPr>
                <w:rFonts w:cs="Tahoma"/>
                <w:szCs w:val="18"/>
                <w:lang w:eastAsia="cs-CZ"/>
              </w:rPr>
              <w:t>2,5</w:t>
            </w:r>
          </w:p>
        </w:tc>
        <w:tc>
          <w:tcPr>
            <w:tcW w:w="992" w:type="dxa"/>
          </w:tcPr>
          <w:p w:rsidR="003F3F9C" w:rsidRPr="00974AE4" w:rsidRDefault="009C3A91" w:rsidP="003F3F9C">
            <w:pPr>
              <w:pStyle w:val="Tabulkovtext"/>
              <w:jc w:val="center"/>
              <w:rPr>
                <w:rFonts w:cs="Tahoma"/>
                <w:lang w:eastAsia="cs-CZ"/>
              </w:rPr>
            </w:pPr>
            <w:r>
              <w:rPr>
                <w:rFonts w:cs="Tahoma"/>
                <w:szCs w:val="18"/>
                <w:lang w:eastAsia="cs-CZ"/>
              </w:rPr>
              <w:t>2,5</w:t>
            </w:r>
          </w:p>
        </w:tc>
        <w:tc>
          <w:tcPr>
            <w:tcW w:w="850" w:type="dxa"/>
          </w:tcPr>
          <w:p w:rsidR="003F3F9C" w:rsidRPr="00974AE4" w:rsidRDefault="009C3A91" w:rsidP="003F3F9C">
            <w:pPr>
              <w:pStyle w:val="Tabulkovtext"/>
              <w:jc w:val="center"/>
              <w:rPr>
                <w:rFonts w:cs="Tahoma"/>
                <w:lang w:eastAsia="cs-CZ"/>
              </w:rPr>
            </w:pPr>
            <w:r>
              <w:rPr>
                <w:rFonts w:cs="Tahoma"/>
                <w:szCs w:val="18"/>
                <w:lang w:eastAsia="cs-CZ"/>
              </w:rPr>
              <w:t>3</w:t>
            </w:r>
            <w:r w:rsidR="003F3F9C">
              <w:rPr>
                <w:rFonts w:cs="Tahoma"/>
                <w:szCs w:val="18"/>
                <w:lang w:eastAsia="cs-CZ"/>
              </w:rPr>
              <w:t>,5</w:t>
            </w: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Stéblová</w:t>
            </w:r>
          </w:p>
        </w:tc>
        <w:tc>
          <w:tcPr>
            <w:tcW w:w="851" w:type="dxa"/>
            <w:tcBorders>
              <w:left w:val="single" w:sz="12" w:space="0" w:color="auto"/>
            </w:tcBorders>
          </w:tcPr>
          <w:p w:rsidR="003F3F9C" w:rsidRPr="00974AE4" w:rsidRDefault="009C3A91" w:rsidP="003F3F9C">
            <w:pPr>
              <w:pStyle w:val="Tabulkovtext"/>
              <w:jc w:val="center"/>
              <w:rPr>
                <w:rFonts w:cs="Tahoma"/>
                <w:lang w:eastAsia="cs-CZ"/>
              </w:rPr>
            </w:pPr>
            <w:r>
              <w:rPr>
                <w:rFonts w:cs="Tahoma"/>
                <w:lang w:eastAsia="cs-CZ"/>
              </w:rPr>
              <w:t>2</w:t>
            </w:r>
            <w:r w:rsidR="003F3F9C" w:rsidRPr="00974AE4">
              <w:rPr>
                <w:rFonts w:cs="Tahoma"/>
                <w:lang w:eastAsia="cs-CZ"/>
              </w:rPr>
              <w:t>,5</w:t>
            </w:r>
          </w:p>
        </w:tc>
        <w:tc>
          <w:tcPr>
            <w:tcW w:w="992" w:type="dxa"/>
          </w:tcPr>
          <w:p w:rsidR="003F3F9C" w:rsidRPr="00974AE4" w:rsidRDefault="003F3F9C" w:rsidP="003F3F9C">
            <w:pPr>
              <w:pStyle w:val="Tabulkovtext"/>
              <w:jc w:val="center"/>
              <w:rPr>
                <w:rFonts w:cs="Tahoma"/>
                <w:lang w:eastAsia="cs-CZ"/>
              </w:rPr>
            </w:pPr>
            <w:r>
              <w:rPr>
                <w:rFonts w:cs="Tahoma"/>
                <w:lang w:eastAsia="cs-CZ"/>
              </w:rPr>
              <w:t>2,5</w:t>
            </w:r>
          </w:p>
        </w:tc>
        <w:tc>
          <w:tcPr>
            <w:tcW w:w="850" w:type="dxa"/>
          </w:tcPr>
          <w:p w:rsidR="003F3F9C" w:rsidRPr="00974AE4" w:rsidRDefault="003F3F9C" w:rsidP="003F3F9C">
            <w:pPr>
              <w:pStyle w:val="Tabulkovtext"/>
              <w:jc w:val="center"/>
              <w:rPr>
                <w:rFonts w:cs="Tahoma"/>
                <w:lang w:eastAsia="cs-CZ"/>
              </w:rPr>
            </w:pPr>
            <w:r>
              <w:rPr>
                <w:rFonts w:cs="Tahoma"/>
                <w:lang w:eastAsia="cs-CZ"/>
              </w:rPr>
              <w:t>3</w:t>
            </w:r>
            <w:r w:rsidRPr="00974AE4">
              <w:rPr>
                <w:rFonts w:cs="Tahoma"/>
                <w:lang w:eastAsia="cs-CZ"/>
              </w:rPr>
              <w:t>,0</w:t>
            </w: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Pardubice-Semtín z</w:t>
            </w:r>
          </w:p>
        </w:tc>
        <w:tc>
          <w:tcPr>
            <w:tcW w:w="851" w:type="dxa"/>
            <w:tcBorders>
              <w:left w:val="single" w:sz="12" w:space="0" w:color="auto"/>
            </w:tcBorders>
          </w:tcPr>
          <w:p w:rsidR="003F3F9C" w:rsidRPr="00974AE4" w:rsidRDefault="003F3F9C" w:rsidP="003F3F9C">
            <w:pPr>
              <w:pStyle w:val="Tabulkovtext"/>
              <w:jc w:val="center"/>
              <w:rPr>
                <w:rFonts w:cs="Tahoma"/>
                <w:lang w:eastAsia="cs-CZ"/>
              </w:rPr>
            </w:pPr>
            <w:r w:rsidRPr="00974AE4">
              <w:rPr>
                <w:rFonts w:cs="Tahoma"/>
                <w:szCs w:val="18"/>
                <w:lang w:eastAsia="cs-CZ"/>
              </w:rPr>
              <w:t>|</w:t>
            </w:r>
          </w:p>
        </w:tc>
        <w:tc>
          <w:tcPr>
            <w:tcW w:w="992" w:type="dxa"/>
          </w:tcPr>
          <w:p w:rsidR="003F3F9C" w:rsidRPr="00974AE4" w:rsidRDefault="003F3F9C" w:rsidP="003F3F9C">
            <w:pPr>
              <w:pStyle w:val="Tabulkovtext"/>
              <w:jc w:val="center"/>
              <w:rPr>
                <w:rFonts w:cs="Tahoma"/>
                <w:lang w:eastAsia="cs-CZ"/>
              </w:rPr>
            </w:pPr>
            <w:r w:rsidRPr="00974AE4">
              <w:rPr>
                <w:rFonts w:cs="Tahoma"/>
                <w:szCs w:val="18"/>
                <w:lang w:eastAsia="cs-CZ"/>
              </w:rPr>
              <w:t>|</w:t>
            </w:r>
          </w:p>
        </w:tc>
        <w:tc>
          <w:tcPr>
            <w:tcW w:w="850" w:type="dxa"/>
          </w:tcPr>
          <w:p w:rsidR="003F3F9C" w:rsidRPr="00974AE4" w:rsidRDefault="009C3A91" w:rsidP="003F3F9C">
            <w:pPr>
              <w:pStyle w:val="Tabulkovtext"/>
              <w:jc w:val="center"/>
              <w:rPr>
                <w:rFonts w:cs="Tahoma"/>
                <w:lang w:eastAsia="cs-CZ"/>
              </w:rPr>
            </w:pPr>
            <w:r>
              <w:rPr>
                <w:rFonts w:cs="Tahoma"/>
                <w:lang w:eastAsia="cs-CZ"/>
              </w:rPr>
              <w:t>4,0</w:t>
            </w: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Pardubice-Rosice n. L.</w:t>
            </w:r>
          </w:p>
        </w:tc>
        <w:tc>
          <w:tcPr>
            <w:tcW w:w="851" w:type="dxa"/>
            <w:tcBorders>
              <w:left w:val="single" w:sz="12" w:space="0" w:color="auto"/>
            </w:tcBorders>
          </w:tcPr>
          <w:p w:rsidR="003F3F9C" w:rsidRPr="00974AE4" w:rsidRDefault="003F3F9C" w:rsidP="003F3F9C">
            <w:pPr>
              <w:pStyle w:val="Tabulkovtext"/>
              <w:jc w:val="center"/>
              <w:rPr>
                <w:rFonts w:cs="Tahoma"/>
                <w:lang w:eastAsia="cs-CZ"/>
              </w:rPr>
            </w:pPr>
            <w:r>
              <w:rPr>
                <w:rFonts w:cs="Tahoma"/>
                <w:lang w:eastAsia="cs-CZ"/>
              </w:rPr>
              <w:t>4</w:t>
            </w:r>
            <w:r w:rsidRPr="00974AE4">
              <w:rPr>
                <w:rFonts w:cs="Tahoma"/>
                <w:lang w:eastAsia="cs-CZ"/>
              </w:rPr>
              <w:t>,</w:t>
            </w:r>
            <w:r>
              <w:rPr>
                <w:rFonts w:cs="Tahoma"/>
                <w:lang w:eastAsia="cs-CZ"/>
              </w:rPr>
              <w:t>5</w:t>
            </w:r>
          </w:p>
        </w:tc>
        <w:tc>
          <w:tcPr>
            <w:tcW w:w="992" w:type="dxa"/>
          </w:tcPr>
          <w:p w:rsidR="003F3F9C" w:rsidRPr="00974AE4" w:rsidRDefault="003F3F9C" w:rsidP="003F3F9C">
            <w:pPr>
              <w:pStyle w:val="Tabulkovtext"/>
              <w:jc w:val="center"/>
              <w:rPr>
                <w:rFonts w:cs="Tahoma"/>
                <w:lang w:eastAsia="cs-CZ"/>
              </w:rPr>
            </w:pPr>
            <w:r w:rsidRPr="00974AE4">
              <w:rPr>
                <w:rFonts w:cs="Tahoma"/>
                <w:lang w:eastAsia="cs-CZ"/>
              </w:rPr>
              <w:t>4,5</w:t>
            </w:r>
          </w:p>
        </w:tc>
        <w:tc>
          <w:tcPr>
            <w:tcW w:w="850" w:type="dxa"/>
          </w:tcPr>
          <w:p w:rsidR="003F3F9C" w:rsidRPr="00974AE4" w:rsidRDefault="003F3F9C" w:rsidP="003F3F9C">
            <w:pPr>
              <w:pStyle w:val="Tabulkovtext"/>
              <w:jc w:val="center"/>
              <w:rPr>
                <w:rFonts w:cs="Tahoma"/>
                <w:lang w:eastAsia="cs-CZ"/>
              </w:rPr>
            </w:pPr>
            <w:r>
              <w:rPr>
                <w:rFonts w:cs="Tahoma"/>
                <w:lang w:eastAsia="cs-CZ"/>
              </w:rPr>
              <w:t>2,5</w:t>
            </w: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Pardubice hlavní nádr.</w:t>
            </w:r>
          </w:p>
        </w:tc>
        <w:tc>
          <w:tcPr>
            <w:tcW w:w="851" w:type="dxa"/>
            <w:tcBorders>
              <w:left w:val="single" w:sz="12" w:space="0" w:color="auto"/>
            </w:tcBorders>
          </w:tcPr>
          <w:p w:rsidR="003F3F9C" w:rsidRPr="00974AE4" w:rsidRDefault="003F3F9C" w:rsidP="003F3F9C">
            <w:pPr>
              <w:pStyle w:val="Tabulkovtext"/>
              <w:jc w:val="center"/>
              <w:rPr>
                <w:rFonts w:cs="Tahoma"/>
                <w:lang w:eastAsia="cs-CZ"/>
              </w:rPr>
            </w:pPr>
            <w:r w:rsidRPr="00974AE4">
              <w:rPr>
                <w:rFonts w:cs="Tahoma"/>
                <w:lang w:eastAsia="cs-CZ"/>
              </w:rPr>
              <w:t>3,0</w:t>
            </w:r>
          </w:p>
        </w:tc>
        <w:tc>
          <w:tcPr>
            <w:tcW w:w="992" w:type="dxa"/>
          </w:tcPr>
          <w:p w:rsidR="003F3F9C" w:rsidRPr="00974AE4" w:rsidRDefault="003F3F9C" w:rsidP="003F3F9C">
            <w:pPr>
              <w:pStyle w:val="Tabulkovtext"/>
              <w:jc w:val="center"/>
              <w:rPr>
                <w:rFonts w:cs="Tahoma"/>
                <w:lang w:eastAsia="cs-CZ"/>
              </w:rPr>
            </w:pPr>
            <w:r w:rsidRPr="00974AE4">
              <w:rPr>
                <w:rFonts w:cs="Tahoma"/>
                <w:lang w:eastAsia="cs-CZ"/>
              </w:rPr>
              <w:t>3,0</w:t>
            </w:r>
          </w:p>
        </w:tc>
        <w:tc>
          <w:tcPr>
            <w:tcW w:w="850" w:type="dxa"/>
          </w:tcPr>
          <w:p w:rsidR="003F3F9C" w:rsidRPr="00974AE4" w:rsidRDefault="003F3F9C" w:rsidP="003F3F9C">
            <w:pPr>
              <w:pStyle w:val="Tabulkovtext"/>
              <w:jc w:val="center"/>
              <w:rPr>
                <w:rFonts w:cs="Tahoma"/>
                <w:lang w:eastAsia="cs-CZ"/>
              </w:rPr>
            </w:pPr>
            <w:r w:rsidRPr="00974AE4">
              <w:rPr>
                <w:rFonts w:cs="Tahoma"/>
                <w:lang w:eastAsia="cs-CZ"/>
              </w:rPr>
              <w:t>3,0</w:t>
            </w: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b/>
                <w:lang w:eastAsia="cs-CZ"/>
              </w:rPr>
            </w:pPr>
            <w:r w:rsidRPr="00974AE4">
              <w:rPr>
                <w:rFonts w:ascii="Symbol" w:hAnsi="Symbol" w:cs="Tahoma"/>
                <w:b/>
                <w:lang w:eastAsia="cs-CZ"/>
              </w:rPr>
              <w:t></w:t>
            </w:r>
            <w:r w:rsidRPr="00974AE4">
              <w:rPr>
                <w:rFonts w:cs="Tahoma"/>
                <w:b/>
                <w:lang w:eastAsia="cs-CZ"/>
              </w:rPr>
              <w:t xml:space="preserve"> jizdních dob</w:t>
            </w:r>
          </w:p>
        </w:tc>
        <w:tc>
          <w:tcPr>
            <w:tcW w:w="851" w:type="dxa"/>
            <w:tcBorders>
              <w:left w:val="single" w:sz="12" w:space="0" w:color="auto"/>
            </w:tcBorders>
          </w:tcPr>
          <w:p w:rsidR="003F3F9C" w:rsidRPr="00974AE4" w:rsidRDefault="009C3A91" w:rsidP="003F3F9C">
            <w:pPr>
              <w:pStyle w:val="Tabulkovtext"/>
              <w:jc w:val="center"/>
              <w:rPr>
                <w:rFonts w:cs="Tahoma"/>
                <w:b/>
                <w:lang w:eastAsia="cs-CZ"/>
              </w:rPr>
            </w:pPr>
            <w:r>
              <w:rPr>
                <w:rFonts w:cs="Tahoma"/>
                <w:b/>
                <w:lang w:eastAsia="cs-CZ"/>
              </w:rPr>
              <w:t>17,0</w:t>
            </w:r>
          </w:p>
        </w:tc>
        <w:tc>
          <w:tcPr>
            <w:tcW w:w="992" w:type="dxa"/>
          </w:tcPr>
          <w:p w:rsidR="003F3F9C" w:rsidRPr="00974AE4" w:rsidRDefault="003F3F9C" w:rsidP="009C3A91">
            <w:pPr>
              <w:pStyle w:val="Tabulkovtext"/>
              <w:jc w:val="center"/>
              <w:rPr>
                <w:rFonts w:cs="Tahoma"/>
                <w:b/>
                <w:lang w:eastAsia="cs-CZ"/>
              </w:rPr>
            </w:pPr>
            <w:r w:rsidRPr="00974AE4">
              <w:rPr>
                <w:rFonts w:cs="Tahoma"/>
                <w:b/>
                <w:lang w:eastAsia="cs-CZ"/>
              </w:rPr>
              <w:t>1</w:t>
            </w:r>
            <w:r w:rsidR="009C3A91">
              <w:rPr>
                <w:rFonts w:cs="Tahoma"/>
                <w:b/>
                <w:lang w:eastAsia="cs-CZ"/>
              </w:rPr>
              <w:t>7</w:t>
            </w:r>
            <w:r w:rsidRPr="00974AE4">
              <w:rPr>
                <w:rFonts w:cs="Tahoma"/>
                <w:b/>
                <w:lang w:eastAsia="cs-CZ"/>
              </w:rPr>
              <w:t>,0</w:t>
            </w:r>
          </w:p>
        </w:tc>
        <w:tc>
          <w:tcPr>
            <w:tcW w:w="850" w:type="dxa"/>
          </w:tcPr>
          <w:p w:rsidR="003F3F9C" w:rsidRPr="00974AE4" w:rsidRDefault="003F3F9C" w:rsidP="009C3A91">
            <w:pPr>
              <w:pStyle w:val="Tabulkovtext"/>
              <w:jc w:val="center"/>
              <w:rPr>
                <w:rFonts w:cs="Tahoma"/>
                <w:b/>
                <w:lang w:eastAsia="cs-CZ"/>
              </w:rPr>
            </w:pPr>
            <w:r>
              <w:rPr>
                <w:rFonts w:cs="Tahoma"/>
                <w:b/>
                <w:lang w:eastAsia="cs-CZ"/>
              </w:rPr>
              <w:t>2</w:t>
            </w:r>
            <w:r w:rsidR="009C3A91">
              <w:rPr>
                <w:rFonts w:cs="Tahoma"/>
                <w:b/>
                <w:lang w:eastAsia="cs-CZ"/>
              </w:rPr>
              <w:t>1</w:t>
            </w:r>
            <w:r w:rsidRPr="00974AE4">
              <w:rPr>
                <w:rFonts w:cs="Tahoma"/>
                <w:b/>
                <w:lang w:eastAsia="cs-CZ"/>
              </w:rPr>
              <w:t>,0</w:t>
            </w:r>
          </w:p>
        </w:tc>
        <w:tc>
          <w:tcPr>
            <w:tcW w:w="851" w:type="dxa"/>
          </w:tcPr>
          <w:p w:rsidR="003F3F9C" w:rsidRPr="00974AE4" w:rsidRDefault="003F3F9C" w:rsidP="003F3F9C">
            <w:pPr>
              <w:pStyle w:val="Tabulkovtext"/>
              <w:jc w:val="center"/>
              <w:rPr>
                <w:rFonts w:cs="Tahoma"/>
                <w:b/>
                <w:lang w:eastAsia="cs-CZ"/>
              </w:rPr>
            </w:pPr>
          </w:p>
        </w:tc>
        <w:tc>
          <w:tcPr>
            <w:tcW w:w="850" w:type="dxa"/>
          </w:tcPr>
          <w:p w:rsidR="003F3F9C" w:rsidRPr="00974AE4" w:rsidRDefault="003F3F9C" w:rsidP="003F3F9C">
            <w:pPr>
              <w:pStyle w:val="Tabulkovtext"/>
              <w:jc w:val="center"/>
              <w:rPr>
                <w:rFonts w:cs="Tahoma"/>
                <w:b/>
                <w:lang w:eastAsia="cs-CZ"/>
              </w:rPr>
            </w:pPr>
          </w:p>
        </w:tc>
        <w:tc>
          <w:tcPr>
            <w:tcW w:w="851" w:type="dxa"/>
          </w:tcPr>
          <w:p w:rsidR="003F3F9C" w:rsidRPr="00974AE4" w:rsidRDefault="003F3F9C" w:rsidP="003F3F9C">
            <w:pPr>
              <w:pStyle w:val="Tabulkovtext"/>
              <w:jc w:val="center"/>
              <w:rPr>
                <w:rFonts w:cs="Tahoma"/>
                <w:b/>
                <w:lang w:eastAsia="cs-CZ"/>
              </w:rPr>
            </w:pPr>
          </w:p>
        </w:tc>
        <w:tc>
          <w:tcPr>
            <w:tcW w:w="850" w:type="dxa"/>
          </w:tcPr>
          <w:p w:rsidR="003F3F9C" w:rsidRPr="00974AE4" w:rsidRDefault="003F3F9C" w:rsidP="003F3F9C">
            <w:pPr>
              <w:pStyle w:val="Tabulkovtext"/>
              <w:jc w:val="center"/>
              <w:rPr>
                <w:rFonts w:cs="Tahoma"/>
                <w:b/>
                <w:lang w:eastAsia="cs-CZ"/>
              </w:rPr>
            </w:pPr>
          </w:p>
        </w:tc>
        <w:tc>
          <w:tcPr>
            <w:tcW w:w="851" w:type="dxa"/>
          </w:tcPr>
          <w:p w:rsidR="003F3F9C" w:rsidRPr="00974AE4" w:rsidRDefault="003F3F9C" w:rsidP="003F3F9C">
            <w:pPr>
              <w:pStyle w:val="Tabulkovtext"/>
              <w:jc w:val="center"/>
              <w:rPr>
                <w:rFonts w:cs="Tahoma"/>
                <w:b/>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974AE4">
              <w:rPr>
                <w:rFonts w:cs="Tahoma"/>
                <w:lang w:eastAsia="cs-CZ"/>
              </w:rPr>
              <w:t>Cestovní doba HK - Par</w:t>
            </w:r>
          </w:p>
        </w:tc>
        <w:tc>
          <w:tcPr>
            <w:tcW w:w="851" w:type="dxa"/>
            <w:tcBorders>
              <w:left w:val="single" w:sz="12" w:space="0" w:color="auto"/>
            </w:tcBorders>
          </w:tcPr>
          <w:p w:rsidR="003F3F9C" w:rsidRPr="00974AE4" w:rsidRDefault="003F3F9C" w:rsidP="009C3A91">
            <w:pPr>
              <w:pStyle w:val="Tabulkovtext"/>
              <w:jc w:val="center"/>
              <w:rPr>
                <w:rFonts w:cs="Tahoma"/>
                <w:lang w:eastAsia="cs-CZ"/>
              </w:rPr>
            </w:pPr>
            <w:r w:rsidRPr="00974AE4">
              <w:rPr>
                <w:rFonts w:cs="Tahoma"/>
                <w:lang w:eastAsia="cs-CZ"/>
              </w:rPr>
              <w:t>1</w:t>
            </w:r>
            <w:r w:rsidR="009C3A91">
              <w:rPr>
                <w:rFonts w:cs="Tahoma"/>
                <w:lang w:eastAsia="cs-CZ"/>
              </w:rPr>
              <w:t>8</w:t>
            </w:r>
            <w:r>
              <w:rPr>
                <w:rFonts w:cs="Tahoma"/>
                <w:lang w:eastAsia="cs-CZ"/>
              </w:rPr>
              <w:t>,</w:t>
            </w:r>
            <w:r w:rsidR="009C3A91">
              <w:rPr>
                <w:rFonts w:cs="Tahoma"/>
                <w:lang w:eastAsia="cs-CZ"/>
              </w:rPr>
              <w:t>0</w:t>
            </w:r>
          </w:p>
        </w:tc>
        <w:tc>
          <w:tcPr>
            <w:tcW w:w="992" w:type="dxa"/>
          </w:tcPr>
          <w:p w:rsidR="003F3F9C" w:rsidRPr="00974AE4" w:rsidRDefault="009C3A91" w:rsidP="009C3A91">
            <w:pPr>
              <w:pStyle w:val="Tabulkovtext"/>
              <w:jc w:val="center"/>
              <w:rPr>
                <w:rFonts w:cs="Tahoma"/>
                <w:lang w:eastAsia="cs-CZ"/>
              </w:rPr>
            </w:pPr>
            <w:r>
              <w:rPr>
                <w:rFonts w:cs="Tahoma"/>
                <w:lang w:eastAsia="cs-CZ"/>
              </w:rPr>
              <w:t>23</w:t>
            </w:r>
            <w:r w:rsidR="003F3F9C" w:rsidRPr="00974AE4">
              <w:rPr>
                <w:rFonts w:cs="Tahoma"/>
                <w:lang w:eastAsia="cs-CZ"/>
              </w:rPr>
              <w:t>,0</w:t>
            </w:r>
          </w:p>
        </w:tc>
        <w:tc>
          <w:tcPr>
            <w:tcW w:w="850" w:type="dxa"/>
          </w:tcPr>
          <w:p w:rsidR="003F3F9C" w:rsidRPr="00974AE4" w:rsidRDefault="003F3F9C" w:rsidP="009C3A91">
            <w:pPr>
              <w:pStyle w:val="Tabulkovtext"/>
              <w:jc w:val="center"/>
              <w:rPr>
                <w:rFonts w:cs="Tahoma"/>
                <w:lang w:eastAsia="cs-CZ"/>
              </w:rPr>
            </w:pPr>
            <w:r>
              <w:rPr>
                <w:rFonts w:cs="Tahoma"/>
                <w:lang w:eastAsia="cs-CZ"/>
              </w:rPr>
              <w:t>2</w:t>
            </w:r>
            <w:r w:rsidR="009C3A91">
              <w:rPr>
                <w:rFonts w:cs="Tahoma"/>
                <w:lang w:eastAsia="cs-CZ"/>
              </w:rPr>
              <w:t>6</w:t>
            </w:r>
            <w:r w:rsidRPr="00974AE4">
              <w:rPr>
                <w:rFonts w:cs="Tahoma"/>
                <w:lang w:eastAsia="cs-CZ"/>
              </w:rPr>
              <w:t>,</w:t>
            </w:r>
            <w:r>
              <w:rPr>
                <w:rFonts w:cs="Tahoma"/>
                <w:lang w:eastAsia="cs-CZ"/>
              </w:rPr>
              <w:t>5</w:t>
            </w: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r>
      <w:tr w:rsidR="003F3F9C" w:rsidRPr="00974AE4" w:rsidTr="006B08CB">
        <w:tc>
          <w:tcPr>
            <w:tcW w:w="2410" w:type="dxa"/>
            <w:tcBorders>
              <w:right w:val="single" w:sz="12" w:space="0" w:color="auto"/>
            </w:tcBorders>
            <w:shd w:val="pct10" w:color="auto" w:fill="auto"/>
          </w:tcPr>
          <w:p w:rsidR="003F3F9C" w:rsidRPr="00974AE4" w:rsidRDefault="003F3F9C" w:rsidP="003F3F9C">
            <w:pPr>
              <w:pStyle w:val="Tabulkovtext"/>
              <w:rPr>
                <w:rFonts w:cs="Tahoma"/>
                <w:lang w:eastAsia="cs-CZ"/>
              </w:rPr>
            </w:pPr>
            <w:r w:rsidRPr="00B95BFD">
              <w:rPr>
                <w:rFonts w:cs="Tahoma"/>
                <w:i/>
                <w:lang w:eastAsia="cs-CZ"/>
              </w:rPr>
              <w:t>úspora oproti současnosti</w:t>
            </w:r>
          </w:p>
        </w:tc>
        <w:tc>
          <w:tcPr>
            <w:tcW w:w="851" w:type="dxa"/>
            <w:tcBorders>
              <w:left w:val="single" w:sz="12" w:space="0" w:color="auto"/>
            </w:tcBorders>
          </w:tcPr>
          <w:p w:rsidR="003F3F9C" w:rsidRPr="00F118F9" w:rsidRDefault="009C3A91" w:rsidP="003F3F9C">
            <w:pPr>
              <w:pStyle w:val="Tabulkovtext"/>
              <w:jc w:val="center"/>
              <w:rPr>
                <w:rFonts w:cs="Tahoma"/>
                <w:b/>
                <w:i/>
                <w:lang w:eastAsia="cs-CZ"/>
              </w:rPr>
            </w:pPr>
            <w:r>
              <w:rPr>
                <w:rFonts w:cs="Tahoma"/>
                <w:b/>
                <w:i/>
                <w:lang w:eastAsia="cs-CZ"/>
              </w:rPr>
              <w:t>1,0</w:t>
            </w:r>
          </w:p>
        </w:tc>
        <w:tc>
          <w:tcPr>
            <w:tcW w:w="992" w:type="dxa"/>
          </w:tcPr>
          <w:p w:rsidR="003F3F9C" w:rsidRPr="00F118F9" w:rsidRDefault="001C50D3" w:rsidP="003F3F9C">
            <w:pPr>
              <w:pStyle w:val="Tabulkovtext"/>
              <w:jc w:val="center"/>
              <w:rPr>
                <w:rFonts w:cs="Tahoma"/>
                <w:b/>
                <w:i/>
                <w:lang w:eastAsia="cs-CZ"/>
              </w:rPr>
            </w:pPr>
            <w:r>
              <w:rPr>
                <w:rFonts w:cs="Tahoma"/>
                <w:b/>
                <w:i/>
                <w:lang w:eastAsia="cs-CZ"/>
              </w:rPr>
              <w:t>1</w:t>
            </w:r>
            <w:r w:rsidR="009C3A91">
              <w:rPr>
                <w:rFonts w:cs="Tahoma"/>
                <w:b/>
                <w:i/>
                <w:lang w:eastAsia="cs-CZ"/>
              </w:rPr>
              <w:t>,5</w:t>
            </w:r>
          </w:p>
        </w:tc>
        <w:tc>
          <w:tcPr>
            <w:tcW w:w="850" w:type="dxa"/>
          </w:tcPr>
          <w:p w:rsidR="003F3F9C" w:rsidRPr="00F118F9" w:rsidRDefault="009C3A91" w:rsidP="003F3F9C">
            <w:pPr>
              <w:pStyle w:val="Tabulkovtext"/>
              <w:jc w:val="center"/>
              <w:rPr>
                <w:rFonts w:cs="Tahoma"/>
                <w:b/>
                <w:i/>
                <w:lang w:eastAsia="cs-CZ"/>
              </w:rPr>
            </w:pPr>
            <w:r>
              <w:rPr>
                <w:rFonts w:cs="Tahoma"/>
                <w:b/>
                <w:i/>
                <w:lang w:eastAsia="cs-CZ"/>
              </w:rPr>
              <w:t>0</w:t>
            </w:r>
            <w:r w:rsidR="003F3F9C">
              <w:rPr>
                <w:rFonts w:cs="Tahoma"/>
                <w:b/>
                <w:i/>
                <w:lang w:eastAsia="cs-CZ"/>
              </w:rPr>
              <w:t>,5</w:t>
            </w: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c>
          <w:tcPr>
            <w:tcW w:w="850" w:type="dxa"/>
          </w:tcPr>
          <w:p w:rsidR="003F3F9C" w:rsidRPr="00974AE4" w:rsidRDefault="003F3F9C" w:rsidP="003F3F9C">
            <w:pPr>
              <w:pStyle w:val="Tabulkovtext"/>
              <w:jc w:val="center"/>
              <w:rPr>
                <w:rFonts w:cs="Tahoma"/>
                <w:lang w:eastAsia="cs-CZ"/>
              </w:rPr>
            </w:pPr>
          </w:p>
        </w:tc>
        <w:tc>
          <w:tcPr>
            <w:tcW w:w="851" w:type="dxa"/>
          </w:tcPr>
          <w:p w:rsidR="003F3F9C" w:rsidRPr="00974AE4" w:rsidRDefault="003F3F9C" w:rsidP="003F3F9C">
            <w:pPr>
              <w:pStyle w:val="Tabulkovtext"/>
              <w:jc w:val="center"/>
              <w:rPr>
                <w:rFonts w:cs="Tahoma"/>
                <w:lang w:eastAsia="cs-CZ"/>
              </w:rPr>
            </w:pPr>
          </w:p>
        </w:tc>
      </w:tr>
    </w:tbl>
    <w:p w:rsidR="009C3A91" w:rsidRPr="00405637" w:rsidRDefault="001C50D3" w:rsidP="009C3A91">
      <w:r>
        <w:t>V některých případech nedochází k časové úspoře, d</w:t>
      </w:r>
      <w:r w:rsidR="003F3F9C">
        <w:t>robné diference mezi aktuálními jízdními dobami odečtenými z grafikonu vlakové dopravy a vypočtenými jsou způsobeny jiným přístupem k zaokrouhlování jízdních dob, resp. k časové záloze v nich obsažených.</w:t>
      </w:r>
      <w:r w:rsidR="009C3A91">
        <w:t xml:space="preserve"> </w:t>
      </w:r>
      <w:r>
        <w:t xml:space="preserve">V současnosti část osobních vlaků projíždí železniční stanici Stéblová, naopak ve výhledovém stavu se počítá s tím, že každý vlak ve Stéblové zastaví. </w:t>
      </w:r>
      <w:r w:rsidR="009C3A91">
        <w:t>Cestovní doby obsahují, shodně jako v současném stavu, jízdní doby, pobyty pro nástup a výstup cestujících a pobyty, které jsou vynucené křižováním nebo čekáním na křižování a to ve stejné délce jako v současném stavu.</w:t>
      </w:r>
      <w:r w:rsidR="002079D6">
        <w:t xml:space="preserve"> Časová úspora v hodnotě 1,5 – 2,0 min, která je u vlaků Sp v tabulce uvedena, vyplývá pouze z předpokládané úpravy poloh tras vlaků v grafikonu. Tento předpoklad však nemusí být naplněn a proto se s těmito úsporami v ekonomickém hodnocení nepočítá.</w:t>
      </w:r>
    </w:p>
    <w:p w:rsidR="002E5756" w:rsidRDefault="002E5756">
      <w: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0"/>
        <w:gridCol w:w="851"/>
        <w:gridCol w:w="992"/>
        <w:gridCol w:w="850"/>
        <w:gridCol w:w="851"/>
        <w:gridCol w:w="850"/>
        <w:gridCol w:w="851"/>
        <w:gridCol w:w="850"/>
        <w:gridCol w:w="851"/>
      </w:tblGrid>
      <w:tr w:rsidR="0039293C" w:rsidRPr="00974AE4" w:rsidTr="006B08CB">
        <w:tc>
          <w:tcPr>
            <w:tcW w:w="9356" w:type="dxa"/>
            <w:gridSpan w:val="9"/>
            <w:tcBorders>
              <w:bottom w:val="single" w:sz="4" w:space="0" w:color="000000"/>
            </w:tcBorders>
          </w:tcPr>
          <w:p w:rsidR="0039293C" w:rsidRPr="00974AE4" w:rsidRDefault="0039293C" w:rsidP="002E5756">
            <w:pPr>
              <w:pStyle w:val="Titulek"/>
              <w:rPr>
                <w:rFonts w:cs="Tahoma"/>
                <w:lang w:eastAsia="cs-CZ"/>
              </w:rPr>
            </w:pPr>
            <w:bookmarkStart w:id="144" w:name="_Toc390958762"/>
            <w:bookmarkStart w:id="145" w:name="_Toc391034566"/>
            <w:r w:rsidRPr="00974AE4">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11</w:t>
            </w:r>
            <w:r w:rsidR="000E79AE">
              <w:fldChar w:fldCharType="end"/>
            </w:r>
            <w:r w:rsidRPr="00974AE4">
              <w:t xml:space="preserve">: Jízdní doby v úseku Pardubice hl. n. – Hradec Králové hl. n., </w:t>
            </w:r>
            <w:r w:rsidR="008B2A57">
              <w:t>Etapa</w:t>
            </w:r>
            <w:bookmarkEnd w:id="144"/>
            <w:bookmarkEnd w:id="145"/>
          </w:p>
        </w:tc>
      </w:tr>
      <w:tr w:rsidR="0039293C" w:rsidRPr="00974AE4" w:rsidTr="006B08CB">
        <w:tc>
          <w:tcPr>
            <w:tcW w:w="2410" w:type="dxa"/>
            <w:vMerge w:val="restart"/>
            <w:tcBorders>
              <w:right w:val="single" w:sz="12" w:space="0" w:color="auto"/>
            </w:tcBorders>
            <w:shd w:val="pct10" w:color="auto" w:fill="auto"/>
          </w:tcPr>
          <w:p w:rsidR="0039293C" w:rsidRPr="00974AE4" w:rsidRDefault="0039293C" w:rsidP="00272E2A">
            <w:pPr>
              <w:pStyle w:val="Tabulkovtext"/>
              <w:rPr>
                <w:rFonts w:cs="Tahoma"/>
                <w:lang w:eastAsia="cs-CZ"/>
              </w:rPr>
            </w:pPr>
          </w:p>
          <w:p w:rsidR="0039293C" w:rsidRPr="00974AE4" w:rsidRDefault="0039293C" w:rsidP="00272E2A">
            <w:pPr>
              <w:pStyle w:val="Tabulkovtext"/>
              <w:rPr>
                <w:rFonts w:cs="Tahoma"/>
                <w:lang w:eastAsia="cs-CZ"/>
              </w:rPr>
            </w:pPr>
            <w:r w:rsidRPr="00974AE4">
              <w:rPr>
                <w:rFonts w:cs="Tahoma"/>
                <w:lang w:eastAsia="cs-CZ"/>
              </w:rPr>
              <w:t>Dopravna, zastávka</w:t>
            </w:r>
          </w:p>
        </w:tc>
        <w:tc>
          <w:tcPr>
            <w:tcW w:w="851" w:type="dxa"/>
            <w:tcBorders>
              <w:left w:val="single" w:sz="12" w:space="0" w:color="auto"/>
            </w:tcBorders>
            <w:shd w:val="pct10" w:color="auto" w:fill="auto"/>
          </w:tcPr>
          <w:p w:rsidR="0039293C" w:rsidRPr="00974AE4" w:rsidRDefault="0039293C" w:rsidP="00272E2A">
            <w:pPr>
              <w:pStyle w:val="Tabulkovtext"/>
              <w:rPr>
                <w:rFonts w:cs="Tahoma"/>
                <w:lang w:eastAsia="cs-CZ"/>
              </w:rPr>
            </w:pPr>
            <w:r w:rsidRPr="00974AE4">
              <w:rPr>
                <w:rFonts w:cs="Tahoma"/>
                <w:lang w:eastAsia="cs-CZ"/>
              </w:rPr>
              <w:t>R</w:t>
            </w:r>
          </w:p>
        </w:tc>
        <w:tc>
          <w:tcPr>
            <w:tcW w:w="992" w:type="dxa"/>
            <w:shd w:val="pct10" w:color="auto" w:fill="auto"/>
          </w:tcPr>
          <w:p w:rsidR="0039293C" w:rsidRPr="00974AE4" w:rsidRDefault="005D5D7D" w:rsidP="00272E2A">
            <w:pPr>
              <w:pStyle w:val="Tabulkovtext"/>
              <w:rPr>
                <w:rFonts w:cs="Tahoma"/>
                <w:lang w:eastAsia="cs-CZ"/>
              </w:rPr>
            </w:pPr>
            <w:r>
              <w:rPr>
                <w:rFonts w:cs="Tahoma"/>
                <w:lang w:eastAsia="cs-CZ"/>
              </w:rPr>
              <w:t>Sp</w:t>
            </w:r>
          </w:p>
        </w:tc>
        <w:tc>
          <w:tcPr>
            <w:tcW w:w="850" w:type="dxa"/>
            <w:shd w:val="pct10" w:color="auto" w:fill="auto"/>
          </w:tcPr>
          <w:p w:rsidR="0039293C" w:rsidRPr="00974AE4" w:rsidRDefault="0039293C" w:rsidP="005D5D7D">
            <w:pPr>
              <w:pStyle w:val="Tabulkovtext"/>
              <w:rPr>
                <w:rFonts w:cs="Tahoma"/>
                <w:lang w:eastAsia="cs-CZ"/>
              </w:rPr>
            </w:pPr>
            <w:r w:rsidRPr="00974AE4">
              <w:rPr>
                <w:rFonts w:cs="Tahoma"/>
                <w:lang w:eastAsia="cs-CZ"/>
              </w:rPr>
              <w:t>Os</w:t>
            </w:r>
          </w:p>
        </w:tc>
        <w:tc>
          <w:tcPr>
            <w:tcW w:w="851" w:type="dxa"/>
            <w:shd w:val="pct10" w:color="auto" w:fill="auto"/>
          </w:tcPr>
          <w:p w:rsidR="0039293C" w:rsidRPr="00974AE4" w:rsidRDefault="0039293C" w:rsidP="00272E2A">
            <w:pPr>
              <w:pStyle w:val="Tabulkovtext"/>
              <w:rPr>
                <w:rFonts w:cs="Tahoma"/>
                <w:lang w:eastAsia="cs-CZ"/>
              </w:rPr>
            </w:pPr>
          </w:p>
        </w:tc>
        <w:tc>
          <w:tcPr>
            <w:tcW w:w="850" w:type="dxa"/>
            <w:shd w:val="pct10" w:color="auto" w:fill="auto"/>
          </w:tcPr>
          <w:p w:rsidR="0039293C" w:rsidRPr="00974AE4" w:rsidRDefault="0039293C" w:rsidP="00272E2A">
            <w:pPr>
              <w:pStyle w:val="Tabulkovtext"/>
              <w:rPr>
                <w:rFonts w:cs="Tahoma"/>
                <w:lang w:eastAsia="cs-CZ"/>
              </w:rPr>
            </w:pPr>
          </w:p>
        </w:tc>
        <w:tc>
          <w:tcPr>
            <w:tcW w:w="851" w:type="dxa"/>
            <w:shd w:val="pct10" w:color="auto" w:fill="auto"/>
          </w:tcPr>
          <w:p w:rsidR="0039293C" w:rsidRPr="00974AE4" w:rsidRDefault="0039293C" w:rsidP="00272E2A">
            <w:pPr>
              <w:pStyle w:val="Tabulkovtext"/>
              <w:rPr>
                <w:rFonts w:cs="Tahoma"/>
                <w:lang w:eastAsia="cs-CZ"/>
              </w:rPr>
            </w:pPr>
          </w:p>
        </w:tc>
        <w:tc>
          <w:tcPr>
            <w:tcW w:w="850" w:type="dxa"/>
            <w:shd w:val="pct10" w:color="auto" w:fill="auto"/>
          </w:tcPr>
          <w:p w:rsidR="0039293C" w:rsidRPr="00974AE4" w:rsidRDefault="0039293C" w:rsidP="00272E2A">
            <w:pPr>
              <w:pStyle w:val="Tabulkovtext"/>
              <w:rPr>
                <w:rFonts w:cs="Tahoma"/>
                <w:lang w:eastAsia="cs-CZ"/>
              </w:rPr>
            </w:pPr>
          </w:p>
        </w:tc>
        <w:tc>
          <w:tcPr>
            <w:tcW w:w="851" w:type="dxa"/>
            <w:shd w:val="pct10" w:color="auto" w:fill="auto"/>
          </w:tcPr>
          <w:p w:rsidR="0039293C" w:rsidRPr="00974AE4" w:rsidRDefault="0039293C" w:rsidP="00272E2A">
            <w:pPr>
              <w:pStyle w:val="Tabulkovtext"/>
              <w:rPr>
                <w:rFonts w:cs="Tahoma"/>
                <w:lang w:eastAsia="cs-CZ"/>
              </w:rPr>
            </w:pPr>
          </w:p>
        </w:tc>
      </w:tr>
      <w:tr w:rsidR="0039293C" w:rsidRPr="00974AE4" w:rsidTr="006B08CB">
        <w:tc>
          <w:tcPr>
            <w:tcW w:w="2410" w:type="dxa"/>
            <w:vMerge/>
            <w:tcBorders>
              <w:bottom w:val="single" w:sz="12" w:space="0" w:color="auto"/>
              <w:right w:val="single" w:sz="12" w:space="0" w:color="auto"/>
            </w:tcBorders>
            <w:shd w:val="pct10" w:color="auto" w:fill="auto"/>
          </w:tcPr>
          <w:p w:rsidR="0039293C" w:rsidRPr="00974AE4" w:rsidRDefault="0039293C" w:rsidP="00272E2A">
            <w:pPr>
              <w:pStyle w:val="Tabulkovtext"/>
              <w:rPr>
                <w:rFonts w:cs="Tahoma"/>
                <w:lang w:eastAsia="cs-CZ"/>
              </w:rPr>
            </w:pPr>
          </w:p>
        </w:tc>
        <w:tc>
          <w:tcPr>
            <w:tcW w:w="851" w:type="dxa"/>
            <w:tcBorders>
              <w:left w:val="single" w:sz="12" w:space="0" w:color="auto"/>
              <w:bottom w:val="single" w:sz="12" w:space="0" w:color="auto"/>
            </w:tcBorders>
            <w:shd w:val="pct10" w:color="auto" w:fill="auto"/>
          </w:tcPr>
          <w:p w:rsidR="0039293C" w:rsidRPr="00974AE4" w:rsidRDefault="005D5D7D" w:rsidP="00272E2A">
            <w:pPr>
              <w:pStyle w:val="Tabulkovtext"/>
              <w:rPr>
                <w:rFonts w:cs="Tahoma"/>
                <w:lang w:eastAsia="cs-CZ"/>
              </w:rPr>
            </w:pPr>
            <w:r>
              <w:rPr>
                <w:rFonts w:cs="Tahoma"/>
                <w:lang w:eastAsia="cs-CZ"/>
              </w:rPr>
              <w:t>PESA Lint II</w:t>
            </w:r>
          </w:p>
        </w:tc>
        <w:tc>
          <w:tcPr>
            <w:tcW w:w="992" w:type="dxa"/>
            <w:tcBorders>
              <w:bottom w:val="single" w:sz="12" w:space="0" w:color="auto"/>
            </w:tcBorders>
            <w:shd w:val="pct10" w:color="auto" w:fill="auto"/>
          </w:tcPr>
          <w:p w:rsidR="0039293C" w:rsidRPr="00974AE4" w:rsidRDefault="005D5D7D" w:rsidP="00272E2A">
            <w:pPr>
              <w:pStyle w:val="Tabulkovtext"/>
              <w:rPr>
                <w:rFonts w:cs="Tahoma"/>
                <w:szCs w:val="18"/>
                <w:lang w:eastAsia="cs-CZ"/>
              </w:rPr>
            </w:pPr>
            <w:r>
              <w:rPr>
                <w:rFonts w:cs="Tahoma"/>
                <w:szCs w:val="18"/>
                <w:lang w:eastAsia="cs-CZ"/>
              </w:rPr>
              <w:t>Regio Panter</w:t>
            </w:r>
          </w:p>
        </w:tc>
        <w:tc>
          <w:tcPr>
            <w:tcW w:w="850" w:type="dxa"/>
            <w:tcBorders>
              <w:bottom w:val="single" w:sz="12" w:space="0" w:color="auto"/>
            </w:tcBorders>
            <w:shd w:val="pct10" w:color="auto" w:fill="auto"/>
          </w:tcPr>
          <w:p w:rsidR="0039293C" w:rsidRPr="00974AE4" w:rsidRDefault="005D5D7D" w:rsidP="00272E2A">
            <w:pPr>
              <w:pStyle w:val="Tabulkovtext"/>
              <w:rPr>
                <w:rFonts w:cs="Tahoma"/>
                <w:szCs w:val="18"/>
                <w:lang w:eastAsia="cs-CZ"/>
              </w:rPr>
            </w:pPr>
            <w:r>
              <w:rPr>
                <w:rFonts w:cs="Tahoma"/>
                <w:szCs w:val="18"/>
                <w:lang w:eastAsia="cs-CZ"/>
              </w:rPr>
              <w:t>Regio Panter</w:t>
            </w:r>
          </w:p>
        </w:tc>
        <w:tc>
          <w:tcPr>
            <w:tcW w:w="851" w:type="dxa"/>
            <w:tcBorders>
              <w:bottom w:val="single" w:sz="12" w:space="0" w:color="auto"/>
            </w:tcBorders>
            <w:shd w:val="pct10" w:color="auto" w:fill="auto"/>
          </w:tcPr>
          <w:p w:rsidR="0039293C" w:rsidRPr="00974AE4" w:rsidRDefault="0039293C" w:rsidP="00272E2A">
            <w:pPr>
              <w:pStyle w:val="Tabulkovtext"/>
              <w:rPr>
                <w:rFonts w:cs="Tahoma"/>
                <w:lang w:eastAsia="cs-CZ"/>
              </w:rPr>
            </w:pPr>
          </w:p>
        </w:tc>
        <w:tc>
          <w:tcPr>
            <w:tcW w:w="850" w:type="dxa"/>
            <w:tcBorders>
              <w:bottom w:val="single" w:sz="12" w:space="0" w:color="auto"/>
            </w:tcBorders>
            <w:shd w:val="pct10" w:color="auto" w:fill="auto"/>
          </w:tcPr>
          <w:p w:rsidR="0039293C" w:rsidRPr="00974AE4" w:rsidRDefault="0039293C" w:rsidP="00272E2A">
            <w:pPr>
              <w:pStyle w:val="Tabulkovtext"/>
              <w:rPr>
                <w:rFonts w:cs="Tahoma"/>
                <w:lang w:eastAsia="cs-CZ"/>
              </w:rPr>
            </w:pPr>
          </w:p>
        </w:tc>
        <w:tc>
          <w:tcPr>
            <w:tcW w:w="851" w:type="dxa"/>
            <w:tcBorders>
              <w:bottom w:val="single" w:sz="12" w:space="0" w:color="auto"/>
            </w:tcBorders>
            <w:shd w:val="pct10" w:color="auto" w:fill="auto"/>
          </w:tcPr>
          <w:p w:rsidR="0039293C" w:rsidRPr="00974AE4" w:rsidRDefault="0039293C" w:rsidP="00272E2A">
            <w:pPr>
              <w:pStyle w:val="Tabulkovtext"/>
              <w:rPr>
                <w:rFonts w:cs="Tahoma"/>
                <w:lang w:eastAsia="cs-CZ"/>
              </w:rPr>
            </w:pPr>
          </w:p>
        </w:tc>
        <w:tc>
          <w:tcPr>
            <w:tcW w:w="850" w:type="dxa"/>
            <w:tcBorders>
              <w:bottom w:val="single" w:sz="12" w:space="0" w:color="auto"/>
            </w:tcBorders>
            <w:shd w:val="pct10" w:color="auto" w:fill="auto"/>
          </w:tcPr>
          <w:p w:rsidR="0039293C" w:rsidRPr="00974AE4" w:rsidRDefault="0039293C" w:rsidP="0039293C">
            <w:pPr>
              <w:pStyle w:val="Tabulkovtext"/>
              <w:rPr>
                <w:rFonts w:cs="Tahoma"/>
                <w:lang w:eastAsia="cs-CZ"/>
              </w:rPr>
            </w:pPr>
          </w:p>
        </w:tc>
        <w:tc>
          <w:tcPr>
            <w:tcW w:w="851" w:type="dxa"/>
            <w:tcBorders>
              <w:bottom w:val="single" w:sz="12" w:space="0" w:color="auto"/>
            </w:tcBorders>
            <w:shd w:val="pct10" w:color="auto" w:fill="auto"/>
          </w:tcPr>
          <w:p w:rsidR="0039293C" w:rsidRPr="00974AE4" w:rsidRDefault="0039293C" w:rsidP="0039293C">
            <w:pPr>
              <w:pStyle w:val="Tabulkovtext"/>
              <w:rPr>
                <w:rFonts w:cs="Tahoma"/>
                <w:lang w:eastAsia="cs-CZ"/>
              </w:rPr>
            </w:pPr>
          </w:p>
        </w:tc>
      </w:tr>
      <w:tr w:rsidR="0039293C" w:rsidRPr="00974AE4" w:rsidTr="006B08CB">
        <w:tc>
          <w:tcPr>
            <w:tcW w:w="2410" w:type="dxa"/>
            <w:tcBorders>
              <w:top w:val="single" w:sz="12" w:space="0" w:color="auto"/>
              <w:right w:val="single" w:sz="12" w:space="0" w:color="auto"/>
            </w:tcBorders>
            <w:shd w:val="pct10" w:color="auto" w:fill="auto"/>
          </w:tcPr>
          <w:p w:rsidR="0039293C" w:rsidRPr="00974AE4" w:rsidRDefault="0039293C" w:rsidP="00272E2A">
            <w:pPr>
              <w:pStyle w:val="Tabulkovtext"/>
              <w:rPr>
                <w:rFonts w:cs="Tahoma"/>
                <w:lang w:eastAsia="cs-CZ"/>
              </w:rPr>
            </w:pPr>
          </w:p>
        </w:tc>
        <w:tc>
          <w:tcPr>
            <w:tcW w:w="6946" w:type="dxa"/>
            <w:gridSpan w:val="8"/>
            <w:tcBorders>
              <w:top w:val="single" w:sz="12" w:space="0" w:color="auto"/>
              <w:left w:val="single" w:sz="12" w:space="0" w:color="auto"/>
            </w:tcBorders>
          </w:tcPr>
          <w:p w:rsidR="0039293C" w:rsidRPr="00974AE4" w:rsidRDefault="0039293C" w:rsidP="00272E2A">
            <w:pPr>
              <w:pStyle w:val="Tabulkovtext"/>
              <w:rPr>
                <w:rFonts w:cs="Tahoma"/>
                <w:i/>
                <w:lang w:eastAsia="cs-CZ"/>
              </w:rPr>
            </w:pPr>
            <w:r w:rsidRPr="00974AE4">
              <w:rPr>
                <w:rFonts w:cs="Tahoma"/>
                <w:i/>
                <w:lang w:eastAsia="cs-CZ"/>
              </w:rPr>
              <w:t>Sudý směr, Pardubice hl. nádr. – Hradec Králové hl. nádr.</w:t>
            </w: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lang w:eastAsia="cs-CZ"/>
              </w:rPr>
            </w:pPr>
            <w:r w:rsidRPr="00974AE4">
              <w:rPr>
                <w:rFonts w:cs="Tahoma"/>
                <w:lang w:eastAsia="cs-CZ"/>
              </w:rPr>
              <w:t>Pardubice hlavní nádr.</w:t>
            </w:r>
          </w:p>
        </w:tc>
        <w:tc>
          <w:tcPr>
            <w:tcW w:w="851" w:type="dxa"/>
            <w:tcBorders>
              <w:left w:val="single" w:sz="12" w:space="0" w:color="auto"/>
            </w:tcBorders>
          </w:tcPr>
          <w:p w:rsidR="0039293C" w:rsidRPr="00974AE4" w:rsidRDefault="0039293C" w:rsidP="00272E2A">
            <w:pPr>
              <w:suppressAutoHyphens w:val="0"/>
              <w:autoSpaceDE w:val="0"/>
              <w:autoSpaceDN w:val="0"/>
              <w:adjustRightInd w:val="0"/>
              <w:spacing w:before="0" w:after="0" w:line="240" w:lineRule="auto"/>
              <w:jc w:val="center"/>
              <w:rPr>
                <w:rFonts w:ascii="MS Shell Dlg" w:hAnsi="MS Shell Dlg" w:cs="MS Shell Dlg"/>
                <w:sz w:val="18"/>
                <w:szCs w:val="18"/>
                <w:lang w:eastAsia="cs-CZ"/>
              </w:rPr>
            </w:pPr>
          </w:p>
        </w:tc>
        <w:tc>
          <w:tcPr>
            <w:tcW w:w="992"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rPr>
                <w:rFonts w:cs="Tahoma"/>
                <w:lang w:eastAsia="cs-CZ"/>
              </w:rPr>
            </w:pPr>
          </w:p>
        </w:tc>
        <w:tc>
          <w:tcPr>
            <w:tcW w:w="850" w:type="dxa"/>
          </w:tcPr>
          <w:p w:rsidR="0039293C" w:rsidRPr="00974AE4" w:rsidRDefault="0039293C" w:rsidP="00272E2A">
            <w:pPr>
              <w:pStyle w:val="Tabulkovtext"/>
              <w:rPr>
                <w:rFonts w:cs="Tahoma"/>
                <w:lang w:eastAsia="cs-CZ"/>
              </w:rPr>
            </w:pPr>
          </w:p>
        </w:tc>
        <w:tc>
          <w:tcPr>
            <w:tcW w:w="851" w:type="dxa"/>
          </w:tcPr>
          <w:p w:rsidR="0039293C" w:rsidRPr="00974AE4" w:rsidRDefault="0039293C" w:rsidP="00272E2A">
            <w:pPr>
              <w:pStyle w:val="Tabulkovtext"/>
              <w:rPr>
                <w:rFonts w:cs="Tahoma"/>
                <w:lang w:eastAsia="cs-CZ"/>
              </w:rPr>
            </w:pPr>
          </w:p>
        </w:tc>
        <w:tc>
          <w:tcPr>
            <w:tcW w:w="850" w:type="dxa"/>
          </w:tcPr>
          <w:p w:rsidR="0039293C" w:rsidRPr="00974AE4" w:rsidRDefault="0039293C" w:rsidP="00272E2A">
            <w:pPr>
              <w:pStyle w:val="Tabulkovtext"/>
              <w:rPr>
                <w:rFonts w:cs="Tahoma"/>
                <w:lang w:eastAsia="cs-CZ"/>
              </w:rPr>
            </w:pPr>
          </w:p>
        </w:tc>
        <w:tc>
          <w:tcPr>
            <w:tcW w:w="851" w:type="dxa"/>
          </w:tcPr>
          <w:p w:rsidR="0039293C" w:rsidRPr="00974AE4" w:rsidRDefault="0039293C" w:rsidP="00272E2A">
            <w:pPr>
              <w:pStyle w:val="Tabulkovtext"/>
              <w:rPr>
                <w:rFonts w:cs="Tahoma"/>
                <w:lang w:eastAsia="cs-CZ"/>
              </w:rPr>
            </w:pP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lang w:eastAsia="cs-CZ"/>
              </w:rPr>
            </w:pPr>
            <w:r w:rsidRPr="00974AE4">
              <w:rPr>
                <w:rFonts w:cs="Tahoma"/>
                <w:lang w:eastAsia="cs-CZ"/>
              </w:rPr>
              <w:t>Pardubice-Rosice n. L.</w:t>
            </w:r>
          </w:p>
        </w:tc>
        <w:tc>
          <w:tcPr>
            <w:tcW w:w="851" w:type="dxa"/>
            <w:tcBorders>
              <w:left w:val="single" w:sz="12" w:space="0" w:color="auto"/>
            </w:tcBorders>
            <w:vAlign w:val="center"/>
          </w:tcPr>
          <w:p w:rsidR="0039293C" w:rsidRPr="00974AE4" w:rsidRDefault="0039293C" w:rsidP="00272E2A">
            <w:pPr>
              <w:suppressAutoHyphens w:val="0"/>
              <w:autoSpaceDE w:val="0"/>
              <w:autoSpaceDN w:val="0"/>
              <w:adjustRightInd w:val="0"/>
              <w:spacing w:before="0" w:after="0" w:line="240" w:lineRule="auto"/>
              <w:jc w:val="center"/>
              <w:rPr>
                <w:rFonts w:ascii="MS Shell Dlg" w:hAnsi="MS Shell Dlg" w:cs="MS Shell Dlg"/>
                <w:sz w:val="17"/>
                <w:szCs w:val="17"/>
                <w:lang w:eastAsia="cs-CZ"/>
              </w:rPr>
            </w:pPr>
            <w:r w:rsidRPr="00974AE4">
              <w:rPr>
                <w:rFonts w:ascii="MS Shell Dlg" w:hAnsi="MS Shell Dlg" w:cs="MS Shell Dlg"/>
                <w:sz w:val="17"/>
                <w:szCs w:val="17"/>
                <w:lang w:eastAsia="cs-CZ"/>
              </w:rPr>
              <w:t>3,0</w:t>
            </w:r>
          </w:p>
        </w:tc>
        <w:tc>
          <w:tcPr>
            <w:tcW w:w="992" w:type="dxa"/>
          </w:tcPr>
          <w:p w:rsidR="0039293C" w:rsidRPr="00974AE4" w:rsidRDefault="0039293C" w:rsidP="00272E2A">
            <w:pPr>
              <w:pStyle w:val="Tabulkovtext"/>
              <w:jc w:val="center"/>
              <w:rPr>
                <w:rFonts w:cs="Tahoma"/>
                <w:lang w:eastAsia="cs-CZ"/>
              </w:rPr>
            </w:pPr>
            <w:r w:rsidRPr="00974AE4">
              <w:rPr>
                <w:rFonts w:cs="Tahoma"/>
                <w:szCs w:val="18"/>
                <w:lang w:eastAsia="cs-CZ"/>
              </w:rPr>
              <w:t>3,0</w:t>
            </w:r>
          </w:p>
        </w:tc>
        <w:tc>
          <w:tcPr>
            <w:tcW w:w="850" w:type="dxa"/>
          </w:tcPr>
          <w:p w:rsidR="0039293C" w:rsidRPr="00974AE4" w:rsidRDefault="0039293C" w:rsidP="00272E2A">
            <w:pPr>
              <w:pStyle w:val="Tabulkovtext"/>
              <w:jc w:val="center"/>
              <w:rPr>
                <w:rFonts w:cs="Tahoma"/>
                <w:lang w:eastAsia="cs-CZ"/>
              </w:rPr>
            </w:pPr>
            <w:r w:rsidRPr="00974AE4">
              <w:rPr>
                <w:rFonts w:cs="Tahoma"/>
                <w:lang w:eastAsia="cs-CZ"/>
              </w:rPr>
              <w:t>3,0</w:t>
            </w: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lang w:eastAsia="cs-CZ"/>
              </w:rPr>
            </w:pPr>
            <w:r w:rsidRPr="00974AE4">
              <w:rPr>
                <w:rFonts w:cs="Tahoma"/>
                <w:lang w:eastAsia="cs-CZ"/>
              </w:rPr>
              <w:t>Pardubice-Semtín z</w:t>
            </w:r>
          </w:p>
        </w:tc>
        <w:tc>
          <w:tcPr>
            <w:tcW w:w="851" w:type="dxa"/>
            <w:tcBorders>
              <w:left w:val="single" w:sz="12" w:space="0" w:color="auto"/>
            </w:tcBorders>
          </w:tcPr>
          <w:p w:rsidR="0039293C" w:rsidRPr="00974AE4" w:rsidRDefault="0039293C" w:rsidP="00272E2A">
            <w:pPr>
              <w:pStyle w:val="Tabulkovtext"/>
              <w:jc w:val="center"/>
              <w:rPr>
                <w:rFonts w:cs="Tahoma"/>
                <w:lang w:eastAsia="cs-CZ"/>
              </w:rPr>
            </w:pPr>
            <w:r w:rsidRPr="00974AE4">
              <w:rPr>
                <w:rFonts w:cs="Tahoma"/>
                <w:szCs w:val="18"/>
                <w:lang w:eastAsia="cs-CZ"/>
              </w:rPr>
              <w:t>|</w:t>
            </w:r>
          </w:p>
        </w:tc>
        <w:tc>
          <w:tcPr>
            <w:tcW w:w="992" w:type="dxa"/>
          </w:tcPr>
          <w:p w:rsidR="0039293C" w:rsidRPr="00974AE4" w:rsidRDefault="0039293C" w:rsidP="00272E2A">
            <w:pPr>
              <w:pStyle w:val="Tabulkovtext"/>
              <w:jc w:val="center"/>
              <w:rPr>
                <w:rFonts w:cs="Tahoma"/>
                <w:lang w:eastAsia="cs-CZ"/>
              </w:rPr>
            </w:pPr>
            <w:r w:rsidRPr="00974AE4">
              <w:rPr>
                <w:rFonts w:cs="Tahoma"/>
                <w:szCs w:val="18"/>
                <w:lang w:eastAsia="cs-CZ"/>
              </w:rPr>
              <w:t>|</w:t>
            </w:r>
          </w:p>
        </w:tc>
        <w:tc>
          <w:tcPr>
            <w:tcW w:w="850" w:type="dxa"/>
          </w:tcPr>
          <w:p w:rsidR="0039293C" w:rsidRPr="00974AE4" w:rsidRDefault="00B95BFD" w:rsidP="00272E2A">
            <w:pPr>
              <w:pStyle w:val="Tabulkovtext"/>
              <w:jc w:val="center"/>
              <w:rPr>
                <w:rFonts w:cs="Tahoma"/>
                <w:lang w:eastAsia="cs-CZ"/>
              </w:rPr>
            </w:pPr>
            <w:r>
              <w:rPr>
                <w:rFonts w:cs="Tahoma"/>
                <w:szCs w:val="18"/>
                <w:lang w:eastAsia="cs-CZ"/>
              </w:rPr>
              <w:t>2,5</w:t>
            </w: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lang w:eastAsia="cs-CZ"/>
              </w:rPr>
            </w:pPr>
            <w:r w:rsidRPr="00974AE4">
              <w:rPr>
                <w:rFonts w:cs="Tahoma"/>
                <w:lang w:eastAsia="cs-CZ"/>
              </w:rPr>
              <w:t>Stéblová</w:t>
            </w:r>
          </w:p>
        </w:tc>
        <w:tc>
          <w:tcPr>
            <w:tcW w:w="851" w:type="dxa"/>
            <w:tcBorders>
              <w:left w:val="single" w:sz="12" w:space="0" w:color="auto"/>
            </w:tcBorders>
          </w:tcPr>
          <w:p w:rsidR="0039293C" w:rsidRPr="00974AE4" w:rsidRDefault="00B95BFD" w:rsidP="00272E2A">
            <w:pPr>
              <w:pStyle w:val="Tabulkovtext"/>
              <w:jc w:val="center"/>
              <w:rPr>
                <w:rFonts w:cs="Tahoma"/>
                <w:lang w:eastAsia="cs-CZ"/>
              </w:rPr>
            </w:pPr>
            <w:r>
              <w:rPr>
                <w:rFonts w:cs="Tahoma"/>
                <w:szCs w:val="18"/>
                <w:lang w:eastAsia="cs-CZ"/>
              </w:rPr>
              <w:t>5,0</w:t>
            </w:r>
          </w:p>
        </w:tc>
        <w:tc>
          <w:tcPr>
            <w:tcW w:w="992" w:type="dxa"/>
          </w:tcPr>
          <w:p w:rsidR="0039293C" w:rsidRPr="00974AE4" w:rsidRDefault="0039293C" w:rsidP="00272E2A">
            <w:pPr>
              <w:pStyle w:val="Tabulkovtext"/>
              <w:jc w:val="center"/>
              <w:rPr>
                <w:rFonts w:cs="Tahoma"/>
                <w:lang w:eastAsia="cs-CZ"/>
              </w:rPr>
            </w:pPr>
            <w:r w:rsidRPr="00974AE4">
              <w:rPr>
                <w:rFonts w:cs="Tahoma"/>
                <w:lang w:eastAsia="cs-CZ"/>
              </w:rPr>
              <w:t>5,0</w:t>
            </w:r>
          </w:p>
        </w:tc>
        <w:tc>
          <w:tcPr>
            <w:tcW w:w="850" w:type="dxa"/>
          </w:tcPr>
          <w:p w:rsidR="0039293C" w:rsidRPr="00974AE4" w:rsidRDefault="00B95BFD" w:rsidP="00272E2A">
            <w:pPr>
              <w:pStyle w:val="Tabulkovtext"/>
              <w:jc w:val="center"/>
              <w:rPr>
                <w:rFonts w:cs="Tahoma"/>
                <w:lang w:eastAsia="cs-CZ"/>
              </w:rPr>
            </w:pPr>
            <w:r>
              <w:rPr>
                <w:rFonts w:cs="Tahoma"/>
                <w:lang w:eastAsia="cs-CZ"/>
              </w:rPr>
              <w:t>4,0</w:t>
            </w: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r>
      <w:tr w:rsidR="0039293C" w:rsidRPr="00974AE4" w:rsidTr="006B08CB">
        <w:tc>
          <w:tcPr>
            <w:tcW w:w="2410" w:type="dxa"/>
            <w:tcBorders>
              <w:right w:val="single" w:sz="12" w:space="0" w:color="auto"/>
            </w:tcBorders>
            <w:shd w:val="pct10" w:color="auto" w:fill="auto"/>
          </w:tcPr>
          <w:p w:rsidR="0039293C" w:rsidRPr="00974AE4" w:rsidRDefault="0039293C" w:rsidP="0096216E">
            <w:pPr>
              <w:pStyle w:val="Tabulkovtext"/>
              <w:rPr>
                <w:rFonts w:cs="Tahoma"/>
                <w:lang w:eastAsia="cs-CZ"/>
              </w:rPr>
            </w:pPr>
            <w:r w:rsidRPr="00974AE4">
              <w:rPr>
                <w:rFonts w:cs="Tahoma"/>
                <w:lang w:eastAsia="cs-CZ"/>
              </w:rPr>
              <w:t>Čeperka z.</w:t>
            </w:r>
          </w:p>
        </w:tc>
        <w:tc>
          <w:tcPr>
            <w:tcW w:w="851" w:type="dxa"/>
            <w:tcBorders>
              <w:left w:val="single" w:sz="12" w:space="0" w:color="auto"/>
            </w:tcBorders>
          </w:tcPr>
          <w:p w:rsidR="0039293C" w:rsidRPr="00974AE4" w:rsidRDefault="0039293C" w:rsidP="00272E2A">
            <w:pPr>
              <w:pStyle w:val="Tabulkovtext"/>
              <w:jc w:val="center"/>
              <w:rPr>
                <w:rFonts w:cs="Tahoma"/>
                <w:szCs w:val="18"/>
                <w:lang w:eastAsia="cs-CZ"/>
              </w:rPr>
            </w:pPr>
            <w:r w:rsidRPr="00974AE4">
              <w:rPr>
                <w:rFonts w:cs="Tahoma"/>
                <w:szCs w:val="18"/>
                <w:lang w:eastAsia="cs-CZ"/>
              </w:rPr>
              <w:t>|</w:t>
            </w:r>
          </w:p>
        </w:tc>
        <w:tc>
          <w:tcPr>
            <w:tcW w:w="992" w:type="dxa"/>
          </w:tcPr>
          <w:p w:rsidR="0039293C" w:rsidRPr="00974AE4" w:rsidRDefault="0039293C" w:rsidP="00272E2A">
            <w:pPr>
              <w:pStyle w:val="Tabulkovtext"/>
              <w:jc w:val="center"/>
              <w:rPr>
                <w:rFonts w:cs="Tahoma"/>
                <w:szCs w:val="18"/>
                <w:lang w:eastAsia="cs-CZ"/>
              </w:rPr>
            </w:pPr>
            <w:r w:rsidRPr="00974AE4">
              <w:rPr>
                <w:rFonts w:cs="Tahoma"/>
                <w:szCs w:val="18"/>
                <w:lang w:eastAsia="cs-CZ"/>
              </w:rPr>
              <w:t>|</w:t>
            </w:r>
          </w:p>
        </w:tc>
        <w:tc>
          <w:tcPr>
            <w:tcW w:w="850" w:type="dxa"/>
          </w:tcPr>
          <w:p w:rsidR="0039293C" w:rsidRPr="00974AE4" w:rsidRDefault="00B95BFD" w:rsidP="00272E2A">
            <w:pPr>
              <w:pStyle w:val="Tabulkovtext"/>
              <w:jc w:val="center"/>
              <w:rPr>
                <w:rFonts w:cs="Tahoma"/>
                <w:lang w:eastAsia="cs-CZ"/>
              </w:rPr>
            </w:pPr>
            <w:r>
              <w:rPr>
                <w:rFonts w:cs="Tahoma"/>
                <w:szCs w:val="18"/>
                <w:lang w:eastAsia="cs-CZ"/>
              </w:rPr>
              <w:t>2,5</w:t>
            </w: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szCs w:val="18"/>
                <w:lang w:eastAsia="cs-CZ"/>
              </w:rPr>
            </w:pPr>
          </w:p>
        </w:tc>
        <w:tc>
          <w:tcPr>
            <w:tcW w:w="851" w:type="dxa"/>
          </w:tcPr>
          <w:p w:rsidR="0039293C" w:rsidRPr="00974AE4" w:rsidRDefault="0039293C" w:rsidP="00272E2A">
            <w:pPr>
              <w:pStyle w:val="Tabulkovtext"/>
              <w:jc w:val="center"/>
              <w:rPr>
                <w:rFonts w:cs="Tahoma"/>
                <w:szCs w:val="18"/>
                <w:lang w:eastAsia="cs-CZ"/>
              </w:rPr>
            </w:pPr>
          </w:p>
        </w:tc>
      </w:tr>
      <w:tr w:rsidR="00241258" w:rsidRPr="00974AE4" w:rsidTr="006B08CB">
        <w:tc>
          <w:tcPr>
            <w:tcW w:w="2410" w:type="dxa"/>
            <w:tcBorders>
              <w:right w:val="single" w:sz="12" w:space="0" w:color="auto"/>
            </w:tcBorders>
            <w:shd w:val="pct10" w:color="auto" w:fill="auto"/>
          </w:tcPr>
          <w:p w:rsidR="00241258" w:rsidRPr="00974AE4" w:rsidRDefault="00241258" w:rsidP="00B95BFD">
            <w:pPr>
              <w:pStyle w:val="Tabulkovtext"/>
              <w:rPr>
                <w:rFonts w:cs="Tahoma"/>
                <w:lang w:eastAsia="cs-CZ"/>
              </w:rPr>
            </w:pPr>
            <w:r w:rsidRPr="00974AE4">
              <w:rPr>
                <w:rFonts w:cs="Tahoma"/>
                <w:lang w:eastAsia="cs-CZ"/>
              </w:rPr>
              <w:t>Opat</w:t>
            </w:r>
            <w:r w:rsidR="00B95BFD">
              <w:rPr>
                <w:rFonts w:cs="Tahoma"/>
                <w:lang w:eastAsia="cs-CZ"/>
              </w:rPr>
              <w:t xml:space="preserve">. </w:t>
            </w:r>
            <w:r w:rsidRPr="00974AE4">
              <w:rPr>
                <w:rFonts w:cs="Tahoma"/>
                <w:lang w:eastAsia="cs-CZ"/>
              </w:rPr>
              <w:t>nad L</w:t>
            </w:r>
            <w:r w:rsidR="00B95BFD">
              <w:rPr>
                <w:rFonts w:cs="Tahoma"/>
                <w:lang w:eastAsia="cs-CZ"/>
              </w:rPr>
              <w:t xml:space="preserve">., výh.č.1 + </w:t>
            </w:r>
            <w:r w:rsidRPr="00974AE4">
              <w:rPr>
                <w:rFonts w:cs="Tahoma"/>
                <w:lang w:eastAsia="cs-CZ"/>
              </w:rPr>
              <w:t>z</w:t>
            </w:r>
            <w:r w:rsidR="00B95BFD">
              <w:rPr>
                <w:rFonts w:cs="Tahoma"/>
                <w:lang w:eastAsia="cs-CZ"/>
              </w:rPr>
              <w:t>ast</w:t>
            </w:r>
          </w:p>
        </w:tc>
        <w:tc>
          <w:tcPr>
            <w:tcW w:w="851" w:type="dxa"/>
            <w:tcBorders>
              <w:left w:val="single" w:sz="12" w:space="0" w:color="auto"/>
            </w:tcBorders>
          </w:tcPr>
          <w:p w:rsidR="00241258" w:rsidRPr="00974AE4" w:rsidRDefault="00B95BFD" w:rsidP="00272E2A">
            <w:pPr>
              <w:pStyle w:val="Tabulkovtext"/>
              <w:jc w:val="center"/>
              <w:rPr>
                <w:rFonts w:cs="Tahoma"/>
                <w:szCs w:val="18"/>
                <w:lang w:eastAsia="cs-CZ"/>
              </w:rPr>
            </w:pPr>
            <w:r>
              <w:rPr>
                <w:rFonts w:cs="Tahoma"/>
                <w:szCs w:val="18"/>
                <w:lang w:eastAsia="cs-CZ"/>
              </w:rPr>
              <w:t>3,0</w:t>
            </w:r>
          </w:p>
        </w:tc>
        <w:tc>
          <w:tcPr>
            <w:tcW w:w="992" w:type="dxa"/>
          </w:tcPr>
          <w:p w:rsidR="006819BA" w:rsidRDefault="00B95BFD" w:rsidP="00092F1A">
            <w:pPr>
              <w:pStyle w:val="Tabulkovtext"/>
              <w:jc w:val="center"/>
              <w:rPr>
                <w:rFonts w:cs="Tahoma"/>
                <w:b/>
                <w:bCs/>
                <w:kern w:val="28"/>
                <w:szCs w:val="18"/>
                <w:lang w:eastAsia="cs-CZ"/>
              </w:rPr>
            </w:pPr>
            <w:r>
              <w:rPr>
                <w:rFonts w:cs="Tahoma"/>
                <w:szCs w:val="18"/>
                <w:lang w:eastAsia="cs-CZ"/>
              </w:rPr>
              <w:t>2,</w:t>
            </w:r>
            <w:r w:rsidR="00540E2F">
              <w:rPr>
                <w:rFonts w:cs="Tahoma"/>
                <w:szCs w:val="18"/>
                <w:lang w:eastAsia="cs-CZ"/>
              </w:rPr>
              <w:t>5</w:t>
            </w:r>
          </w:p>
        </w:tc>
        <w:tc>
          <w:tcPr>
            <w:tcW w:w="850" w:type="dxa"/>
          </w:tcPr>
          <w:p w:rsidR="00241258" w:rsidRPr="00974AE4" w:rsidRDefault="00B95BFD" w:rsidP="00272E2A">
            <w:pPr>
              <w:pStyle w:val="Tabulkovtext"/>
              <w:jc w:val="center"/>
              <w:rPr>
                <w:rFonts w:cs="Tahoma"/>
                <w:szCs w:val="18"/>
                <w:lang w:eastAsia="cs-CZ"/>
              </w:rPr>
            </w:pPr>
            <w:r>
              <w:rPr>
                <w:rFonts w:cs="Tahoma"/>
                <w:szCs w:val="18"/>
                <w:lang w:eastAsia="cs-CZ"/>
              </w:rPr>
              <w:t>2,5</w:t>
            </w:r>
          </w:p>
        </w:tc>
        <w:tc>
          <w:tcPr>
            <w:tcW w:w="851" w:type="dxa"/>
          </w:tcPr>
          <w:p w:rsidR="00241258" w:rsidRPr="00974AE4" w:rsidRDefault="00241258" w:rsidP="00272E2A">
            <w:pPr>
              <w:pStyle w:val="Tabulkovtext"/>
              <w:jc w:val="center"/>
              <w:rPr>
                <w:rFonts w:cs="Tahoma"/>
                <w:szCs w:val="18"/>
                <w:lang w:eastAsia="cs-CZ"/>
              </w:rPr>
            </w:pPr>
          </w:p>
        </w:tc>
        <w:tc>
          <w:tcPr>
            <w:tcW w:w="850" w:type="dxa"/>
          </w:tcPr>
          <w:p w:rsidR="00241258" w:rsidRPr="00974AE4" w:rsidRDefault="00241258" w:rsidP="00272E2A">
            <w:pPr>
              <w:pStyle w:val="Tabulkovtext"/>
              <w:jc w:val="center"/>
              <w:rPr>
                <w:rFonts w:cs="Tahoma"/>
                <w:lang w:eastAsia="cs-CZ"/>
              </w:rPr>
            </w:pPr>
          </w:p>
        </w:tc>
        <w:tc>
          <w:tcPr>
            <w:tcW w:w="851" w:type="dxa"/>
          </w:tcPr>
          <w:p w:rsidR="00241258" w:rsidRPr="00974AE4" w:rsidRDefault="00241258" w:rsidP="00272E2A">
            <w:pPr>
              <w:pStyle w:val="Tabulkovtext"/>
              <w:jc w:val="center"/>
              <w:rPr>
                <w:rFonts w:cs="Tahoma"/>
                <w:lang w:eastAsia="cs-CZ"/>
              </w:rPr>
            </w:pPr>
          </w:p>
        </w:tc>
        <w:tc>
          <w:tcPr>
            <w:tcW w:w="850" w:type="dxa"/>
          </w:tcPr>
          <w:p w:rsidR="00241258" w:rsidRPr="00974AE4" w:rsidRDefault="00241258" w:rsidP="00272E2A">
            <w:pPr>
              <w:pStyle w:val="Tabulkovtext"/>
              <w:jc w:val="center"/>
              <w:rPr>
                <w:rFonts w:cs="Tahoma"/>
                <w:szCs w:val="18"/>
                <w:lang w:eastAsia="cs-CZ"/>
              </w:rPr>
            </w:pPr>
          </w:p>
        </w:tc>
        <w:tc>
          <w:tcPr>
            <w:tcW w:w="851" w:type="dxa"/>
          </w:tcPr>
          <w:p w:rsidR="00241258" w:rsidRPr="00974AE4" w:rsidRDefault="00241258" w:rsidP="00272E2A">
            <w:pPr>
              <w:pStyle w:val="Tabulkovtext"/>
              <w:jc w:val="center"/>
              <w:rPr>
                <w:rFonts w:cs="Tahoma"/>
                <w:szCs w:val="18"/>
                <w:lang w:eastAsia="cs-CZ"/>
              </w:rPr>
            </w:pP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lang w:eastAsia="cs-CZ"/>
              </w:rPr>
            </w:pPr>
            <w:r w:rsidRPr="00974AE4">
              <w:rPr>
                <w:rFonts w:cs="Tahoma"/>
                <w:lang w:eastAsia="cs-CZ"/>
              </w:rPr>
              <w:t>Opatovice nad Labem</w:t>
            </w:r>
          </w:p>
        </w:tc>
        <w:tc>
          <w:tcPr>
            <w:tcW w:w="851" w:type="dxa"/>
            <w:tcBorders>
              <w:left w:val="single" w:sz="12" w:space="0" w:color="auto"/>
            </w:tcBorders>
          </w:tcPr>
          <w:p w:rsidR="0039293C" w:rsidRPr="00974AE4" w:rsidRDefault="00B95BFD" w:rsidP="00272E2A">
            <w:pPr>
              <w:pStyle w:val="Tabulkovtext"/>
              <w:jc w:val="center"/>
              <w:rPr>
                <w:rFonts w:cs="Tahoma"/>
                <w:lang w:eastAsia="cs-CZ"/>
              </w:rPr>
            </w:pPr>
            <w:r>
              <w:rPr>
                <w:rFonts w:cs="Tahoma"/>
                <w:szCs w:val="18"/>
                <w:lang w:eastAsia="cs-CZ"/>
              </w:rPr>
              <w:t>1,0</w:t>
            </w:r>
          </w:p>
        </w:tc>
        <w:tc>
          <w:tcPr>
            <w:tcW w:w="992" w:type="dxa"/>
          </w:tcPr>
          <w:p w:rsidR="0039293C" w:rsidRPr="00974AE4" w:rsidRDefault="00B95BFD" w:rsidP="00272E2A">
            <w:pPr>
              <w:pStyle w:val="Tabulkovtext"/>
              <w:jc w:val="center"/>
              <w:rPr>
                <w:rFonts w:cs="Tahoma"/>
                <w:lang w:eastAsia="cs-CZ"/>
              </w:rPr>
            </w:pPr>
            <w:r>
              <w:rPr>
                <w:rFonts w:cs="Tahoma"/>
                <w:lang w:eastAsia="cs-CZ"/>
              </w:rPr>
              <w:t>1</w:t>
            </w:r>
            <w:r w:rsidR="00241258" w:rsidRPr="00974AE4">
              <w:rPr>
                <w:rFonts w:cs="Tahoma"/>
                <w:lang w:eastAsia="cs-CZ"/>
              </w:rPr>
              <w:t>,0</w:t>
            </w:r>
          </w:p>
        </w:tc>
        <w:tc>
          <w:tcPr>
            <w:tcW w:w="850" w:type="dxa"/>
          </w:tcPr>
          <w:p w:rsidR="0039293C" w:rsidRPr="00974AE4" w:rsidRDefault="00540E2F" w:rsidP="00272E2A">
            <w:pPr>
              <w:pStyle w:val="Tabulkovtext"/>
              <w:jc w:val="center"/>
              <w:rPr>
                <w:rFonts w:cs="Tahoma"/>
                <w:lang w:eastAsia="cs-CZ"/>
              </w:rPr>
            </w:pPr>
            <w:r>
              <w:rPr>
                <w:rFonts w:cs="Tahoma"/>
                <w:lang w:eastAsia="cs-CZ"/>
              </w:rPr>
              <w:t>2,0</w:t>
            </w: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lang w:eastAsia="cs-CZ"/>
              </w:rPr>
            </w:pPr>
            <w:r w:rsidRPr="00974AE4">
              <w:rPr>
                <w:rFonts w:cs="Tahoma"/>
                <w:lang w:eastAsia="cs-CZ"/>
              </w:rPr>
              <w:t>Hradec Králové hlav. nádr.</w:t>
            </w:r>
          </w:p>
        </w:tc>
        <w:tc>
          <w:tcPr>
            <w:tcW w:w="851" w:type="dxa"/>
            <w:tcBorders>
              <w:left w:val="single" w:sz="12" w:space="0" w:color="auto"/>
            </w:tcBorders>
          </w:tcPr>
          <w:p w:rsidR="0039293C" w:rsidRPr="00974AE4" w:rsidRDefault="00241258" w:rsidP="00272E2A">
            <w:pPr>
              <w:pStyle w:val="Tabulkovtext"/>
              <w:jc w:val="center"/>
              <w:rPr>
                <w:rFonts w:cs="Tahoma"/>
                <w:lang w:eastAsia="cs-CZ"/>
              </w:rPr>
            </w:pPr>
            <w:r w:rsidRPr="00974AE4">
              <w:rPr>
                <w:rFonts w:cs="Tahoma"/>
                <w:lang w:eastAsia="cs-CZ"/>
              </w:rPr>
              <w:t>4</w:t>
            </w:r>
            <w:r w:rsidR="0039293C" w:rsidRPr="00974AE4">
              <w:rPr>
                <w:rFonts w:cs="Tahoma"/>
                <w:lang w:eastAsia="cs-CZ"/>
              </w:rPr>
              <w:t>,</w:t>
            </w:r>
            <w:r w:rsidR="00B95BFD">
              <w:rPr>
                <w:rFonts w:cs="Tahoma"/>
                <w:lang w:eastAsia="cs-CZ"/>
              </w:rPr>
              <w:t>5</w:t>
            </w:r>
          </w:p>
        </w:tc>
        <w:tc>
          <w:tcPr>
            <w:tcW w:w="992" w:type="dxa"/>
          </w:tcPr>
          <w:p w:rsidR="0039293C" w:rsidRPr="00974AE4" w:rsidRDefault="0039293C" w:rsidP="00B95BFD">
            <w:pPr>
              <w:pStyle w:val="Tabulkovtext"/>
              <w:jc w:val="center"/>
              <w:rPr>
                <w:rFonts w:cs="Tahoma"/>
                <w:lang w:eastAsia="cs-CZ"/>
              </w:rPr>
            </w:pPr>
            <w:r w:rsidRPr="00974AE4">
              <w:rPr>
                <w:rFonts w:cs="Tahoma"/>
                <w:lang w:eastAsia="cs-CZ"/>
              </w:rPr>
              <w:t>4,</w:t>
            </w:r>
            <w:r w:rsidR="00B95BFD">
              <w:rPr>
                <w:rFonts w:cs="Tahoma"/>
                <w:lang w:eastAsia="cs-CZ"/>
              </w:rPr>
              <w:t>5</w:t>
            </w:r>
          </w:p>
        </w:tc>
        <w:tc>
          <w:tcPr>
            <w:tcW w:w="850" w:type="dxa"/>
          </w:tcPr>
          <w:p w:rsidR="0039293C" w:rsidRPr="00974AE4" w:rsidRDefault="00540E2F" w:rsidP="00272E2A">
            <w:pPr>
              <w:pStyle w:val="Tabulkovtext"/>
              <w:jc w:val="center"/>
              <w:rPr>
                <w:rFonts w:cs="Tahoma"/>
                <w:lang w:eastAsia="cs-CZ"/>
              </w:rPr>
            </w:pPr>
            <w:r>
              <w:rPr>
                <w:rFonts w:cs="Tahoma"/>
                <w:lang w:eastAsia="cs-CZ"/>
              </w:rPr>
              <w:t>5,0</w:t>
            </w: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b/>
                <w:lang w:eastAsia="cs-CZ"/>
              </w:rPr>
            </w:pPr>
            <w:r w:rsidRPr="00974AE4">
              <w:rPr>
                <w:rFonts w:ascii="Symbol" w:hAnsi="Symbol" w:cs="Tahoma"/>
                <w:b/>
                <w:lang w:eastAsia="cs-CZ"/>
              </w:rPr>
              <w:t></w:t>
            </w:r>
            <w:r w:rsidRPr="00974AE4">
              <w:rPr>
                <w:rFonts w:cs="Tahoma"/>
                <w:b/>
                <w:lang w:eastAsia="cs-CZ"/>
              </w:rPr>
              <w:t xml:space="preserve"> jizdních dob</w:t>
            </w:r>
          </w:p>
        </w:tc>
        <w:tc>
          <w:tcPr>
            <w:tcW w:w="851" w:type="dxa"/>
            <w:tcBorders>
              <w:left w:val="single" w:sz="12" w:space="0" w:color="auto"/>
            </w:tcBorders>
          </w:tcPr>
          <w:p w:rsidR="0039293C" w:rsidRPr="00974AE4" w:rsidRDefault="00241258" w:rsidP="00B95BFD">
            <w:pPr>
              <w:pStyle w:val="Tabulkovtext"/>
              <w:jc w:val="center"/>
              <w:rPr>
                <w:rFonts w:cs="Tahoma"/>
                <w:b/>
                <w:lang w:eastAsia="cs-CZ"/>
              </w:rPr>
            </w:pPr>
            <w:r w:rsidRPr="00974AE4">
              <w:rPr>
                <w:rFonts w:cs="Tahoma"/>
                <w:b/>
                <w:lang w:eastAsia="cs-CZ"/>
              </w:rPr>
              <w:t>1</w:t>
            </w:r>
            <w:r w:rsidR="00B95BFD">
              <w:rPr>
                <w:rFonts w:cs="Tahoma"/>
                <w:b/>
                <w:lang w:eastAsia="cs-CZ"/>
              </w:rPr>
              <w:t>6</w:t>
            </w:r>
            <w:r w:rsidRPr="00974AE4">
              <w:rPr>
                <w:rFonts w:cs="Tahoma"/>
                <w:b/>
                <w:lang w:eastAsia="cs-CZ"/>
              </w:rPr>
              <w:t>,5</w:t>
            </w:r>
          </w:p>
        </w:tc>
        <w:tc>
          <w:tcPr>
            <w:tcW w:w="992" w:type="dxa"/>
          </w:tcPr>
          <w:p w:rsidR="006819BA" w:rsidRDefault="00B95BFD" w:rsidP="00092F1A">
            <w:pPr>
              <w:pStyle w:val="Tabulkovtext"/>
              <w:jc w:val="center"/>
              <w:rPr>
                <w:rFonts w:cs="Tahoma"/>
                <w:b/>
                <w:bCs/>
                <w:kern w:val="28"/>
                <w:szCs w:val="32"/>
                <w:lang w:eastAsia="cs-CZ"/>
              </w:rPr>
            </w:pPr>
            <w:r>
              <w:rPr>
                <w:rFonts w:cs="Tahoma"/>
                <w:b/>
                <w:lang w:eastAsia="cs-CZ"/>
              </w:rPr>
              <w:t>1</w:t>
            </w:r>
            <w:r w:rsidR="00540E2F">
              <w:rPr>
                <w:rFonts w:cs="Tahoma"/>
                <w:b/>
                <w:lang w:eastAsia="cs-CZ"/>
              </w:rPr>
              <w:t>6</w:t>
            </w:r>
            <w:r>
              <w:rPr>
                <w:rFonts w:cs="Tahoma"/>
                <w:b/>
                <w:lang w:eastAsia="cs-CZ"/>
              </w:rPr>
              <w:t>,</w:t>
            </w:r>
            <w:r w:rsidR="00540E2F">
              <w:rPr>
                <w:rFonts w:cs="Tahoma"/>
                <w:b/>
                <w:lang w:eastAsia="cs-CZ"/>
              </w:rPr>
              <w:t>0</w:t>
            </w:r>
          </w:p>
        </w:tc>
        <w:tc>
          <w:tcPr>
            <w:tcW w:w="850" w:type="dxa"/>
          </w:tcPr>
          <w:p w:rsidR="006819BA" w:rsidRDefault="00B95BFD" w:rsidP="00092F1A">
            <w:pPr>
              <w:pStyle w:val="Tabulkovtext"/>
              <w:jc w:val="center"/>
              <w:rPr>
                <w:rFonts w:cs="Tahoma"/>
                <w:b/>
                <w:bCs/>
                <w:kern w:val="28"/>
                <w:szCs w:val="32"/>
                <w:lang w:eastAsia="cs-CZ"/>
              </w:rPr>
            </w:pPr>
            <w:r>
              <w:rPr>
                <w:rFonts w:cs="Tahoma"/>
                <w:b/>
                <w:lang w:eastAsia="cs-CZ"/>
              </w:rPr>
              <w:t>2</w:t>
            </w:r>
            <w:r w:rsidR="00540E2F">
              <w:rPr>
                <w:rFonts w:cs="Tahoma"/>
                <w:b/>
                <w:lang w:eastAsia="cs-CZ"/>
              </w:rPr>
              <w:t>1</w:t>
            </w:r>
            <w:r>
              <w:rPr>
                <w:rFonts w:cs="Tahoma"/>
                <w:b/>
                <w:lang w:eastAsia="cs-CZ"/>
              </w:rPr>
              <w:t>,5</w:t>
            </w:r>
          </w:p>
        </w:tc>
        <w:tc>
          <w:tcPr>
            <w:tcW w:w="851" w:type="dxa"/>
          </w:tcPr>
          <w:p w:rsidR="0039293C" w:rsidRPr="00974AE4" w:rsidRDefault="0039293C" w:rsidP="00272E2A">
            <w:pPr>
              <w:pStyle w:val="Tabulkovtext"/>
              <w:jc w:val="center"/>
              <w:rPr>
                <w:rFonts w:cs="Tahoma"/>
                <w:b/>
                <w:lang w:eastAsia="cs-CZ"/>
              </w:rPr>
            </w:pPr>
          </w:p>
        </w:tc>
        <w:tc>
          <w:tcPr>
            <w:tcW w:w="850" w:type="dxa"/>
          </w:tcPr>
          <w:p w:rsidR="0039293C" w:rsidRPr="00974AE4" w:rsidRDefault="0039293C" w:rsidP="00272E2A">
            <w:pPr>
              <w:pStyle w:val="Tabulkovtext"/>
              <w:jc w:val="center"/>
              <w:rPr>
                <w:rFonts w:cs="Tahoma"/>
                <w:b/>
                <w:lang w:eastAsia="cs-CZ"/>
              </w:rPr>
            </w:pPr>
          </w:p>
        </w:tc>
        <w:tc>
          <w:tcPr>
            <w:tcW w:w="851" w:type="dxa"/>
          </w:tcPr>
          <w:p w:rsidR="0039293C" w:rsidRPr="00974AE4" w:rsidRDefault="0039293C" w:rsidP="00272E2A">
            <w:pPr>
              <w:pStyle w:val="Tabulkovtext"/>
              <w:jc w:val="center"/>
              <w:rPr>
                <w:rFonts w:cs="Tahoma"/>
                <w:b/>
                <w:lang w:eastAsia="cs-CZ"/>
              </w:rPr>
            </w:pPr>
          </w:p>
        </w:tc>
        <w:tc>
          <w:tcPr>
            <w:tcW w:w="850" w:type="dxa"/>
          </w:tcPr>
          <w:p w:rsidR="0039293C" w:rsidRPr="00974AE4" w:rsidRDefault="0039293C" w:rsidP="00272E2A">
            <w:pPr>
              <w:pStyle w:val="Tabulkovtext"/>
              <w:jc w:val="center"/>
              <w:rPr>
                <w:rFonts w:cs="Tahoma"/>
                <w:b/>
                <w:lang w:eastAsia="cs-CZ"/>
              </w:rPr>
            </w:pPr>
          </w:p>
        </w:tc>
        <w:tc>
          <w:tcPr>
            <w:tcW w:w="851" w:type="dxa"/>
          </w:tcPr>
          <w:p w:rsidR="0039293C" w:rsidRPr="00974AE4" w:rsidRDefault="0039293C" w:rsidP="00272E2A">
            <w:pPr>
              <w:pStyle w:val="Tabulkovtext"/>
              <w:jc w:val="center"/>
              <w:rPr>
                <w:rFonts w:cs="Tahoma"/>
                <w:b/>
                <w:lang w:eastAsia="cs-CZ"/>
              </w:rPr>
            </w:pP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lang w:eastAsia="cs-CZ"/>
              </w:rPr>
            </w:pPr>
            <w:r w:rsidRPr="00974AE4">
              <w:rPr>
                <w:rFonts w:cs="Tahoma"/>
                <w:lang w:eastAsia="cs-CZ"/>
              </w:rPr>
              <w:t>Cestovní doba Par - HK</w:t>
            </w:r>
          </w:p>
        </w:tc>
        <w:tc>
          <w:tcPr>
            <w:tcW w:w="851" w:type="dxa"/>
            <w:tcBorders>
              <w:left w:val="single" w:sz="12" w:space="0" w:color="auto"/>
            </w:tcBorders>
          </w:tcPr>
          <w:p w:rsidR="0039293C" w:rsidRPr="00974AE4" w:rsidRDefault="00020387" w:rsidP="00B95BFD">
            <w:pPr>
              <w:pStyle w:val="Tabulkovtext"/>
              <w:jc w:val="center"/>
              <w:rPr>
                <w:rFonts w:cs="Tahoma"/>
                <w:lang w:eastAsia="cs-CZ"/>
              </w:rPr>
            </w:pPr>
            <w:r>
              <w:rPr>
                <w:rFonts w:cs="Tahoma"/>
                <w:lang w:eastAsia="cs-CZ"/>
              </w:rPr>
              <w:t>18,0</w:t>
            </w:r>
          </w:p>
        </w:tc>
        <w:tc>
          <w:tcPr>
            <w:tcW w:w="992" w:type="dxa"/>
          </w:tcPr>
          <w:p w:rsidR="006819BA" w:rsidRDefault="00540E2F" w:rsidP="00092F1A">
            <w:pPr>
              <w:pStyle w:val="Tabulkovtext"/>
              <w:jc w:val="center"/>
              <w:rPr>
                <w:rFonts w:cs="Tahoma"/>
                <w:b/>
                <w:bCs/>
                <w:kern w:val="28"/>
                <w:szCs w:val="32"/>
                <w:lang w:eastAsia="cs-CZ"/>
              </w:rPr>
            </w:pPr>
            <w:r w:rsidRPr="00974AE4">
              <w:rPr>
                <w:rFonts w:cs="Tahoma"/>
                <w:lang w:eastAsia="cs-CZ"/>
              </w:rPr>
              <w:t>1</w:t>
            </w:r>
            <w:r>
              <w:rPr>
                <w:rFonts w:cs="Tahoma"/>
                <w:lang w:eastAsia="cs-CZ"/>
              </w:rPr>
              <w:t>7</w:t>
            </w:r>
            <w:r w:rsidR="0039293C" w:rsidRPr="00974AE4">
              <w:rPr>
                <w:rFonts w:cs="Tahoma"/>
                <w:lang w:eastAsia="cs-CZ"/>
              </w:rPr>
              <w:t>,</w:t>
            </w:r>
            <w:r w:rsidR="00020387">
              <w:rPr>
                <w:rFonts w:cs="Tahoma"/>
                <w:lang w:eastAsia="cs-CZ"/>
              </w:rPr>
              <w:t>5</w:t>
            </w:r>
          </w:p>
        </w:tc>
        <w:tc>
          <w:tcPr>
            <w:tcW w:w="850" w:type="dxa"/>
          </w:tcPr>
          <w:p w:rsidR="006819BA" w:rsidRDefault="00B95BFD" w:rsidP="00092F1A">
            <w:pPr>
              <w:pStyle w:val="Tabulkovtext"/>
              <w:jc w:val="center"/>
              <w:rPr>
                <w:rFonts w:cs="Tahoma"/>
                <w:b/>
                <w:bCs/>
                <w:kern w:val="28"/>
                <w:szCs w:val="32"/>
                <w:lang w:eastAsia="cs-CZ"/>
              </w:rPr>
            </w:pPr>
            <w:r>
              <w:rPr>
                <w:rFonts w:cs="Tahoma"/>
                <w:lang w:eastAsia="cs-CZ"/>
              </w:rPr>
              <w:t>2</w:t>
            </w:r>
            <w:r w:rsidR="00540E2F">
              <w:rPr>
                <w:rFonts w:cs="Tahoma"/>
                <w:lang w:eastAsia="cs-CZ"/>
              </w:rPr>
              <w:t>5</w:t>
            </w:r>
            <w:r w:rsidR="0039293C" w:rsidRPr="00974AE4">
              <w:rPr>
                <w:rFonts w:cs="Tahoma"/>
                <w:lang w:eastAsia="cs-CZ"/>
              </w:rPr>
              <w:t>,</w:t>
            </w:r>
            <w:r w:rsidR="008208EF">
              <w:rPr>
                <w:rFonts w:cs="Tahoma"/>
                <w:lang w:eastAsia="cs-CZ"/>
              </w:rPr>
              <w:t>0</w:t>
            </w: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r>
      <w:tr w:rsidR="00B95BFD" w:rsidRPr="00974AE4" w:rsidTr="006B08CB">
        <w:tc>
          <w:tcPr>
            <w:tcW w:w="2410" w:type="dxa"/>
            <w:tcBorders>
              <w:bottom w:val="single" w:sz="12" w:space="0" w:color="auto"/>
              <w:right w:val="single" w:sz="12" w:space="0" w:color="auto"/>
            </w:tcBorders>
            <w:shd w:val="pct10" w:color="auto" w:fill="auto"/>
          </w:tcPr>
          <w:p w:rsidR="00B95BFD" w:rsidRPr="00B95BFD" w:rsidRDefault="00B95BFD" w:rsidP="00B95BFD">
            <w:pPr>
              <w:pStyle w:val="Tabulkovtext"/>
              <w:rPr>
                <w:rFonts w:cs="Tahoma"/>
                <w:i/>
                <w:lang w:eastAsia="cs-CZ"/>
              </w:rPr>
            </w:pPr>
            <w:r w:rsidRPr="00B95BFD">
              <w:rPr>
                <w:rFonts w:cs="Tahoma"/>
                <w:i/>
                <w:lang w:eastAsia="cs-CZ"/>
              </w:rPr>
              <w:t>úspora oproti současnosti</w:t>
            </w:r>
          </w:p>
        </w:tc>
        <w:tc>
          <w:tcPr>
            <w:tcW w:w="851" w:type="dxa"/>
            <w:tcBorders>
              <w:left w:val="single" w:sz="12" w:space="0" w:color="auto"/>
              <w:bottom w:val="single" w:sz="12" w:space="0" w:color="auto"/>
            </w:tcBorders>
          </w:tcPr>
          <w:p w:rsidR="006819BA" w:rsidRDefault="00B95BFD" w:rsidP="00092F1A">
            <w:pPr>
              <w:pStyle w:val="Tabulkovtext"/>
              <w:jc w:val="center"/>
              <w:rPr>
                <w:rFonts w:cs="Tahoma"/>
                <w:b/>
                <w:bCs/>
                <w:i/>
                <w:kern w:val="28"/>
                <w:szCs w:val="32"/>
                <w:lang w:eastAsia="cs-CZ"/>
              </w:rPr>
            </w:pPr>
            <w:r w:rsidRPr="00F118F9">
              <w:rPr>
                <w:rFonts w:cs="Tahoma"/>
                <w:b/>
                <w:i/>
                <w:lang w:eastAsia="cs-CZ"/>
              </w:rPr>
              <w:t>0,</w:t>
            </w:r>
            <w:r w:rsidR="00020387">
              <w:rPr>
                <w:rFonts w:cs="Tahoma"/>
                <w:b/>
                <w:i/>
                <w:lang w:eastAsia="cs-CZ"/>
              </w:rPr>
              <w:t>0</w:t>
            </w:r>
          </w:p>
        </w:tc>
        <w:tc>
          <w:tcPr>
            <w:tcW w:w="992" w:type="dxa"/>
            <w:tcBorders>
              <w:bottom w:val="single" w:sz="12" w:space="0" w:color="auto"/>
            </w:tcBorders>
          </w:tcPr>
          <w:p w:rsidR="006819BA" w:rsidRDefault="00020387" w:rsidP="00092F1A">
            <w:pPr>
              <w:pStyle w:val="Tabulkovtext"/>
              <w:jc w:val="center"/>
              <w:rPr>
                <w:rFonts w:cs="Tahoma"/>
                <w:b/>
                <w:bCs/>
                <w:i/>
                <w:kern w:val="28"/>
                <w:szCs w:val="32"/>
                <w:lang w:eastAsia="cs-CZ"/>
              </w:rPr>
            </w:pPr>
            <w:r>
              <w:rPr>
                <w:rFonts w:cs="Tahoma"/>
                <w:b/>
                <w:i/>
                <w:lang w:eastAsia="cs-CZ"/>
              </w:rPr>
              <w:t>5,5</w:t>
            </w:r>
          </w:p>
        </w:tc>
        <w:tc>
          <w:tcPr>
            <w:tcW w:w="850" w:type="dxa"/>
            <w:tcBorders>
              <w:bottom w:val="single" w:sz="12" w:space="0" w:color="auto"/>
            </w:tcBorders>
          </w:tcPr>
          <w:p w:rsidR="006819BA" w:rsidRDefault="00C673CF" w:rsidP="00092F1A">
            <w:pPr>
              <w:pStyle w:val="Tabulkovtext"/>
              <w:jc w:val="center"/>
              <w:rPr>
                <w:rFonts w:cs="Tahoma"/>
                <w:b/>
                <w:bCs/>
                <w:i/>
                <w:kern w:val="28"/>
                <w:szCs w:val="32"/>
                <w:lang w:eastAsia="cs-CZ"/>
              </w:rPr>
            </w:pPr>
            <w:r>
              <w:rPr>
                <w:rFonts w:cs="Tahoma"/>
                <w:b/>
                <w:i/>
                <w:lang w:eastAsia="cs-CZ"/>
              </w:rPr>
              <w:t>1,</w:t>
            </w:r>
            <w:r w:rsidR="00020387">
              <w:rPr>
                <w:rFonts w:cs="Tahoma"/>
                <w:b/>
                <w:i/>
                <w:lang w:eastAsia="cs-CZ"/>
              </w:rPr>
              <w:t>5</w:t>
            </w:r>
          </w:p>
        </w:tc>
        <w:tc>
          <w:tcPr>
            <w:tcW w:w="851" w:type="dxa"/>
            <w:tcBorders>
              <w:bottom w:val="single" w:sz="12" w:space="0" w:color="auto"/>
            </w:tcBorders>
          </w:tcPr>
          <w:p w:rsidR="00B95BFD" w:rsidRPr="00B95BFD" w:rsidRDefault="00B95BFD" w:rsidP="00272E2A">
            <w:pPr>
              <w:pStyle w:val="Tabulkovtext"/>
              <w:jc w:val="center"/>
              <w:rPr>
                <w:rFonts w:cs="Tahoma"/>
                <w:i/>
                <w:lang w:eastAsia="cs-CZ"/>
              </w:rPr>
            </w:pPr>
          </w:p>
        </w:tc>
        <w:tc>
          <w:tcPr>
            <w:tcW w:w="850" w:type="dxa"/>
            <w:tcBorders>
              <w:bottom w:val="single" w:sz="12" w:space="0" w:color="auto"/>
            </w:tcBorders>
          </w:tcPr>
          <w:p w:rsidR="00B95BFD" w:rsidRPr="00B95BFD" w:rsidRDefault="00B95BFD" w:rsidP="00272E2A">
            <w:pPr>
              <w:pStyle w:val="Tabulkovtext"/>
              <w:jc w:val="center"/>
              <w:rPr>
                <w:rFonts w:cs="Tahoma"/>
                <w:i/>
                <w:lang w:eastAsia="cs-CZ"/>
              </w:rPr>
            </w:pPr>
          </w:p>
        </w:tc>
        <w:tc>
          <w:tcPr>
            <w:tcW w:w="851" w:type="dxa"/>
            <w:tcBorders>
              <w:bottom w:val="single" w:sz="12" w:space="0" w:color="auto"/>
            </w:tcBorders>
          </w:tcPr>
          <w:p w:rsidR="00B95BFD" w:rsidRPr="00B95BFD" w:rsidRDefault="00B95BFD" w:rsidP="00272E2A">
            <w:pPr>
              <w:pStyle w:val="Tabulkovtext"/>
              <w:jc w:val="center"/>
              <w:rPr>
                <w:rFonts w:cs="Tahoma"/>
                <w:i/>
                <w:lang w:eastAsia="cs-CZ"/>
              </w:rPr>
            </w:pPr>
          </w:p>
        </w:tc>
        <w:tc>
          <w:tcPr>
            <w:tcW w:w="850" w:type="dxa"/>
            <w:tcBorders>
              <w:bottom w:val="single" w:sz="12" w:space="0" w:color="auto"/>
            </w:tcBorders>
          </w:tcPr>
          <w:p w:rsidR="00B95BFD" w:rsidRPr="00B95BFD" w:rsidRDefault="00B95BFD" w:rsidP="00272E2A">
            <w:pPr>
              <w:pStyle w:val="Tabulkovtext"/>
              <w:jc w:val="center"/>
              <w:rPr>
                <w:rFonts w:cs="Tahoma"/>
                <w:i/>
                <w:lang w:eastAsia="cs-CZ"/>
              </w:rPr>
            </w:pPr>
          </w:p>
        </w:tc>
        <w:tc>
          <w:tcPr>
            <w:tcW w:w="851" w:type="dxa"/>
            <w:tcBorders>
              <w:bottom w:val="single" w:sz="12" w:space="0" w:color="auto"/>
            </w:tcBorders>
          </w:tcPr>
          <w:p w:rsidR="00B95BFD" w:rsidRPr="00B95BFD" w:rsidRDefault="00B95BFD" w:rsidP="00272E2A">
            <w:pPr>
              <w:pStyle w:val="Tabulkovtext"/>
              <w:jc w:val="center"/>
              <w:rPr>
                <w:rFonts w:cs="Tahoma"/>
                <w:i/>
                <w:lang w:eastAsia="cs-CZ"/>
              </w:rPr>
            </w:pPr>
          </w:p>
        </w:tc>
      </w:tr>
      <w:tr w:rsidR="0039293C" w:rsidRPr="00974AE4" w:rsidTr="006B08CB">
        <w:tc>
          <w:tcPr>
            <w:tcW w:w="2410" w:type="dxa"/>
            <w:tcBorders>
              <w:top w:val="single" w:sz="12" w:space="0" w:color="auto"/>
              <w:right w:val="single" w:sz="12" w:space="0" w:color="auto"/>
            </w:tcBorders>
            <w:shd w:val="pct10" w:color="auto" w:fill="auto"/>
          </w:tcPr>
          <w:p w:rsidR="0039293C" w:rsidRPr="00974AE4" w:rsidRDefault="0039293C" w:rsidP="00272E2A">
            <w:pPr>
              <w:pStyle w:val="Tabulkovtext"/>
              <w:rPr>
                <w:rFonts w:cs="Tahoma"/>
                <w:lang w:eastAsia="cs-CZ"/>
              </w:rPr>
            </w:pPr>
          </w:p>
        </w:tc>
        <w:tc>
          <w:tcPr>
            <w:tcW w:w="6946" w:type="dxa"/>
            <w:gridSpan w:val="8"/>
            <w:tcBorders>
              <w:top w:val="single" w:sz="12" w:space="0" w:color="auto"/>
              <w:left w:val="single" w:sz="12" w:space="0" w:color="auto"/>
            </w:tcBorders>
          </w:tcPr>
          <w:p w:rsidR="0039293C" w:rsidRPr="00974AE4" w:rsidRDefault="0039293C" w:rsidP="00272E2A">
            <w:pPr>
              <w:pStyle w:val="Tabulkovtext"/>
              <w:rPr>
                <w:rFonts w:cs="Tahoma"/>
                <w:lang w:eastAsia="cs-CZ"/>
              </w:rPr>
            </w:pPr>
            <w:r w:rsidRPr="00974AE4">
              <w:rPr>
                <w:rFonts w:cs="Tahoma"/>
                <w:i/>
                <w:lang w:eastAsia="cs-CZ"/>
              </w:rPr>
              <w:t>Lichý směr, Hradec Králové hl. nádr. – Pardubice hl. nádr.</w:t>
            </w: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lang w:eastAsia="cs-CZ"/>
              </w:rPr>
            </w:pPr>
            <w:r w:rsidRPr="00974AE4">
              <w:rPr>
                <w:rFonts w:cs="Tahoma"/>
                <w:lang w:eastAsia="cs-CZ"/>
              </w:rPr>
              <w:t>Hradec Králové hlav. nádr.</w:t>
            </w:r>
          </w:p>
        </w:tc>
        <w:tc>
          <w:tcPr>
            <w:tcW w:w="851" w:type="dxa"/>
            <w:tcBorders>
              <w:left w:val="single" w:sz="12" w:space="0" w:color="auto"/>
            </w:tcBorders>
          </w:tcPr>
          <w:p w:rsidR="0039293C" w:rsidRPr="00974AE4" w:rsidRDefault="0039293C" w:rsidP="00272E2A">
            <w:pPr>
              <w:pStyle w:val="Tabulkovtext"/>
              <w:jc w:val="center"/>
              <w:rPr>
                <w:rFonts w:cs="Tahoma"/>
                <w:lang w:eastAsia="cs-CZ"/>
              </w:rPr>
            </w:pPr>
          </w:p>
        </w:tc>
        <w:tc>
          <w:tcPr>
            <w:tcW w:w="992"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lang w:eastAsia="cs-CZ"/>
              </w:rPr>
            </w:pPr>
            <w:r w:rsidRPr="00974AE4">
              <w:rPr>
                <w:rFonts w:cs="Tahoma"/>
                <w:lang w:eastAsia="cs-CZ"/>
              </w:rPr>
              <w:t>Opatovice nad Labem</w:t>
            </w:r>
          </w:p>
        </w:tc>
        <w:tc>
          <w:tcPr>
            <w:tcW w:w="851" w:type="dxa"/>
            <w:tcBorders>
              <w:left w:val="single" w:sz="12" w:space="0" w:color="auto"/>
            </w:tcBorders>
          </w:tcPr>
          <w:p w:rsidR="0039293C" w:rsidRPr="00974AE4" w:rsidRDefault="00B95BFD" w:rsidP="00272E2A">
            <w:pPr>
              <w:pStyle w:val="Tabulkovtext"/>
              <w:jc w:val="center"/>
              <w:rPr>
                <w:rFonts w:cs="Tahoma"/>
                <w:lang w:eastAsia="cs-CZ"/>
              </w:rPr>
            </w:pPr>
            <w:r>
              <w:rPr>
                <w:rFonts w:cs="Tahoma"/>
                <w:lang w:eastAsia="cs-CZ"/>
              </w:rPr>
              <w:t>4,5</w:t>
            </w:r>
          </w:p>
        </w:tc>
        <w:tc>
          <w:tcPr>
            <w:tcW w:w="992" w:type="dxa"/>
          </w:tcPr>
          <w:p w:rsidR="0039293C" w:rsidRPr="00974AE4" w:rsidRDefault="00272E2A" w:rsidP="00272E2A">
            <w:pPr>
              <w:pStyle w:val="Tabulkovtext"/>
              <w:jc w:val="center"/>
              <w:rPr>
                <w:rFonts w:cs="Tahoma"/>
                <w:lang w:eastAsia="cs-CZ"/>
              </w:rPr>
            </w:pPr>
            <w:r w:rsidRPr="00974AE4">
              <w:rPr>
                <w:rFonts w:cs="Tahoma"/>
                <w:lang w:eastAsia="cs-CZ"/>
              </w:rPr>
              <w:t>4,5</w:t>
            </w:r>
          </w:p>
        </w:tc>
        <w:tc>
          <w:tcPr>
            <w:tcW w:w="850" w:type="dxa"/>
          </w:tcPr>
          <w:p w:rsidR="006819BA" w:rsidRDefault="00F118F9" w:rsidP="00092F1A">
            <w:pPr>
              <w:pStyle w:val="Tabulkovtext"/>
              <w:jc w:val="center"/>
              <w:rPr>
                <w:rFonts w:cs="Tahoma"/>
                <w:b/>
                <w:bCs/>
                <w:kern w:val="28"/>
                <w:szCs w:val="32"/>
                <w:lang w:eastAsia="cs-CZ"/>
              </w:rPr>
            </w:pPr>
            <w:r>
              <w:rPr>
                <w:rFonts w:cs="Tahoma"/>
                <w:lang w:eastAsia="cs-CZ"/>
              </w:rPr>
              <w:t>5</w:t>
            </w:r>
            <w:r w:rsidR="00BD2A93">
              <w:rPr>
                <w:rFonts w:cs="Tahoma"/>
                <w:lang w:eastAsia="cs-CZ"/>
              </w:rPr>
              <w:t>,0</w:t>
            </w: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r>
      <w:tr w:rsidR="00241258" w:rsidRPr="00974AE4" w:rsidTr="006B08CB">
        <w:tc>
          <w:tcPr>
            <w:tcW w:w="2410" w:type="dxa"/>
            <w:tcBorders>
              <w:right w:val="single" w:sz="12" w:space="0" w:color="auto"/>
            </w:tcBorders>
            <w:shd w:val="pct10" w:color="auto" w:fill="auto"/>
          </w:tcPr>
          <w:p w:rsidR="00241258" w:rsidRPr="00974AE4" w:rsidRDefault="00B95BFD" w:rsidP="00272E2A">
            <w:pPr>
              <w:pStyle w:val="Tabulkovtext"/>
              <w:rPr>
                <w:rFonts w:cs="Tahoma"/>
                <w:lang w:eastAsia="cs-CZ"/>
              </w:rPr>
            </w:pPr>
            <w:r w:rsidRPr="00974AE4">
              <w:rPr>
                <w:rFonts w:cs="Tahoma"/>
                <w:lang w:eastAsia="cs-CZ"/>
              </w:rPr>
              <w:t>Opat</w:t>
            </w:r>
            <w:r>
              <w:rPr>
                <w:rFonts w:cs="Tahoma"/>
                <w:lang w:eastAsia="cs-CZ"/>
              </w:rPr>
              <w:t xml:space="preserve">. </w:t>
            </w:r>
            <w:r w:rsidRPr="00974AE4">
              <w:rPr>
                <w:rFonts w:cs="Tahoma"/>
                <w:lang w:eastAsia="cs-CZ"/>
              </w:rPr>
              <w:t>nad L</w:t>
            </w:r>
            <w:r>
              <w:rPr>
                <w:rFonts w:cs="Tahoma"/>
                <w:lang w:eastAsia="cs-CZ"/>
              </w:rPr>
              <w:t xml:space="preserve">., výh.č.1 + </w:t>
            </w:r>
            <w:r w:rsidRPr="00974AE4">
              <w:rPr>
                <w:rFonts w:cs="Tahoma"/>
                <w:lang w:eastAsia="cs-CZ"/>
              </w:rPr>
              <w:t>z</w:t>
            </w:r>
            <w:r>
              <w:rPr>
                <w:rFonts w:cs="Tahoma"/>
                <w:lang w:eastAsia="cs-CZ"/>
              </w:rPr>
              <w:t>ast</w:t>
            </w:r>
          </w:p>
        </w:tc>
        <w:tc>
          <w:tcPr>
            <w:tcW w:w="851" w:type="dxa"/>
            <w:tcBorders>
              <w:left w:val="single" w:sz="12" w:space="0" w:color="auto"/>
            </w:tcBorders>
          </w:tcPr>
          <w:p w:rsidR="00241258" w:rsidRPr="00974AE4" w:rsidRDefault="00BD2A93" w:rsidP="00272E2A">
            <w:pPr>
              <w:pStyle w:val="Tabulkovtext"/>
              <w:jc w:val="center"/>
              <w:rPr>
                <w:rFonts w:cs="Tahoma"/>
                <w:szCs w:val="18"/>
                <w:lang w:eastAsia="cs-CZ"/>
              </w:rPr>
            </w:pPr>
            <w:r>
              <w:rPr>
                <w:rFonts w:cs="Tahoma"/>
                <w:szCs w:val="18"/>
                <w:lang w:eastAsia="cs-CZ"/>
              </w:rPr>
              <w:t>0,5</w:t>
            </w:r>
          </w:p>
        </w:tc>
        <w:tc>
          <w:tcPr>
            <w:tcW w:w="992" w:type="dxa"/>
          </w:tcPr>
          <w:p w:rsidR="00241258" w:rsidRPr="00974AE4" w:rsidRDefault="00F118F9" w:rsidP="00272E2A">
            <w:pPr>
              <w:pStyle w:val="Tabulkovtext"/>
              <w:jc w:val="center"/>
              <w:rPr>
                <w:rFonts w:cs="Tahoma"/>
                <w:szCs w:val="18"/>
                <w:lang w:eastAsia="cs-CZ"/>
              </w:rPr>
            </w:pPr>
            <w:r>
              <w:rPr>
                <w:rFonts w:cs="Tahoma"/>
                <w:szCs w:val="18"/>
                <w:lang w:eastAsia="cs-CZ"/>
              </w:rPr>
              <w:t>0,5</w:t>
            </w:r>
          </w:p>
        </w:tc>
        <w:tc>
          <w:tcPr>
            <w:tcW w:w="850" w:type="dxa"/>
          </w:tcPr>
          <w:p w:rsidR="006819BA" w:rsidRDefault="00F118F9" w:rsidP="00092F1A">
            <w:pPr>
              <w:pStyle w:val="Tabulkovtext"/>
              <w:jc w:val="center"/>
              <w:rPr>
                <w:rFonts w:cs="Tahoma"/>
                <w:b/>
                <w:bCs/>
                <w:kern w:val="28"/>
                <w:szCs w:val="32"/>
                <w:lang w:eastAsia="cs-CZ"/>
              </w:rPr>
            </w:pPr>
            <w:r>
              <w:rPr>
                <w:rFonts w:cs="Tahoma"/>
                <w:szCs w:val="18"/>
                <w:lang w:eastAsia="cs-CZ"/>
              </w:rPr>
              <w:t>1,</w:t>
            </w:r>
            <w:r w:rsidR="00BD2A93">
              <w:rPr>
                <w:rFonts w:cs="Tahoma"/>
                <w:szCs w:val="18"/>
                <w:lang w:eastAsia="cs-CZ"/>
              </w:rPr>
              <w:t>5</w:t>
            </w:r>
          </w:p>
        </w:tc>
        <w:tc>
          <w:tcPr>
            <w:tcW w:w="851" w:type="dxa"/>
          </w:tcPr>
          <w:p w:rsidR="00241258" w:rsidRPr="00974AE4" w:rsidRDefault="00241258" w:rsidP="00272E2A">
            <w:pPr>
              <w:pStyle w:val="Tabulkovtext"/>
              <w:jc w:val="center"/>
              <w:rPr>
                <w:rFonts w:cs="Tahoma"/>
                <w:lang w:eastAsia="cs-CZ"/>
              </w:rPr>
            </w:pPr>
          </w:p>
        </w:tc>
        <w:tc>
          <w:tcPr>
            <w:tcW w:w="850" w:type="dxa"/>
          </w:tcPr>
          <w:p w:rsidR="00241258" w:rsidRPr="00974AE4" w:rsidRDefault="00241258" w:rsidP="00272E2A">
            <w:pPr>
              <w:pStyle w:val="Tabulkovtext"/>
              <w:jc w:val="center"/>
              <w:rPr>
                <w:rFonts w:cs="Tahoma"/>
                <w:lang w:eastAsia="cs-CZ"/>
              </w:rPr>
            </w:pPr>
          </w:p>
        </w:tc>
        <w:tc>
          <w:tcPr>
            <w:tcW w:w="851" w:type="dxa"/>
          </w:tcPr>
          <w:p w:rsidR="00241258" w:rsidRPr="00974AE4" w:rsidRDefault="00241258" w:rsidP="00272E2A">
            <w:pPr>
              <w:pStyle w:val="Tabulkovtext"/>
              <w:jc w:val="center"/>
              <w:rPr>
                <w:rFonts w:cs="Tahoma"/>
                <w:lang w:eastAsia="cs-CZ"/>
              </w:rPr>
            </w:pPr>
          </w:p>
        </w:tc>
        <w:tc>
          <w:tcPr>
            <w:tcW w:w="850" w:type="dxa"/>
          </w:tcPr>
          <w:p w:rsidR="00241258" w:rsidRPr="00974AE4" w:rsidRDefault="00241258" w:rsidP="00272E2A">
            <w:pPr>
              <w:pStyle w:val="Tabulkovtext"/>
              <w:jc w:val="center"/>
              <w:rPr>
                <w:rFonts w:cs="Tahoma"/>
                <w:szCs w:val="18"/>
                <w:lang w:eastAsia="cs-CZ"/>
              </w:rPr>
            </w:pPr>
          </w:p>
        </w:tc>
        <w:tc>
          <w:tcPr>
            <w:tcW w:w="851" w:type="dxa"/>
          </w:tcPr>
          <w:p w:rsidR="00241258" w:rsidRPr="00974AE4" w:rsidRDefault="00241258" w:rsidP="00272E2A">
            <w:pPr>
              <w:pStyle w:val="Tabulkovtext"/>
              <w:jc w:val="center"/>
              <w:rPr>
                <w:rFonts w:cs="Tahoma"/>
                <w:szCs w:val="18"/>
                <w:lang w:eastAsia="cs-CZ"/>
              </w:rPr>
            </w:pP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lang w:eastAsia="cs-CZ"/>
              </w:rPr>
            </w:pPr>
            <w:r w:rsidRPr="00974AE4">
              <w:rPr>
                <w:rFonts w:cs="Tahoma"/>
                <w:lang w:eastAsia="cs-CZ"/>
              </w:rPr>
              <w:t>Čeperka Hl. z.</w:t>
            </w:r>
          </w:p>
        </w:tc>
        <w:tc>
          <w:tcPr>
            <w:tcW w:w="851" w:type="dxa"/>
            <w:tcBorders>
              <w:left w:val="single" w:sz="12" w:space="0" w:color="auto"/>
            </w:tcBorders>
          </w:tcPr>
          <w:p w:rsidR="0039293C" w:rsidRPr="00974AE4" w:rsidRDefault="00272E2A" w:rsidP="00272E2A">
            <w:pPr>
              <w:pStyle w:val="Tabulkovtext"/>
              <w:jc w:val="center"/>
              <w:rPr>
                <w:rFonts w:cs="Tahoma"/>
                <w:lang w:eastAsia="cs-CZ"/>
              </w:rPr>
            </w:pPr>
            <w:r w:rsidRPr="00974AE4">
              <w:rPr>
                <w:rFonts w:cs="Tahoma"/>
                <w:szCs w:val="18"/>
                <w:lang w:eastAsia="cs-CZ"/>
              </w:rPr>
              <w:t>|</w:t>
            </w:r>
          </w:p>
        </w:tc>
        <w:tc>
          <w:tcPr>
            <w:tcW w:w="992" w:type="dxa"/>
          </w:tcPr>
          <w:p w:rsidR="0039293C" w:rsidRPr="00974AE4" w:rsidRDefault="00272E2A" w:rsidP="00272E2A">
            <w:pPr>
              <w:pStyle w:val="Tabulkovtext"/>
              <w:jc w:val="center"/>
              <w:rPr>
                <w:rFonts w:cs="Tahoma"/>
                <w:lang w:eastAsia="cs-CZ"/>
              </w:rPr>
            </w:pPr>
            <w:r w:rsidRPr="00974AE4">
              <w:rPr>
                <w:rFonts w:cs="Tahoma"/>
                <w:szCs w:val="18"/>
                <w:lang w:eastAsia="cs-CZ"/>
              </w:rPr>
              <w:t>|</w:t>
            </w:r>
          </w:p>
        </w:tc>
        <w:tc>
          <w:tcPr>
            <w:tcW w:w="850" w:type="dxa"/>
          </w:tcPr>
          <w:p w:rsidR="0039293C" w:rsidRPr="00974AE4" w:rsidRDefault="00F118F9" w:rsidP="00272E2A">
            <w:pPr>
              <w:pStyle w:val="Tabulkovtext"/>
              <w:jc w:val="center"/>
              <w:rPr>
                <w:rFonts w:cs="Tahoma"/>
                <w:lang w:eastAsia="cs-CZ"/>
              </w:rPr>
            </w:pPr>
            <w:r>
              <w:rPr>
                <w:rFonts w:cs="Tahoma"/>
                <w:szCs w:val="18"/>
                <w:lang w:eastAsia="cs-CZ"/>
              </w:rPr>
              <w:t>2,5</w:t>
            </w: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lang w:eastAsia="cs-CZ"/>
              </w:rPr>
            </w:pPr>
            <w:r w:rsidRPr="00974AE4">
              <w:rPr>
                <w:rFonts w:cs="Tahoma"/>
                <w:lang w:eastAsia="cs-CZ"/>
              </w:rPr>
              <w:t>Stéblová</w:t>
            </w:r>
          </w:p>
        </w:tc>
        <w:tc>
          <w:tcPr>
            <w:tcW w:w="851" w:type="dxa"/>
            <w:tcBorders>
              <w:left w:val="single" w:sz="12" w:space="0" w:color="auto"/>
            </w:tcBorders>
          </w:tcPr>
          <w:p w:rsidR="0039293C" w:rsidRPr="00974AE4" w:rsidRDefault="00B95BFD" w:rsidP="00272E2A">
            <w:pPr>
              <w:pStyle w:val="Tabulkovtext"/>
              <w:jc w:val="center"/>
              <w:rPr>
                <w:rFonts w:cs="Tahoma"/>
                <w:lang w:eastAsia="cs-CZ"/>
              </w:rPr>
            </w:pPr>
            <w:r>
              <w:rPr>
                <w:rFonts w:cs="Tahoma"/>
                <w:lang w:eastAsia="cs-CZ"/>
              </w:rPr>
              <w:t>3</w:t>
            </w:r>
            <w:r w:rsidR="00272E2A" w:rsidRPr="00974AE4">
              <w:rPr>
                <w:rFonts w:cs="Tahoma"/>
                <w:lang w:eastAsia="cs-CZ"/>
              </w:rPr>
              <w:t>,5</w:t>
            </w:r>
          </w:p>
        </w:tc>
        <w:tc>
          <w:tcPr>
            <w:tcW w:w="992" w:type="dxa"/>
          </w:tcPr>
          <w:p w:rsidR="0039293C" w:rsidRPr="00974AE4" w:rsidRDefault="00BD2A93" w:rsidP="00272E2A">
            <w:pPr>
              <w:pStyle w:val="Tabulkovtext"/>
              <w:jc w:val="center"/>
              <w:rPr>
                <w:rFonts w:cs="Tahoma"/>
                <w:lang w:eastAsia="cs-CZ"/>
              </w:rPr>
            </w:pPr>
            <w:r>
              <w:rPr>
                <w:rFonts w:cs="Tahoma"/>
                <w:lang w:eastAsia="cs-CZ"/>
              </w:rPr>
              <w:t>3,0</w:t>
            </w:r>
          </w:p>
        </w:tc>
        <w:tc>
          <w:tcPr>
            <w:tcW w:w="850" w:type="dxa"/>
          </w:tcPr>
          <w:p w:rsidR="0039293C" w:rsidRPr="00974AE4" w:rsidRDefault="00F118F9" w:rsidP="00272E2A">
            <w:pPr>
              <w:pStyle w:val="Tabulkovtext"/>
              <w:jc w:val="center"/>
              <w:rPr>
                <w:rFonts w:cs="Tahoma"/>
                <w:lang w:eastAsia="cs-CZ"/>
              </w:rPr>
            </w:pPr>
            <w:r>
              <w:rPr>
                <w:rFonts w:cs="Tahoma"/>
                <w:lang w:eastAsia="cs-CZ"/>
              </w:rPr>
              <w:t>3</w:t>
            </w:r>
            <w:r w:rsidR="00272E2A" w:rsidRPr="00974AE4">
              <w:rPr>
                <w:rFonts w:cs="Tahoma"/>
                <w:lang w:eastAsia="cs-CZ"/>
              </w:rPr>
              <w:t>,0</w:t>
            </w: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lang w:eastAsia="cs-CZ"/>
              </w:rPr>
            </w:pPr>
            <w:r w:rsidRPr="00974AE4">
              <w:rPr>
                <w:rFonts w:cs="Tahoma"/>
                <w:lang w:eastAsia="cs-CZ"/>
              </w:rPr>
              <w:t>Pardubice-Semtín z</w:t>
            </w:r>
          </w:p>
        </w:tc>
        <w:tc>
          <w:tcPr>
            <w:tcW w:w="851" w:type="dxa"/>
            <w:tcBorders>
              <w:left w:val="single" w:sz="12" w:space="0" w:color="auto"/>
            </w:tcBorders>
          </w:tcPr>
          <w:p w:rsidR="0039293C" w:rsidRPr="00974AE4" w:rsidRDefault="00272E2A" w:rsidP="00272E2A">
            <w:pPr>
              <w:pStyle w:val="Tabulkovtext"/>
              <w:jc w:val="center"/>
              <w:rPr>
                <w:rFonts w:cs="Tahoma"/>
                <w:lang w:eastAsia="cs-CZ"/>
              </w:rPr>
            </w:pPr>
            <w:r w:rsidRPr="00974AE4">
              <w:rPr>
                <w:rFonts w:cs="Tahoma"/>
                <w:szCs w:val="18"/>
                <w:lang w:eastAsia="cs-CZ"/>
              </w:rPr>
              <w:t>|</w:t>
            </w:r>
          </w:p>
        </w:tc>
        <w:tc>
          <w:tcPr>
            <w:tcW w:w="992" w:type="dxa"/>
          </w:tcPr>
          <w:p w:rsidR="0039293C" w:rsidRPr="00974AE4" w:rsidRDefault="00272E2A" w:rsidP="00272E2A">
            <w:pPr>
              <w:pStyle w:val="Tabulkovtext"/>
              <w:jc w:val="center"/>
              <w:rPr>
                <w:rFonts w:cs="Tahoma"/>
                <w:lang w:eastAsia="cs-CZ"/>
              </w:rPr>
            </w:pPr>
            <w:r w:rsidRPr="00974AE4">
              <w:rPr>
                <w:rFonts w:cs="Tahoma"/>
                <w:szCs w:val="18"/>
                <w:lang w:eastAsia="cs-CZ"/>
              </w:rPr>
              <w:t>|</w:t>
            </w:r>
          </w:p>
        </w:tc>
        <w:tc>
          <w:tcPr>
            <w:tcW w:w="850" w:type="dxa"/>
          </w:tcPr>
          <w:p w:rsidR="0039293C" w:rsidRPr="00974AE4" w:rsidRDefault="00BD2A93" w:rsidP="00272E2A">
            <w:pPr>
              <w:pStyle w:val="Tabulkovtext"/>
              <w:jc w:val="center"/>
              <w:rPr>
                <w:rFonts w:cs="Tahoma"/>
                <w:lang w:eastAsia="cs-CZ"/>
              </w:rPr>
            </w:pPr>
            <w:r>
              <w:rPr>
                <w:rFonts w:cs="Tahoma"/>
                <w:szCs w:val="18"/>
                <w:lang w:eastAsia="cs-CZ"/>
              </w:rPr>
              <w:t>4,0</w:t>
            </w: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lang w:eastAsia="cs-CZ"/>
              </w:rPr>
            </w:pPr>
            <w:r w:rsidRPr="00974AE4">
              <w:rPr>
                <w:rFonts w:cs="Tahoma"/>
                <w:lang w:eastAsia="cs-CZ"/>
              </w:rPr>
              <w:t>Pardubice-Rosice n. L.</w:t>
            </w:r>
          </w:p>
        </w:tc>
        <w:tc>
          <w:tcPr>
            <w:tcW w:w="851" w:type="dxa"/>
            <w:tcBorders>
              <w:left w:val="single" w:sz="12" w:space="0" w:color="auto"/>
            </w:tcBorders>
          </w:tcPr>
          <w:p w:rsidR="0039293C" w:rsidRPr="00974AE4" w:rsidRDefault="00BD2A93" w:rsidP="00B95BFD">
            <w:pPr>
              <w:pStyle w:val="Tabulkovtext"/>
              <w:jc w:val="center"/>
              <w:rPr>
                <w:rFonts w:cs="Tahoma"/>
                <w:lang w:eastAsia="cs-CZ"/>
              </w:rPr>
            </w:pPr>
            <w:r>
              <w:rPr>
                <w:rFonts w:cs="Tahoma"/>
                <w:lang w:eastAsia="cs-CZ"/>
              </w:rPr>
              <w:t>5,0</w:t>
            </w:r>
          </w:p>
        </w:tc>
        <w:tc>
          <w:tcPr>
            <w:tcW w:w="992" w:type="dxa"/>
          </w:tcPr>
          <w:p w:rsidR="0039293C" w:rsidRPr="00974AE4" w:rsidRDefault="00BD2A93" w:rsidP="00272E2A">
            <w:pPr>
              <w:pStyle w:val="Tabulkovtext"/>
              <w:jc w:val="center"/>
              <w:rPr>
                <w:rFonts w:cs="Tahoma"/>
                <w:lang w:eastAsia="cs-CZ"/>
              </w:rPr>
            </w:pPr>
            <w:r>
              <w:rPr>
                <w:rFonts w:cs="Tahoma"/>
                <w:lang w:eastAsia="cs-CZ"/>
              </w:rPr>
              <w:t>5,0</w:t>
            </w:r>
          </w:p>
        </w:tc>
        <w:tc>
          <w:tcPr>
            <w:tcW w:w="850" w:type="dxa"/>
          </w:tcPr>
          <w:p w:rsidR="0039293C" w:rsidRPr="00974AE4" w:rsidRDefault="00F118F9" w:rsidP="00272E2A">
            <w:pPr>
              <w:pStyle w:val="Tabulkovtext"/>
              <w:jc w:val="center"/>
              <w:rPr>
                <w:rFonts w:cs="Tahoma"/>
                <w:lang w:eastAsia="cs-CZ"/>
              </w:rPr>
            </w:pPr>
            <w:r>
              <w:rPr>
                <w:rFonts w:cs="Tahoma"/>
                <w:lang w:eastAsia="cs-CZ"/>
              </w:rPr>
              <w:t>2,5</w:t>
            </w: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lang w:eastAsia="cs-CZ"/>
              </w:rPr>
            </w:pPr>
            <w:r w:rsidRPr="00974AE4">
              <w:rPr>
                <w:rFonts w:cs="Tahoma"/>
                <w:lang w:eastAsia="cs-CZ"/>
              </w:rPr>
              <w:t>Pardubice hlavní nádr.</w:t>
            </w:r>
          </w:p>
        </w:tc>
        <w:tc>
          <w:tcPr>
            <w:tcW w:w="851" w:type="dxa"/>
            <w:tcBorders>
              <w:left w:val="single" w:sz="12" w:space="0" w:color="auto"/>
            </w:tcBorders>
          </w:tcPr>
          <w:p w:rsidR="0039293C" w:rsidRPr="00974AE4" w:rsidRDefault="00272E2A" w:rsidP="00272E2A">
            <w:pPr>
              <w:pStyle w:val="Tabulkovtext"/>
              <w:jc w:val="center"/>
              <w:rPr>
                <w:rFonts w:cs="Tahoma"/>
                <w:lang w:eastAsia="cs-CZ"/>
              </w:rPr>
            </w:pPr>
            <w:r w:rsidRPr="00974AE4">
              <w:rPr>
                <w:rFonts w:cs="Tahoma"/>
                <w:lang w:eastAsia="cs-CZ"/>
              </w:rPr>
              <w:t>3,0</w:t>
            </w:r>
          </w:p>
        </w:tc>
        <w:tc>
          <w:tcPr>
            <w:tcW w:w="992" w:type="dxa"/>
          </w:tcPr>
          <w:p w:rsidR="0039293C" w:rsidRPr="00974AE4" w:rsidRDefault="00272E2A" w:rsidP="00272E2A">
            <w:pPr>
              <w:pStyle w:val="Tabulkovtext"/>
              <w:jc w:val="center"/>
              <w:rPr>
                <w:rFonts w:cs="Tahoma"/>
                <w:lang w:eastAsia="cs-CZ"/>
              </w:rPr>
            </w:pPr>
            <w:r w:rsidRPr="00974AE4">
              <w:rPr>
                <w:rFonts w:cs="Tahoma"/>
                <w:lang w:eastAsia="cs-CZ"/>
              </w:rPr>
              <w:t>3,0</w:t>
            </w:r>
          </w:p>
        </w:tc>
        <w:tc>
          <w:tcPr>
            <w:tcW w:w="850" w:type="dxa"/>
          </w:tcPr>
          <w:p w:rsidR="0039293C" w:rsidRPr="00974AE4" w:rsidRDefault="00272E2A" w:rsidP="00272E2A">
            <w:pPr>
              <w:pStyle w:val="Tabulkovtext"/>
              <w:jc w:val="center"/>
              <w:rPr>
                <w:rFonts w:cs="Tahoma"/>
                <w:lang w:eastAsia="cs-CZ"/>
              </w:rPr>
            </w:pPr>
            <w:r w:rsidRPr="00974AE4">
              <w:rPr>
                <w:rFonts w:cs="Tahoma"/>
                <w:lang w:eastAsia="cs-CZ"/>
              </w:rPr>
              <w:t>3,0</w:t>
            </w: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b/>
                <w:lang w:eastAsia="cs-CZ"/>
              </w:rPr>
            </w:pPr>
            <w:r w:rsidRPr="00974AE4">
              <w:rPr>
                <w:rFonts w:ascii="Symbol" w:hAnsi="Symbol" w:cs="Tahoma"/>
                <w:b/>
                <w:lang w:eastAsia="cs-CZ"/>
              </w:rPr>
              <w:t></w:t>
            </w:r>
            <w:r w:rsidRPr="00974AE4">
              <w:rPr>
                <w:rFonts w:cs="Tahoma"/>
                <w:b/>
                <w:lang w:eastAsia="cs-CZ"/>
              </w:rPr>
              <w:t xml:space="preserve"> jizdních dob</w:t>
            </w:r>
          </w:p>
        </w:tc>
        <w:tc>
          <w:tcPr>
            <w:tcW w:w="851" w:type="dxa"/>
            <w:tcBorders>
              <w:left w:val="single" w:sz="12" w:space="0" w:color="auto"/>
            </w:tcBorders>
          </w:tcPr>
          <w:p w:rsidR="0039293C" w:rsidRPr="00974AE4" w:rsidRDefault="00272E2A" w:rsidP="00B95BFD">
            <w:pPr>
              <w:pStyle w:val="Tabulkovtext"/>
              <w:jc w:val="center"/>
              <w:rPr>
                <w:rFonts w:cs="Tahoma"/>
                <w:b/>
                <w:lang w:eastAsia="cs-CZ"/>
              </w:rPr>
            </w:pPr>
            <w:r w:rsidRPr="00974AE4">
              <w:rPr>
                <w:rFonts w:cs="Tahoma"/>
                <w:b/>
                <w:lang w:eastAsia="cs-CZ"/>
              </w:rPr>
              <w:t>1</w:t>
            </w:r>
            <w:r w:rsidR="00B95BFD">
              <w:rPr>
                <w:rFonts w:cs="Tahoma"/>
                <w:b/>
                <w:lang w:eastAsia="cs-CZ"/>
              </w:rPr>
              <w:t>6</w:t>
            </w:r>
            <w:r w:rsidRPr="00974AE4">
              <w:rPr>
                <w:rFonts w:cs="Tahoma"/>
                <w:b/>
                <w:lang w:eastAsia="cs-CZ"/>
              </w:rPr>
              <w:t>,5</w:t>
            </w:r>
          </w:p>
        </w:tc>
        <w:tc>
          <w:tcPr>
            <w:tcW w:w="992" w:type="dxa"/>
          </w:tcPr>
          <w:p w:rsidR="006819BA" w:rsidRDefault="0039293C" w:rsidP="00092F1A">
            <w:pPr>
              <w:pStyle w:val="Tabulkovtext"/>
              <w:jc w:val="center"/>
              <w:rPr>
                <w:rFonts w:cs="Tahoma"/>
                <w:b/>
                <w:bCs/>
                <w:kern w:val="28"/>
                <w:szCs w:val="32"/>
                <w:lang w:eastAsia="cs-CZ"/>
              </w:rPr>
            </w:pPr>
            <w:r w:rsidRPr="00974AE4">
              <w:rPr>
                <w:rFonts w:cs="Tahoma"/>
                <w:b/>
                <w:lang w:eastAsia="cs-CZ"/>
              </w:rPr>
              <w:t>1</w:t>
            </w:r>
            <w:r w:rsidR="00BD2A93">
              <w:rPr>
                <w:rFonts w:cs="Tahoma"/>
                <w:b/>
                <w:lang w:eastAsia="cs-CZ"/>
              </w:rPr>
              <w:t>6</w:t>
            </w:r>
            <w:r w:rsidRPr="00974AE4">
              <w:rPr>
                <w:rFonts w:cs="Tahoma"/>
                <w:b/>
                <w:lang w:eastAsia="cs-CZ"/>
              </w:rPr>
              <w:t>,0</w:t>
            </w:r>
          </w:p>
        </w:tc>
        <w:tc>
          <w:tcPr>
            <w:tcW w:w="850" w:type="dxa"/>
          </w:tcPr>
          <w:p w:rsidR="006819BA" w:rsidRDefault="00F118F9" w:rsidP="00092F1A">
            <w:pPr>
              <w:pStyle w:val="Tabulkovtext"/>
              <w:jc w:val="center"/>
              <w:rPr>
                <w:rFonts w:cs="Tahoma"/>
                <w:b/>
                <w:bCs/>
                <w:kern w:val="28"/>
                <w:szCs w:val="32"/>
                <w:lang w:eastAsia="cs-CZ"/>
              </w:rPr>
            </w:pPr>
            <w:r>
              <w:rPr>
                <w:rFonts w:cs="Tahoma"/>
                <w:b/>
                <w:lang w:eastAsia="cs-CZ"/>
              </w:rPr>
              <w:t>2</w:t>
            </w:r>
            <w:r w:rsidR="00BD2A93">
              <w:rPr>
                <w:rFonts w:cs="Tahoma"/>
                <w:b/>
                <w:lang w:eastAsia="cs-CZ"/>
              </w:rPr>
              <w:t>1</w:t>
            </w:r>
            <w:r w:rsidR="00272E2A" w:rsidRPr="00974AE4">
              <w:rPr>
                <w:rFonts w:cs="Tahoma"/>
                <w:b/>
                <w:lang w:eastAsia="cs-CZ"/>
              </w:rPr>
              <w:t>,</w:t>
            </w:r>
            <w:r w:rsidR="00BD2A93">
              <w:rPr>
                <w:rFonts w:cs="Tahoma"/>
                <w:b/>
                <w:lang w:eastAsia="cs-CZ"/>
              </w:rPr>
              <w:t>5</w:t>
            </w:r>
          </w:p>
        </w:tc>
        <w:tc>
          <w:tcPr>
            <w:tcW w:w="851" w:type="dxa"/>
          </w:tcPr>
          <w:p w:rsidR="0039293C" w:rsidRPr="00974AE4" w:rsidRDefault="0039293C" w:rsidP="00272E2A">
            <w:pPr>
              <w:pStyle w:val="Tabulkovtext"/>
              <w:jc w:val="center"/>
              <w:rPr>
                <w:rFonts w:cs="Tahoma"/>
                <w:b/>
                <w:lang w:eastAsia="cs-CZ"/>
              </w:rPr>
            </w:pPr>
          </w:p>
        </w:tc>
        <w:tc>
          <w:tcPr>
            <w:tcW w:w="850" w:type="dxa"/>
          </w:tcPr>
          <w:p w:rsidR="0039293C" w:rsidRPr="00974AE4" w:rsidRDefault="0039293C" w:rsidP="00272E2A">
            <w:pPr>
              <w:pStyle w:val="Tabulkovtext"/>
              <w:jc w:val="center"/>
              <w:rPr>
                <w:rFonts w:cs="Tahoma"/>
                <w:b/>
                <w:lang w:eastAsia="cs-CZ"/>
              </w:rPr>
            </w:pPr>
          </w:p>
        </w:tc>
        <w:tc>
          <w:tcPr>
            <w:tcW w:w="851" w:type="dxa"/>
          </w:tcPr>
          <w:p w:rsidR="0039293C" w:rsidRPr="00974AE4" w:rsidRDefault="0039293C" w:rsidP="00272E2A">
            <w:pPr>
              <w:pStyle w:val="Tabulkovtext"/>
              <w:jc w:val="center"/>
              <w:rPr>
                <w:rFonts w:cs="Tahoma"/>
                <w:b/>
                <w:lang w:eastAsia="cs-CZ"/>
              </w:rPr>
            </w:pPr>
          </w:p>
        </w:tc>
        <w:tc>
          <w:tcPr>
            <w:tcW w:w="850" w:type="dxa"/>
          </w:tcPr>
          <w:p w:rsidR="0039293C" w:rsidRPr="00974AE4" w:rsidRDefault="0039293C" w:rsidP="00272E2A">
            <w:pPr>
              <w:pStyle w:val="Tabulkovtext"/>
              <w:jc w:val="center"/>
              <w:rPr>
                <w:rFonts w:cs="Tahoma"/>
                <w:b/>
                <w:lang w:eastAsia="cs-CZ"/>
              </w:rPr>
            </w:pPr>
          </w:p>
        </w:tc>
        <w:tc>
          <w:tcPr>
            <w:tcW w:w="851" w:type="dxa"/>
          </w:tcPr>
          <w:p w:rsidR="0039293C" w:rsidRPr="00974AE4" w:rsidRDefault="0039293C" w:rsidP="00272E2A">
            <w:pPr>
              <w:pStyle w:val="Tabulkovtext"/>
              <w:jc w:val="center"/>
              <w:rPr>
                <w:rFonts w:cs="Tahoma"/>
                <w:b/>
                <w:lang w:eastAsia="cs-CZ"/>
              </w:rPr>
            </w:pPr>
          </w:p>
        </w:tc>
      </w:tr>
      <w:tr w:rsidR="0039293C" w:rsidRPr="00974AE4" w:rsidTr="006B08CB">
        <w:tc>
          <w:tcPr>
            <w:tcW w:w="2410" w:type="dxa"/>
            <w:tcBorders>
              <w:right w:val="single" w:sz="12" w:space="0" w:color="auto"/>
            </w:tcBorders>
            <w:shd w:val="pct10" w:color="auto" w:fill="auto"/>
          </w:tcPr>
          <w:p w:rsidR="0039293C" w:rsidRPr="00974AE4" w:rsidRDefault="0039293C" w:rsidP="00272E2A">
            <w:pPr>
              <w:pStyle w:val="Tabulkovtext"/>
              <w:rPr>
                <w:rFonts w:cs="Tahoma"/>
                <w:lang w:eastAsia="cs-CZ"/>
              </w:rPr>
            </w:pPr>
            <w:r w:rsidRPr="00974AE4">
              <w:rPr>
                <w:rFonts w:cs="Tahoma"/>
                <w:lang w:eastAsia="cs-CZ"/>
              </w:rPr>
              <w:t>Cestovní doba HK - Par</w:t>
            </w:r>
          </w:p>
        </w:tc>
        <w:tc>
          <w:tcPr>
            <w:tcW w:w="851" w:type="dxa"/>
            <w:tcBorders>
              <w:left w:val="single" w:sz="12" w:space="0" w:color="auto"/>
            </w:tcBorders>
          </w:tcPr>
          <w:p w:rsidR="0039293C" w:rsidRPr="00974AE4" w:rsidRDefault="00020387" w:rsidP="00B95BFD">
            <w:pPr>
              <w:pStyle w:val="Tabulkovtext"/>
              <w:jc w:val="center"/>
              <w:rPr>
                <w:rFonts w:cs="Tahoma"/>
                <w:lang w:eastAsia="cs-CZ"/>
              </w:rPr>
            </w:pPr>
            <w:r>
              <w:rPr>
                <w:rFonts w:cs="Tahoma"/>
                <w:lang w:eastAsia="cs-CZ"/>
              </w:rPr>
              <w:t>18,0</w:t>
            </w:r>
          </w:p>
        </w:tc>
        <w:tc>
          <w:tcPr>
            <w:tcW w:w="992" w:type="dxa"/>
          </w:tcPr>
          <w:p w:rsidR="006819BA" w:rsidRDefault="0039293C" w:rsidP="00092F1A">
            <w:pPr>
              <w:pStyle w:val="Tabulkovtext"/>
              <w:jc w:val="center"/>
              <w:rPr>
                <w:rFonts w:cs="Tahoma"/>
                <w:b/>
                <w:bCs/>
                <w:kern w:val="28"/>
                <w:szCs w:val="32"/>
                <w:lang w:eastAsia="cs-CZ"/>
              </w:rPr>
            </w:pPr>
            <w:r w:rsidRPr="00974AE4">
              <w:rPr>
                <w:rFonts w:cs="Tahoma"/>
                <w:lang w:eastAsia="cs-CZ"/>
              </w:rPr>
              <w:t>1</w:t>
            </w:r>
            <w:r w:rsidR="00BD2A93">
              <w:rPr>
                <w:rFonts w:cs="Tahoma"/>
                <w:lang w:eastAsia="cs-CZ"/>
              </w:rPr>
              <w:t>7</w:t>
            </w:r>
            <w:r w:rsidRPr="00974AE4">
              <w:rPr>
                <w:rFonts w:cs="Tahoma"/>
                <w:lang w:eastAsia="cs-CZ"/>
              </w:rPr>
              <w:t>,</w:t>
            </w:r>
            <w:r w:rsidR="00020387">
              <w:rPr>
                <w:rFonts w:cs="Tahoma"/>
                <w:lang w:eastAsia="cs-CZ"/>
              </w:rPr>
              <w:t>5</w:t>
            </w:r>
          </w:p>
        </w:tc>
        <w:tc>
          <w:tcPr>
            <w:tcW w:w="850" w:type="dxa"/>
          </w:tcPr>
          <w:p w:rsidR="006819BA" w:rsidRDefault="00F118F9" w:rsidP="00092F1A">
            <w:pPr>
              <w:pStyle w:val="Tabulkovtext"/>
              <w:jc w:val="center"/>
              <w:rPr>
                <w:rFonts w:cs="Tahoma"/>
                <w:b/>
                <w:bCs/>
                <w:kern w:val="28"/>
                <w:szCs w:val="32"/>
                <w:lang w:eastAsia="cs-CZ"/>
              </w:rPr>
            </w:pPr>
            <w:r>
              <w:rPr>
                <w:rFonts w:cs="Tahoma"/>
                <w:lang w:eastAsia="cs-CZ"/>
              </w:rPr>
              <w:t>2</w:t>
            </w:r>
            <w:r w:rsidR="00BD2A93">
              <w:rPr>
                <w:rFonts w:cs="Tahoma"/>
                <w:lang w:eastAsia="cs-CZ"/>
              </w:rPr>
              <w:t>5,</w:t>
            </w:r>
            <w:r w:rsidR="00020387">
              <w:rPr>
                <w:rFonts w:cs="Tahoma"/>
                <w:lang w:eastAsia="cs-CZ"/>
              </w:rPr>
              <w:t>0</w:t>
            </w: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c>
          <w:tcPr>
            <w:tcW w:w="850" w:type="dxa"/>
          </w:tcPr>
          <w:p w:rsidR="0039293C" w:rsidRPr="00974AE4" w:rsidRDefault="0039293C" w:rsidP="00272E2A">
            <w:pPr>
              <w:pStyle w:val="Tabulkovtext"/>
              <w:jc w:val="center"/>
              <w:rPr>
                <w:rFonts w:cs="Tahoma"/>
                <w:lang w:eastAsia="cs-CZ"/>
              </w:rPr>
            </w:pPr>
          </w:p>
        </w:tc>
        <w:tc>
          <w:tcPr>
            <w:tcW w:w="851" w:type="dxa"/>
          </w:tcPr>
          <w:p w:rsidR="0039293C" w:rsidRPr="00974AE4" w:rsidRDefault="0039293C" w:rsidP="00272E2A">
            <w:pPr>
              <w:pStyle w:val="Tabulkovtext"/>
              <w:jc w:val="center"/>
              <w:rPr>
                <w:rFonts w:cs="Tahoma"/>
                <w:lang w:eastAsia="cs-CZ"/>
              </w:rPr>
            </w:pPr>
          </w:p>
        </w:tc>
      </w:tr>
      <w:tr w:rsidR="00F118F9" w:rsidRPr="00974AE4" w:rsidTr="006B08CB">
        <w:tc>
          <w:tcPr>
            <w:tcW w:w="2410" w:type="dxa"/>
            <w:tcBorders>
              <w:right w:val="single" w:sz="12" w:space="0" w:color="auto"/>
            </w:tcBorders>
            <w:shd w:val="pct10" w:color="auto" w:fill="auto"/>
          </w:tcPr>
          <w:p w:rsidR="00F118F9" w:rsidRPr="00974AE4" w:rsidRDefault="00F118F9" w:rsidP="00272E2A">
            <w:pPr>
              <w:pStyle w:val="Tabulkovtext"/>
              <w:rPr>
                <w:rFonts w:cs="Tahoma"/>
                <w:lang w:eastAsia="cs-CZ"/>
              </w:rPr>
            </w:pPr>
            <w:r w:rsidRPr="00B95BFD">
              <w:rPr>
                <w:rFonts w:cs="Tahoma"/>
                <w:i/>
                <w:lang w:eastAsia="cs-CZ"/>
              </w:rPr>
              <w:t>úspora oproti současnosti</w:t>
            </w:r>
          </w:p>
        </w:tc>
        <w:tc>
          <w:tcPr>
            <w:tcW w:w="851" w:type="dxa"/>
            <w:tcBorders>
              <w:left w:val="single" w:sz="12" w:space="0" w:color="auto"/>
            </w:tcBorders>
          </w:tcPr>
          <w:p w:rsidR="006819BA" w:rsidRDefault="00F118F9" w:rsidP="00092F1A">
            <w:pPr>
              <w:pStyle w:val="Tabulkovtext"/>
              <w:jc w:val="center"/>
              <w:rPr>
                <w:rFonts w:cs="Tahoma"/>
                <w:b/>
                <w:bCs/>
                <w:i/>
                <w:kern w:val="28"/>
                <w:szCs w:val="32"/>
                <w:lang w:eastAsia="cs-CZ"/>
              </w:rPr>
            </w:pPr>
            <w:r w:rsidRPr="00F118F9">
              <w:rPr>
                <w:rFonts w:cs="Tahoma"/>
                <w:b/>
                <w:i/>
                <w:lang w:eastAsia="cs-CZ"/>
              </w:rPr>
              <w:t>1,</w:t>
            </w:r>
            <w:r w:rsidR="00020387">
              <w:rPr>
                <w:rFonts w:cs="Tahoma"/>
                <w:b/>
                <w:i/>
                <w:lang w:eastAsia="cs-CZ"/>
              </w:rPr>
              <w:t>0</w:t>
            </w:r>
          </w:p>
        </w:tc>
        <w:tc>
          <w:tcPr>
            <w:tcW w:w="992" w:type="dxa"/>
          </w:tcPr>
          <w:p w:rsidR="006819BA" w:rsidRDefault="00BD2A93" w:rsidP="00092F1A">
            <w:pPr>
              <w:pStyle w:val="Tabulkovtext"/>
              <w:jc w:val="center"/>
              <w:rPr>
                <w:rFonts w:cs="Tahoma"/>
                <w:b/>
                <w:bCs/>
                <w:i/>
                <w:kern w:val="28"/>
                <w:szCs w:val="32"/>
                <w:lang w:eastAsia="cs-CZ"/>
              </w:rPr>
            </w:pPr>
            <w:r>
              <w:rPr>
                <w:rFonts w:cs="Tahoma"/>
                <w:b/>
                <w:i/>
                <w:lang w:eastAsia="cs-CZ"/>
              </w:rPr>
              <w:t>7</w:t>
            </w:r>
            <w:r w:rsidR="002E036E">
              <w:rPr>
                <w:rFonts w:cs="Tahoma"/>
                <w:b/>
                <w:i/>
                <w:lang w:eastAsia="cs-CZ"/>
              </w:rPr>
              <w:t>,</w:t>
            </w:r>
            <w:r w:rsidR="00020387">
              <w:rPr>
                <w:rFonts w:cs="Tahoma"/>
                <w:b/>
                <w:i/>
                <w:lang w:eastAsia="cs-CZ"/>
              </w:rPr>
              <w:t>0</w:t>
            </w:r>
          </w:p>
        </w:tc>
        <w:tc>
          <w:tcPr>
            <w:tcW w:w="850" w:type="dxa"/>
          </w:tcPr>
          <w:p w:rsidR="00F118F9" w:rsidRPr="00F118F9" w:rsidRDefault="00020387" w:rsidP="00272E2A">
            <w:pPr>
              <w:pStyle w:val="Tabulkovtext"/>
              <w:jc w:val="center"/>
              <w:rPr>
                <w:rFonts w:cs="Tahoma"/>
                <w:b/>
                <w:i/>
                <w:lang w:eastAsia="cs-CZ"/>
              </w:rPr>
            </w:pPr>
            <w:r>
              <w:rPr>
                <w:rFonts w:cs="Tahoma"/>
                <w:b/>
                <w:i/>
                <w:lang w:eastAsia="cs-CZ"/>
              </w:rPr>
              <w:t>2,0</w:t>
            </w:r>
          </w:p>
        </w:tc>
        <w:tc>
          <w:tcPr>
            <w:tcW w:w="851" w:type="dxa"/>
          </w:tcPr>
          <w:p w:rsidR="00F118F9" w:rsidRPr="00974AE4" w:rsidRDefault="00F118F9" w:rsidP="00272E2A">
            <w:pPr>
              <w:pStyle w:val="Tabulkovtext"/>
              <w:jc w:val="center"/>
              <w:rPr>
                <w:rFonts w:cs="Tahoma"/>
                <w:lang w:eastAsia="cs-CZ"/>
              </w:rPr>
            </w:pPr>
          </w:p>
        </w:tc>
        <w:tc>
          <w:tcPr>
            <w:tcW w:w="850" w:type="dxa"/>
          </w:tcPr>
          <w:p w:rsidR="00F118F9" w:rsidRPr="00974AE4" w:rsidRDefault="00F118F9" w:rsidP="00272E2A">
            <w:pPr>
              <w:pStyle w:val="Tabulkovtext"/>
              <w:jc w:val="center"/>
              <w:rPr>
                <w:rFonts w:cs="Tahoma"/>
                <w:lang w:eastAsia="cs-CZ"/>
              </w:rPr>
            </w:pPr>
          </w:p>
        </w:tc>
        <w:tc>
          <w:tcPr>
            <w:tcW w:w="851" w:type="dxa"/>
          </w:tcPr>
          <w:p w:rsidR="00F118F9" w:rsidRPr="00974AE4" w:rsidRDefault="00F118F9" w:rsidP="00272E2A">
            <w:pPr>
              <w:pStyle w:val="Tabulkovtext"/>
              <w:jc w:val="center"/>
              <w:rPr>
                <w:rFonts w:cs="Tahoma"/>
                <w:lang w:eastAsia="cs-CZ"/>
              </w:rPr>
            </w:pPr>
          </w:p>
        </w:tc>
        <w:tc>
          <w:tcPr>
            <w:tcW w:w="850" w:type="dxa"/>
          </w:tcPr>
          <w:p w:rsidR="00F118F9" w:rsidRPr="00974AE4" w:rsidRDefault="00F118F9" w:rsidP="00272E2A">
            <w:pPr>
              <w:pStyle w:val="Tabulkovtext"/>
              <w:jc w:val="center"/>
              <w:rPr>
                <w:rFonts w:cs="Tahoma"/>
                <w:lang w:eastAsia="cs-CZ"/>
              </w:rPr>
            </w:pPr>
          </w:p>
        </w:tc>
        <w:tc>
          <w:tcPr>
            <w:tcW w:w="851" w:type="dxa"/>
          </w:tcPr>
          <w:p w:rsidR="00F118F9" w:rsidRPr="00974AE4" w:rsidRDefault="00F118F9" w:rsidP="00272E2A">
            <w:pPr>
              <w:pStyle w:val="Tabulkovtext"/>
              <w:jc w:val="center"/>
              <w:rPr>
                <w:rFonts w:cs="Tahoma"/>
                <w:lang w:eastAsia="cs-CZ"/>
              </w:rPr>
            </w:pPr>
          </w:p>
        </w:tc>
      </w:tr>
    </w:tbl>
    <w:p w:rsidR="0039293C" w:rsidRPr="00974AE4" w:rsidRDefault="00272E2A" w:rsidP="006B5310">
      <w:r w:rsidRPr="008B2A57">
        <w:t>V</w:t>
      </w:r>
      <w:r w:rsidR="008B2A57">
        <w:t xml:space="preserve"> Etap</w:t>
      </w:r>
      <w:r w:rsidR="00D5061B">
        <w:t>ě</w:t>
      </w:r>
      <w:r w:rsidR="008B2A57">
        <w:t xml:space="preserve"> </w:t>
      </w:r>
      <w:r w:rsidR="00976E46" w:rsidRPr="00974AE4">
        <w:t>se zvyšuje traťová rychlost</w:t>
      </w:r>
      <w:r w:rsidR="00F118F9">
        <w:t xml:space="preserve"> v úseku Stéblová – Opatovice na </w:t>
      </w:r>
      <w:smartTag w:uri="urn:schemas-microsoft-com:office:smarttags" w:element="metricconverter">
        <w:smartTagPr>
          <w:attr w:name="ProductID" w:val="160ﾠkm/hod"/>
        </w:smartTagPr>
        <w:r w:rsidR="00976E46" w:rsidRPr="00974AE4">
          <w:t>1</w:t>
        </w:r>
        <w:r w:rsidR="00F118F9">
          <w:t>6</w:t>
        </w:r>
        <w:r w:rsidR="00976E46" w:rsidRPr="00974AE4">
          <w:t>0 km/hod</w:t>
        </w:r>
      </w:smartTag>
      <w:r w:rsidR="00976E46" w:rsidRPr="00974AE4">
        <w:t xml:space="preserve">, což </w:t>
      </w:r>
      <w:r w:rsidR="00F65508" w:rsidRPr="00974AE4">
        <w:t xml:space="preserve">vede, především u vlaků kategorií R a </w:t>
      </w:r>
      <w:r w:rsidR="001176E7">
        <w:t>Sp</w:t>
      </w:r>
      <w:r w:rsidR="00F65508" w:rsidRPr="00974AE4">
        <w:t>, k</w:t>
      </w:r>
      <w:r w:rsidR="00F118F9">
        <w:t xml:space="preserve">e </w:t>
      </w:r>
      <w:r w:rsidR="00F65508" w:rsidRPr="00974AE4">
        <w:t>zkrácení jízdních dob</w:t>
      </w:r>
      <w:r w:rsidR="00F118F9">
        <w:t>. Záleží však na tom, zdali budou nasazena vozidla, která tuto rychlost dokážou využít.</w:t>
      </w:r>
      <w:r w:rsidR="009C3A91">
        <w:t xml:space="preserve"> Cestovní doba v této a dalších variantách zahrnuje jen jízdní doby a pobyty pro nástup a výstup cestujících v délce: 1,0 min v žst Pardubice-Rosice nad Labem</w:t>
      </w:r>
      <w:r w:rsidR="00F118F9">
        <w:t xml:space="preserve"> </w:t>
      </w:r>
      <w:r w:rsidR="00D87829">
        <w:t xml:space="preserve">(1,5 min u </w:t>
      </w:r>
      <w:r w:rsidR="00020387">
        <w:t>R, Sp</w:t>
      </w:r>
      <w:r w:rsidR="00D87829">
        <w:t>), v ostatních stanicích a zastávkách 0,5 min.</w:t>
      </w:r>
      <w:r w:rsidR="0027789A">
        <w:t xml:space="preserve"> Uvedené jízdní doby je možno označit jako základní a předpokládá se, že vlaky osobní přepravy</w:t>
      </w:r>
      <w:r w:rsidR="005F2159">
        <w:t xml:space="preserve"> sudého směru </w:t>
      </w:r>
      <w:r w:rsidR="0027789A">
        <w:t>jedou ze zastávky Opatovice nad Labem po spojce 1/2 a dále po 1. staniční koleji. K nim existují alternativní jízdní doby, které se liší</w:t>
      </w:r>
      <w:r w:rsidR="005F2159">
        <w:t xml:space="preserve"> tím, že vlak jede ze zastávky Opatovice nad Lab.</w:t>
      </w:r>
      <w:r w:rsidR="009B17CE">
        <w:t>,</w:t>
      </w:r>
      <w:r w:rsidR="005F2159">
        <w:t xml:space="preserve"> přes výhybky č. 1 a 4 na 2. staniční kolej. V tomto případě však jede od hranice stavby a dále po celé koleji č. 2 rychlostí pouze 40 km/hod. To má za následek nárůst jízdních dob u R a Sp o 2,5 minuty a u Os o 1,5 minut. Výhodou je, že se prodlužuje dvoukolejný úsek o délku žst. Opatovice nad Lab., prakticky je t</w:t>
      </w:r>
      <w:r w:rsidR="00BD2A93">
        <w:t xml:space="preserve">ento způsob provážení </w:t>
      </w:r>
      <w:r w:rsidR="005F2159">
        <w:t>využiteln</w:t>
      </w:r>
      <w:r w:rsidR="00BD2A93">
        <w:t>ý</w:t>
      </w:r>
      <w:r w:rsidR="005F2159">
        <w:t xml:space="preserve"> v případech, kdy jede </w:t>
      </w:r>
      <w:r w:rsidR="00020387">
        <w:t xml:space="preserve">zpožděný </w:t>
      </w:r>
      <w:r w:rsidR="005F2159">
        <w:t xml:space="preserve">Os do Hradce Králové a v opačném směru projíždí R nebo Sp. Obdobně je to i u vlaků lichého směru, zde by se jednalo o případ, že Os od Hradce Králové jede na kolej č.2 a R nebo Sp směr Hradec Králové projede po koleji č. 1. Dvoukolejnost se v takovém případě neprodlužuje, nýbrž se jedná o běžné křižování vlaků a jízdní doby Os to prodlouží úhrnem o 1,5 min. </w:t>
      </w:r>
      <w:r w:rsidR="0027789A">
        <w:t xml:space="preserve"> </w:t>
      </w:r>
    </w:p>
    <w:p w:rsidR="002E5756" w:rsidRDefault="002E5756">
      <w: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0"/>
        <w:gridCol w:w="851"/>
        <w:gridCol w:w="992"/>
        <w:gridCol w:w="850"/>
        <w:gridCol w:w="851"/>
        <w:gridCol w:w="850"/>
        <w:gridCol w:w="851"/>
        <w:gridCol w:w="850"/>
        <w:gridCol w:w="851"/>
      </w:tblGrid>
      <w:tr w:rsidR="00EB411A" w:rsidRPr="00974AE4" w:rsidTr="006B08CB">
        <w:tc>
          <w:tcPr>
            <w:tcW w:w="9356" w:type="dxa"/>
            <w:gridSpan w:val="9"/>
            <w:tcBorders>
              <w:bottom w:val="single" w:sz="4" w:space="0" w:color="000000"/>
            </w:tcBorders>
          </w:tcPr>
          <w:p w:rsidR="00EB411A" w:rsidRPr="00974AE4" w:rsidRDefault="00EB411A" w:rsidP="002E5756">
            <w:pPr>
              <w:pStyle w:val="Titulek"/>
              <w:rPr>
                <w:rFonts w:cs="Tahoma"/>
                <w:lang w:eastAsia="cs-CZ"/>
              </w:rPr>
            </w:pPr>
            <w:bookmarkStart w:id="146" w:name="_Toc390958763"/>
            <w:bookmarkStart w:id="147" w:name="_Toc391034567"/>
            <w:r w:rsidRPr="00974AE4">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12</w:t>
            </w:r>
            <w:r w:rsidR="000E79AE">
              <w:fldChar w:fldCharType="end"/>
            </w:r>
            <w:r w:rsidRPr="00974AE4">
              <w:t xml:space="preserve">: Jízdní doby v úseku Pardubice hl. n. – Hradec Králové hl. n., </w:t>
            </w:r>
            <w:r>
              <w:t xml:space="preserve">var. proj. </w:t>
            </w:r>
            <w:r w:rsidR="00AC0166">
              <w:t>M</w:t>
            </w:r>
            <w:r>
              <w:t>aximální</w:t>
            </w:r>
            <w:bookmarkEnd w:id="146"/>
            <w:bookmarkEnd w:id="147"/>
          </w:p>
        </w:tc>
      </w:tr>
      <w:tr w:rsidR="00EB411A" w:rsidRPr="00974AE4" w:rsidTr="006B08CB">
        <w:tc>
          <w:tcPr>
            <w:tcW w:w="2410" w:type="dxa"/>
            <w:vMerge w:val="restart"/>
            <w:tcBorders>
              <w:right w:val="single" w:sz="12" w:space="0" w:color="auto"/>
            </w:tcBorders>
            <w:shd w:val="pct10" w:color="auto" w:fill="auto"/>
          </w:tcPr>
          <w:p w:rsidR="00EB411A" w:rsidRPr="00974AE4" w:rsidRDefault="00EB411A" w:rsidP="005F1913">
            <w:pPr>
              <w:pStyle w:val="Tabulkovtext"/>
              <w:rPr>
                <w:rFonts w:cs="Tahoma"/>
                <w:lang w:eastAsia="cs-CZ"/>
              </w:rPr>
            </w:pPr>
          </w:p>
          <w:p w:rsidR="00EB411A" w:rsidRPr="00974AE4" w:rsidRDefault="00EB411A" w:rsidP="005F1913">
            <w:pPr>
              <w:pStyle w:val="Tabulkovtext"/>
              <w:rPr>
                <w:rFonts w:cs="Tahoma"/>
                <w:lang w:eastAsia="cs-CZ"/>
              </w:rPr>
            </w:pPr>
            <w:r w:rsidRPr="00974AE4">
              <w:rPr>
                <w:rFonts w:cs="Tahoma"/>
                <w:lang w:eastAsia="cs-CZ"/>
              </w:rPr>
              <w:t>Dopravna, zastávka</w:t>
            </w:r>
          </w:p>
        </w:tc>
        <w:tc>
          <w:tcPr>
            <w:tcW w:w="851" w:type="dxa"/>
            <w:tcBorders>
              <w:lef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R</w:t>
            </w:r>
          </w:p>
        </w:tc>
        <w:tc>
          <w:tcPr>
            <w:tcW w:w="992" w:type="dxa"/>
            <w:shd w:val="pct10" w:color="auto" w:fill="auto"/>
          </w:tcPr>
          <w:p w:rsidR="00EB411A" w:rsidRPr="00974AE4" w:rsidRDefault="00EB411A" w:rsidP="005F1913">
            <w:pPr>
              <w:pStyle w:val="Tabulkovtext"/>
              <w:rPr>
                <w:rFonts w:cs="Tahoma"/>
                <w:lang w:eastAsia="cs-CZ"/>
              </w:rPr>
            </w:pPr>
            <w:r>
              <w:rPr>
                <w:rFonts w:cs="Tahoma"/>
                <w:lang w:eastAsia="cs-CZ"/>
              </w:rPr>
              <w:t>R</w:t>
            </w:r>
          </w:p>
        </w:tc>
        <w:tc>
          <w:tcPr>
            <w:tcW w:w="850" w:type="dxa"/>
            <w:shd w:val="pct10" w:color="auto" w:fill="auto"/>
          </w:tcPr>
          <w:p w:rsidR="00EB411A" w:rsidRPr="00974AE4" w:rsidRDefault="00EB411A" w:rsidP="005F1913">
            <w:pPr>
              <w:pStyle w:val="Tabulkovtext"/>
              <w:rPr>
                <w:rFonts w:cs="Tahoma"/>
                <w:lang w:eastAsia="cs-CZ"/>
              </w:rPr>
            </w:pPr>
            <w:r>
              <w:rPr>
                <w:rFonts w:cs="Tahoma"/>
                <w:lang w:eastAsia="cs-CZ"/>
              </w:rPr>
              <w:t>Sp</w:t>
            </w:r>
          </w:p>
        </w:tc>
        <w:tc>
          <w:tcPr>
            <w:tcW w:w="851" w:type="dxa"/>
            <w:shd w:val="pct10" w:color="auto" w:fill="auto"/>
          </w:tcPr>
          <w:p w:rsidR="00EB411A" w:rsidRPr="00974AE4" w:rsidRDefault="00EB411A" w:rsidP="005F1913">
            <w:pPr>
              <w:pStyle w:val="Tabulkovtext"/>
              <w:rPr>
                <w:rFonts w:cs="Tahoma"/>
                <w:lang w:eastAsia="cs-CZ"/>
              </w:rPr>
            </w:pPr>
            <w:r w:rsidRPr="00974AE4">
              <w:rPr>
                <w:rFonts w:cs="Tahoma"/>
                <w:lang w:eastAsia="cs-CZ"/>
              </w:rPr>
              <w:t>Os</w:t>
            </w:r>
          </w:p>
        </w:tc>
        <w:tc>
          <w:tcPr>
            <w:tcW w:w="850" w:type="dxa"/>
            <w:shd w:val="pct10" w:color="auto" w:fill="auto"/>
          </w:tcPr>
          <w:p w:rsidR="00EB411A" w:rsidRPr="00974AE4" w:rsidRDefault="00EB411A" w:rsidP="005F1913">
            <w:pPr>
              <w:pStyle w:val="Tabulkovtext"/>
              <w:rPr>
                <w:rFonts w:cs="Tahoma"/>
                <w:lang w:eastAsia="cs-CZ"/>
              </w:rPr>
            </w:pPr>
          </w:p>
        </w:tc>
        <w:tc>
          <w:tcPr>
            <w:tcW w:w="851" w:type="dxa"/>
            <w:shd w:val="pct10" w:color="auto" w:fill="auto"/>
          </w:tcPr>
          <w:p w:rsidR="00EB411A" w:rsidRPr="00974AE4" w:rsidRDefault="00EB411A" w:rsidP="005F1913">
            <w:pPr>
              <w:pStyle w:val="Tabulkovtext"/>
              <w:rPr>
                <w:rFonts w:cs="Tahoma"/>
                <w:lang w:eastAsia="cs-CZ"/>
              </w:rPr>
            </w:pPr>
          </w:p>
        </w:tc>
        <w:tc>
          <w:tcPr>
            <w:tcW w:w="850" w:type="dxa"/>
            <w:shd w:val="pct10" w:color="auto" w:fill="auto"/>
          </w:tcPr>
          <w:p w:rsidR="00EB411A" w:rsidRPr="00974AE4" w:rsidRDefault="00EB411A" w:rsidP="005F1913">
            <w:pPr>
              <w:pStyle w:val="Tabulkovtext"/>
              <w:rPr>
                <w:rFonts w:cs="Tahoma"/>
                <w:lang w:eastAsia="cs-CZ"/>
              </w:rPr>
            </w:pPr>
          </w:p>
        </w:tc>
        <w:tc>
          <w:tcPr>
            <w:tcW w:w="851" w:type="dxa"/>
            <w:shd w:val="pct10" w:color="auto" w:fill="auto"/>
          </w:tcPr>
          <w:p w:rsidR="00EB411A" w:rsidRPr="00974AE4" w:rsidRDefault="00EB411A" w:rsidP="005F1913">
            <w:pPr>
              <w:pStyle w:val="Tabulkovtext"/>
              <w:rPr>
                <w:rFonts w:cs="Tahoma"/>
                <w:lang w:eastAsia="cs-CZ"/>
              </w:rPr>
            </w:pPr>
          </w:p>
        </w:tc>
      </w:tr>
      <w:tr w:rsidR="00EB411A" w:rsidRPr="00974AE4" w:rsidTr="006B08CB">
        <w:tc>
          <w:tcPr>
            <w:tcW w:w="2410" w:type="dxa"/>
            <w:vMerge/>
            <w:tcBorders>
              <w:bottom w:val="single" w:sz="12" w:space="0" w:color="auto"/>
              <w:right w:val="single" w:sz="12" w:space="0" w:color="auto"/>
            </w:tcBorders>
            <w:shd w:val="pct10" w:color="auto" w:fill="auto"/>
          </w:tcPr>
          <w:p w:rsidR="00EB411A" w:rsidRPr="00974AE4" w:rsidRDefault="00EB411A" w:rsidP="005F1913">
            <w:pPr>
              <w:pStyle w:val="Tabulkovtext"/>
              <w:rPr>
                <w:rFonts w:cs="Tahoma"/>
                <w:lang w:eastAsia="cs-CZ"/>
              </w:rPr>
            </w:pPr>
          </w:p>
        </w:tc>
        <w:tc>
          <w:tcPr>
            <w:tcW w:w="851" w:type="dxa"/>
            <w:tcBorders>
              <w:left w:val="single" w:sz="12" w:space="0" w:color="auto"/>
              <w:bottom w:val="single" w:sz="12" w:space="0" w:color="auto"/>
            </w:tcBorders>
            <w:shd w:val="pct10" w:color="auto" w:fill="auto"/>
          </w:tcPr>
          <w:p w:rsidR="00EB411A" w:rsidRPr="00974AE4" w:rsidRDefault="00EB411A" w:rsidP="005F1913">
            <w:pPr>
              <w:pStyle w:val="Tabulkovtext"/>
              <w:rPr>
                <w:rFonts w:cs="Tahoma"/>
                <w:lang w:eastAsia="cs-CZ"/>
              </w:rPr>
            </w:pPr>
            <w:r>
              <w:rPr>
                <w:rFonts w:cs="Tahoma"/>
                <w:lang w:eastAsia="cs-CZ"/>
              </w:rPr>
              <w:t>PESA Lint II</w:t>
            </w:r>
          </w:p>
        </w:tc>
        <w:tc>
          <w:tcPr>
            <w:tcW w:w="992" w:type="dxa"/>
            <w:tcBorders>
              <w:bottom w:val="single" w:sz="12" w:space="0" w:color="auto"/>
            </w:tcBorders>
            <w:shd w:val="pct10" w:color="auto" w:fill="auto"/>
          </w:tcPr>
          <w:p w:rsidR="00EB411A" w:rsidRPr="00974AE4" w:rsidRDefault="00EB411A" w:rsidP="005F1913">
            <w:pPr>
              <w:pStyle w:val="Tabulkovtext"/>
              <w:rPr>
                <w:rFonts w:cs="Tahoma"/>
                <w:szCs w:val="18"/>
                <w:lang w:eastAsia="cs-CZ"/>
              </w:rPr>
            </w:pPr>
            <w:r>
              <w:rPr>
                <w:rFonts w:cs="Tahoma"/>
                <w:szCs w:val="18"/>
                <w:lang w:eastAsia="cs-CZ"/>
              </w:rPr>
              <w:t>Regio Swinger</w:t>
            </w:r>
          </w:p>
        </w:tc>
        <w:tc>
          <w:tcPr>
            <w:tcW w:w="850" w:type="dxa"/>
            <w:tcBorders>
              <w:bottom w:val="single" w:sz="12" w:space="0" w:color="auto"/>
            </w:tcBorders>
            <w:shd w:val="pct10" w:color="auto" w:fill="auto"/>
          </w:tcPr>
          <w:p w:rsidR="00EB411A" w:rsidRPr="00974AE4" w:rsidRDefault="00EB411A" w:rsidP="005F1913">
            <w:pPr>
              <w:pStyle w:val="Tabulkovtext"/>
              <w:rPr>
                <w:rFonts w:cs="Tahoma"/>
                <w:szCs w:val="18"/>
                <w:lang w:eastAsia="cs-CZ"/>
              </w:rPr>
            </w:pPr>
            <w:r>
              <w:rPr>
                <w:rFonts w:cs="Tahoma"/>
                <w:szCs w:val="18"/>
                <w:lang w:eastAsia="cs-CZ"/>
              </w:rPr>
              <w:t>Regio Panter</w:t>
            </w:r>
          </w:p>
        </w:tc>
        <w:tc>
          <w:tcPr>
            <w:tcW w:w="851" w:type="dxa"/>
            <w:tcBorders>
              <w:bottom w:val="single" w:sz="12" w:space="0" w:color="auto"/>
            </w:tcBorders>
            <w:shd w:val="pct10" w:color="auto" w:fill="auto"/>
          </w:tcPr>
          <w:p w:rsidR="00EB411A" w:rsidRPr="00974AE4" w:rsidRDefault="00EB411A" w:rsidP="005F1913">
            <w:pPr>
              <w:pStyle w:val="Tabulkovtext"/>
              <w:rPr>
                <w:rFonts w:cs="Tahoma"/>
                <w:szCs w:val="18"/>
                <w:lang w:eastAsia="cs-CZ"/>
              </w:rPr>
            </w:pPr>
            <w:r>
              <w:rPr>
                <w:rFonts w:cs="Tahoma"/>
                <w:szCs w:val="18"/>
                <w:lang w:eastAsia="cs-CZ"/>
              </w:rPr>
              <w:t>Regio Panter</w:t>
            </w:r>
          </w:p>
        </w:tc>
        <w:tc>
          <w:tcPr>
            <w:tcW w:w="850" w:type="dxa"/>
            <w:tcBorders>
              <w:bottom w:val="single" w:sz="12" w:space="0" w:color="auto"/>
            </w:tcBorders>
            <w:shd w:val="pct10" w:color="auto" w:fill="auto"/>
          </w:tcPr>
          <w:p w:rsidR="00EB411A" w:rsidRPr="00974AE4" w:rsidRDefault="00EB411A" w:rsidP="005F1913">
            <w:pPr>
              <w:pStyle w:val="Tabulkovtext"/>
              <w:rPr>
                <w:rFonts w:cs="Tahoma"/>
                <w:lang w:eastAsia="cs-CZ"/>
              </w:rPr>
            </w:pPr>
          </w:p>
        </w:tc>
        <w:tc>
          <w:tcPr>
            <w:tcW w:w="851" w:type="dxa"/>
            <w:tcBorders>
              <w:bottom w:val="single" w:sz="12" w:space="0" w:color="auto"/>
            </w:tcBorders>
            <w:shd w:val="pct10" w:color="auto" w:fill="auto"/>
          </w:tcPr>
          <w:p w:rsidR="00EB411A" w:rsidRPr="00974AE4" w:rsidRDefault="00EB411A" w:rsidP="005F1913">
            <w:pPr>
              <w:pStyle w:val="Tabulkovtext"/>
              <w:rPr>
                <w:rFonts w:cs="Tahoma"/>
                <w:lang w:eastAsia="cs-CZ"/>
              </w:rPr>
            </w:pPr>
          </w:p>
        </w:tc>
        <w:tc>
          <w:tcPr>
            <w:tcW w:w="850" w:type="dxa"/>
            <w:tcBorders>
              <w:bottom w:val="single" w:sz="12" w:space="0" w:color="auto"/>
            </w:tcBorders>
            <w:shd w:val="pct10" w:color="auto" w:fill="auto"/>
          </w:tcPr>
          <w:p w:rsidR="00EB411A" w:rsidRPr="00974AE4" w:rsidRDefault="00EB411A" w:rsidP="005F1913">
            <w:pPr>
              <w:pStyle w:val="Tabulkovtext"/>
              <w:rPr>
                <w:rFonts w:cs="Tahoma"/>
                <w:lang w:eastAsia="cs-CZ"/>
              </w:rPr>
            </w:pPr>
          </w:p>
        </w:tc>
        <w:tc>
          <w:tcPr>
            <w:tcW w:w="851" w:type="dxa"/>
            <w:tcBorders>
              <w:bottom w:val="single" w:sz="12" w:space="0" w:color="auto"/>
            </w:tcBorders>
            <w:shd w:val="pct10" w:color="auto" w:fill="auto"/>
          </w:tcPr>
          <w:p w:rsidR="00EB411A" w:rsidRPr="00974AE4" w:rsidRDefault="00EB411A" w:rsidP="005F1913">
            <w:pPr>
              <w:pStyle w:val="Tabulkovtext"/>
              <w:rPr>
                <w:rFonts w:cs="Tahoma"/>
                <w:lang w:eastAsia="cs-CZ"/>
              </w:rPr>
            </w:pPr>
          </w:p>
        </w:tc>
      </w:tr>
      <w:tr w:rsidR="00EB411A" w:rsidRPr="00974AE4" w:rsidTr="006B08CB">
        <w:tc>
          <w:tcPr>
            <w:tcW w:w="2410" w:type="dxa"/>
            <w:tcBorders>
              <w:top w:val="single" w:sz="12" w:space="0" w:color="auto"/>
              <w:right w:val="single" w:sz="12" w:space="0" w:color="auto"/>
            </w:tcBorders>
            <w:shd w:val="pct10" w:color="auto" w:fill="auto"/>
          </w:tcPr>
          <w:p w:rsidR="00EB411A" w:rsidRPr="00974AE4" w:rsidRDefault="00EB411A" w:rsidP="005F1913">
            <w:pPr>
              <w:pStyle w:val="Tabulkovtext"/>
              <w:rPr>
                <w:rFonts w:cs="Tahoma"/>
                <w:lang w:eastAsia="cs-CZ"/>
              </w:rPr>
            </w:pPr>
          </w:p>
        </w:tc>
        <w:tc>
          <w:tcPr>
            <w:tcW w:w="6946" w:type="dxa"/>
            <w:gridSpan w:val="8"/>
            <w:tcBorders>
              <w:top w:val="single" w:sz="12" w:space="0" w:color="auto"/>
              <w:left w:val="single" w:sz="12" w:space="0" w:color="auto"/>
            </w:tcBorders>
          </w:tcPr>
          <w:p w:rsidR="00EB411A" w:rsidRPr="00974AE4" w:rsidRDefault="00EB411A" w:rsidP="005F1913">
            <w:pPr>
              <w:pStyle w:val="Tabulkovtext"/>
              <w:rPr>
                <w:rFonts w:cs="Tahoma"/>
                <w:i/>
                <w:lang w:eastAsia="cs-CZ"/>
              </w:rPr>
            </w:pPr>
            <w:r w:rsidRPr="00974AE4">
              <w:rPr>
                <w:rFonts w:cs="Tahoma"/>
                <w:i/>
                <w:lang w:eastAsia="cs-CZ"/>
              </w:rPr>
              <w:t>Sudý směr, Pardubice hl. nádr. – Hradec Králové hl. nádr.</w:t>
            </w: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Pardubice hlavní nádr.</w:t>
            </w:r>
          </w:p>
        </w:tc>
        <w:tc>
          <w:tcPr>
            <w:tcW w:w="851" w:type="dxa"/>
            <w:tcBorders>
              <w:left w:val="single" w:sz="12" w:space="0" w:color="auto"/>
            </w:tcBorders>
          </w:tcPr>
          <w:p w:rsidR="00EB411A" w:rsidRPr="00974AE4" w:rsidRDefault="00EB411A" w:rsidP="005F1913">
            <w:pPr>
              <w:suppressAutoHyphens w:val="0"/>
              <w:autoSpaceDE w:val="0"/>
              <w:autoSpaceDN w:val="0"/>
              <w:adjustRightInd w:val="0"/>
              <w:spacing w:before="0" w:after="0" w:line="240" w:lineRule="auto"/>
              <w:jc w:val="center"/>
              <w:rPr>
                <w:rFonts w:ascii="MS Shell Dlg" w:hAnsi="MS Shell Dlg" w:cs="MS Shell Dlg"/>
                <w:sz w:val="18"/>
                <w:szCs w:val="18"/>
                <w:lang w:eastAsia="cs-CZ"/>
              </w:rPr>
            </w:pPr>
          </w:p>
        </w:tc>
        <w:tc>
          <w:tcPr>
            <w:tcW w:w="992"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rPr>
                <w:rFonts w:cs="Tahoma"/>
                <w:lang w:eastAsia="cs-CZ"/>
              </w:rPr>
            </w:pPr>
          </w:p>
        </w:tc>
        <w:tc>
          <w:tcPr>
            <w:tcW w:w="850" w:type="dxa"/>
          </w:tcPr>
          <w:p w:rsidR="00EB411A" w:rsidRPr="00974AE4" w:rsidRDefault="00EB411A" w:rsidP="005F1913">
            <w:pPr>
              <w:pStyle w:val="Tabulkovtext"/>
              <w:rPr>
                <w:rFonts w:cs="Tahoma"/>
                <w:lang w:eastAsia="cs-CZ"/>
              </w:rPr>
            </w:pPr>
          </w:p>
        </w:tc>
        <w:tc>
          <w:tcPr>
            <w:tcW w:w="851" w:type="dxa"/>
          </w:tcPr>
          <w:p w:rsidR="00EB411A" w:rsidRPr="00974AE4" w:rsidRDefault="00EB411A" w:rsidP="005F1913">
            <w:pPr>
              <w:pStyle w:val="Tabulkovtext"/>
              <w:rPr>
                <w:rFonts w:cs="Tahoma"/>
                <w:lang w:eastAsia="cs-CZ"/>
              </w:rPr>
            </w:pPr>
          </w:p>
        </w:tc>
        <w:tc>
          <w:tcPr>
            <w:tcW w:w="850" w:type="dxa"/>
          </w:tcPr>
          <w:p w:rsidR="00EB411A" w:rsidRPr="00974AE4" w:rsidRDefault="00EB411A" w:rsidP="005F1913">
            <w:pPr>
              <w:pStyle w:val="Tabulkovtext"/>
              <w:rPr>
                <w:rFonts w:cs="Tahoma"/>
                <w:lang w:eastAsia="cs-CZ"/>
              </w:rPr>
            </w:pPr>
          </w:p>
        </w:tc>
        <w:tc>
          <w:tcPr>
            <w:tcW w:w="851" w:type="dxa"/>
          </w:tcPr>
          <w:p w:rsidR="00EB411A" w:rsidRPr="00974AE4" w:rsidRDefault="00EB411A" w:rsidP="005F1913">
            <w:pPr>
              <w:pStyle w:val="Tabulkovtext"/>
              <w:rPr>
                <w:rFonts w:cs="Tahoma"/>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Pardubice-Rosice n. L.</w:t>
            </w:r>
          </w:p>
        </w:tc>
        <w:tc>
          <w:tcPr>
            <w:tcW w:w="851" w:type="dxa"/>
            <w:tcBorders>
              <w:left w:val="single" w:sz="12" w:space="0" w:color="auto"/>
            </w:tcBorders>
            <w:vAlign w:val="center"/>
          </w:tcPr>
          <w:p w:rsidR="00EB411A" w:rsidRPr="00974AE4" w:rsidRDefault="00EB411A" w:rsidP="005F1913">
            <w:pPr>
              <w:suppressAutoHyphens w:val="0"/>
              <w:autoSpaceDE w:val="0"/>
              <w:autoSpaceDN w:val="0"/>
              <w:adjustRightInd w:val="0"/>
              <w:spacing w:before="0" w:after="0" w:line="240" w:lineRule="auto"/>
              <w:jc w:val="center"/>
              <w:rPr>
                <w:rFonts w:ascii="MS Shell Dlg" w:hAnsi="MS Shell Dlg" w:cs="MS Shell Dlg"/>
                <w:sz w:val="17"/>
                <w:szCs w:val="17"/>
                <w:lang w:eastAsia="cs-CZ"/>
              </w:rPr>
            </w:pPr>
            <w:r>
              <w:rPr>
                <w:rFonts w:ascii="MS Shell Dlg" w:hAnsi="MS Shell Dlg" w:cs="MS Shell Dlg"/>
                <w:sz w:val="17"/>
                <w:szCs w:val="17"/>
                <w:lang w:eastAsia="cs-CZ"/>
              </w:rPr>
              <w:t>3,0</w:t>
            </w:r>
          </w:p>
        </w:tc>
        <w:tc>
          <w:tcPr>
            <w:tcW w:w="992" w:type="dxa"/>
          </w:tcPr>
          <w:p w:rsidR="00EB411A" w:rsidRPr="00974AE4" w:rsidRDefault="00EB411A" w:rsidP="005F1913">
            <w:pPr>
              <w:pStyle w:val="Tabulkovtext"/>
              <w:jc w:val="center"/>
              <w:rPr>
                <w:rFonts w:cs="Tahoma"/>
                <w:lang w:eastAsia="cs-CZ"/>
              </w:rPr>
            </w:pPr>
            <w:r>
              <w:rPr>
                <w:rFonts w:cs="Tahoma"/>
                <w:lang w:eastAsia="cs-CZ"/>
              </w:rPr>
              <w:t>3,0</w:t>
            </w:r>
          </w:p>
        </w:tc>
        <w:tc>
          <w:tcPr>
            <w:tcW w:w="850" w:type="dxa"/>
          </w:tcPr>
          <w:p w:rsidR="00EB411A" w:rsidRPr="00974AE4" w:rsidRDefault="00EB411A" w:rsidP="005F1913">
            <w:pPr>
              <w:pStyle w:val="Tabulkovtext"/>
              <w:jc w:val="center"/>
              <w:rPr>
                <w:rFonts w:cs="Tahoma"/>
                <w:lang w:eastAsia="cs-CZ"/>
              </w:rPr>
            </w:pPr>
            <w:r>
              <w:rPr>
                <w:rFonts w:cs="Tahoma"/>
                <w:lang w:eastAsia="cs-CZ"/>
              </w:rPr>
              <w:t>3,0</w:t>
            </w:r>
          </w:p>
        </w:tc>
        <w:tc>
          <w:tcPr>
            <w:tcW w:w="851" w:type="dxa"/>
          </w:tcPr>
          <w:p w:rsidR="00EB411A" w:rsidRPr="00974AE4" w:rsidRDefault="00213B86" w:rsidP="005F1913">
            <w:pPr>
              <w:pStyle w:val="Tabulkovtext"/>
              <w:jc w:val="center"/>
              <w:rPr>
                <w:rFonts w:cs="Tahoma"/>
                <w:lang w:eastAsia="cs-CZ"/>
              </w:rPr>
            </w:pPr>
            <w:r>
              <w:rPr>
                <w:rFonts w:cs="Tahoma"/>
                <w:lang w:eastAsia="cs-CZ"/>
              </w:rPr>
              <w:t>3,0</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Pardubice-Semtín z</w:t>
            </w:r>
          </w:p>
        </w:tc>
        <w:tc>
          <w:tcPr>
            <w:tcW w:w="851" w:type="dxa"/>
            <w:tcBorders>
              <w:left w:val="single" w:sz="12" w:space="0" w:color="auto"/>
            </w:tcBorders>
          </w:tcPr>
          <w:p w:rsidR="00EB411A" w:rsidRPr="00974AE4" w:rsidRDefault="00EB411A" w:rsidP="005F1913">
            <w:pPr>
              <w:pStyle w:val="Tabulkovtext"/>
              <w:jc w:val="center"/>
              <w:rPr>
                <w:rFonts w:cs="Tahoma"/>
                <w:lang w:eastAsia="cs-CZ"/>
              </w:rPr>
            </w:pPr>
            <w:r w:rsidRPr="00974AE4">
              <w:rPr>
                <w:rFonts w:cs="Tahoma"/>
                <w:szCs w:val="18"/>
                <w:lang w:eastAsia="cs-CZ"/>
              </w:rPr>
              <w:t>|</w:t>
            </w:r>
          </w:p>
        </w:tc>
        <w:tc>
          <w:tcPr>
            <w:tcW w:w="992" w:type="dxa"/>
          </w:tcPr>
          <w:p w:rsidR="00EB411A" w:rsidRPr="00974AE4" w:rsidRDefault="00EB411A" w:rsidP="005F1913">
            <w:pPr>
              <w:pStyle w:val="Tabulkovtext"/>
              <w:jc w:val="center"/>
              <w:rPr>
                <w:rFonts w:cs="Tahoma"/>
                <w:lang w:eastAsia="cs-CZ"/>
              </w:rPr>
            </w:pPr>
            <w:r w:rsidRPr="00974AE4">
              <w:rPr>
                <w:rFonts w:cs="Tahoma"/>
                <w:szCs w:val="18"/>
                <w:lang w:eastAsia="cs-CZ"/>
              </w:rPr>
              <w:t>|</w:t>
            </w:r>
          </w:p>
        </w:tc>
        <w:tc>
          <w:tcPr>
            <w:tcW w:w="850" w:type="dxa"/>
          </w:tcPr>
          <w:p w:rsidR="00EB411A" w:rsidRPr="00974AE4" w:rsidRDefault="005F1913" w:rsidP="005F1913">
            <w:pPr>
              <w:pStyle w:val="Tabulkovtext"/>
              <w:jc w:val="center"/>
              <w:rPr>
                <w:rFonts w:cs="Tahoma"/>
                <w:lang w:eastAsia="cs-CZ"/>
              </w:rPr>
            </w:pPr>
            <w:r w:rsidRPr="00974AE4">
              <w:rPr>
                <w:rFonts w:cs="Tahoma"/>
                <w:szCs w:val="18"/>
                <w:lang w:eastAsia="cs-CZ"/>
              </w:rPr>
              <w:t>|</w:t>
            </w:r>
          </w:p>
        </w:tc>
        <w:tc>
          <w:tcPr>
            <w:tcW w:w="851" w:type="dxa"/>
          </w:tcPr>
          <w:p w:rsidR="00EB411A" w:rsidRPr="00974AE4" w:rsidRDefault="00213B86" w:rsidP="005F1913">
            <w:pPr>
              <w:pStyle w:val="Tabulkovtext"/>
              <w:jc w:val="center"/>
              <w:rPr>
                <w:rFonts w:cs="Tahoma"/>
                <w:lang w:eastAsia="cs-CZ"/>
              </w:rPr>
            </w:pPr>
            <w:r>
              <w:rPr>
                <w:rFonts w:cs="Tahoma"/>
                <w:lang w:eastAsia="cs-CZ"/>
              </w:rPr>
              <w:t>2,5</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Stéblová</w:t>
            </w:r>
          </w:p>
        </w:tc>
        <w:tc>
          <w:tcPr>
            <w:tcW w:w="851" w:type="dxa"/>
            <w:tcBorders>
              <w:left w:val="single" w:sz="12" w:space="0" w:color="auto"/>
            </w:tcBorders>
          </w:tcPr>
          <w:p w:rsidR="00EB411A" w:rsidRPr="00974AE4" w:rsidRDefault="00EB411A" w:rsidP="005F1913">
            <w:pPr>
              <w:pStyle w:val="Tabulkovtext"/>
              <w:jc w:val="center"/>
              <w:rPr>
                <w:rFonts w:cs="Tahoma"/>
                <w:lang w:eastAsia="cs-CZ"/>
              </w:rPr>
            </w:pPr>
            <w:r>
              <w:rPr>
                <w:rFonts w:cs="Tahoma"/>
                <w:lang w:eastAsia="cs-CZ"/>
              </w:rPr>
              <w:t>4,5</w:t>
            </w:r>
          </w:p>
        </w:tc>
        <w:tc>
          <w:tcPr>
            <w:tcW w:w="992" w:type="dxa"/>
          </w:tcPr>
          <w:p w:rsidR="00EB411A" w:rsidRPr="00974AE4" w:rsidRDefault="005F1913" w:rsidP="005F1913">
            <w:pPr>
              <w:pStyle w:val="Tabulkovtext"/>
              <w:jc w:val="center"/>
              <w:rPr>
                <w:rFonts w:cs="Tahoma"/>
                <w:lang w:eastAsia="cs-CZ"/>
              </w:rPr>
            </w:pPr>
            <w:r>
              <w:rPr>
                <w:rFonts w:cs="Tahoma"/>
                <w:lang w:eastAsia="cs-CZ"/>
              </w:rPr>
              <w:t>4,0</w:t>
            </w:r>
          </w:p>
        </w:tc>
        <w:tc>
          <w:tcPr>
            <w:tcW w:w="850" w:type="dxa"/>
          </w:tcPr>
          <w:p w:rsidR="00EB411A" w:rsidRPr="00974AE4" w:rsidRDefault="00EB411A" w:rsidP="005F1913">
            <w:pPr>
              <w:pStyle w:val="Tabulkovtext"/>
              <w:jc w:val="center"/>
              <w:rPr>
                <w:rFonts w:cs="Tahoma"/>
                <w:lang w:eastAsia="cs-CZ"/>
              </w:rPr>
            </w:pPr>
            <w:r>
              <w:rPr>
                <w:rFonts w:cs="Tahoma"/>
                <w:lang w:eastAsia="cs-CZ"/>
              </w:rPr>
              <w:t>4,0</w:t>
            </w:r>
          </w:p>
        </w:tc>
        <w:tc>
          <w:tcPr>
            <w:tcW w:w="851" w:type="dxa"/>
          </w:tcPr>
          <w:p w:rsidR="00EB411A" w:rsidRPr="00974AE4" w:rsidRDefault="00213B86" w:rsidP="005F1913">
            <w:pPr>
              <w:pStyle w:val="Tabulkovtext"/>
              <w:jc w:val="center"/>
              <w:rPr>
                <w:rFonts w:cs="Tahoma"/>
                <w:lang w:eastAsia="cs-CZ"/>
              </w:rPr>
            </w:pPr>
            <w:r>
              <w:rPr>
                <w:rFonts w:cs="Tahoma"/>
                <w:lang w:eastAsia="cs-CZ"/>
              </w:rPr>
              <w:t>3,5</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Čeperka Hl. z.</w:t>
            </w:r>
          </w:p>
        </w:tc>
        <w:tc>
          <w:tcPr>
            <w:tcW w:w="851" w:type="dxa"/>
            <w:tcBorders>
              <w:left w:val="single" w:sz="12" w:space="0" w:color="auto"/>
            </w:tcBorders>
          </w:tcPr>
          <w:p w:rsidR="00EB411A" w:rsidRPr="00974AE4" w:rsidRDefault="00EB411A" w:rsidP="005F1913">
            <w:pPr>
              <w:pStyle w:val="Tabulkovtext"/>
              <w:jc w:val="center"/>
              <w:rPr>
                <w:rFonts w:cs="Tahoma"/>
                <w:szCs w:val="18"/>
                <w:lang w:eastAsia="cs-CZ"/>
              </w:rPr>
            </w:pPr>
            <w:r w:rsidRPr="00974AE4">
              <w:rPr>
                <w:rFonts w:cs="Tahoma"/>
                <w:szCs w:val="18"/>
                <w:lang w:eastAsia="cs-CZ"/>
              </w:rPr>
              <w:t>|</w:t>
            </w:r>
          </w:p>
        </w:tc>
        <w:tc>
          <w:tcPr>
            <w:tcW w:w="992" w:type="dxa"/>
          </w:tcPr>
          <w:p w:rsidR="00EB411A" w:rsidRPr="00974AE4" w:rsidRDefault="00EB411A" w:rsidP="005F1913">
            <w:pPr>
              <w:pStyle w:val="Tabulkovtext"/>
              <w:jc w:val="center"/>
              <w:rPr>
                <w:rFonts w:cs="Tahoma"/>
                <w:szCs w:val="18"/>
                <w:lang w:eastAsia="cs-CZ"/>
              </w:rPr>
            </w:pPr>
            <w:r w:rsidRPr="00974AE4">
              <w:rPr>
                <w:rFonts w:cs="Tahoma"/>
                <w:szCs w:val="18"/>
                <w:lang w:eastAsia="cs-CZ"/>
              </w:rPr>
              <w:t>|</w:t>
            </w:r>
          </w:p>
        </w:tc>
        <w:tc>
          <w:tcPr>
            <w:tcW w:w="850" w:type="dxa"/>
          </w:tcPr>
          <w:p w:rsidR="00EB411A" w:rsidRPr="00974AE4" w:rsidRDefault="005F1913" w:rsidP="005F1913">
            <w:pPr>
              <w:pStyle w:val="Tabulkovtext"/>
              <w:jc w:val="center"/>
              <w:rPr>
                <w:rFonts w:cs="Tahoma"/>
                <w:lang w:eastAsia="cs-CZ"/>
              </w:rPr>
            </w:pPr>
            <w:r w:rsidRPr="00974AE4">
              <w:rPr>
                <w:rFonts w:cs="Tahoma"/>
                <w:szCs w:val="18"/>
                <w:lang w:eastAsia="cs-CZ"/>
              </w:rPr>
              <w:t>|</w:t>
            </w:r>
          </w:p>
        </w:tc>
        <w:tc>
          <w:tcPr>
            <w:tcW w:w="851" w:type="dxa"/>
          </w:tcPr>
          <w:p w:rsidR="00EB411A" w:rsidRPr="00974AE4" w:rsidRDefault="00213B86" w:rsidP="005F1913">
            <w:pPr>
              <w:pStyle w:val="Tabulkovtext"/>
              <w:jc w:val="center"/>
              <w:rPr>
                <w:rFonts w:cs="Tahoma"/>
                <w:lang w:eastAsia="cs-CZ"/>
              </w:rPr>
            </w:pPr>
            <w:r>
              <w:rPr>
                <w:rFonts w:cs="Tahoma"/>
                <w:lang w:eastAsia="cs-CZ"/>
              </w:rPr>
              <w:t>2,5</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szCs w:val="18"/>
                <w:lang w:eastAsia="cs-CZ"/>
              </w:rPr>
            </w:pPr>
          </w:p>
        </w:tc>
        <w:tc>
          <w:tcPr>
            <w:tcW w:w="851" w:type="dxa"/>
          </w:tcPr>
          <w:p w:rsidR="00EB411A" w:rsidRPr="00974AE4" w:rsidRDefault="00EB411A" w:rsidP="005F1913">
            <w:pPr>
              <w:pStyle w:val="Tabulkovtext"/>
              <w:jc w:val="center"/>
              <w:rPr>
                <w:rFonts w:cs="Tahoma"/>
                <w:szCs w:val="18"/>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Opat</w:t>
            </w:r>
            <w:r>
              <w:rPr>
                <w:rFonts w:cs="Tahoma"/>
                <w:lang w:eastAsia="cs-CZ"/>
              </w:rPr>
              <w:t xml:space="preserve">. </w:t>
            </w:r>
            <w:r w:rsidRPr="00974AE4">
              <w:rPr>
                <w:rFonts w:cs="Tahoma"/>
                <w:lang w:eastAsia="cs-CZ"/>
              </w:rPr>
              <w:t>nad L</w:t>
            </w:r>
            <w:r>
              <w:rPr>
                <w:rFonts w:cs="Tahoma"/>
                <w:lang w:eastAsia="cs-CZ"/>
              </w:rPr>
              <w:t xml:space="preserve">., výh.č.1 + </w:t>
            </w:r>
            <w:r w:rsidRPr="00974AE4">
              <w:rPr>
                <w:rFonts w:cs="Tahoma"/>
                <w:lang w:eastAsia="cs-CZ"/>
              </w:rPr>
              <w:t>z</w:t>
            </w:r>
            <w:r>
              <w:rPr>
                <w:rFonts w:cs="Tahoma"/>
                <w:lang w:eastAsia="cs-CZ"/>
              </w:rPr>
              <w:t>ast</w:t>
            </w:r>
          </w:p>
        </w:tc>
        <w:tc>
          <w:tcPr>
            <w:tcW w:w="851" w:type="dxa"/>
            <w:tcBorders>
              <w:left w:val="single" w:sz="12" w:space="0" w:color="auto"/>
            </w:tcBorders>
          </w:tcPr>
          <w:p w:rsidR="00EB411A" w:rsidRPr="00974AE4" w:rsidRDefault="00EB411A" w:rsidP="005F1913">
            <w:pPr>
              <w:pStyle w:val="Tabulkovtext"/>
              <w:jc w:val="center"/>
              <w:rPr>
                <w:rFonts w:cs="Tahoma"/>
                <w:szCs w:val="18"/>
                <w:lang w:eastAsia="cs-CZ"/>
              </w:rPr>
            </w:pPr>
            <w:r>
              <w:rPr>
                <w:rFonts w:cs="Tahoma"/>
                <w:szCs w:val="18"/>
                <w:lang w:eastAsia="cs-CZ"/>
              </w:rPr>
              <w:t>3,0</w:t>
            </w:r>
          </w:p>
        </w:tc>
        <w:tc>
          <w:tcPr>
            <w:tcW w:w="992" w:type="dxa"/>
          </w:tcPr>
          <w:p w:rsidR="00EB411A" w:rsidRPr="009D1FAE" w:rsidRDefault="00EB411A" w:rsidP="005F1913">
            <w:pPr>
              <w:pStyle w:val="Tabulkovtext"/>
              <w:jc w:val="center"/>
              <w:rPr>
                <w:rFonts w:cs="Tahoma"/>
                <w:szCs w:val="18"/>
                <w:lang w:eastAsia="cs-CZ"/>
              </w:rPr>
            </w:pPr>
            <w:r w:rsidRPr="009D1FAE">
              <w:rPr>
                <w:rFonts w:cs="Tahoma"/>
                <w:szCs w:val="18"/>
                <w:lang w:eastAsia="cs-CZ"/>
              </w:rPr>
              <w:t>2,0</w:t>
            </w:r>
          </w:p>
        </w:tc>
        <w:tc>
          <w:tcPr>
            <w:tcW w:w="850" w:type="dxa"/>
          </w:tcPr>
          <w:p w:rsidR="00EB411A" w:rsidRPr="00974AE4" w:rsidRDefault="005F1913" w:rsidP="005F1913">
            <w:pPr>
              <w:pStyle w:val="Tabulkovtext"/>
              <w:jc w:val="center"/>
              <w:rPr>
                <w:rFonts w:cs="Tahoma"/>
                <w:szCs w:val="18"/>
                <w:lang w:eastAsia="cs-CZ"/>
              </w:rPr>
            </w:pPr>
            <w:r>
              <w:rPr>
                <w:rFonts w:cs="Tahoma"/>
                <w:szCs w:val="18"/>
                <w:lang w:eastAsia="cs-CZ"/>
              </w:rPr>
              <w:t>2,0</w:t>
            </w:r>
          </w:p>
        </w:tc>
        <w:tc>
          <w:tcPr>
            <w:tcW w:w="851" w:type="dxa"/>
          </w:tcPr>
          <w:p w:rsidR="00EB411A" w:rsidRPr="00974AE4" w:rsidRDefault="00213B86" w:rsidP="005F1913">
            <w:pPr>
              <w:pStyle w:val="Tabulkovtext"/>
              <w:jc w:val="center"/>
              <w:rPr>
                <w:rFonts w:cs="Tahoma"/>
                <w:szCs w:val="18"/>
                <w:lang w:eastAsia="cs-CZ"/>
              </w:rPr>
            </w:pPr>
            <w:r>
              <w:rPr>
                <w:rFonts w:cs="Tahoma"/>
                <w:szCs w:val="18"/>
                <w:lang w:eastAsia="cs-CZ"/>
              </w:rPr>
              <w:t>2,5</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szCs w:val="18"/>
                <w:lang w:eastAsia="cs-CZ"/>
              </w:rPr>
            </w:pPr>
          </w:p>
        </w:tc>
        <w:tc>
          <w:tcPr>
            <w:tcW w:w="851" w:type="dxa"/>
          </w:tcPr>
          <w:p w:rsidR="00EB411A" w:rsidRPr="00974AE4" w:rsidRDefault="00EB411A" w:rsidP="005F1913">
            <w:pPr>
              <w:pStyle w:val="Tabulkovtext"/>
              <w:jc w:val="center"/>
              <w:rPr>
                <w:rFonts w:cs="Tahoma"/>
                <w:szCs w:val="18"/>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Opatovice nad Labem</w:t>
            </w:r>
          </w:p>
        </w:tc>
        <w:tc>
          <w:tcPr>
            <w:tcW w:w="851" w:type="dxa"/>
            <w:tcBorders>
              <w:left w:val="single" w:sz="12" w:space="0" w:color="auto"/>
            </w:tcBorders>
          </w:tcPr>
          <w:p w:rsidR="00EB411A" w:rsidRPr="00974AE4" w:rsidRDefault="00EB411A" w:rsidP="005F1913">
            <w:pPr>
              <w:pStyle w:val="Tabulkovtext"/>
              <w:jc w:val="center"/>
              <w:rPr>
                <w:rFonts w:cs="Tahoma"/>
                <w:lang w:eastAsia="cs-CZ"/>
              </w:rPr>
            </w:pPr>
            <w:r>
              <w:rPr>
                <w:rFonts w:cs="Tahoma"/>
                <w:lang w:eastAsia="cs-CZ"/>
              </w:rPr>
              <w:t>1,0</w:t>
            </w:r>
          </w:p>
        </w:tc>
        <w:tc>
          <w:tcPr>
            <w:tcW w:w="992" w:type="dxa"/>
          </w:tcPr>
          <w:p w:rsidR="00EB411A" w:rsidRPr="00974AE4" w:rsidRDefault="00EB411A" w:rsidP="005F1913">
            <w:pPr>
              <w:pStyle w:val="Tabulkovtext"/>
              <w:jc w:val="center"/>
              <w:rPr>
                <w:rFonts w:cs="Tahoma"/>
                <w:lang w:eastAsia="cs-CZ"/>
              </w:rPr>
            </w:pPr>
            <w:r>
              <w:rPr>
                <w:rFonts w:cs="Tahoma"/>
                <w:lang w:eastAsia="cs-CZ"/>
              </w:rPr>
              <w:t>1,0</w:t>
            </w:r>
          </w:p>
        </w:tc>
        <w:tc>
          <w:tcPr>
            <w:tcW w:w="850" w:type="dxa"/>
          </w:tcPr>
          <w:p w:rsidR="00EB411A" w:rsidRPr="00974AE4" w:rsidRDefault="00EB411A" w:rsidP="005F1913">
            <w:pPr>
              <w:pStyle w:val="Tabulkovtext"/>
              <w:jc w:val="center"/>
              <w:rPr>
                <w:rFonts w:cs="Tahoma"/>
                <w:lang w:eastAsia="cs-CZ"/>
              </w:rPr>
            </w:pPr>
            <w:r>
              <w:rPr>
                <w:rFonts w:cs="Tahoma"/>
                <w:lang w:eastAsia="cs-CZ"/>
              </w:rPr>
              <w:t>1,0</w:t>
            </w:r>
          </w:p>
        </w:tc>
        <w:tc>
          <w:tcPr>
            <w:tcW w:w="851" w:type="dxa"/>
          </w:tcPr>
          <w:p w:rsidR="00EB411A" w:rsidRPr="00974AE4" w:rsidRDefault="00213B86" w:rsidP="005F1913">
            <w:pPr>
              <w:pStyle w:val="Tabulkovtext"/>
              <w:jc w:val="center"/>
              <w:rPr>
                <w:rFonts w:cs="Tahoma"/>
                <w:lang w:eastAsia="cs-CZ"/>
              </w:rPr>
            </w:pPr>
            <w:r>
              <w:rPr>
                <w:rFonts w:cs="Tahoma"/>
                <w:lang w:eastAsia="cs-CZ"/>
              </w:rPr>
              <w:t>1,5</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r>
      <w:tr w:rsidR="009D3727" w:rsidRPr="00974AE4" w:rsidTr="006B08CB">
        <w:tc>
          <w:tcPr>
            <w:tcW w:w="2410" w:type="dxa"/>
            <w:tcBorders>
              <w:right w:val="single" w:sz="12" w:space="0" w:color="auto"/>
            </w:tcBorders>
            <w:shd w:val="pct10" w:color="auto" w:fill="auto"/>
          </w:tcPr>
          <w:p w:rsidR="009D3727" w:rsidRPr="00974AE4" w:rsidRDefault="009D3727" w:rsidP="005F1913">
            <w:pPr>
              <w:pStyle w:val="Tabulkovtext"/>
              <w:rPr>
                <w:rFonts w:cs="Tahoma"/>
                <w:lang w:eastAsia="cs-CZ"/>
              </w:rPr>
            </w:pPr>
            <w:r>
              <w:rPr>
                <w:rFonts w:cs="Tahoma"/>
                <w:lang w:eastAsia="cs-CZ"/>
              </w:rPr>
              <w:t>odb. Březhrad, zast.</w:t>
            </w:r>
          </w:p>
        </w:tc>
        <w:tc>
          <w:tcPr>
            <w:tcW w:w="851" w:type="dxa"/>
            <w:tcBorders>
              <w:left w:val="single" w:sz="12" w:space="0" w:color="auto"/>
            </w:tcBorders>
          </w:tcPr>
          <w:p w:rsidR="009D3727" w:rsidRDefault="009D3727" w:rsidP="005F1913">
            <w:pPr>
              <w:pStyle w:val="Tabulkovtext"/>
              <w:jc w:val="center"/>
              <w:rPr>
                <w:rFonts w:cs="Tahoma"/>
                <w:lang w:eastAsia="cs-CZ"/>
              </w:rPr>
            </w:pPr>
            <w:r>
              <w:rPr>
                <w:rFonts w:cs="Tahoma"/>
                <w:lang w:eastAsia="cs-CZ"/>
              </w:rPr>
              <w:t>1,0</w:t>
            </w:r>
          </w:p>
        </w:tc>
        <w:tc>
          <w:tcPr>
            <w:tcW w:w="992" w:type="dxa"/>
          </w:tcPr>
          <w:p w:rsidR="009D3727" w:rsidRDefault="009D3727" w:rsidP="005F1913">
            <w:pPr>
              <w:pStyle w:val="Tabulkovtext"/>
              <w:jc w:val="center"/>
              <w:rPr>
                <w:rFonts w:cs="Tahoma"/>
                <w:lang w:eastAsia="cs-CZ"/>
              </w:rPr>
            </w:pPr>
            <w:r>
              <w:rPr>
                <w:rFonts w:cs="Tahoma"/>
                <w:lang w:eastAsia="cs-CZ"/>
              </w:rPr>
              <w:t>1,0</w:t>
            </w:r>
          </w:p>
        </w:tc>
        <w:tc>
          <w:tcPr>
            <w:tcW w:w="850" w:type="dxa"/>
          </w:tcPr>
          <w:p w:rsidR="009D3727" w:rsidRDefault="009D3727" w:rsidP="005F1913">
            <w:pPr>
              <w:pStyle w:val="Tabulkovtext"/>
              <w:jc w:val="center"/>
              <w:rPr>
                <w:rFonts w:cs="Tahoma"/>
                <w:lang w:eastAsia="cs-CZ"/>
              </w:rPr>
            </w:pPr>
            <w:r>
              <w:rPr>
                <w:rFonts w:cs="Tahoma"/>
                <w:lang w:eastAsia="cs-CZ"/>
              </w:rPr>
              <w:t>1,0</w:t>
            </w:r>
          </w:p>
        </w:tc>
        <w:tc>
          <w:tcPr>
            <w:tcW w:w="851" w:type="dxa"/>
          </w:tcPr>
          <w:p w:rsidR="009D3727" w:rsidRDefault="002C6FC5" w:rsidP="005F1913">
            <w:pPr>
              <w:pStyle w:val="Tabulkovtext"/>
              <w:jc w:val="center"/>
              <w:rPr>
                <w:rFonts w:cs="Tahoma"/>
                <w:lang w:eastAsia="cs-CZ"/>
              </w:rPr>
            </w:pPr>
            <w:r>
              <w:rPr>
                <w:rFonts w:cs="Tahoma"/>
                <w:lang w:eastAsia="cs-CZ"/>
              </w:rPr>
              <w:t>1,0</w:t>
            </w:r>
          </w:p>
        </w:tc>
        <w:tc>
          <w:tcPr>
            <w:tcW w:w="850" w:type="dxa"/>
          </w:tcPr>
          <w:p w:rsidR="009D3727" w:rsidRPr="00974AE4" w:rsidRDefault="009D3727" w:rsidP="005F1913">
            <w:pPr>
              <w:pStyle w:val="Tabulkovtext"/>
              <w:jc w:val="center"/>
              <w:rPr>
                <w:rFonts w:cs="Tahoma"/>
                <w:lang w:eastAsia="cs-CZ"/>
              </w:rPr>
            </w:pPr>
          </w:p>
        </w:tc>
        <w:tc>
          <w:tcPr>
            <w:tcW w:w="851" w:type="dxa"/>
          </w:tcPr>
          <w:p w:rsidR="009D3727" w:rsidRPr="00974AE4" w:rsidRDefault="009D3727" w:rsidP="005F1913">
            <w:pPr>
              <w:pStyle w:val="Tabulkovtext"/>
              <w:jc w:val="center"/>
              <w:rPr>
                <w:rFonts w:cs="Tahoma"/>
                <w:lang w:eastAsia="cs-CZ"/>
              </w:rPr>
            </w:pPr>
          </w:p>
        </w:tc>
        <w:tc>
          <w:tcPr>
            <w:tcW w:w="850" w:type="dxa"/>
          </w:tcPr>
          <w:p w:rsidR="009D3727" w:rsidRPr="00974AE4" w:rsidRDefault="009D3727" w:rsidP="005F1913">
            <w:pPr>
              <w:pStyle w:val="Tabulkovtext"/>
              <w:jc w:val="center"/>
              <w:rPr>
                <w:rFonts w:cs="Tahoma"/>
                <w:lang w:eastAsia="cs-CZ"/>
              </w:rPr>
            </w:pPr>
          </w:p>
        </w:tc>
        <w:tc>
          <w:tcPr>
            <w:tcW w:w="851" w:type="dxa"/>
          </w:tcPr>
          <w:p w:rsidR="009D3727" w:rsidRPr="00974AE4" w:rsidRDefault="009D3727" w:rsidP="005F1913">
            <w:pPr>
              <w:pStyle w:val="Tabulkovtext"/>
              <w:jc w:val="center"/>
              <w:rPr>
                <w:rFonts w:cs="Tahoma"/>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Hradec Králové hlav. nádr.</w:t>
            </w:r>
          </w:p>
        </w:tc>
        <w:tc>
          <w:tcPr>
            <w:tcW w:w="851" w:type="dxa"/>
            <w:tcBorders>
              <w:left w:val="single" w:sz="12" w:space="0" w:color="auto"/>
            </w:tcBorders>
          </w:tcPr>
          <w:p w:rsidR="00EB411A" w:rsidRPr="00974AE4" w:rsidRDefault="009D3727" w:rsidP="005F1913">
            <w:pPr>
              <w:pStyle w:val="Tabulkovtext"/>
              <w:jc w:val="center"/>
              <w:rPr>
                <w:rFonts w:cs="Tahoma"/>
                <w:lang w:eastAsia="cs-CZ"/>
              </w:rPr>
            </w:pPr>
            <w:r>
              <w:rPr>
                <w:rFonts w:cs="Tahoma"/>
                <w:lang w:eastAsia="cs-CZ"/>
              </w:rPr>
              <w:t>3</w:t>
            </w:r>
            <w:r w:rsidR="00EB411A">
              <w:rPr>
                <w:rFonts w:cs="Tahoma"/>
                <w:lang w:eastAsia="cs-CZ"/>
              </w:rPr>
              <w:t>,0</w:t>
            </w:r>
          </w:p>
        </w:tc>
        <w:tc>
          <w:tcPr>
            <w:tcW w:w="992" w:type="dxa"/>
          </w:tcPr>
          <w:p w:rsidR="006819BA" w:rsidRDefault="009D3727" w:rsidP="00092F1A">
            <w:pPr>
              <w:pStyle w:val="Tabulkovtext"/>
              <w:jc w:val="center"/>
              <w:rPr>
                <w:rFonts w:cs="Tahoma"/>
                <w:b/>
                <w:bCs/>
                <w:kern w:val="28"/>
                <w:szCs w:val="32"/>
                <w:lang w:eastAsia="cs-CZ"/>
              </w:rPr>
            </w:pPr>
            <w:r>
              <w:rPr>
                <w:rFonts w:cs="Tahoma"/>
                <w:lang w:eastAsia="cs-CZ"/>
              </w:rPr>
              <w:t>2,5</w:t>
            </w:r>
          </w:p>
        </w:tc>
        <w:tc>
          <w:tcPr>
            <w:tcW w:w="850" w:type="dxa"/>
          </w:tcPr>
          <w:p w:rsidR="00EB411A" w:rsidRPr="00974AE4" w:rsidRDefault="009D3727" w:rsidP="005F1913">
            <w:pPr>
              <w:pStyle w:val="Tabulkovtext"/>
              <w:jc w:val="center"/>
              <w:rPr>
                <w:rFonts w:cs="Tahoma"/>
                <w:lang w:eastAsia="cs-CZ"/>
              </w:rPr>
            </w:pPr>
            <w:r>
              <w:rPr>
                <w:rFonts w:cs="Tahoma"/>
                <w:lang w:eastAsia="cs-CZ"/>
              </w:rPr>
              <w:t>2</w:t>
            </w:r>
            <w:r w:rsidR="005F1913">
              <w:rPr>
                <w:rFonts w:cs="Tahoma"/>
                <w:lang w:eastAsia="cs-CZ"/>
              </w:rPr>
              <w:t>,5</w:t>
            </w:r>
          </w:p>
        </w:tc>
        <w:tc>
          <w:tcPr>
            <w:tcW w:w="851" w:type="dxa"/>
          </w:tcPr>
          <w:p w:rsidR="006819BA" w:rsidRDefault="002C6FC5" w:rsidP="00092F1A">
            <w:pPr>
              <w:pStyle w:val="Tabulkovtext"/>
              <w:jc w:val="center"/>
              <w:rPr>
                <w:rFonts w:cs="Tahoma"/>
                <w:b/>
                <w:bCs/>
                <w:kern w:val="28"/>
                <w:szCs w:val="32"/>
                <w:lang w:eastAsia="cs-CZ"/>
              </w:rPr>
            </w:pPr>
            <w:r>
              <w:rPr>
                <w:rFonts w:cs="Tahoma"/>
                <w:lang w:eastAsia="cs-CZ"/>
              </w:rPr>
              <w:t>4,0</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b/>
                <w:lang w:eastAsia="cs-CZ"/>
              </w:rPr>
            </w:pPr>
            <w:r w:rsidRPr="00974AE4">
              <w:rPr>
                <w:rFonts w:ascii="Symbol" w:hAnsi="Symbol" w:cs="Tahoma"/>
                <w:b/>
                <w:lang w:eastAsia="cs-CZ"/>
              </w:rPr>
              <w:t></w:t>
            </w:r>
            <w:r w:rsidRPr="00974AE4">
              <w:rPr>
                <w:rFonts w:cs="Tahoma"/>
                <w:b/>
                <w:lang w:eastAsia="cs-CZ"/>
              </w:rPr>
              <w:t xml:space="preserve"> jizdních dob</w:t>
            </w:r>
          </w:p>
        </w:tc>
        <w:tc>
          <w:tcPr>
            <w:tcW w:w="851" w:type="dxa"/>
            <w:tcBorders>
              <w:left w:val="single" w:sz="12" w:space="0" w:color="auto"/>
            </w:tcBorders>
          </w:tcPr>
          <w:p w:rsidR="00EB411A" w:rsidRPr="00974AE4" w:rsidRDefault="00EB411A" w:rsidP="005F1913">
            <w:pPr>
              <w:pStyle w:val="Tabulkovtext"/>
              <w:jc w:val="center"/>
              <w:rPr>
                <w:rFonts w:cs="Tahoma"/>
                <w:b/>
                <w:lang w:eastAsia="cs-CZ"/>
              </w:rPr>
            </w:pPr>
            <w:r>
              <w:rPr>
                <w:rFonts w:cs="Tahoma"/>
                <w:b/>
                <w:lang w:eastAsia="cs-CZ"/>
              </w:rPr>
              <w:t>15,5</w:t>
            </w:r>
          </w:p>
        </w:tc>
        <w:tc>
          <w:tcPr>
            <w:tcW w:w="992" w:type="dxa"/>
          </w:tcPr>
          <w:p w:rsidR="00EB411A" w:rsidRPr="00974AE4" w:rsidRDefault="00EB411A" w:rsidP="005F1913">
            <w:pPr>
              <w:pStyle w:val="Tabulkovtext"/>
              <w:jc w:val="center"/>
              <w:rPr>
                <w:rFonts w:cs="Tahoma"/>
                <w:b/>
                <w:lang w:eastAsia="cs-CZ"/>
              </w:rPr>
            </w:pPr>
            <w:r>
              <w:rPr>
                <w:rFonts w:cs="Tahoma"/>
                <w:b/>
                <w:lang w:eastAsia="cs-CZ"/>
              </w:rPr>
              <w:t>1</w:t>
            </w:r>
            <w:r w:rsidR="005F1913">
              <w:rPr>
                <w:rFonts w:cs="Tahoma"/>
                <w:b/>
                <w:lang w:eastAsia="cs-CZ"/>
              </w:rPr>
              <w:t>3</w:t>
            </w:r>
            <w:r>
              <w:rPr>
                <w:rFonts w:cs="Tahoma"/>
                <w:b/>
                <w:lang w:eastAsia="cs-CZ"/>
              </w:rPr>
              <w:t>,5</w:t>
            </w:r>
          </w:p>
        </w:tc>
        <w:tc>
          <w:tcPr>
            <w:tcW w:w="850" w:type="dxa"/>
          </w:tcPr>
          <w:p w:rsidR="00EB411A" w:rsidRPr="00974AE4" w:rsidRDefault="00EB411A" w:rsidP="005F1913">
            <w:pPr>
              <w:pStyle w:val="Tabulkovtext"/>
              <w:jc w:val="center"/>
              <w:rPr>
                <w:rFonts w:cs="Tahoma"/>
                <w:b/>
                <w:lang w:eastAsia="cs-CZ"/>
              </w:rPr>
            </w:pPr>
            <w:r>
              <w:rPr>
                <w:rFonts w:cs="Tahoma"/>
                <w:b/>
                <w:lang w:eastAsia="cs-CZ"/>
              </w:rPr>
              <w:t>1</w:t>
            </w:r>
            <w:r w:rsidR="005F1913">
              <w:rPr>
                <w:rFonts w:cs="Tahoma"/>
                <w:b/>
                <w:lang w:eastAsia="cs-CZ"/>
              </w:rPr>
              <w:t>3</w:t>
            </w:r>
            <w:r>
              <w:rPr>
                <w:rFonts w:cs="Tahoma"/>
                <w:b/>
                <w:lang w:eastAsia="cs-CZ"/>
              </w:rPr>
              <w:t>,5</w:t>
            </w:r>
          </w:p>
        </w:tc>
        <w:tc>
          <w:tcPr>
            <w:tcW w:w="851" w:type="dxa"/>
          </w:tcPr>
          <w:p w:rsidR="006819BA" w:rsidRDefault="002C6FC5" w:rsidP="00092F1A">
            <w:pPr>
              <w:pStyle w:val="Tabulkovtext"/>
              <w:jc w:val="center"/>
              <w:rPr>
                <w:rFonts w:cs="Tahoma"/>
                <w:b/>
                <w:bCs/>
                <w:kern w:val="28"/>
                <w:szCs w:val="32"/>
                <w:lang w:eastAsia="cs-CZ"/>
              </w:rPr>
            </w:pPr>
            <w:r>
              <w:rPr>
                <w:rFonts w:cs="Tahoma"/>
                <w:b/>
                <w:lang w:eastAsia="cs-CZ"/>
              </w:rPr>
              <w:t>20,5</w:t>
            </w:r>
          </w:p>
        </w:tc>
        <w:tc>
          <w:tcPr>
            <w:tcW w:w="850" w:type="dxa"/>
          </w:tcPr>
          <w:p w:rsidR="00EB411A" w:rsidRPr="00974AE4" w:rsidRDefault="00EB411A" w:rsidP="005F1913">
            <w:pPr>
              <w:pStyle w:val="Tabulkovtext"/>
              <w:jc w:val="center"/>
              <w:rPr>
                <w:rFonts w:cs="Tahoma"/>
                <w:b/>
                <w:lang w:eastAsia="cs-CZ"/>
              </w:rPr>
            </w:pPr>
          </w:p>
        </w:tc>
        <w:tc>
          <w:tcPr>
            <w:tcW w:w="851" w:type="dxa"/>
          </w:tcPr>
          <w:p w:rsidR="00EB411A" w:rsidRPr="00974AE4" w:rsidRDefault="00EB411A" w:rsidP="005F1913">
            <w:pPr>
              <w:pStyle w:val="Tabulkovtext"/>
              <w:jc w:val="center"/>
              <w:rPr>
                <w:rFonts w:cs="Tahoma"/>
                <w:b/>
                <w:lang w:eastAsia="cs-CZ"/>
              </w:rPr>
            </w:pPr>
          </w:p>
        </w:tc>
        <w:tc>
          <w:tcPr>
            <w:tcW w:w="850" w:type="dxa"/>
          </w:tcPr>
          <w:p w:rsidR="00EB411A" w:rsidRPr="00974AE4" w:rsidRDefault="00EB411A" w:rsidP="005F1913">
            <w:pPr>
              <w:pStyle w:val="Tabulkovtext"/>
              <w:jc w:val="center"/>
              <w:rPr>
                <w:rFonts w:cs="Tahoma"/>
                <w:b/>
                <w:lang w:eastAsia="cs-CZ"/>
              </w:rPr>
            </w:pPr>
          </w:p>
        </w:tc>
        <w:tc>
          <w:tcPr>
            <w:tcW w:w="851" w:type="dxa"/>
          </w:tcPr>
          <w:p w:rsidR="00EB411A" w:rsidRPr="00974AE4" w:rsidRDefault="00EB411A" w:rsidP="005F1913">
            <w:pPr>
              <w:pStyle w:val="Tabulkovtext"/>
              <w:jc w:val="center"/>
              <w:rPr>
                <w:rFonts w:cs="Tahoma"/>
                <w:b/>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Cestovní doba Par - HK</w:t>
            </w:r>
          </w:p>
        </w:tc>
        <w:tc>
          <w:tcPr>
            <w:tcW w:w="851" w:type="dxa"/>
            <w:tcBorders>
              <w:left w:val="single" w:sz="12" w:space="0" w:color="auto"/>
            </w:tcBorders>
          </w:tcPr>
          <w:p w:rsidR="00EB411A" w:rsidRPr="00974AE4" w:rsidRDefault="00EB411A" w:rsidP="005F1913">
            <w:pPr>
              <w:pStyle w:val="Tabulkovtext"/>
              <w:jc w:val="center"/>
              <w:rPr>
                <w:rFonts w:cs="Tahoma"/>
                <w:lang w:eastAsia="cs-CZ"/>
              </w:rPr>
            </w:pPr>
            <w:r>
              <w:rPr>
                <w:rFonts w:cs="Tahoma"/>
                <w:lang w:eastAsia="cs-CZ"/>
              </w:rPr>
              <w:t>16,5</w:t>
            </w:r>
          </w:p>
        </w:tc>
        <w:tc>
          <w:tcPr>
            <w:tcW w:w="992" w:type="dxa"/>
          </w:tcPr>
          <w:p w:rsidR="00EB411A" w:rsidRPr="00974AE4" w:rsidRDefault="00EB411A" w:rsidP="005F1913">
            <w:pPr>
              <w:pStyle w:val="Tabulkovtext"/>
              <w:jc w:val="center"/>
              <w:rPr>
                <w:rFonts w:cs="Tahoma"/>
                <w:lang w:eastAsia="cs-CZ"/>
              </w:rPr>
            </w:pPr>
            <w:r>
              <w:rPr>
                <w:rFonts w:cs="Tahoma"/>
                <w:lang w:eastAsia="cs-CZ"/>
              </w:rPr>
              <w:t>1</w:t>
            </w:r>
            <w:r w:rsidR="005F1913">
              <w:rPr>
                <w:rFonts w:cs="Tahoma"/>
                <w:lang w:eastAsia="cs-CZ"/>
              </w:rPr>
              <w:t>4</w:t>
            </w:r>
            <w:r>
              <w:rPr>
                <w:rFonts w:cs="Tahoma"/>
                <w:lang w:eastAsia="cs-CZ"/>
              </w:rPr>
              <w:t>,5</w:t>
            </w:r>
          </w:p>
        </w:tc>
        <w:tc>
          <w:tcPr>
            <w:tcW w:w="850" w:type="dxa"/>
          </w:tcPr>
          <w:p w:rsidR="00EB411A" w:rsidRPr="00974AE4" w:rsidRDefault="005F1913" w:rsidP="005F1913">
            <w:pPr>
              <w:pStyle w:val="Tabulkovtext"/>
              <w:jc w:val="center"/>
              <w:rPr>
                <w:rFonts w:cs="Tahoma"/>
                <w:lang w:eastAsia="cs-CZ"/>
              </w:rPr>
            </w:pPr>
            <w:r>
              <w:rPr>
                <w:rFonts w:cs="Tahoma"/>
                <w:lang w:eastAsia="cs-CZ"/>
              </w:rPr>
              <w:t>14</w:t>
            </w:r>
            <w:r w:rsidR="00EB411A">
              <w:rPr>
                <w:rFonts w:cs="Tahoma"/>
                <w:lang w:eastAsia="cs-CZ"/>
              </w:rPr>
              <w:t>,5</w:t>
            </w:r>
          </w:p>
        </w:tc>
        <w:tc>
          <w:tcPr>
            <w:tcW w:w="851" w:type="dxa"/>
          </w:tcPr>
          <w:p w:rsidR="006819BA" w:rsidRDefault="002C6FC5" w:rsidP="00092F1A">
            <w:pPr>
              <w:pStyle w:val="Tabulkovtext"/>
              <w:jc w:val="center"/>
              <w:rPr>
                <w:rFonts w:cs="Tahoma"/>
                <w:b/>
                <w:bCs/>
                <w:kern w:val="28"/>
                <w:szCs w:val="32"/>
                <w:lang w:eastAsia="cs-CZ"/>
              </w:rPr>
            </w:pPr>
            <w:r>
              <w:rPr>
                <w:rFonts w:cs="Tahoma"/>
                <w:lang w:eastAsia="cs-CZ"/>
              </w:rPr>
              <w:t>23</w:t>
            </w:r>
            <w:r w:rsidR="00213B86">
              <w:rPr>
                <w:rFonts w:cs="Tahoma"/>
                <w:lang w:eastAsia="cs-CZ"/>
              </w:rPr>
              <w:t>,</w:t>
            </w:r>
            <w:r w:rsidR="000A363A">
              <w:rPr>
                <w:rFonts w:cs="Tahoma"/>
                <w:lang w:eastAsia="cs-CZ"/>
              </w:rPr>
              <w:t>5</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r>
      <w:tr w:rsidR="00EB411A" w:rsidRPr="00974AE4" w:rsidTr="006B08CB">
        <w:tc>
          <w:tcPr>
            <w:tcW w:w="2410" w:type="dxa"/>
            <w:tcBorders>
              <w:bottom w:val="single" w:sz="12" w:space="0" w:color="auto"/>
              <w:right w:val="single" w:sz="12" w:space="0" w:color="auto"/>
            </w:tcBorders>
            <w:shd w:val="pct10" w:color="auto" w:fill="auto"/>
          </w:tcPr>
          <w:p w:rsidR="00EB411A" w:rsidRPr="00974AE4" w:rsidRDefault="00EB411A" w:rsidP="005F1913">
            <w:pPr>
              <w:pStyle w:val="Tabulkovtext"/>
              <w:rPr>
                <w:rFonts w:cs="Tahoma"/>
                <w:lang w:eastAsia="cs-CZ"/>
              </w:rPr>
            </w:pPr>
            <w:r w:rsidRPr="00B95BFD">
              <w:rPr>
                <w:rFonts w:cs="Tahoma"/>
                <w:i/>
                <w:lang w:eastAsia="cs-CZ"/>
              </w:rPr>
              <w:t>úspora oproti současnosti</w:t>
            </w:r>
          </w:p>
        </w:tc>
        <w:tc>
          <w:tcPr>
            <w:tcW w:w="851" w:type="dxa"/>
            <w:tcBorders>
              <w:left w:val="single" w:sz="12" w:space="0" w:color="auto"/>
              <w:bottom w:val="single" w:sz="12" w:space="0" w:color="auto"/>
            </w:tcBorders>
          </w:tcPr>
          <w:p w:rsidR="00EB411A" w:rsidRPr="00EB411A" w:rsidRDefault="00EB411A" w:rsidP="005F1913">
            <w:pPr>
              <w:pStyle w:val="Tabulkovtext"/>
              <w:jc w:val="center"/>
              <w:rPr>
                <w:rFonts w:cs="Tahoma"/>
                <w:b/>
                <w:i/>
                <w:lang w:eastAsia="cs-CZ"/>
              </w:rPr>
            </w:pPr>
            <w:r w:rsidRPr="00EB411A">
              <w:rPr>
                <w:rFonts w:cs="Tahoma"/>
                <w:b/>
                <w:i/>
                <w:lang w:eastAsia="cs-CZ"/>
              </w:rPr>
              <w:t>1,5</w:t>
            </w:r>
          </w:p>
        </w:tc>
        <w:tc>
          <w:tcPr>
            <w:tcW w:w="992" w:type="dxa"/>
            <w:tcBorders>
              <w:bottom w:val="single" w:sz="12" w:space="0" w:color="auto"/>
            </w:tcBorders>
          </w:tcPr>
          <w:p w:rsidR="00EB411A" w:rsidRPr="00EB411A" w:rsidRDefault="002C6FC5" w:rsidP="005F1913">
            <w:pPr>
              <w:pStyle w:val="Tabulkovtext"/>
              <w:jc w:val="center"/>
              <w:rPr>
                <w:rFonts w:cs="Tahoma"/>
                <w:b/>
                <w:i/>
                <w:lang w:eastAsia="cs-CZ"/>
              </w:rPr>
            </w:pPr>
            <w:r>
              <w:rPr>
                <w:rFonts w:cs="Tahoma"/>
                <w:b/>
                <w:i/>
                <w:lang w:eastAsia="cs-CZ"/>
              </w:rPr>
              <w:t>4,0</w:t>
            </w:r>
          </w:p>
        </w:tc>
        <w:tc>
          <w:tcPr>
            <w:tcW w:w="850" w:type="dxa"/>
            <w:tcBorders>
              <w:bottom w:val="single" w:sz="12" w:space="0" w:color="auto"/>
            </w:tcBorders>
          </w:tcPr>
          <w:p w:rsidR="00EB411A" w:rsidRPr="00EB411A" w:rsidRDefault="002E036E" w:rsidP="001C50D3">
            <w:pPr>
              <w:pStyle w:val="Tabulkovtext"/>
              <w:jc w:val="center"/>
              <w:rPr>
                <w:rFonts w:cs="Tahoma"/>
                <w:b/>
                <w:i/>
                <w:lang w:eastAsia="cs-CZ"/>
              </w:rPr>
            </w:pPr>
            <w:r>
              <w:rPr>
                <w:rFonts w:cs="Tahoma"/>
                <w:b/>
                <w:i/>
                <w:lang w:eastAsia="cs-CZ"/>
              </w:rPr>
              <w:t>8,</w:t>
            </w:r>
            <w:r w:rsidR="001C50D3">
              <w:rPr>
                <w:rFonts w:cs="Tahoma"/>
                <w:b/>
                <w:i/>
                <w:lang w:eastAsia="cs-CZ"/>
              </w:rPr>
              <w:t>5</w:t>
            </w:r>
          </w:p>
        </w:tc>
        <w:tc>
          <w:tcPr>
            <w:tcW w:w="851" w:type="dxa"/>
            <w:tcBorders>
              <w:bottom w:val="single" w:sz="12" w:space="0" w:color="auto"/>
            </w:tcBorders>
          </w:tcPr>
          <w:p w:rsidR="00EB411A" w:rsidRPr="00213B86" w:rsidRDefault="002C6FC5" w:rsidP="005F1913">
            <w:pPr>
              <w:pStyle w:val="Tabulkovtext"/>
              <w:jc w:val="center"/>
              <w:rPr>
                <w:rFonts w:cs="Tahoma"/>
                <w:b/>
                <w:i/>
                <w:lang w:eastAsia="cs-CZ"/>
              </w:rPr>
            </w:pPr>
            <w:r>
              <w:rPr>
                <w:rFonts w:cs="Tahoma"/>
                <w:b/>
                <w:i/>
                <w:lang w:eastAsia="cs-CZ"/>
              </w:rPr>
              <w:t>3</w:t>
            </w:r>
            <w:r w:rsidR="000A363A">
              <w:rPr>
                <w:rFonts w:cs="Tahoma"/>
                <w:b/>
                <w:i/>
                <w:lang w:eastAsia="cs-CZ"/>
              </w:rPr>
              <w:t>,0</w:t>
            </w:r>
          </w:p>
        </w:tc>
        <w:tc>
          <w:tcPr>
            <w:tcW w:w="850" w:type="dxa"/>
            <w:tcBorders>
              <w:bottom w:val="single" w:sz="12" w:space="0" w:color="auto"/>
            </w:tcBorders>
          </w:tcPr>
          <w:p w:rsidR="00EB411A" w:rsidRPr="00974AE4" w:rsidRDefault="00EB411A" w:rsidP="005F1913">
            <w:pPr>
              <w:pStyle w:val="Tabulkovtext"/>
              <w:jc w:val="center"/>
              <w:rPr>
                <w:rFonts w:cs="Tahoma"/>
                <w:lang w:eastAsia="cs-CZ"/>
              </w:rPr>
            </w:pPr>
          </w:p>
        </w:tc>
        <w:tc>
          <w:tcPr>
            <w:tcW w:w="851" w:type="dxa"/>
            <w:tcBorders>
              <w:bottom w:val="single" w:sz="12" w:space="0" w:color="auto"/>
            </w:tcBorders>
          </w:tcPr>
          <w:p w:rsidR="00EB411A" w:rsidRPr="00974AE4" w:rsidRDefault="00EB411A" w:rsidP="005F1913">
            <w:pPr>
              <w:pStyle w:val="Tabulkovtext"/>
              <w:jc w:val="center"/>
              <w:rPr>
                <w:rFonts w:cs="Tahoma"/>
                <w:lang w:eastAsia="cs-CZ"/>
              </w:rPr>
            </w:pPr>
          </w:p>
        </w:tc>
        <w:tc>
          <w:tcPr>
            <w:tcW w:w="850" w:type="dxa"/>
            <w:tcBorders>
              <w:bottom w:val="single" w:sz="12" w:space="0" w:color="auto"/>
            </w:tcBorders>
          </w:tcPr>
          <w:p w:rsidR="00EB411A" w:rsidRPr="00974AE4" w:rsidRDefault="00EB411A" w:rsidP="005F1913">
            <w:pPr>
              <w:pStyle w:val="Tabulkovtext"/>
              <w:jc w:val="center"/>
              <w:rPr>
                <w:rFonts w:cs="Tahoma"/>
                <w:lang w:eastAsia="cs-CZ"/>
              </w:rPr>
            </w:pPr>
          </w:p>
        </w:tc>
        <w:tc>
          <w:tcPr>
            <w:tcW w:w="851" w:type="dxa"/>
            <w:tcBorders>
              <w:bottom w:val="single" w:sz="12" w:space="0" w:color="auto"/>
            </w:tcBorders>
          </w:tcPr>
          <w:p w:rsidR="00EB411A" w:rsidRPr="00974AE4" w:rsidRDefault="00EB411A" w:rsidP="005F1913">
            <w:pPr>
              <w:pStyle w:val="Tabulkovtext"/>
              <w:jc w:val="center"/>
              <w:rPr>
                <w:rFonts w:cs="Tahoma"/>
                <w:lang w:eastAsia="cs-CZ"/>
              </w:rPr>
            </w:pPr>
          </w:p>
        </w:tc>
      </w:tr>
      <w:tr w:rsidR="00EB411A" w:rsidRPr="00974AE4" w:rsidTr="006B08CB">
        <w:tc>
          <w:tcPr>
            <w:tcW w:w="2410" w:type="dxa"/>
            <w:tcBorders>
              <w:top w:val="single" w:sz="12" w:space="0" w:color="auto"/>
              <w:right w:val="single" w:sz="12" w:space="0" w:color="auto"/>
            </w:tcBorders>
            <w:shd w:val="pct10" w:color="auto" w:fill="auto"/>
          </w:tcPr>
          <w:p w:rsidR="00EB411A" w:rsidRPr="00974AE4" w:rsidRDefault="00EB411A" w:rsidP="005F1913">
            <w:pPr>
              <w:pStyle w:val="Tabulkovtext"/>
              <w:rPr>
                <w:rFonts w:cs="Tahoma"/>
                <w:lang w:eastAsia="cs-CZ"/>
              </w:rPr>
            </w:pPr>
          </w:p>
        </w:tc>
        <w:tc>
          <w:tcPr>
            <w:tcW w:w="6946" w:type="dxa"/>
            <w:gridSpan w:val="8"/>
            <w:tcBorders>
              <w:top w:val="single" w:sz="12" w:space="0" w:color="auto"/>
              <w:left w:val="single" w:sz="12" w:space="0" w:color="auto"/>
            </w:tcBorders>
          </w:tcPr>
          <w:p w:rsidR="00EB411A" w:rsidRPr="00974AE4" w:rsidRDefault="00EB411A" w:rsidP="005F1913">
            <w:pPr>
              <w:pStyle w:val="Tabulkovtext"/>
              <w:rPr>
                <w:rFonts w:cs="Tahoma"/>
                <w:lang w:eastAsia="cs-CZ"/>
              </w:rPr>
            </w:pPr>
            <w:r w:rsidRPr="00974AE4">
              <w:rPr>
                <w:rFonts w:cs="Tahoma"/>
                <w:i/>
                <w:lang w:eastAsia="cs-CZ"/>
              </w:rPr>
              <w:t>Lichý směr, Hradec Králové hl. nádr. – Pardubice hl. nádr.</w:t>
            </w: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Hradec Králové hlav. nádr.</w:t>
            </w:r>
          </w:p>
        </w:tc>
        <w:tc>
          <w:tcPr>
            <w:tcW w:w="851" w:type="dxa"/>
            <w:tcBorders>
              <w:left w:val="single" w:sz="12" w:space="0" w:color="auto"/>
            </w:tcBorders>
          </w:tcPr>
          <w:p w:rsidR="00EB411A" w:rsidRPr="00974AE4" w:rsidRDefault="00EB411A" w:rsidP="005F1913">
            <w:pPr>
              <w:pStyle w:val="Tabulkovtext"/>
              <w:jc w:val="center"/>
              <w:rPr>
                <w:rFonts w:cs="Tahoma"/>
                <w:lang w:eastAsia="cs-CZ"/>
              </w:rPr>
            </w:pPr>
          </w:p>
        </w:tc>
        <w:tc>
          <w:tcPr>
            <w:tcW w:w="992"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r>
      <w:tr w:rsidR="002C6FC5" w:rsidRPr="00974AE4" w:rsidTr="006B08CB">
        <w:tc>
          <w:tcPr>
            <w:tcW w:w="2410" w:type="dxa"/>
            <w:tcBorders>
              <w:right w:val="single" w:sz="12" w:space="0" w:color="auto"/>
            </w:tcBorders>
            <w:shd w:val="pct10" w:color="auto" w:fill="auto"/>
          </w:tcPr>
          <w:p w:rsidR="002C6FC5" w:rsidRPr="00974AE4" w:rsidRDefault="002C6FC5" w:rsidP="005F1913">
            <w:pPr>
              <w:pStyle w:val="Tabulkovtext"/>
              <w:rPr>
                <w:rFonts w:cs="Tahoma"/>
                <w:lang w:eastAsia="cs-CZ"/>
              </w:rPr>
            </w:pPr>
            <w:r>
              <w:rPr>
                <w:rFonts w:cs="Tahoma"/>
                <w:lang w:eastAsia="cs-CZ"/>
              </w:rPr>
              <w:t>odb. Březhrad, zast.</w:t>
            </w:r>
          </w:p>
        </w:tc>
        <w:tc>
          <w:tcPr>
            <w:tcW w:w="851" w:type="dxa"/>
            <w:tcBorders>
              <w:left w:val="single" w:sz="12" w:space="0" w:color="auto"/>
            </w:tcBorders>
          </w:tcPr>
          <w:p w:rsidR="002C6FC5" w:rsidRDefault="002C6FC5" w:rsidP="005F1913">
            <w:pPr>
              <w:pStyle w:val="Tabulkovtext"/>
              <w:jc w:val="center"/>
              <w:rPr>
                <w:rFonts w:cs="Tahoma"/>
                <w:lang w:eastAsia="cs-CZ"/>
              </w:rPr>
            </w:pPr>
            <w:r>
              <w:rPr>
                <w:rFonts w:cs="Tahoma"/>
                <w:lang w:eastAsia="cs-CZ"/>
              </w:rPr>
              <w:t>3,0</w:t>
            </w:r>
          </w:p>
        </w:tc>
        <w:tc>
          <w:tcPr>
            <w:tcW w:w="992" w:type="dxa"/>
          </w:tcPr>
          <w:p w:rsidR="002C6FC5" w:rsidRDefault="002C6FC5" w:rsidP="005F1913">
            <w:pPr>
              <w:pStyle w:val="Tabulkovtext"/>
              <w:jc w:val="center"/>
              <w:rPr>
                <w:rFonts w:cs="Tahoma"/>
                <w:lang w:eastAsia="cs-CZ"/>
              </w:rPr>
            </w:pPr>
            <w:r>
              <w:rPr>
                <w:rFonts w:cs="Tahoma"/>
                <w:lang w:eastAsia="cs-CZ"/>
              </w:rPr>
              <w:t>3,0</w:t>
            </w:r>
          </w:p>
        </w:tc>
        <w:tc>
          <w:tcPr>
            <w:tcW w:w="850" w:type="dxa"/>
          </w:tcPr>
          <w:p w:rsidR="002C6FC5" w:rsidRDefault="002C6FC5" w:rsidP="005F1913">
            <w:pPr>
              <w:pStyle w:val="Tabulkovtext"/>
              <w:jc w:val="center"/>
              <w:rPr>
                <w:rFonts w:cs="Tahoma"/>
                <w:lang w:eastAsia="cs-CZ"/>
              </w:rPr>
            </w:pPr>
            <w:r>
              <w:rPr>
                <w:rFonts w:cs="Tahoma"/>
                <w:lang w:eastAsia="cs-CZ"/>
              </w:rPr>
              <w:t>2,5</w:t>
            </w:r>
          </w:p>
        </w:tc>
        <w:tc>
          <w:tcPr>
            <w:tcW w:w="851" w:type="dxa"/>
          </w:tcPr>
          <w:p w:rsidR="002C6FC5" w:rsidRDefault="002C6FC5" w:rsidP="005F1913">
            <w:pPr>
              <w:pStyle w:val="Tabulkovtext"/>
              <w:jc w:val="center"/>
              <w:rPr>
                <w:rFonts w:cs="Tahoma"/>
                <w:lang w:eastAsia="cs-CZ"/>
              </w:rPr>
            </w:pPr>
            <w:r>
              <w:rPr>
                <w:rFonts w:cs="Tahoma"/>
                <w:lang w:eastAsia="cs-CZ"/>
              </w:rPr>
              <w:t>3,5</w:t>
            </w:r>
          </w:p>
        </w:tc>
        <w:tc>
          <w:tcPr>
            <w:tcW w:w="850" w:type="dxa"/>
          </w:tcPr>
          <w:p w:rsidR="002C6FC5" w:rsidRPr="00974AE4" w:rsidRDefault="002C6FC5" w:rsidP="005F1913">
            <w:pPr>
              <w:pStyle w:val="Tabulkovtext"/>
              <w:jc w:val="center"/>
              <w:rPr>
                <w:rFonts w:cs="Tahoma"/>
                <w:lang w:eastAsia="cs-CZ"/>
              </w:rPr>
            </w:pPr>
          </w:p>
        </w:tc>
        <w:tc>
          <w:tcPr>
            <w:tcW w:w="851" w:type="dxa"/>
          </w:tcPr>
          <w:p w:rsidR="002C6FC5" w:rsidRPr="00974AE4" w:rsidRDefault="002C6FC5" w:rsidP="005F1913">
            <w:pPr>
              <w:pStyle w:val="Tabulkovtext"/>
              <w:jc w:val="center"/>
              <w:rPr>
                <w:rFonts w:cs="Tahoma"/>
                <w:lang w:eastAsia="cs-CZ"/>
              </w:rPr>
            </w:pPr>
          </w:p>
        </w:tc>
        <w:tc>
          <w:tcPr>
            <w:tcW w:w="850" w:type="dxa"/>
          </w:tcPr>
          <w:p w:rsidR="002C6FC5" w:rsidRPr="00974AE4" w:rsidRDefault="002C6FC5" w:rsidP="005F1913">
            <w:pPr>
              <w:pStyle w:val="Tabulkovtext"/>
              <w:jc w:val="center"/>
              <w:rPr>
                <w:rFonts w:cs="Tahoma"/>
                <w:lang w:eastAsia="cs-CZ"/>
              </w:rPr>
            </w:pPr>
          </w:p>
        </w:tc>
        <w:tc>
          <w:tcPr>
            <w:tcW w:w="851" w:type="dxa"/>
          </w:tcPr>
          <w:p w:rsidR="002C6FC5" w:rsidRPr="00974AE4" w:rsidRDefault="002C6FC5" w:rsidP="005F1913">
            <w:pPr>
              <w:pStyle w:val="Tabulkovtext"/>
              <w:jc w:val="center"/>
              <w:rPr>
                <w:rFonts w:cs="Tahoma"/>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Opatovice nad Labem</w:t>
            </w:r>
          </w:p>
        </w:tc>
        <w:tc>
          <w:tcPr>
            <w:tcW w:w="851" w:type="dxa"/>
            <w:tcBorders>
              <w:left w:val="single" w:sz="12" w:space="0" w:color="auto"/>
            </w:tcBorders>
          </w:tcPr>
          <w:p w:rsidR="006819BA" w:rsidRDefault="002C6FC5" w:rsidP="00092F1A">
            <w:pPr>
              <w:pStyle w:val="Tabulkovtext"/>
              <w:jc w:val="center"/>
              <w:rPr>
                <w:rFonts w:cs="Tahoma"/>
                <w:b/>
                <w:bCs/>
                <w:kern w:val="28"/>
                <w:szCs w:val="32"/>
                <w:lang w:eastAsia="cs-CZ"/>
              </w:rPr>
            </w:pPr>
            <w:r>
              <w:rPr>
                <w:rFonts w:cs="Tahoma"/>
                <w:lang w:eastAsia="cs-CZ"/>
              </w:rPr>
              <w:t>1,0</w:t>
            </w:r>
          </w:p>
        </w:tc>
        <w:tc>
          <w:tcPr>
            <w:tcW w:w="992" w:type="dxa"/>
          </w:tcPr>
          <w:p w:rsidR="00EB411A" w:rsidRPr="00974AE4" w:rsidRDefault="002C6FC5" w:rsidP="005F1913">
            <w:pPr>
              <w:pStyle w:val="Tabulkovtext"/>
              <w:jc w:val="center"/>
              <w:rPr>
                <w:rFonts w:cs="Tahoma"/>
                <w:lang w:eastAsia="cs-CZ"/>
              </w:rPr>
            </w:pPr>
            <w:r>
              <w:rPr>
                <w:rFonts w:cs="Tahoma"/>
                <w:lang w:eastAsia="cs-CZ"/>
              </w:rPr>
              <w:t>1</w:t>
            </w:r>
            <w:r w:rsidR="00EB411A">
              <w:rPr>
                <w:rFonts w:cs="Tahoma"/>
                <w:lang w:eastAsia="cs-CZ"/>
              </w:rPr>
              <w:t>,0</w:t>
            </w:r>
          </w:p>
        </w:tc>
        <w:tc>
          <w:tcPr>
            <w:tcW w:w="850" w:type="dxa"/>
          </w:tcPr>
          <w:p w:rsidR="00EB411A" w:rsidRPr="00974AE4" w:rsidRDefault="002C6FC5" w:rsidP="005F1913">
            <w:pPr>
              <w:pStyle w:val="Tabulkovtext"/>
              <w:jc w:val="center"/>
              <w:rPr>
                <w:rFonts w:cs="Tahoma"/>
                <w:lang w:eastAsia="cs-CZ"/>
              </w:rPr>
            </w:pPr>
            <w:r>
              <w:rPr>
                <w:rFonts w:cs="Tahoma"/>
                <w:lang w:eastAsia="cs-CZ"/>
              </w:rPr>
              <w:t>1,0</w:t>
            </w:r>
          </w:p>
        </w:tc>
        <w:tc>
          <w:tcPr>
            <w:tcW w:w="851" w:type="dxa"/>
          </w:tcPr>
          <w:p w:rsidR="006819BA" w:rsidRDefault="002C6FC5" w:rsidP="00092F1A">
            <w:pPr>
              <w:pStyle w:val="Tabulkovtext"/>
              <w:jc w:val="center"/>
              <w:rPr>
                <w:rFonts w:cs="Tahoma"/>
                <w:b/>
                <w:bCs/>
                <w:kern w:val="28"/>
                <w:szCs w:val="32"/>
                <w:lang w:eastAsia="cs-CZ"/>
              </w:rPr>
            </w:pPr>
            <w:r>
              <w:rPr>
                <w:rFonts w:cs="Tahoma"/>
                <w:lang w:eastAsia="cs-CZ"/>
              </w:rPr>
              <w:t>1,0</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Opat</w:t>
            </w:r>
            <w:r>
              <w:rPr>
                <w:rFonts w:cs="Tahoma"/>
                <w:lang w:eastAsia="cs-CZ"/>
              </w:rPr>
              <w:t xml:space="preserve">. </w:t>
            </w:r>
            <w:r w:rsidRPr="00974AE4">
              <w:rPr>
                <w:rFonts w:cs="Tahoma"/>
                <w:lang w:eastAsia="cs-CZ"/>
              </w:rPr>
              <w:t>nad L</w:t>
            </w:r>
            <w:r>
              <w:rPr>
                <w:rFonts w:cs="Tahoma"/>
                <w:lang w:eastAsia="cs-CZ"/>
              </w:rPr>
              <w:t xml:space="preserve">., výh.č.1 + </w:t>
            </w:r>
            <w:r w:rsidRPr="00974AE4">
              <w:rPr>
                <w:rFonts w:cs="Tahoma"/>
                <w:lang w:eastAsia="cs-CZ"/>
              </w:rPr>
              <w:t>z</w:t>
            </w:r>
            <w:r>
              <w:rPr>
                <w:rFonts w:cs="Tahoma"/>
                <w:lang w:eastAsia="cs-CZ"/>
              </w:rPr>
              <w:t>ast</w:t>
            </w:r>
          </w:p>
        </w:tc>
        <w:tc>
          <w:tcPr>
            <w:tcW w:w="851" w:type="dxa"/>
            <w:tcBorders>
              <w:left w:val="single" w:sz="12" w:space="0" w:color="auto"/>
            </w:tcBorders>
          </w:tcPr>
          <w:p w:rsidR="00EB411A" w:rsidRPr="00974AE4" w:rsidRDefault="00EB411A" w:rsidP="005F1913">
            <w:pPr>
              <w:pStyle w:val="Tabulkovtext"/>
              <w:jc w:val="center"/>
              <w:rPr>
                <w:rFonts w:cs="Tahoma"/>
                <w:szCs w:val="18"/>
                <w:lang w:eastAsia="cs-CZ"/>
              </w:rPr>
            </w:pPr>
            <w:r>
              <w:rPr>
                <w:rFonts w:cs="Tahoma"/>
                <w:szCs w:val="18"/>
                <w:lang w:eastAsia="cs-CZ"/>
              </w:rPr>
              <w:t>0,5</w:t>
            </w:r>
          </w:p>
        </w:tc>
        <w:tc>
          <w:tcPr>
            <w:tcW w:w="992" w:type="dxa"/>
          </w:tcPr>
          <w:p w:rsidR="00EB411A" w:rsidRPr="00974AE4" w:rsidRDefault="00EB411A" w:rsidP="005F1913">
            <w:pPr>
              <w:pStyle w:val="Tabulkovtext"/>
              <w:jc w:val="center"/>
              <w:rPr>
                <w:rFonts w:cs="Tahoma"/>
                <w:szCs w:val="18"/>
                <w:lang w:eastAsia="cs-CZ"/>
              </w:rPr>
            </w:pPr>
            <w:r>
              <w:rPr>
                <w:rFonts w:cs="Tahoma"/>
                <w:szCs w:val="18"/>
                <w:lang w:eastAsia="cs-CZ"/>
              </w:rPr>
              <w:t>0,5</w:t>
            </w:r>
          </w:p>
        </w:tc>
        <w:tc>
          <w:tcPr>
            <w:tcW w:w="850" w:type="dxa"/>
          </w:tcPr>
          <w:p w:rsidR="00EB411A" w:rsidRPr="00974AE4" w:rsidRDefault="00213B86" w:rsidP="005F1913">
            <w:pPr>
              <w:pStyle w:val="Tabulkovtext"/>
              <w:jc w:val="center"/>
              <w:rPr>
                <w:rFonts w:cs="Tahoma"/>
                <w:lang w:eastAsia="cs-CZ"/>
              </w:rPr>
            </w:pPr>
            <w:r>
              <w:rPr>
                <w:rFonts w:cs="Tahoma"/>
                <w:lang w:eastAsia="cs-CZ"/>
              </w:rPr>
              <w:t>0,5</w:t>
            </w:r>
          </w:p>
        </w:tc>
        <w:tc>
          <w:tcPr>
            <w:tcW w:w="851" w:type="dxa"/>
          </w:tcPr>
          <w:p w:rsidR="00EB411A" w:rsidRPr="00974AE4" w:rsidRDefault="00213B86" w:rsidP="005F1913">
            <w:pPr>
              <w:pStyle w:val="Tabulkovtext"/>
              <w:jc w:val="center"/>
              <w:rPr>
                <w:rFonts w:cs="Tahoma"/>
                <w:lang w:eastAsia="cs-CZ"/>
              </w:rPr>
            </w:pPr>
            <w:r>
              <w:rPr>
                <w:rFonts w:cs="Tahoma"/>
                <w:lang w:eastAsia="cs-CZ"/>
              </w:rPr>
              <w:t>1,0</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szCs w:val="18"/>
                <w:lang w:eastAsia="cs-CZ"/>
              </w:rPr>
            </w:pPr>
          </w:p>
        </w:tc>
        <w:tc>
          <w:tcPr>
            <w:tcW w:w="851" w:type="dxa"/>
          </w:tcPr>
          <w:p w:rsidR="00EB411A" w:rsidRPr="00974AE4" w:rsidRDefault="00EB411A" w:rsidP="005F1913">
            <w:pPr>
              <w:pStyle w:val="Tabulkovtext"/>
              <w:jc w:val="center"/>
              <w:rPr>
                <w:rFonts w:cs="Tahoma"/>
                <w:szCs w:val="18"/>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Čeperka Hl. z.</w:t>
            </w:r>
          </w:p>
        </w:tc>
        <w:tc>
          <w:tcPr>
            <w:tcW w:w="851" w:type="dxa"/>
            <w:tcBorders>
              <w:left w:val="single" w:sz="12" w:space="0" w:color="auto"/>
            </w:tcBorders>
          </w:tcPr>
          <w:p w:rsidR="00EB411A" w:rsidRPr="00974AE4" w:rsidRDefault="00EB411A" w:rsidP="005F1913">
            <w:pPr>
              <w:pStyle w:val="Tabulkovtext"/>
              <w:jc w:val="center"/>
              <w:rPr>
                <w:rFonts w:cs="Tahoma"/>
                <w:lang w:eastAsia="cs-CZ"/>
              </w:rPr>
            </w:pPr>
            <w:r w:rsidRPr="00974AE4">
              <w:rPr>
                <w:rFonts w:cs="Tahoma"/>
                <w:szCs w:val="18"/>
                <w:lang w:eastAsia="cs-CZ"/>
              </w:rPr>
              <w:t>|</w:t>
            </w:r>
          </w:p>
        </w:tc>
        <w:tc>
          <w:tcPr>
            <w:tcW w:w="992" w:type="dxa"/>
          </w:tcPr>
          <w:p w:rsidR="00EB411A" w:rsidRPr="00974AE4" w:rsidRDefault="00EB411A" w:rsidP="005F1913">
            <w:pPr>
              <w:pStyle w:val="Tabulkovtext"/>
              <w:jc w:val="center"/>
              <w:rPr>
                <w:rFonts w:cs="Tahoma"/>
                <w:lang w:eastAsia="cs-CZ"/>
              </w:rPr>
            </w:pPr>
            <w:r w:rsidRPr="00974AE4">
              <w:rPr>
                <w:rFonts w:cs="Tahoma"/>
                <w:szCs w:val="18"/>
                <w:lang w:eastAsia="cs-CZ"/>
              </w:rPr>
              <w:t>|</w:t>
            </w:r>
          </w:p>
        </w:tc>
        <w:tc>
          <w:tcPr>
            <w:tcW w:w="850" w:type="dxa"/>
          </w:tcPr>
          <w:p w:rsidR="00EB411A" w:rsidRPr="00974AE4" w:rsidRDefault="00213B86" w:rsidP="005F1913">
            <w:pPr>
              <w:pStyle w:val="Tabulkovtext"/>
              <w:jc w:val="center"/>
              <w:rPr>
                <w:rFonts w:cs="Tahoma"/>
                <w:lang w:eastAsia="cs-CZ"/>
              </w:rPr>
            </w:pPr>
            <w:r w:rsidRPr="00974AE4">
              <w:rPr>
                <w:rFonts w:cs="Tahoma"/>
                <w:szCs w:val="18"/>
                <w:lang w:eastAsia="cs-CZ"/>
              </w:rPr>
              <w:t>|</w:t>
            </w:r>
          </w:p>
        </w:tc>
        <w:tc>
          <w:tcPr>
            <w:tcW w:w="851" w:type="dxa"/>
          </w:tcPr>
          <w:p w:rsidR="00EB411A" w:rsidRPr="00974AE4" w:rsidRDefault="00213B86" w:rsidP="005F1913">
            <w:pPr>
              <w:pStyle w:val="Tabulkovtext"/>
              <w:jc w:val="center"/>
              <w:rPr>
                <w:rFonts w:cs="Tahoma"/>
                <w:lang w:eastAsia="cs-CZ"/>
              </w:rPr>
            </w:pPr>
            <w:r>
              <w:rPr>
                <w:rFonts w:cs="Tahoma"/>
                <w:lang w:eastAsia="cs-CZ"/>
              </w:rPr>
              <w:t>2,5</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Stéblová</w:t>
            </w:r>
          </w:p>
        </w:tc>
        <w:tc>
          <w:tcPr>
            <w:tcW w:w="851" w:type="dxa"/>
            <w:tcBorders>
              <w:left w:val="single" w:sz="12" w:space="0" w:color="auto"/>
            </w:tcBorders>
          </w:tcPr>
          <w:p w:rsidR="00EB411A" w:rsidRPr="00974AE4" w:rsidRDefault="00EB411A" w:rsidP="005F1913">
            <w:pPr>
              <w:pStyle w:val="Tabulkovtext"/>
              <w:jc w:val="center"/>
              <w:rPr>
                <w:rFonts w:cs="Tahoma"/>
                <w:lang w:eastAsia="cs-CZ"/>
              </w:rPr>
            </w:pPr>
            <w:r>
              <w:rPr>
                <w:rFonts w:cs="Tahoma"/>
                <w:lang w:eastAsia="cs-CZ"/>
              </w:rPr>
              <w:t>3,5</w:t>
            </w:r>
          </w:p>
        </w:tc>
        <w:tc>
          <w:tcPr>
            <w:tcW w:w="992" w:type="dxa"/>
          </w:tcPr>
          <w:p w:rsidR="00EB411A" w:rsidRPr="00974AE4" w:rsidRDefault="00EB411A" w:rsidP="005F1913">
            <w:pPr>
              <w:pStyle w:val="Tabulkovtext"/>
              <w:jc w:val="center"/>
              <w:rPr>
                <w:rFonts w:cs="Tahoma"/>
                <w:lang w:eastAsia="cs-CZ"/>
              </w:rPr>
            </w:pPr>
            <w:r>
              <w:rPr>
                <w:rFonts w:cs="Tahoma"/>
                <w:lang w:eastAsia="cs-CZ"/>
              </w:rPr>
              <w:t>2,5</w:t>
            </w:r>
          </w:p>
        </w:tc>
        <w:tc>
          <w:tcPr>
            <w:tcW w:w="850" w:type="dxa"/>
          </w:tcPr>
          <w:p w:rsidR="00EB411A" w:rsidRPr="00974AE4" w:rsidRDefault="00EB411A" w:rsidP="005F1913">
            <w:pPr>
              <w:pStyle w:val="Tabulkovtext"/>
              <w:jc w:val="center"/>
              <w:rPr>
                <w:rFonts w:cs="Tahoma"/>
                <w:lang w:eastAsia="cs-CZ"/>
              </w:rPr>
            </w:pPr>
            <w:r>
              <w:rPr>
                <w:rFonts w:cs="Tahoma"/>
                <w:lang w:eastAsia="cs-CZ"/>
              </w:rPr>
              <w:t>2,5</w:t>
            </w:r>
          </w:p>
        </w:tc>
        <w:tc>
          <w:tcPr>
            <w:tcW w:w="851" w:type="dxa"/>
          </w:tcPr>
          <w:p w:rsidR="006819BA" w:rsidRDefault="002C6FC5" w:rsidP="00092F1A">
            <w:pPr>
              <w:pStyle w:val="Tabulkovtext"/>
              <w:jc w:val="center"/>
              <w:rPr>
                <w:rFonts w:cs="Tahoma"/>
                <w:b/>
                <w:bCs/>
                <w:kern w:val="28"/>
                <w:szCs w:val="32"/>
                <w:lang w:eastAsia="cs-CZ"/>
              </w:rPr>
            </w:pPr>
            <w:r>
              <w:rPr>
                <w:rFonts w:cs="Tahoma"/>
                <w:lang w:eastAsia="cs-CZ"/>
              </w:rPr>
              <w:t>3,0</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Pardubice-Semtín z</w:t>
            </w:r>
          </w:p>
        </w:tc>
        <w:tc>
          <w:tcPr>
            <w:tcW w:w="851" w:type="dxa"/>
            <w:tcBorders>
              <w:left w:val="single" w:sz="12" w:space="0" w:color="auto"/>
            </w:tcBorders>
          </w:tcPr>
          <w:p w:rsidR="00EB411A" w:rsidRPr="00974AE4" w:rsidRDefault="00EB411A" w:rsidP="005F1913">
            <w:pPr>
              <w:pStyle w:val="Tabulkovtext"/>
              <w:jc w:val="center"/>
              <w:rPr>
                <w:rFonts w:cs="Tahoma"/>
                <w:lang w:eastAsia="cs-CZ"/>
              </w:rPr>
            </w:pPr>
            <w:r w:rsidRPr="00974AE4">
              <w:rPr>
                <w:rFonts w:cs="Tahoma"/>
                <w:szCs w:val="18"/>
                <w:lang w:eastAsia="cs-CZ"/>
              </w:rPr>
              <w:t>|</w:t>
            </w:r>
          </w:p>
        </w:tc>
        <w:tc>
          <w:tcPr>
            <w:tcW w:w="992" w:type="dxa"/>
          </w:tcPr>
          <w:p w:rsidR="00EB411A" w:rsidRPr="00974AE4" w:rsidRDefault="00EB411A" w:rsidP="005F1913">
            <w:pPr>
              <w:pStyle w:val="Tabulkovtext"/>
              <w:jc w:val="center"/>
              <w:rPr>
                <w:rFonts w:cs="Tahoma"/>
                <w:lang w:eastAsia="cs-CZ"/>
              </w:rPr>
            </w:pPr>
            <w:r w:rsidRPr="00974AE4">
              <w:rPr>
                <w:rFonts w:cs="Tahoma"/>
                <w:szCs w:val="18"/>
                <w:lang w:eastAsia="cs-CZ"/>
              </w:rPr>
              <w:t>|</w:t>
            </w:r>
          </w:p>
        </w:tc>
        <w:tc>
          <w:tcPr>
            <w:tcW w:w="850" w:type="dxa"/>
          </w:tcPr>
          <w:p w:rsidR="00EB411A" w:rsidRPr="00974AE4" w:rsidRDefault="00213B86" w:rsidP="005F1913">
            <w:pPr>
              <w:pStyle w:val="Tabulkovtext"/>
              <w:jc w:val="center"/>
              <w:rPr>
                <w:rFonts w:cs="Tahoma"/>
                <w:lang w:eastAsia="cs-CZ"/>
              </w:rPr>
            </w:pPr>
            <w:r w:rsidRPr="00974AE4">
              <w:rPr>
                <w:rFonts w:cs="Tahoma"/>
                <w:szCs w:val="18"/>
                <w:lang w:eastAsia="cs-CZ"/>
              </w:rPr>
              <w:t>|</w:t>
            </w:r>
          </w:p>
        </w:tc>
        <w:tc>
          <w:tcPr>
            <w:tcW w:w="851" w:type="dxa"/>
          </w:tcPr>
          <w:p w:rsidR="00EB411A" w:rsidRPr="00974AE4" w:rsidRDefault="00213B86" w:rsidP="005F1913">
            <w:pPr>
              <w:pStyle w:val="Tabulkovtext"/>
              <w:jc w:val="center"/>
              <w:rPr>
                <w:rFonts w:cs="Tahoma"/>
                <w:lang w:eastAsia="cs-CZ"/>
              </w:rPr>
            </w:pPr>
            <w:r>
              <w:rPr>
                <w:rFonts w:cs="Tahoma"/>
                <w:lang w:eastAsia="cs-CZ"/>
              </w:rPr>
              <w:t>3,5</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Pardubice-Rosice n. L.</w:t>
            </w:r>
          </w:p>
        </w:tc>
        <w:tc>
          <w:tcPr>
            <w:tcW w:w="851" w:type="dxa"/>
            <w:tcBorders>
              <w:left w:val="single" w:sz="12" w:space="0" w:color="auto"/>
            </w:tcBorders>
          </w:tcPr>
          <w:p w:rsidR="00EB411A" w:rsidRPr="00974AE4" w:rsidRDefault="00EB411A" w:rsidP="005F1913">
            <w:pPr>
              <w:pStyle w:val="Tabulkovtext"/>
              <w:jc w:val="center"/>
              <w:rPr>
                <w:rFonts w:cs="Tahoma"/>
                <w:lang w:eastAsia="cs-CZ"/>
              </w:rPr>
            </w:pPr>
            <w:r>
              <w:rPr>
                <w:rFonts w:cs="Tahoma"/>
                <w:lang w:eastAsia="cs-CZ"/>
              </w:rPr>
              <w:t>4,5</w:t>
            </w:r>
          </w:p>
        </w:tc>
        <w:tc>
          <w:tcPr>
            <w:tcW w:w="992" w:type="dxa"/>
          </w:tcPr>
          <w:p w:rsidR="00EB411A" w:rsidRPr="00974AE4" w:rsidRDefault="00213B86" w:rsidP="005F1913">
            <w:pPr>
              <w:pStyle w:val="Tabulkovtext"/>
              <w:jc w:val="center"/>
              <w:rPr>
                <w:rFonts w:cs="Tahoma"/>
                <w:lang w:eastAsia="cs-CZ"/>
              </w:rPr>
            </w:pPr>
            <w:r>
              <w:rPr>
                <w:rFonts w:cs="Tahoma"/>
                <w:lang w:eastAsia="cs-CZ"/>
              </w:rPr>
              <w:t>3,5</w:t>
            </w:r>
          </w:p>
        </w:tc>
        <w:tc>
          <w:tcPr>
            <w:tcW w:w="850" w:type="dxa"/>
          </w:tcPr>
          <w:p w:rsidR="00EB411A" w:rsidRPr="00974AE4" w:rsidRDefault="00213B86" w:rsidP="005F1913">
            <w:pPr>
              <w:pStyle w:val="Tabulkovtext"/>
              <w:jc w:val="center"/>
              <w:rPr>
                <w:rFonts w:cs="Tahoma"/>
                <w:lang w:eastAsia="cs-CZ"/>
              </w:rPr>
            </w:pPr>
            <w:r>
              <w:rPr>
                <w:rFonts w:cs="Tahoma"/>
                <w:lang w:eastAsia="cs-CZ"/>
              </w:rPr>
              <w:t>3,5</w:t>
            </w:r>
          </w:p>
        </w:tc>
        <w:tc>
          <w:tcPr>
            <w:tcW w:w="851" w:type="dxa"/>
          </w:tcPr>
          <w:p w:rsidR="00EB411A" w:rsidRPr="00974AE4" w:rsidRDefault="00213B86" w:rsidP="005F1913">
            <w:pPr>
              <w:pStyle w:val="Tabulkovtext"/>
              <w:jc w:val="center"/>
              <w:rPr>
                <w:rFonts w:cs="Tahoma"/>
                <w:lang w:eastAsia="cs-CZ"/>
              </w:rPr>
            </w:pPr>
            <w:r>
              <w:rPr>
                <w:rFonts w:cs="Tahoma"/>
                <w:lang w:eastAsia="cs-CZ"/>
              </w:rPr>
              <w:t>2,5</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Pardubice hlavní nádr.</w:t>
            </w:r>
          </w:p>
        </w:tc>
        <w:tc>
          <w:tcPr>
            <w:tcW w:w="851" w:type="dxa"/>
            <w:tcBorders>
              <w:left w:val="single" w:sz="12" w:space="0" w:color="auto"/>
            </w:tcBorders>
          </w:tcPr>
          <w:p w:rsidR="00EB411A" w:rsidRPr="00974AE4" w:rsidRDefault="00EB411A" w:rsidP="005F1913">
            <w:pPr>
              <w:pStyle w:val="Tabulkovtext"/>
              <w:jc w:val="center"/>
              <w:rPr>
                <w:rFonts w:cs="Tahoma"/>
                <w:lang w:eastAsia="cs-CZ"/>
              </w:rPr>
            </w:pPr>
            <w:r>
              <w:rPr>
                <w:rFonts w:cs="Tahoma"/>
                <w:lang w:eastAsia="cs-CZ"/>
              </w:rPr>
              <w:t>3,0</w:t>
            </w:r>
          </w:p>
        </w:tc>
        <w:tc>
          <w:tcPr>
            <w:tcW w:w="992" w:type="dxa"/>
          </w:tcPr>
          <w:p w:rsidR="00EB411A" w:rsidRPr="00974AE4" w:rsidRDefault="00EB411A" w:rsidP="005F1913">
            <w:pPr>
              <w:pStyle w:val="Tabulkovtext"/>
              <w:jc w:val="center"/>
              <w:rPr>
                <w:rFonts w:cs="Tahoma"/>
                <w:lang w:eastAsia="cs-CZ"/>
              </w:rPr>
            </w:pPr>
            <w:r>
              <w:rPr>
                <w:rFonts w:cs="Tahoma"/>
                <w:lang w:eastAsia="cs-CZ"/>
              </w:rPr>
              <w:t>3,0</w:t>
            </w:r>
          </w:p>
        </w:tc>
        <w:tc>
          <w:tcPr>
            <w:tcW w:w="850" w:type="dxa"/>
          </w:tcPr>
          <w:p w:rsidR="00EB411A" w:rsidRPr="00974AE4" w:rsidRDefault="00EB411A" w:rsidP="005F1913">
            <w:pPr>
              <w:pStyle w:val="Tabulkovtext"/>
              <w:jc w:val="center"/>
              <w:rPr>
                <w:rFonts w:cs="Tahoma"/>
                <w:lang w:eastAsia="cs-CZ"/>
              </w:rPr>
            </w:pPr>
            <w:r>
              <w:rPr>
                <w:rFonts w:cs="Tahoma"/>
                <w:lang w:eastAsia="cs-CZ"/>
              </w:rPr>
              <w:t>3,0</w:t>
            </w:r>
          </w:p>
        </w:tc>
        <w:tc>
          <w:tcPr>
            <w:tcW w:w="851" w:type="dxa"/>
          </w:tcPr>
          <w:p w:rsidR="00EB411A" w:rsidRPr="00974AE4" w:rsidRDefault="00213B86" w:rsidP="005F1913">
            <w:pPr>
              <w:pStyle w:val="Tabulkovtext"/>
              <w:jc w:val="center"/>
              <w:rPr>
                <w:rFonts w:cs="Tahoma"/>
                <w:lang w:eastAsia="cs-CZ"/>
              </w:rPr>
            </w:pPr>
            <w:r>
              <w:rPr>
                <w:rFonts w:cs="Tahoma"/>
                <w:lang w:eastAsia="cs-CZ"/>
              </w:rPr>
              <w:t>3,0</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b/>
                <w:lang w:eastAsia="cs-CZ"/>
              </w:rPr>
            </w:pPr>
            <w:r w:rsidRPr="00974AE4">
              <w:rPr>
                <w:rFonts w:ascii="Symbol" w:hAnsi="Symbol" w:cs="Tahoma"/>
                <w:b/>
                <w:lang w:eastAsia="cs-CZ"/>
              </w:rPr>
              <w:t></w:t>
            </w:r>
            <w:r w:rsidRPr="00974AE4">
              <w:rPr>
                <w:rFonts w:cs="Tahoma"/>
                <w:b/>
                <w:lang w:eastAsia="cs-CZ"/>
              </w:rPr>
              <w:t xml:space="preserve"> jizdních dob</w:t>
            </w:r>
          </w:p>
        </w:tc>
        <w:tc>
          <w:tcPr>
            <w:tcW w:w="851" w:type="dxa"/>
            <w:tcBorders>
              <w:left w:val="single" w:sz="12" w:space="0" w:color="auto"/>
            </w:tcBorders>
          </w:tcPr>
          <w:p w:rsidR="00EB411A" w:rsidRPr="00974AE4" w:rsidRDefault="00EB411A" w:rsidP="005F1913">
            <w:pPr>
              <w:pStyle w:val="Tabulkovtext"/>
              <w:jc w:val="center"/>
              <w:rPr>
                <w:rFonts w:cs="Tahoma"/>
                <w:b/>
                <w:lang w:eastAsia="cs-CZ"/>
              </w:rPr>
            </w:pPr>
            <w:r>
              <w:rPr>
                <w:rFonts w:cs="Tahoma"/>
                <w:b/>
                <w:lang w:eastAsia="cs-CZ"/>
              </w:rPr>
              <w:t>15,5</w:t>
            </w:r>
          </w:p>
        </w:tc>
        <w:tc>
          <w:tcPr>
            <w:tcW w:w="992" w:type="dxa"/>
          </w:tcPr>
          <w:p w:rsidR="00EB411A" w:rsidRPr="00974AE4" w:rsidRDefault="00EB411A" w:rsidP="00213B86">
            <w:pPr>
              <w:pStyle w:val="Tabulkovtext"/>
              <w:jc w:val="center"/>
              <w:rPr>
                <w:rFonts w:cs="Tahoma"/>
                <w:b/>
                <w:lang w:eastAsia="cs-CZ"/>
              </w:rPr>
            </w:pPr>
            <w:r>
              <w:rPr>
                <w:rFonts w:cs="Tahoma"/>
                <w:b/>
                <w:lang w:eastAsia="cs-CZ"/>
              </w:rPr>
              <w:t>1</w:t>
            </w:r>
            <w:r w:rsidR="00213B86">
              <w:rPr>
                <w:rFonts w:cs="Tahoma"/>
                <w:b/>
                <w:lang w:eastAsia="cs-CZ"/>
              </w:rPr>
              <w:t>3</w:t>
            </w:r>
            <w:r>
              <w:rPr>
                <w:rFonts w:cs="Tahoma"/>
                <w:b/>
                <w:lang w:eastAsia="cs-CZ"/>
              </w:rPr>
              <w:t>,</w:t>
            </w:r>
            <w:r w:rsidR="00213B86">
              <w:rPr>
                <w:rFonts w:cs="Tahoma"/>
                <w:b/>
                <w:lang w:eastAsia="cs-CZ"/>
              </w:rPr>
              <w:t>5</w:t>
            </w:r>
          </w:p>
        </w:tc>
        <w:tc>
          <w:tcPr>
            <w:tcW w:w="850" w:type="dxa"/>
          </w:tcPr>
          <w:p w:rsidR="00EB411A" w:rsidRPr="00974AE4" w:rsidRDefault="00EB411A" w:rsidP="00213B86">
            <w:pPr>
              <w:pStyle w:val="Tabulkovtext"/>
              <w:jc w:val="center"/>
              <w:rPr>
                <w:rFonts w:cs="Tahoma"/>
                <w:b/>
                <w:lang w:eastAsia="cs-CZ"/>
              </w:rPr>
            </w:pPr>
            <w:r>
              <w:rPr>
                <w:rFonts w:cs="Tahoma"/>
                <w:b/>
                <w:lang w:eastAsia="cs-CZ"/>
              </w:rPr>
              <w:t>1</w:t>
            </w:r>
            <w:r w:rsidR="00213B86">
              <w:rPr>
                <w:rFonts w:cs="Tahoma"/>
                <w:b/>
                <w:lang w:eastAsia="cs-CZ"/>
              </w:rPr>
              <w:t>3</w:t>
            </w:r>
            <w:r>
              <w:rPr>
                <w:rFonts w:cs="Tahoma"/>
                <w:b/>
                <w:lang w:eastAsia="cs-CZ"/>
              </w:rPr>
              <w:t>,0</w:t>
            </w:r>
          </w:p>
        </w:tc>
        <w:tc>
          <w:tcPr>
            <w:tcW w:w="851" w:type="dxa"/>
          </w:tcPr>
          <w:p w:rsidR="00EB411A" w:rsidRPr="00974AE4" w:rsidRDefault="00213B86" w:rsidP="005F1913">
            <w:pPr>
              <w:pStyle w:val="Tabulkovtext"/>
              <w:jc w:val="center"/>
              <w:rPr>
                <w:rFonts w:cs="Tahoma"/>
                <w:b/>
                <w:lang w:eastAsia="cs-CZ"/>
              </w:rPr>
            </w:pPr>
            <w:r>
              <w:rPr>
                <w:rFonts w:cs="Tahoma"/>
                <w:b/>
                <w:lang w:eastAsia="cs-CZ"/>
              </w:rPr>
              <w:t>18,5</w:t>
            </w:r>
          </w:p>
        </w:tc>
        <w:tc>
          <w:tcPr>
            <w:tcW w:w="850" w:type="dxa"/>
          </w:tcPr>
          <w:p w:rsidR="00EB411A" w:rsidRPr="00974AE4" w:rsidRDefault="00EB411A" w:rsidP="005F1913">
            <w:pPr>
              <w:pStyle w:val="Tabulkovtext"/>
              <w:jc w:val="center"/>
              <w:rPr>
                <w:rFonts w:cs="Tahoma"/>
                <w:b/>
                <w:lang w:eastAsia="cs-CZ"/>
              </w:rPr>
            </w:pPr>
          </w:p>
        </w:tc>
        <w:tc>
          <w:tcPr>
            <w:tcW w:w="851" w:type="dxa"/>
          </w:tcPr>
          <w:p w:rsidR="00EB411A" w:rsidRPr="00974AE4" w:rsidRDefault="00EB411A" w:rsidP="005F1913">
            <w:pPr>
              <w:pStyle w:val="Tabulkovtext"/>
              <w:jc w:val="center"/>
              <w:rPr>
                <w:rFonts w:cs="Tahoma"/>
                <w:b/>
                <w:lang w:eastAsia="cs-CZ"/>
              </w:rPr>
            </w:pPr>
          </w:p>
        </w:tc>
        <w:tc>
          <w:tcPr>
            <w:tcW w:w="850" w:type="dxa"/>
          </w:tcPr>
          <w:p w:rsidR="00EB411A" w:rsidRPr="00974AE4" w:rsidRDefault="00EB411A" w:rsidP="005F1913">
            <w:pPr>
              <w:pStyle w:val="Tabulkovtext"/>
              <w:jc w:val="center"/>
              <w:rPr>
                <w:rFonts w:cs="Tahoma"/>
                <w:b/>
                <w:lang w:eastAsia="cs-CZ"/>
              </w:rPr>
            </w:pPr>
          </w:p>
        </w:tc>
        <w:tc>
          <w:tcPr>
            <w:tcW w:w="851" w:type="dxa"/>
          </w:tcPr>
          <w:p w:rsidR="00EB411A" w:rsidRPr="00974AE4" w:rsidRDefault="00EB411A" w:rsidP="005F1913">
            <w:pPr>
              <w:pStyle w:val="Tabulkovtext"/>
              <w:jc w:val="center"/>
              <w:rPr>
                <w:rFonts w:cs="Tahoma"/>
                <w:b/>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974AE4">
              <w:rPr>
                <w:rFonts w:cs="Tahoma"/>
                <w:lang w:eastAsia="cs-CZ"/>
              </w:rPr>
              <w:t>Cestovní doba HK - Par</w:t>
            </w:r>
          </w:p>
        </w:tc>
        <w:tc>
          <w:tcPr>
            <w:tcW w:w="851" w:type="dxa"/>
            <w:tcBorders>
              <w:left w:val="single" w:sz="12" w:space="0" w:color="auto"/>
            </w:tcBorders>
          </w:tcPr>
          <w:p w:rsidR="00EB411A" w:rsidRPr="00974AE4" w:rsidRDefault="00EB411A" w:rsidP="005F1913">
            <w:pPr>
              <w:pStyle w:val="Tabulkovtext"/>
              <w:jc w:val="center"/>
              <w:rPr>
                <w:rFonts w:cs="Tahoma"/>
                <w:lang w:eastAsia="cs-CZ"/>
              </w:rPr>
            </w:pPr>
            <w:r>
              <w:rPr>
                <w:rFonts w:cs="Tahoma"/>
                <w:lang w:eastAsia="cs-CZ"/>
              </w:rPr>
              <w:t>16,5</w:t>
            </w:r>
          </w:p>
        </w:tc>
        <w:tc>
          <w:tcPr>
            <w:tcW w:w="992" w:type="dxa"/>
          </w:tcPr>
          <w:p w:rsidR="00EB411A" w:rsidRPr="00974AE4" w:rsidRDefault="00EB411A" w:rsidP="00213B86">
            <w:pPr>
              <w:pStyle w:val="Tabulkovtext"/>
              <w:jc w:val="center"/>
              <w:rPr>
                <w:rFonts w:cs="Tahoma"/>
                <w:lang w:eastAsia="cs-CZ"/>
              </w:rPr>
            </w:pPr>
            <w:r>
              <w:rPr>
                <w:rFonts w:cs="Tahoma"/>
                <w:lang w:eastAsia="cs-CZ"/>
              </w:rPr>
              <w:t>1</w:t>
            </w:r>
            <w:r w:rsidR="00213B86">
              <w:rPr>
                <w:rFonts w:cs="Tahoma"/>
                <w:lang w:eastAsia="cs-CZ"/>
              </w:rPr>
              <w:t>4</w:t>
            </w:r>
            <w:r>
              <w:rPr>
                <w:rFonts w:cs="Tahoma"/>
                <w:lang w:eastAsia="cs-CZ"/>
              </w:rPr>
              <w:t>,</w:t>
            </w:r>
            <w:r w:rsidR="00213B86">
              <w:rPr>
                <w:rFonts w:cs="Tahoma"/>
                <w:lang w:eastAsia="cs-CZ"/>
              </w:rPr>
              <w:t>5</w:t>
            </w:r>
          </w:p>
        </w:tc>
        <w:tc>
          <w:tcPr>
            <w:tcW w:w="850" w:type="dxa"/>
          </w:tcPr>
          <w:p w:rsidR="00EB411A" w:rsidRPr="00974AE4" w:rsidRDefault="00213B86" w:rsidP="005F1913">
            <w:pPr>
              <w:pStyle w:val="Tabulkovtext"/>
              <w:jc w:val="center"/>
              <w:rPr>
                <w:rFonts w:cs="Tahoma"/>
                <w:lang w:eastAsia="cs-CZ"/>
              </w:rPr>
            </w:pPr>
            <w:r>
              <w:rPr>
                <w:rFonts w:cs="Tahoma"/>
                <w:lang w:eastAsia="cs-CZ"/>
              </w:rPr>
              <w:t>14</w:t>
            </w:r>
            <w:r w:rsidR="00EB411A">
              <w:rPr>
                <w:rFonts w:cs="Tahoma"/>
                <w:lang w:eastAsia="cs-CZ"/>
              </w:rPr>
              <w:t>,0</w:t>
            </w:r>
          </w:p>
        </w:tc>
        <w:tc>
          <w:tcPr>
            <w:tcW w:w="851" w:type="dxa"/>
          </w:tcPr>
          <w:p w:rsidR="006819BA" w:rsidRDefault="002C6FC5" w:rsidP="00092F1A">
            <w:pPr>
              <w:pStyle w:val="Tabulkovtext"/>
              <w:jc w:val="center"/>
              <w:rPr>
                <w:rFonts w:cs="Tahoma"/>
                <w:b/>
                <w:bCs/>
                <w:kern w:val="28"/>
                <w:szCs w:val="32"/>
                <w:lang w:eastAsia="cs-CZ"/>
              </w:rPr>
            </w:pPr>
            <w:r>
              <w:rPr>
                <w:rFonts w:cs="Tahoma"/>
                <w:lang w:eastAsia="cs-CZ"/>
              </w:rPr>
              <w:t>21,5</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r>
      <w:tr w:rsidR="00EB411A" w:rsidRPr="00974AE4" w:rsidTr="006B08CB">
        <w:tc>
          <w:tcPr>
            <w:tcW w:w="2410" w:type="dxa"/>
            <w:tcBorders>
              <w:right w:val="single" w:sz="12" w:space="0" w:color="auto"/>
            </w:tcBorders>
            <w:shd w:val="pct10" w:color="auto" w:fill="auto"/>
          </w:tcPr>
          <w:p w:rsidR="00EB411A" w:rsidRPr="00974AE4" w:rsidRDefault="00EB411A" w:rsidP="005F1913">
            <w:pPr>
              <w:pStyle w:val="Tabulkovtext"/>
              <w:rPr>
                <w:rFonts w:cs="Tahoma"/>
                <w:lang w:eastAsia="cs-CZ"/>
              </w:rPr>
            </w:pPr>
            <w:r w:rsidRPr="00B95BFD">
              <w:rPr>
                <w:rFonts w:cs="Tahoma"/>
                <w:i/>
                <w:lang w:eastAsia="cs-CZ"/>
              </w:rPr>
              <w:t>úspora oproti současnosti</w:t>
            </w:r>
          </w:p>
        </w:tc>
        <w:tc>
          <w:tcPr>
            <w:tcW w:w="851" w:type="dxa"/>
            <w:tcBorders>
              <w:left w:val="single" w:sz="12" w:space="0" w:color="auto"/>
            </w:tcBorders>
          </w:tcPr>
          <w:p w:rsidR="00EB411A" w:rsidRPr="00EB411A" w:rsidRDefault="00EB411A" w:rsidP="005F1913">
            <w:pPr>
              <w:pStyle w:val="Tabulkovtext"/>
              <w:jc w:val="center"/>
              <w:rPr>
                <w:rFonts w:cs="Tahoma"/>
                <w:b/>
                <w:i/>
                <w:lang w:eastAsia="cs-CZ"/>
              </w:rPr>
            </w:pPr>
            <w:r w:rsidRPr="00EB411A">
              <w:rPr>
                <w:rFonts w:cs="Tahoma"/>
                <w:b/>
                <w:i/>
                <w:lang w:eastAsia="cs-CZ"/>
              </w:rPr>
              <w:t>2,5</w:t>
            </w:r>
          </w:p>
        </w:tc>
        <w:tc>
          <w:tcPr>
            <w:tcW w:w="992" w:type="dxa"/>
          </w:tcPr>
          <w:p w:rsidR="00EB411A" w:rsidRPr="00EB411A" w:rsidRDefault="008F73DA" w:rsidP="00213B86">
            <w:pPr>
              <w:pStyle w:val="Tabulkovtext"/>
              <w:jc w:val="center"/>
              <w:rPr>
                <w:rFonts w:cs="Tahoma"/>
                <w:b/>
                <w:i/>
                <w:lang w:eastAsia="cs-CZ"/>
              </w:rPr>
            </w:pPr>
            <w:r>
              <w:rPr>
                <w:rFonts w:cs="Tahoma"/>
                <w:b/>
                <w:i/>
                <w:lang w:eastAsia="cs-CZ"/>
              </w:rPr>
              <w:t>4</w:t>
            </w:r>
            <w:r w:rsidR="00EB411A" w:rsidRPr="00EB411A">
              <w:rPr>
                <w:rFonts w:cs="Tahoma"/>
                <w:b/>
                <w:i/>
                <w:lang w:eastAsia="cs-CZ"/>
              </w:rPr>
              <w:t>,</w:t>
            </w:r>
            <w:r w:rsidR="00213B86">
              <w:rPr>
                <w:rFonts w:cs="Tahoma"/>
                <w:b/>
                <w:i/>
                <w:lang w:eastAsia="cs-CZ"/>
              </w:rPr>
              <w:t>5</w:t>
            </w:r>
          </w:p>
        </w:tc>
        <w:tc>
          <w:tcPr>
            <w:tcW w:w="850" w:type="dxa"/>
          </w:tcPr>
          <w:p w:rsidR="00EB411A" w:rsidRPr="00EB411A" w:rsidRDefault="002C6FC5" w:rsidP="005F1913">
            <w:pPr>
              <w:pStyle w:val="Tabulkovtext"/>
              <w:jc w:val="center"/>
              <w:rPr>
                <w:rFonts w:cs="Tahoma"/>
                <w:b/>
                <w:i/>
                <w:lang w:eastAsia="cs-CZ"/>
              </w:rPr>
            </w:pPr>
            <w:r>
              <w:rPr>
                <w:rFonts w:cs="Tahoma"/>
                <w:b/>
                <w:i/>
                <w:lang w:eastAsia="cs-CZ"/>
              </w:rPr>
              <w:t>10</w:t>
            </w:r>
            <w:r w:rsidR="002E036E">
              <w:rPr>
                <w:rFonts w:cs="Tahoma"/>
                <w:b/>
                <w:i/>
                <w:lang w:eastAsia="cs-CZ"/>
              </w:rPr>
              <w:t>,5</w:t>
            </w:r>
          </w:p>
        </w:tc>
        <w:tc>
          <w:tcPr>
            <w:tcW w:w="851" w:type="dxa"/>
          </w:tcPr>
          <w:p w:rsidR="006819BA" w:rsidRDefault="000A363A" w:rsidP="00092F1A">
            <w:pPr>
              <w:pStyle w:val="Tabulkovtext"/>
              <w:jc w:val="center"/>
              <w:rPr>
                <w:rFonts w:cs="Tahoma"/>
                <w:b/>
                <w:bCs/>
                <w:i/>
                <w:kern w:val="28"/>
                <w:szCs w:val="32"/>
                <w:lang w:eastAsia="cs-CZ"/>
              </w:rPr>
            </w:pPr>
            <w:r>
              <w:rPr>
                <w:rFonts w:cs="Tahoma"/>
                <w:b/>
                <w:i/>
                <w:lang w:eastAsia="cs-CZ"/>
              </w:rPr>
              <w:t>5,</w:t>
            </w:r>
            <w:r w:rsidR="002C6FC5">
              <w:rPr>
                <w:rFonts w:cs="Tahoma"/>
                <w:b/>
                <w:i/>
                <w:lang w:eastAsia="cs-CZ"/>
              </w:rPr>
              <w:t>5</w:t>
            </w: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c>
          <w:tcPr>
            <w:tcW w:w="850" w:type="dxa"/>
          </w:tcPr>
          <w:p w:rsidR="00EB411A" w:rsidRPr="00974AE4" w:rsidRDefault="00EB411A" w:rsidP="005F1913">
            <w:pPr>
              <w:pStyle w:val="Tabulkovtext"/>
              <w:jc w:val="center"/>
              <w:rPr>
                <w:rFonts w:cs="Tahoma"/>
                <w:lang w:eastAsia="cs-CZ"/>
              </w:rPr>
            </w:pPr>
          </w:p>
        </w:tc>
        <w:tc>
          <w:tcPr>
            <w:tcW w:w="851" w:type="dxa"/>
          </w:tcPr>
          <w:p w:rsidR="00EB411A" w:rsidRPr="00974AE4" w:rsidRDefault="00EB411A" w:rsidP="005F1913">
            <w:pPr>
              <w:pStyle w:val="Tabulkovtext"/>
              <w:jc w:val="center"/>
              <w:rPr>
                <w:rFonts w:cs="Tahoma"/>
                <w:lang w:eastAsia="cs-CZ"/>
              </w:rPr>
            </w:pPr>
          </w:p>
        </w:tc>
      </w:tr>
    </w:tbl>
    <w:p w:rsidR="002C2C26" w:rsidRDefault="00457DAB" w:rsidP="005F1913">
      <w:r w:rsidRPr="00974AE4">
        <w:t xml:space="preserve">V projektové variantě </w:t>
      </w:r>
      <w:r w:rsidR="00D5061B">
        <w:t>M</w:t>
      </w:r>
      <w:r w:rsidR="00D5061B" w:rsidRPr="00974AE4">
        <w:t xml:space="preserve">aximální </w:t>
      </w:r>
      <w:r w:rsidRPr="00974AE4">
        <w:t xml:space="preserve">se předpokládá úplné zdvoukolejnění úseku Pardubice hl. nádr. – Hradec Králové hl. nádr., a v takovém případě </w:t>
      </w:r>
      <w:r w:rsidR="005F1913">
        <w:t xml:space="preserve">bude </w:t>
      </w:r>
      <w:r w:rsidRPr="00974AE4">
        <w:t>využ</w:t>
      </w:r>
      <w:r w:rsidR="005F1913">
        <w:t>i</w:t>
      </w:r>
      <w:r w:rsidRPr="00974AE4">
        <w:t>t</w:t>
      </w:r>
      <w:r w:rsidR="005F1913">
        <w:t>o</w:t>
      </w:r>
      <w:r w:rsidRPr="00974AE4">
        <w:t xml:space="preserve"> příznivého směrového vedení tratě</w:t>
      </w:r>
      <w:r w:rsidR="005F1913">
        <w:t xml:space="preserve"> a s pomocí přeložek oblouků menšího rozsahu bude </w:t>
      </w:r>
      <w:r w:rsidRPr="00974AE4">
        <w:t>traťov</w:t>
      </w:r>
      <w:r w:rsidR="005F1913">
        <w:t xml:space="preserve">á rychlost zvýšena </w:t>
      </w:r>
      <w:r w:rsidRPr="00974AE4">
        <w:t xml:space="preserve">na </w:t>
      </w:r>
      <w:smartTag w:uri="urn:schemas-microsoft-com:office:smarttags" w:element="metricconverter">
        <w:smartTagPr>
          <w:attr w:name="ProductID" w:val="160ﾠkm/hod"/>
        </w:smartTagPr>
        <w:r w:rsidRPr="00974AE4">
          <w:t>160 km/hod</w:t>
        </w:r>
      </w:smartTag>
      <w:r w:rsidRPr="00974AE4">
        <w:t xml:space="preserve">. </w:t>
      </w:r>
      <w:r w:rsidR="005F1913">
        <w:t>Projektant proto uvádí i jízdní doby pro jednotk</w:t>
      </w:r>
      <w:r w:rsidR="004F649E">
        <w:t>u</w:t>
      </w:r>
      <w:r w:rsidR="005F1913">
        <w:t xml:space="preserve"> RegioSwinger, která má konstrukční rychlost </w:t>
      </w:r>
      <w:smartTag w:uri="urn:schemas-microsoft-com:office:smarttags" w:element="metricconverter">
        <w:smartTagPr>
          <w:attr w:name="ProductID" w:val="160ﾠkm/hod"/>
        </w:smartTagPr>
        <w:r w:rsidR="005F1913">
          <w:t>160 km/hod</w:t>
        </w:r>
      </w:smartTag>
      <w:r w:rsidR="004F649E">
        <w:t xml:space="preserve"> a která slouží jako model pro dieselovou jednotku, která zde </w:t>
      </w:r>
      <w:r w:rsidR="008B2A57">
        <w:t xml:space="preserve">může být </w:t>
      </w:r>
      <w:r w:rsidR="004F649E">
        <w:t>nasazena a která bude mít stejnou konstrukční rychlost</w:t>
      </w:r>
      <w:r w:rsidR="005F1913">
        <w:t xml:space="preserve">. </w:t>
      </w:r>
      <w:r w:rsidRPr="00974AE4">
        <w:t xml:space="preserve">U zastávkových vlaků je využití rychlostního pásma nad </w:t>
      </w:r>
      <w:smartTag w:uri="urn:schemas-microsoft-com:office:smarttags" w:element="metricconverter">
        <w:smartTagPr>
          <w:attr w:name="ProductID" w:val="120 km/hod"/>
        </w:smartTagPr>
        <w:r w:rsidRPr="00974AE4">
          <w:t>120 km/hod</w:t>
        </w:r>
      </w:smartTag>
      <w:r w:rsidRPr="00974AE4">
        <w:t xml:space="preserve"> m</w:t>
      </w:r>
      <w:r w:rsidR="005F1913">
        <w:t>álo významné</w:t>
      </w:r>
      <w:r w:rsidRPr="00974AE4">
        <w:t>.</w:t>
      </w:r>
    </w:p>
    <w:p w:rsidR="00225B27" w:rsidRPr="001176E7" w:rsidRDefault="002C2C26" w:rsidP="005F1913">
      <w:r w:rsidRPr="008B2A57">
        <w:t>P</w:t>
      </w:r>
      <w:r w:rsidRPr="008B2A57">
        <w:rPr>
          <w:rFonts w:hint="eastAsia"/>
        </w:rPr>
        <w:t>ř</w:t>
      </w:r>
      <w:r w:rsidRPr="008B2A57">
        <w:t>i porovnávání jízdních dob zastávkových osobních vlak</w:t>
      </w:r>
      <w:r w:rsidRPr="008B2A57">
        <w:rPr>
          <w:rFonts w:hint="eastAsia"/>
        </w:rPr>
        <w:t>ů</w:t>
      </w:r>
      <w:r w:rsidRPr="008B2A57">
        <w:t xml:space="preserve"> v</w:t>
      </w:r>
      <w:r w:rsidR="008B2A57">
        <w:t xml:space="preserve"> Etap</w:t>
      </w:r>
      <w:r w:rsidR="00D5061B">
        <w:t>ě</w:t>
      </w:r>
      <w:r w:rsidRPr="008B2A57">
        <w:t> </w:t>
      </w:r>
      <w:r w:rsidR="008B2A57">
        <w:t xml:space="preserve">a </w:t>
      </w:r>
      <w:r w:rsidRPr="008B2A57">
        <w:t>variant</w:t>
      </w:r>
      <w:r w:rsidR="008B2A57">
        <w:t>ě</w:t>
      </w:r>
      <w:r w:rsidRPr="008B2A57">
        <w:t xml:space="preserve"> Maximální se sou</w:t>
      </w:r>
      <w:r w:rsidRPr="008B2A57">
        <w:rPr>
          <w:rFonts w:hint="eastAsia"/>
        </w:rPr>
        <w:t>č</w:t>
      </w:r>
      <w:r w:rsidRPr="008B2A57">
        <w:t>asným stavem je pot</w:t>
      </w:r>
      <w:r w:rsidRPr="008B2A57">
        <w:rPr>
          <w:rFonts w:hint="eastAsia"/>
        </w:rPr>
        <w:t>ř</w:t>
      </w:r>
      <w:r w:rsidRPr="008B2A57">
        <w:t>eba vzít v úvahu skute</w:t>
      </w:r>
      <w:r w:rsidRPr="008B2A57">
        <w:rPr>
          <w:rFonts w:hint="eastAsia"/>
        </w:rPr>
        <w:t>č</w:t>
      </w:r>
      <w:r w:rsidRPr="008B2A57">
        <w:t xml:space="preserve">nost, </w:t>
      </w:r>
      <w:r w:rsidRPr="008B2A57">
        <w:rPr>
          <w:rFonts w:hint="eastAsia"/>
        </w:rPr>
        <w:t>ž</w:t>
      </w:r>
      <w:r w:rsidRPr="008B2A57">
        <w:t>e se z</w:t>
      </w:r>
      <w:r w:rsidRPr="008B2A57">
        <w:rPr>
          <w:rFonts w:hint="eastAsia"/>
        </w:rPr>
        <w:t>ř</w:t>
      </w:r>
      <w:r w:rsidRPr="008B2A57">
        <w:t>izuje jedno místo zastavení navíc.</w:t>
      </w:r>
      <w:r>
        <w:t xml:space="preserve">  </w:t>
      </w:r>
      <w:r w:rsidR="00457DAB" w:rsidRPr="00974AE4">
        <w:t xml:space="preserve"> </w:t>
      </w:r>
    </w:p>
    <w:p w:rsidR="002E5756" w:rsidRDefault="002E5756">
      <w:pPr>
        <w:suppressAutoHyphens w:val="0"/>
        <w:spacing w:before="0" w:after="0" w:line="240" w:lineRule="auto"/>
        <w:jc w:val="left"/>
        <w:rPr>
          <w:b/>
          <w:bCs/>
          <w:sz w:val="24"/>
        </w:rPr>
      </w:pPr>
      <w:r>
        <w:br w:type="page"/>
      </w:r>
    </w:p>
    <w:p w:rsidR="00225B27" w:rsidRPr="001176E7" w:rsidRDefault="00225B27" w:rsidP="00887E61">
      <w:pPr>
        <w:pStyle w:val="Nadpis3"/>
        <w:ind w:hanging="8234"/>
      </w:pPr>
      <w:r w:rsidRPr="001176E7">
        <w:t>Obecné předpoklady pro sestavu GVD dle variant</w:t>
      </w:r>
      <w:r w:rsidR="00A92DA7">
        <w:t xml:space="preserve"> a Etapy</w:t>
      </w:r>
    </w:p>
    <w:p w:rsidR="00AC0166" w:rsidRDefault="004F649E" w:rsidP="00D367C8">
      <w:r>
        <w:t xml:space="preserve">Ve variantě </w:t>
      </w:r>
      <w:r w:rsidR="00AC0166">
        <w:t>M</w:t>
      </w:r>
      <w:r>
        <w:t>inimální lze předpokládat, že doprava bude organizována jako v dnešním stavu, žádné zásahy umožňující zvýšení rychlosti</w:t>
      </w:r>
      <w:r w:rsidR="008736FF">
        <w:t xml:space="preserve"> a zvýšení kapacity trati v této variantě nejsou. Modelový grafikon proto není pro tuto variantu zpracován.</w:t>
      </w:r>
      <w:r w:rsidR="00AC0166">
        <w:t xml:space="preserve"> Není zpracován ani pro variantu Maximální, ve které zdvoukolejnění celé tratě přinese dostatek kapacity a široké možnosti sestavy GVD.</w:t>
      </w:r>
    </w:p>
    <w:p w:rsidR="006C549F" w:rsidRPr="007814AC" w:rsidRDefault="008736FF" w:rsidP="00D367C8">
      <w:r w:rsidRPr="008B2A57">
        <w:t xml:space="preserve">V </w:t>
      </w:r>
      <w:r w:rsidR="008B2A57">
        <w:t>Etap</w:t>
      </w:r>
      <w:r w:rsidR="0014029C">
        <w:t>ě</w:t>
      </w:r>
      <w:r w:rsidR="008B2A57">
        <w:t xml:space="preserve"> </w:t>
      </w:r>
      <w:r w:rsidR="00AA483E">
        <w:t>se projevuje vliv projektu „Modernizace trati Hradec Králové – Pardubice – Chrudim, Zdvoukolejnění úseku Stéblová – Opatovice nad Lab.“ v jeho redukované podobě, ve které prakticky došlo ke zkrácení dvoukolejného úseku o celou délku železniční stanice Opatovice nad Labem. Křižování či míjení vlaků tak vychází do konců dvoukolejného úseku s minimální rezervou pro posun tras. Z pohledu organizace dopravy se proto</w:t>
      </w:r>
      <w:r w:rsidR="006C549F">
        <w:t xml:space="preserve"> rozhodně doporučuje, </w:t>
      </w:r>
      <w:r w:rsidR="006C549F" w:rsidRPr="007814AC">
        <w:t>aby stav podle této varianty byl p</w:t>
      </w:r>
      <w:r w:rsidR="006C549F" w:rsidRPr="007814AC">
        <w:rPr>
          <w:rFonts w:hint="eastAsia"/>
        </w:rPr>
        <w:t>ř</w:t>
      </w:r>
      <w:r w:rsidR="006C549F" w:rsidRPr="007814AC">
        <w:t>echodný a pokra</w:t>
      </w:r>
      <w:r w:rsidR="006C549F" w:rsidRPr="007814AC">
        <w:rPr>
          <w:rFonts w:hint="eastAsia"/>
        </w:rPr>
        <w:t>č</w:t>
      </w:r>
      <w:r w:rsidR="006C549F" w:rsidRPr="007814AC">
        <w:t>ovalo se s projektovu p</w:t>
      </w:r>
      <w:r w:rsidR="006C549F" w:rsidRPr="007814AC">
        <w:rPr>
          <w:rFonts w:hint="eastAsia"/>
        </w:rPr>
        <w:t>ří</w:t>
      </w:r>
      <w:r w:rsidR="006C549F" w:rsidRPr="007814AC">
        <w:t>pravou sm</w:t>
      </w:r>
      <w:r w:rsidR="006C549F" w:rsidRPr="007814AC">
        <w:rPr>
          <w:rFonts w:hint="eastAsia"/>
        </w:rPr>
        <w:t>ěř</w:t>
      </w:r>
      <w:r w:rsidR="006C549F" w:rsidRPr="007814AC">
        <w:t>ující k realizaci varianty Maximální.</w:t>
      </w:r>
    </w:p>
    <w:p w:rsidR="00796829" w:rsidRPr="007814AC" w:rsidRDefault="009C4478" w:rsidP="00D367C8">
      <w:pPr>
        <w:rPr>
          <w:vertAlign w:val="subscript"/>
        </w:rPr>
      </w:pPr>
      <w:r w:rsidRPr="007814AC">
        <w:t>V model</w:t>
      </w:r>
      <w:r w:rsidR="007814AC">
        <w:t>u GVD</w:t>
      </w:r>
      <w:r w:rsidRPr="007814AC">
        <w:t xml:space="preserve"> </w:t>
      </w:r>
      <w:r w:rsidR="007814AC">
        <w:t>pro Etap</w:t>
      </w:r>
      <w:r w:rsidR="001075CA">
        <w:t>u</w:t>
      </w:r>
      <w:r w:rsidR="007814AC">
        <w:t xml:space="preserve"> </w:t>
      </w:r>
      <w:r w:rsidRPr="007814AC">
        <w:t>jsou rychlíky a sp</w:t>
      </w:r>
      <w:r w:rsidRPr="007814AC">
        <w:rPr>
          <w:rFonts w:hint="eastAsia"/>
        </w:rPr>
        <w:t>ěš</w:t>
      </w:r>
      <w:r w:rsidRPr="007814AC">
        <w:t>né</w:t>
      </w:r>
      <w:r w:rsidR="00B36DD6" w:rsidRPr="007814AC">
        <w:t xml:space="preserve"> vlaky</w:t>
      </w:r>
      <w:r w:rsidRPr="007814AC">
        <w:t xml:space="preserve"> orientovány do Hradc</w:t>
      </w:r>
      <w:r w:rsidR="00B36DD6" w:rsidRPr="007814AC">
        <w:t>e</w:t>
      </w:r>
      <w:r w:rsidRPr="007814AC">
        <w:t xml:space="preserve"> </w:t>
      </w:r>
      <w:r w:rsidR="00B36DD6" w:rsidRPr="007814AC">
        <w:t>K</w:t>
      </w:r>
      <w:r w:rsidRPr="007814AC">
        <w:t>rálové k HH:00 a HH:30, osobní zastávkové vlaky k osám regionální dopravy HH:15 a HH:45. Za t</w:t>
      </w:r>
      <w:r w:rsidRPr="007814AC">
        <w:rPr>
          <w:rFonts w:hint="eastAsia"/>
        </w:rPr>
        <w:t>ě</w:t>
      </w:r>
      <w:r w:rsidRPr="007814AC">
        <w:t>chto p</w:t>
      </w:r>
      <w:r w:rsidRPr="007814AC">
        <w:rPr>
          <w:rFonts w:hint="eastAsia"/>
        </w:rPr>
        <w:t>ř</w:t>
      </w:r>
      <w:r w:rsidRPr="007814AC">
        <w:t>edpoklad</w:t>
      </w:r>
      <w:r w:rsidRPr="007814AC">
        <w:rPr>
          <w:rFonts w:hint="eastAsia"/>
        </w:rPr>
        <w:t>ů</w:t>
      </w:r>
      <w:r w:rsidR="00B91065" w:rsidRPr="007814AC">
        <w:t xml:space="preserve"> </w:t>
      </w:r>
      <w:r w:rsidRPr="007814AC">
        <w:t>rychlíky a sp</w:t>
      </w:r>
      <w:r w:rsidRPr="007814AC">
        <w:rPr>
          <w:rFonts w:hint="eastAsia"/>
        </w:rPr>
        <w:t>ěš</w:t>
      </w:r>
      <w:r w:rsidRPr="007814AC">
        <w:t>né vlaky k</w:t>
      </w:r>
      <w:r w:rsidRPr="007814AC">
        <w:rPr>
          <w:rFonts w:hint="eastAsia"/>
        </w:rPr>
        <w:t>ř</w:t>
      </w:r>
      <w:r w:rsidRPr="007814AC">
        <w:t>ižují</w:t>
      </w:r>
      <w:r w:rsidR="003166CC" w:rsidRPr="007814AC">
        <w:t xml:space="preserve"> v Pardubicích-Rosicích nad Labem, osobní vlaky k</w:t>
      </w:r>
      <w:r w:rsidR="003166CC" w:rsidRPr="007814AC">
        <w:rPr>
          <w:rFonts w:hint="eastAsia"/>
        </w:rPr>
        <w:t>ř</w:t>
      </w:r>
      <w:r w:rsidR="003166CC" w:rsidRPr="007814AC">
        <w:t>ižují ve Stéblové a na druhém konci dvoukolejného úseku je nutné dodržet interval postupného vjezdu a odjezdu z a na 1kolejný úsek. Trasy vlak</w:t>
      </w:r>
      <w:r w:rsidR="003166CC" w:rsidRPr="007814AC">
        <w:rPr>
          <w:rFonts w:hint="eastAsia"/>
        </w:rPr>
        <w:t>ů</w:t>
      </w:r>
      <w:r w:rsidR="003166CC" w:rsidRPr="007814AC">
        <w:t xml:space="preserve"> jsou t</w:t>
      </w:r>
      <w:r w:rsidR="003166CC" w:rsidRPr="007814AC">
        <w:rPr>
          <w:rFonts w:hint="eastAsia"/>
        </w:rPr>
        <w:t>ě</w:t>
      </w:r>
      <w:r w:rsidR="003166CC" w:rsidRPr="007814AC">
        <w:t>mito p</w:t>
      </w:r>
      <w:r w:rsidR="003166CC" w:rsidRPr="007814AC">
        <w:rPr>
          <w:rFonts w:hint="eastAsia"/>
        </w:rPr>
        <w:t>ř</w:t>
      </w:r>
      <w:r w:rsidR="003166CC" w:rsidRPr="007814AC">
        <w:t>edpoklady pom</w:t>
      </w:r>
      <w:r w:rsidR="003166CC" w:rsidRPr="007814AC">
        <w:rPr>
          <w:rFonts w:hint="eastAsia"/>
        </w:rPr>
        <w:t>ě</w:t>
      </w:r>
      <w:r w:rsidR="003166CC" w:rsidRPr="007814AC">
        <w:t>rn</w:t>
      </w:r>
      <w:r w:rsidR="003166CC" w:rsidRPr="007814AC">
        <w:rPr>
          <w:rFonts w:hint="eastAsia"/>
        </w:rPr>
        <w:t>ě</w:t>
      </w:r>
      <w:r w:rsidR="003166CC" w:rsidRPr="007814AC">
        <w:t xml:space="preserve"> p</w:t>
      </w:r>
      <w:r w:rsidR="003166CC" w:rsidRPr="007814AC">
        <w:rPr>
          <w:rFonts w:hint="eastAsia"/>
        </w:rPr>
        <w:t>ř</w:t>
      </w:r>
      <w:r w:rsidR="003166CC" w:rsidRPr="007814AC">
        <w:t>esn</w:t>
      </w:r>
      <w:r w:rsidR="003166CC" w:rsidRPr="007814AC">
        <w:rPr>
          <w:rFonts w:hint="eastAsia"/>
        </w:rPr>
        <w:t>ě</w:t>
      </w:r>
      <w:r w:rsidR="003166CC" w:rsidRPr="007814AC">
        <w:t xml:space="preserve"> vymezeny</w:t>
      </w:r>
      <w:r w:rsidR="00267ACB">
        <w:t>.</w:t>
      </w:r>
      <w:r w:rsidR="003166CC" w:rsidRPr="007814AC">
        <w:t>. Jízdní doby sp</w:t>
      </w:r>
      <w:r w:rsidR="003166CC" w:rsidRPr="007814AC">
        <w:rPr>
          <w:rFonts w:hint="eastAsia"/>
        </w:rPr>
        <w:t>ěš</w:t>
      </w:r>
      <w:r w:rsidR="003166CC" w:rsidRPr="007814AC">
        <w:t>ných vlak</w:t>
      </w:r>
      <w:r w:rsidR="003166CC" w:rsidRPr="007814AC">
        <w:rPr>
          <w:rFonts w:hint="eastAsia"/>
        </w:rPr>
        <w:t>ů</w:t>
      </w:r>
      <w:r w:rsidR="003166CC" w:rsidRPr="007814AC">
        <w:t xml:space="preserve"> a rychlík</w:t>
      </w:r>
      <w:r w:rsidR="003166CC" w:rsidRPr="007814AC">
        <w:rPr>
          <w:rFonts w:hint="eastAsia"/>
        </w:rPr>
        <w:t>ů</w:t>
      </w:r>
      <w:r w:rsidR="003166CC" w:rsidRPr="007814AC">
        <w:t xml:space="preserve"> se mírn</w:t>
      </w:r>
      <w:r w:rsidR="003166CC" w:rsidRPr="007814AC">
        <w:rPr>
          <w:rFonts w:hint="eastAsia"/>
        </w:rPr>
        <w:t>ě</w:t>
      </w:r>
      <w:r w:rsidR="003166CC" w:rsidRPr="007814AC">
        <w:t xml:space="preserve"> liší a to z toho d</w:t>
      </w:r>
      <w:r w:rsidR="003166CC" w:rsidRPr="007814AC">
        <w:rPr>
          <w:rFonts w:hint="eastAsia"/>
        </w:rPr>
        <w:t>ů</w:t>
      </w:r>
      <w:r w:rsidR="003166CC" w:rsidRPr="007814AC">
        <w:t xml:space="preserve">vodu, </w:t>
      </w:r>
      <w:r w:rsidR="003166CC" w:rsidRPr="007814AC">
        <w:rPr>
          <w:rFonts w:hint="eastAsia"/>
        </w:rPr>
        <w:t>ž</w:t>
      </w:r>
      <w:r w:rsidR="003166CC" w:rsidRPr="007814AC">
        <w:t>e elektrické jednotky nasazené na Sp vlacích s V</w:t>
      </w:r>
      <w:r w:rsidR="003166CC" w:rsidRPr="007814AC">
        <w:rPr>
          <w:vertAlign w:val="subscript"/>
        </w:rPr>
        <w:t>max</w:t>
      </w:r>
      <w:r w:rsidR="003166CC" w:rsidRPr="007814AC">
        <w:t xml:space="preserve"> = 160 nejsou um</w:t>
      </w:r>
      <w:r w:rsidR="003166CC" w:rsidRPr="007814AC">
        <w:rPr>
          <w:rFonts w:hint="eastAsia"/>
        </w:rPr>
        <w:t>ě</w:t>
      </w:r>
      <w:r w:rsidR="003166CC" w:rsidRPr="007814AC">
        <w:t>le zpomalovány, aby byly slad</w:t>
      </w:r>
      <w:r w:rsidR="003166CC" w:rsidRPr="007814AC">
        <w:rPr>
          <w:rFonts w:hint="eastAsia"/>
        </w:rPr>
        <w:t>ě</w:t>
      </w:r>
      <w:r w:rsidR="003166CC" w:rsidRPr="007814AC">
        <w:t>ny do p</w:t>
      </w:r>
      <w:r w:rsidR="003166CC" w:rsidRPr="007814AC">
        <w:rPr>
          <w:rFonts w:hint="eastAsia"/>
        </w:rPr>
        <w:t>ř</w:t>
      </w:r>
      <w:r w:rsidR="003166CC" w:rsidRPr="007814AC">
        <w:t>esného taktu s dieselovými jednotkami s V</w:t>
      </w:r>
      <w:r w:rsidR="003166CC" w:rsidRPr="007814AC">
        <w:rPr>
          <w:vertAlign w:val="subscript"/>
        </w:rPr>
        <w:t>max</w:t>
      </w:r>
      <w:r w:rsidR="003166CC" w:rsidRPr="007814AC">
        <w:t xml:space="preserve"> = 120</w:t>
      </w:r>
      <w:r w:rsidR="003166CC" w:rsidRPr="007814AC">
        <w:rPr>
          <w:vertAlign w:val="subscript"/>
        </w:rPr>
        <w:t>.</w:t>
      </w:r>
    </w:p>
    <w:p w:rsidR="0062681E" w:rsidRPr="007814AC" w:rsidRDefault="00796829" w:rsidP="00D367C8">
      <w:r w:rsidRPr="007814AC">
        <w:t>Uveden</w:t>
      </w:r>
      <w:r w:rsidR="007814AC">
        <w:t>ý</w:t>
      </w:r>
      <w:r w:rsidRPr="007814AC">
        <w:t xml:space="preserve"> modelov</w:t>
      </w:r>
      <w:r w:rsidR="007814AC">
        <w:t>ý</w:t>
      </w:r>
      <w:r w:rsidRPr="007814AC">
        <w:t xml:space="preserve"> grafikon obsahuj</w:t>
      </w:r>
      <w:r w:rsidR="007814AC">
        <w:t>e</w:t>
      </w:r>
      <w:r w:rsidRPr="007814AC">
        <w:t xml:space="preserve"> </w:t>
      </w:r>
      <w:r w:rsidR="00F1001A" w:rsidRPr="007814AC">
        <w:rPr>
          <w:b/>
        </w:rPr>
        <w:t>plný rozsah celostátní a regionální dopravy</w:t>
      </w:r>
      <w:r w:rsidRPr="007814AC">
        <w:t xml:space="preserve"> </w:t>
      </w:r>
      <w:r w:rsidR="00F0419C" w:rsidRPr="007814AC">
        <w:t>ve špi</w:t>
      </w:r>
      <w:r w:rsidR="00F0419C" w:rsidRPr="007814AC">
        <w:rPr>
          <w:rFonts w:hint="eastAsia"/>
        </w:rPr>
        <w:t>č</w:t>
      </w:r>
      <w:r w:rsidR="00F0419C" w:rsidRPr="007814AC">
        <w:t xml:space="preserve">ce </w:t>
      </w:r>
      <w:r w:rsidRPr="007814AC">
        <w:t>podle p</w:t>
      </w:r>
      <w:r w:rsidRPr="007814AC">
        <w:rPr>
          <w:rFonts w:hint="eastAsia"/>
        </w:rPr>
        <w:t>ř</w:t>
      </w:r>
      <w:r w:rsidRPr="007814AC">
        <w:t>edstav objednavatel</w:t>
      </w:r>
      <w:r w:rsidRPr="007814AC">
        <w:rPr>
          <w:rFonts w:hint="eastAsia"/>
        </w:rPr>
        <w:t>ů</w:t>
      </w:r>
      <w:r w:rsidRPr="007814AC">
        <w:t>, ovšem neumož</w:t>
      </w:r>
      <w:r w:rsidRPr="007814AC">
        <w:rPr>
          <w:rFonts w:hint="eastAsia"/>
        </w:rPr>
        <w:t>ň</w:t>
      </w:r>
      <w:r w:rsidRPr="007814AC">
        <w:t>uj</w:t>
      </w:r>
      <w:r w:rsidR="007814AC">
        <w:t>e</w:t>
      </w:r>
      <w:r w:rsidRPr="007814AC">
        <w:t xml:space="preserve"> v jednokolejných úsecích Pardubice-Rosice nad Lab. – Stéblová a Opatovice nad Lab. – Hradec Králové hlavní nádr. </w:t>
      </w:r>
      <w:r w:rsidR="00444F5D" w:rsidRPr="007814AC">
        <w:t xml:space="preserve">v </w:t>
      </w:r>
      <w:r w:rsidR="007814AC">
        <w:t>Etap</w:t>
      </w:r>
      <w:r w:rsidR="001075CA">
        <w:t>ě</w:t>
      </w:r>
      <w:r w:rsidR="007814AC">
        <w:t xml:space="preserve"> </w:t>
      </w:r>
      <w:r w:rsidRPr="007814AC">
        <w:t>pr</w:t>
      </w:r>
      <w:r w:rsidRPr="007814AC">
        <w:rPr>
          <w:rFonts w:hint="eastAsia"/>
        </w:rPr>
        <w:t>ů</w:t>
      </w:r>
      <w:r w:rsidRPr="007814AC">
        <w:t xml:space="preserve">voz </w:t>
      </w:r>
      <w:r w:rsidR="00EB5065" w:rsidRPr="007814AC">
        <w:t xml:space="preserve">žádného </w:t>
      </w:r>
      <w:r w:rsidRPr="007814AC">
        <w:t>nákladního vlaku. Nákladní vlaky budou muset být trasovány do dopoledního a ve</w:t>
      </w:r>
      <w:r w:rsidRPr="007814AC">
        <w:rPr>
          <w:rFonts w:hint="eastAsia"/>
        </w:rPr>
        <w:t>č</w:t>
      </w:r>
      <w:r w:rsidRPr="007814AC">
        <w:t>erního sedla a do no</w:t>
      </w:r>
      <w:r w:rsidRPr="007814AC">
        <w:rPr>
          <w:rFonts w:hint="eastAsia"/>
        </w:rPr>
        <w:t>č</w:t>
      </w:r>
      <w:r w:rsidRPr="007814AC">
        <w:t xml:space="preserve">ní doby. </w:t>
      </w:r>
      <w:r w:rsidR="00F0419C" w:rsidRPr="007814AC">
        <w:t>O</w:t>
      </w:r>
      <w:r w:rsidRPr="007814AC">
        <w:t>bsluha vle</w:t>
      </w:r>
      <w:r w:rsidRPr="007814AC">
        <w:rPr>
          <w:rFonts w:hint="eastAsia"/>
        </w:rPr>
        <w:t>č</w:t>
      </w:r>
      <w:r w:rsidRPr="007814AC">
        <w:t xml:space="preserve">ky Elektrárny Opatovice je možná i ve </w:t>
      </w:r>
      <w:r w:rsidRPr="007814AC">
        <w:rPr>
          <w:rFonts w:hint="eastAsia"/>
        </w:rPr>
        <w:t>š</w:t>
      </w:r>
      <w:r w:rsidRPr="007814AC">
        <w:t>pi</w:t>
      </w:r>
      <w:r w:rsidRPr="007814AC">
        <w:rPr>
          <w:rFonts w:hint="eastAsia"/>
        </w:rPr>
        <w:t>č</w:t>
      </w:r>
      <w:r w:rsidRPr="007814AC">
        <w:t>ce.</w:t>
      </w:r>
      <w:r w:rsidR="00371891" w:rsidRPr="007814AC">
        <w:t xml:space="preserve"> </w:t>
      </w:r>
      <w:r w:rsidR="007814AC">
        <w:t xml:space="preserve">Zde je souvislost se stávajícím elektromechanickým zabezpečovacím zařízením v žst Pardubice-Rosice nad Lab. Úsek </w:t>
      </w:r>
      <w:r w:rsidR="00EB5065" w:rsidRPr="007814AC">
        <w:t>trat</w:t>
      </w:r>
      <w:r w:rsidR="00EB5065" w:rsidRPr="007814AC">
        <w:rPr>
          <w:rFonts w:hint="eastAsia"/>
        </w:rPr>
        <w:t>ě</w:t>
      </w:r>
      <w:r w:rsidR="00EB5065" w:rsidRPr="007814AC">
        <w:t xml:space="preserve"> od oddílového náv</w:t>
      </w:r>
      <w:r w:rsidR="00EB5065" w:rsidRPr="007814AC">
        <w:rPr>
          <w:rFonts w:hint="eastAsia"/>
        </w:rPr>
        <w:t>ě</w:t>
      </w:r>
      <w:r w:rsidR="00EB5065" w:rsidRPr="007814AC">
        <w:t>stidla AH</w:t>
      </w:r>
      <w:r w:rsidR="007814AC">
        <w:t xml:space="preserve"> je</w:t>
      </w:r>
      <w:r w:rsidR="00EB5065" w:rsidRPr="007814AC">
        <w:t xml:space="preserve"> uvoln</w:t>
      </w:r>
      <w:r w:rsidR="00EB5065" w:rsidRPr="007814AC">
        <w:rPr>
          <w:rFonts w:hint="eastAsia"/>
        </w:rPr>
        <w:t>ě</w:t>
      </w:r>
      <w:r w:rsidR="00EB5065" w:rsidRPr="007814AC">
        <w:t>n až tehdy, když celý vlak mine stano</w:t>
      </w:r>
      <w:r w:rsidR="00444F5D" w:rsidRPr="007814AC">
        <w:t>v</w:t>
      </w:r>
      <w:r w:rsidR="00EB5065" w:rsidRPr="007814AC">
        <w:t>išt</w:t>
      </w:r>
      <w:r w:rsidR="00EB5065" w:rsidRPr="007814AC">
        <w:rPr>
          <w:rFonts w:hint="eastAsia"/>
        </w:rPr>
        <w:t>ě</w:t>
      </w:r>
      <w:r w:rsidR="00EB5065" w:rsidRPr="007814AC">
        <w:t xml:space="preserve"> signalisty a tento pohledem kontroluje, že vlak vjel celý.</w:t>
      </w:r>
      <w:r w:rsidR="00D55FE8" w:rsidRPr="007814AC">
        <w:t xml:space="preserve"> V sudém sm</w:t>
      </w:r>
      <w:r w:rsidR="00D55FE8" w:rsidRPr="007814AC">
        <w:rPr>
          <w:rFonts w:hint="eastAsia"/>
        </w:rPr>
        <w:t>ě</w:t>
      </w:r>
      <w:r w:rsidR="00D55FE8" w:rsidRPr="007814AC">
        <w:t>ru lze mezi ve sledu R(Sp)/Os provézt pouze nákladní vlak o nižší hmotnosti, který bude mít v Pardubicích-Rosicích nad Lab. rychlejší rozjezd. Jinak nestihne uvolnit první tra</w:t>
      </w:r>
      <w:r w:rsidR="00D55FE8" w:rsidRPr="007814AC">
        <w:rPr>
          <w:rFonts w:hint="eastAsia"/>
        </w:rPr>
        <w:t>ť</w:t>
      </w:r>
      <w:r w:rsidR="00D55FE8" w:rsidRPr="007814AC">
        <w:t>ový oddíl a došlo by ke zpožd</w:t>
      </w:r>
      <w:r w:rsidR="00D55FE8" w:rsidRPr="007814AC">
        <w:rPr>
          <w:rFonts w:hint="eastAsia"/>
        </w:rPr>
        <w:t>ě</w:t>
      </w:r>
      <w:r w:rsidR="00D55FE8" w:rsidRPr="007814AC">
        <w:t>ní následného osobního vlaku.</w:t>
      </w:r>
      <w:r w:rsidR="00D95970">
        <w:t xml:space="preserve"> Modelový grafikon je prezentován především jako doklad maximálních možností etapy </w:t>
      </w:r>
      <w:r w:rsidR="00E4373A">
        <w:t xml:space="preserve">i </w:t>
      </w:r>
      <w:r w:rsidR="00D95970">
        <w:t>s</w:t>
      </w:r>
      <w:r w:rsidR="00E4373A">
        <w:t xml:space="preserve"> vědomím</w:t>
      </w:r>
      <w:r w:rsidR="00D95970">
        <w:t>, že polohy rychlíků linky R14 neodpovídají současnému stavu. Předpoklad je takový, že výhledově budou postupně optimalizovány i další úseky Hradec Králové – Jaroměř a Jaroměř – Dvůr Králové nad Labem a potom polohy rychlíků vycházejí na křižování ve Dvoře Králové nad Labem.</w:t>
      </w:r>
      <w:r w:rsidR="00E4373A">
        <w:t xml:space="preserve"> To je doloženo studií </w:t>
      </w:r>
      <w:r w:rsidR="00E4373A" w:rsidRPr="007814AC">
        <w:rPr>
          <w:rFonts w:hint="eastAsia"/>
        </w:rPr>
        <w:t>„</w:t>
      </w:r>
      <w:r w:rsidR="00E4373A" w:rsidRPr="007814AC">
        <w:t xml:space="preserve">Posouzení dopravní kapacity trati Hradec Králové </w:t>
      </w:r>
      <w:r w:rsidR="00E4373A" w:rsidRPr="007814AC">
        <w:rPr>
          <w:rFonts w:hint="eastAsia"/>
        </w:rPr>
        <w:t>–</w:t>
      </w:r>
      <w:r w:rsidR="00E4373A" w:rsidRPr="007814AC">
        <w:t xml:space="preserve"> Pardubice (SUDOP </w:t>
      </w:r>
      <w:r w:rsidR="00E4373A">
        <w:t>PRAHA</w:t>
      </w:r>
      <w:r w:rsidR="00E4373A" w:rsidRPr="007814AC">
        <w:t>, 2009)“.</w:t>
      </w:r>
    </w:p>
    <w:p w:rsidR="002E5756" w:rsidRDefault="0062681E" w:rsidP="00D367C8">
      <w:r w:rsidRPr="007814AC">
        <w:t xml:space="preserve">Problémem </w:t>
      </w:r>
      <w:r w:rsidR="005F1316" w:rsidRPr="007814AC">
        <w:t>zejména</w:t>
      </w:r>
      <w:r w:rsidRPr="007814AC">
        <w:t xml:space="preserve"> z</w:t>
      </w:r>
      <w:r w:rsidRPr="007814AC">
        <w:rPr>
          <w:rFonts w:hint="eastAsia"/>
        </w:rPr>
        <w:t>ů</w:t>
      </w:r>
      <w:r w:rsidRPr="007814AC">
        <w:t>stává nadm</w:t>
      </w:r>
      <w:r w:rsidRPr="007814AC">
        <w:rPr>
          <w:rFonts w:hint="eastAsia"/>
        </w:rPr>
        <w:t>ě</w:t>
      </w:r>
      <w:r w:rsidRPr="007814AC">
        <w:t>rné zatížení jednokolejných úsek</w:t>
      </w:r>
      <w:r w:rsidRPr="007814AC">
        <w:rPr>
          <w:rFonts w:hint="eastAsia"/>
        </w:rPr>
        <w:t>ů</w:t>
      </w:r>
      <w:r w:rsidRPr="007814AC">
        <w:t xml:space="preserve"> trat</w:t>
      </w:r>
      <w:r w:rsidRPr="007814AC">
        <w:rPr>
          <w:rFonts w:hint="eastAsia"/>
        </w:rPr>
        <w:t>ě</w:t>
      </w:r>
      <w:r w:rsidRPr="007814AC">
        <w:t>, jak bude podrobn</w:t>
      </w:r>
      <w:r w:rsidRPr="007814AC">
        <w:rPr>
          <w:rFonts w:hint="eastAsia"/>
        </w:rPr>
        <w:t>ě</w:t>
      </w:r>
      <w:r w:rsidRPr="007814AC">
        <w:t xml:space="preserve">ji popsáno v kapitole </w:t>
      </w:r>
      <w:r w:rsidR="00AC5CDF" w:rsidRPr="007814AC">
        <w:fldChar w:fldCharType="begin"/>
      </w:r>
      <w:r w:rsidRPr="007814AC">
        <w:instrText xml:space="preserve"> REF _Ref321391163 \r \h </w:instrText>
      </w:r>
      <w:r w:rsidR="00A92DA7" w:rsidRPr="00F5279A">
        <w:instrText xml:space="preserve"> \* MERGEFORMAT </w:instrText>
      </w:r>
      <w:r w:rsidR="00AC5CDF" w:rsidRPr="007814AC">
        <w:fldChar w:fldCharType="separate"/>
      </w:r>
      <w:r w:rsidR="003843F3">
        <w:t>0</w:t>
      </w:r>
      <w:r w:rsidR="00AC5CDF" w:rsidRPr="007814AC">
        <w:fldChar w:fldCharType="end"/>
      </w:r>
      <w:r w:rsidRPr="007814AC">
        <w:t xml:space="preserve">. Proto </w:t>
      </w:r>
      <w:r w:rsidR="00F1001A" w:rsidRPr="007814AC">
        <w:rPr>
          <w:b/>
        </w:rPr>
        <w:t>plného rozsahu výhledové dopravy m</w:t>
      </w:r>
      <w:r w:rsidR="00F1001A" w:rsidRPr="007814AC">
        <w:rPr>
          <w:rFonts w:hint="eastAsia"/>
          <w:b/>
        </w:rPr>
        <w:t>ůž</w:t>
      </w:r>
      <w:r w:rsidR="00F1001A" w:rsidRPr="007814AC">
        <w:rPr>
          <w:b/>
        </w:rPr>
        <w:t>e být dosaženo pouze ve variant</w:t>
      </w:r>
      <w:r w:rsidR="00F1001A" w:rsidRPr="007814AC">
        <w:rPr>
          <w:rFonts w:hint="eastAsia"/>
          <w:b/>
        </w:rPr>
        <w:t>ě</w:t>
      </w:r>
      <w:r w:rsidR="00F1001A" w:rsidRPr="007814AC">
        <w:rPr>
          <w:b/>
        </w:rPr>
        <w:t xml:space="preserve"> maximální</w:t>
      </w:r>
      <w:r w:rsidRPr="007814AC">
        <w:t xml:space="preserve">, v </w:t>
      </w:r>
      <w:r w:rsidR="007814AC">
        <w:t>Etap</w:t>
      </w:r>
      <w:r w:rsidR="001075CA">
        <w:t>ě</w:t>
      </w:r>
      <w:r w:rsidR="007814AC">
        <w:t xml:space="preserve"> </w:t>
      </w:r>
      <w:r w:rsidRPr="007814AC">
        <w:t>je nezbytné rozsah dopravy p</w:t>
      </w:r>
      <w:r w:rsidRPr="007814AC">
        <w:rPr>
          <w:rFonts w:hint="eastAsia"/>
        </w:rPr>
        <w:t>ř</w:t>
      </w:r>
      <w:r w:rsidRPr="007814AC">
        <w:t>im</w:t>
      </w:r>
      <w:r w:rsidRPr="007814AC">
        <w:rPr>
          <w:rFonts w:hint="eastAsia"/>
        </w:rPr>
        <w:t>ěř</w:t>
      </w:r>
      <w:r w:rsidRPr="007814AC">
        <w:t>en</w:t>
      </w:r>
      <w:r w:rsidRPr="007814AC">
        <w:rPr>
          <w:rFonts w:hint="eastAsia"/>
        </w:rPr>
        <w:t>ě</w:t>
      </w:r>
      <w:r w:rsidRPr="007814AC">
        <w:t xml:space="preserve"> snížit tak, aby ve špi</w:t>
      </w:r>
      <w:r w:rsidRPr="007814AC">
        <w:rPr>
          <w:rFonts w:hint="eastAsia"/>
        </w:rPr>
        <w:t>č</w:t>
      </w:r>
      <w:r w:rsidRPr="007814AC">
        <w:t>kách stupe</w:t>
      </w:r>
      <w:r w:rsidRPr="007814AC">
        <w:rPr>
          <w:rFonts w:hint="eastAsia"/>
        </w:rPr>
        <w:t>ň</w:t>
      </w:r>
      <w:r w:rsidRPr="007814AC">
        <w:t xml:space="preserve"> obsazení nep</w:t>
      </w:r>
      <w:r w:rsidRPr="007814AC">
        <w:rPr>
          <w:rFonts w:hint="eastAsia"/>
        </w:rPr>
        <w:t>ř</w:t>
      </w:r>
      <w:r w:rsidRPr="007814AC">
        <w:t>esahoval hodnotu 0,75</w:t>
      </w:r>
      <w:r w:rsidR="00434004" w:rsidRPr="007814AC">
        <w:t xml:space="preserve"> a celodenn</w:t>
      </w:r>
      <w:r w:rsidR="00434004" w:rsidRPr="007814AC">
        <w:rPr>
          <w:rFonts w:hint="eastAsia"/>
        </w:rPr>
        <w:t>ě</w:t>
      </w:r>
      <w:r w:rsidR="00434004" w:rsidRPr="007814AC">
        <w:t xml:space="preserve"> zachovával požadované </w:t>
      </w:r>
      <w:r w:rsidR="00434004" w:rsidRPr="007814AC">
        <w:rPr>
          <w:rFonts w:hint="eastAsia"/>
        </w:rPr>
        <w:t>č</w:t>
      </w:r>
      <w:r w:rsidR="00434004" w:rsidRPr="007814AC">
        <w:t>asové rezervy</w:t>
      </w:r>
      <w:r w:rsidRPr="007814AC">
        <w:t>.</w:t>
      </w:r>
    </w:p>
    <w:p w:rsidR="00F74289" w:rsidRPr="00DE106B" w:rsidRDefault="00F74289" w:rsidP="00D367C8">
      <w:pPr>
        <w:rPr>
          <w:b/>
        </w:rPr>
      </w:pPr>
    </w:p>
    <w:p w:rsidR="002E5756" w:rsidRDefault="002E5756">
      <w:r>
        <w:rPr>
          <w:b/>
        </w:rP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DE106B" w:rsidRPr="00DE106B" w:rsidTr="006B08CB">
        <w:tc>
          <w:tcPr>
            <w:tcW w:w="9356" w:type="dxa"/>
          </w:tcPr>
          <w:p w:rsidR="00DE106B" w:rsidRPr="00714409" w:rsidRDefault="00D275C9" w:rsidP="002E5756">
            <w:pPr>
              <w:pStyle w:val="Titulek"/>
            </w:pPr>
            <w:bookmarkStart w:id="148" w:name="_Toc390958824"/>
            <w:r w:rsidRPr="00D275C9">
              <w:t xml:space="preserve">Obr. </w:t>
            </w:r>
            <w:r w:rsidR="00AC5CDF" w:rsidRPr="00D275C9">
              <w:fldChar w:fldCharType="begin"/>
            </w:r>
            <w:r w:rsidRPr="00D275C9">
              <w:instrText xml:space="preserve"> STYLEREF 1 \s </w:instrText>
            </w:r>
            <w:r w:rsidR="00AC5CDF" w:rsidRPr="00D275C9">
              <w:fldChar w:fldCharType="separate"/>
            </w:r>
            <w:r w:rsidR="003843F3">
              <w:rPr>
                <w:noProof/>
              </w:rPr>
              <w:t>4</w:t>
            </w:r>
            <w:r w:rsidR="00AC5CDF" w:rsidRPr="00D275C9">
              <w:fldChar w:fldCharType="end"/>
            </w:r>
            <w:r w:rsidRPr="00D275C9">
              <w:noBreakHyphen/>
            </w:r>
            <w:r w:rsidR="00AC5CDF" w:rsidRPr="00D275C9">
              <w:fldChar w:fldCharType="begin"/>
            </w:r>
            <w:r w:rsidRPr="00D275C9">
              <w:instrText xml:space="preserve"> SEQ Obr. \* ARABIC \s 1 </w:instrText>
            </w:r>
            <w:r w:rsidR="00AC5CDF" w:rsidRPr="00D275C9">
              <w:fldChar w:fldCharType="separate"/>
            </w:r>
            <w:r w:rsidR="003843F3">
              <w:rPr>
                <w:noProof/>
              </w:rPr>
              <w:t>1</w:t>
            </w:r>
            <w:r w:rsidR="00AC5CDF" w:rsidRPr="00D275C9">
              <w:fldChar w:fldCharType="end"/>
            </w:r>
            <w:r w:rsidRPr="00D275C9">
              <w:t>:</w:t>
            </w:r>
            <w:r w:rsidRPr="0061341E">
              <w:t xml:space="preserve"> </w:t>
            </w:r>
            <w:r w:rsidR="00DE106B" w:rsidRPr="00714409">
              <w:t>Modelov</w:t>
            </w:r>
            <w:r w:rsidR="00AA483E">
              <w:t>ý</w:t>
            </w:r>
            <w:r w:rsidR="00DE106B" w:rsidRPr="00714409">
              <w:t xml:space="preserve"> grafikon pro </w:t>
            </w:r>
            <w:r w:rsidR="007814AC">
              <w:t>Etap</w:t>
            </w:r>
            <w:r w:rsidR="001075CA">
              <w:t>u</w:t>
            </w:r>
            <w:bookmarkEnd w:id="148"/>
          </w:p>
        </w:tc>
      </w:tr>
      <w:tr w:rsidR="00DE106B" w:rsidTr="006B08CB">
        <w:tc>
          <w:tcPr>
            <w:tcW w:w="9356" w:type="dxa"/>
          </w:tcPr>
          <w:p w:rsidR="00DE106B" w:rsidRPr="00714409" w:rsidRDefault="006819BA" w:rsidP="0003413B">
            <w:pPr>
              <w:pStyle w:val="Nadpis5"/>
            </w:pPr>
            <w:r>
              <w:rPr>
                <w:noProof/>
                <w:lang w:eastAsia="cs-CZ"/>
              </w:rPr>
              <w:drawing>
                <wp:inline distT="0" distB="0" distL="0" distR="0" wp14:anchorId="0AB1C4F1" wp14:editId="60DD0F4A">
                  <wp:extent cx="5724939" cy="2751151"/>
                  <wp:effectExtent l="0" t="0" r="0" b="0"/>
                  <wp:docPr id="232" name="Obráze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VD Střed 1 aktualizace.wmf"/>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725572" cy="2751455"/>
                          </a:xfrm>
                          <a:prstGeom prst="rect">
                            <a:avLst/>
                          </a:prstGeom>
                        </pic:spPr>
                      </pic:pic>
                    </a:graphicData>
                  </a:graphic>
                </wp:inline>
              </w:drawing>
            </w:r>
          </w:p>
        </w:tc>
      </w:tr>
    </w:tbl>
    <w:p w:rsidR="00483817" w:rsidRDefault="00483817">
      <w:r>
        <w:t>Další grafikony zachovávají současné polohy vlaků R a Sp. Při nich není možné doplnit osobní vlaky do pravidelného 30 minutového taktu. V prvním z nich jsou osobní zastávkové vlaky v pravidelném hodinovém taktu</w:t>
      </w:r>
      <w:r w:rsidR="008F0DC5">
        <w:t xml:space="preserve"> a</w:t>
      </w:r>
      <w:r>
        <w:t xml:space="preserve"> zhruba v současné poloze.</w:t>
      </w:r>
      <w:r w:rsidR="008F0DC5">
        <w:t xml:space="preserve"> Dopravu je možné zahustit, druhý model ukazuje R a Sp ve stejné poloze, doplněné 3 páry Os / 120 minut, nejedná se však o pravidelný 40 min takt.</w:t>
      </w:r>
    </w:p>
    <w:tbl>
      <w:tblPr>
        <w:tblStyle w:val="Mkatabulky"/>
        <w:tblW w:w="0" w:type="auto"/>
        <w:tblInd w:w="108" w:type="dxa"/>
        <w:tblLook w:val="04A0" w:firstRow="1" w:lastRow="0" w:firstColumn="1" w:lastColumn="0" w:noHBand="0" w:noVBand="1"/>
      </w:tblPr>
      <w:tblGrid>
        <w:gridCol w:w="9371"/>
      </w:tblGrid>
      <w:tr w:rsidR="008F0DC5" w:rsidTr="00E15697">
        <w:tc>
          <w:tcPr>
            <w:tcW w:w="9371" w:type="dxa"/>
          </w:tcPr>
          <w:p w:rsidR="008F0DC5" w:rsidRDefault="008F0DC5" w:rsidP="00E15697">
            <w:pPr>
              <w:pStyle w:val="Titulek"/>
              <w:rPr>
                <w:b w:val="0"/>
                <w:bCs/>
                <w:kern w:val="28"/>
                <w:sz w:val="32"/>
                <w:szCs w:val="32"/>
              </w:rPr>
            </w:pPr>
            <w:bookmarkStart w:id="149" w:name="_Toc390958825"/>
            <w:r w:rsidRPr="00D275C9">
              <w:t xml:space="preserve">Obr. </w:t>
            </w:r>
            <w:r w:rsidRPr="00D275C9">
              <w:fldChar w:fldCharType="begin"/>
            </w:r>
            <w:r w:rsidRPr="00D275C9">
              <w:instrText xml:space="preserve"> STYLEREF 1 \s </w:instrText>
            </w:r>
            <w:r w:rsidRPr="00D275C9">
              <w:fldChar w:fldCharType="separate"/>
            </w:r>
            <w:r w:rsidR="003843F3">
              <w:rPr>
                <w:noProof/>
              </w:rPr>
              <w:t>4</w:t>
            </w:r>
            <w:r w:rsidRPr="00D275C9">
              <w:fldChar w:fldCharType="end"/>
            </w:r>
            <w:r w:rsidRPr="00D275C9">
              <w:noBreakHyphen/>
            </w:r>
            <w:r w:rsidRPr="00D275C9">
              <w:fldChar w:fldCharType="begin"/>
            </w:r>
            <w:r w:rsidRPr="00D275C9">
              <w:instrText xml:space="preserve"> SEQ Obr. \* ARABIC \s 1 </w:instrText>
            </w:r>
            <w:r w:rsidRPr="00D275C9">
              <w:fldChar w:fldCharType="separate"/>
            </w:r>
            <w:r w:rsidR="003843F3">
              <w:rPr>
                <w:noProof/>
              </w:rPr>
              <w:t>2</w:t>
            </w:r>
            <w:r w:rsidRPr="00D275C9">
              <w:fldChar w:fldCharType="end"/>
            </w:r>
            <w:r w:rsidRPr="00D275C9">
              <w:t>:</w:t>
            </w:r>
            <w:r w:rsidRPr="0061341E">
              <w:t xml:space="preserve"> </w:t>
            </w:r>
            <w:r w:rsidRPr="00714409">
              <w:t>Modelov</w:t>
            </w:r>
            <w:r>
              <w:t>ý</w:t>
            </w:r>
            <w:r w:rsidRPr="00714409">
              <w:t xml:space="preserve"> grafikon pro </w:t>
            </w:r>
            <w:r>
              <w:t>Etapu – současné polohy R a Sp + 60 min takt Os</w:t>
            </w:r>
            <w:bookmarkEnd w:id="149"/>
          </w:p>
        </w:tc>
      </w:tr>
      <w:tr w:rsidR="008F0DC5" w:rsidTr="00E15697">
        <w:tc>
          <w:tcPr>
            <w:tcW w:w="9371" w:type="dxa"/>
          </w:tcPr>
          <w:p w:rsidR="008F0DC5" w:rsidRDefault="008F0DC5" w:rsidP="00E15697">
            <w:pPr>
              <w:pStyle w:val="Bezmezer"/>
            </w:pPr>
            <w:r>
              <w:rPr>
                <w:noProof/>
                <w:lang w:eastAsia="cs-CZ"/>
              </w:rPr>
              <w:drawing>
                <wp:inline distT="0" distB="0" distL="0" distR="0" wp14:anchorId="1BA07D80" wp14:editId="76FB5563">
                  <wp:extent cx="5813946" cy="2606722"/>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4-2.wmf"/>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818090" cy="2608580"/>
                          </a:xfrm>
                          <a:prstGeom prst="rect">
                            <a:avLst/>
                          </a:prstGeom>
                        </pic:spPr>
                      </pic:pic>
                    </a:graphicData>
                  </a:graphic>
                </wp:inline>
              </w:drawing>
            </w:r>
          </w:p>
        </w:tc>
      </w:tr>
    </w:tbl>
    <w:p w:rsidR="00E15697" w:rsidRDefault="00E15697"/>
    <w:p w:rsidR="00E15697" w:rsidRDefault="00E15697">
      <w:pPr>
        <w:suppressAutoHyphens w:val="0"/>
        <w:spacing w:before="0" w:after="0" w:line="240" w:lineRule="auto"/>
        <w:jc w:val="left"/>
      </w:pPr>
      <w:r>
        <w:br w:type="page"/>
      </w:r>
    </w:p>
    <w:p w:rsidR="00483817" w:rsidRDefault="00483817"/>
    <w:tbl>
      <w:tblPr>
        <w:tblStyle w:val="Mkatabulky"/>
        <w:tblW w:w="0" w:type="auto"/>
        <w:tblInd w:w="108" w:type="dxa"/>
        <w:tblLook w:val="04A0" w:firstRow="1" w:lastRow="0" w:firstColumn="1" w:lastColumn="0" w:noHBand="0" w:noVBand="1"/>
      </w:tblPr>
      <w:tblGrid>
        <w:gridCol w:w="9356"/>
      </w:tblGrid>
      <w:tr w:rsidR="008F0DC5" w:rsidTr="00E15697">
        <w:tc>
          <w:tcPr>
            <w:tcW w:w="9356" w:type="dxa"/>
          </w:tcPr>
          <w:p w:rsidR="008F0DC5" w:rsidRDefault="008F0DC5" w:rsidP="00E15697">
            <w:pPr>
              <w:pStyle w:val="Titulek"/>
              <w:rPr>
                <w:bCs/>
                <w:kern w:val="28"/>
                <w:sz w:val="32"/>
                <w:szCs w:val="32"/>
              </w:rPr>
            </w:pPr>
            <w:bookmarkStart w:id="150" w:name="_Toc390958826"/>
            <w:r w:rsidRPr="00D275C9">
              <w:t xml:space="preserve">Obr. </w:t>
            </w:r>
            <w:r w:rsidRPr="00D275C9">
              <w:fldChar w:fldCharType="begin"/>
            </w:r>
            <w:r w:rsidRPr="00D275C9">
              <w:instrText xml:space="preserve"> STYLEREF 1 \s </w:instrText>
            </w:r>
            <w:r w:rsidRPr="00D275C9">
              <w:fldChar w:fldCharType="separate"/>
            </w:r>
            <w:r w:rsidR="003843F3">
              <w:rPr>
                <w:noProof/>
              </w:rPr>
              <w:t>4</w:t>
            </w:r>
            <w:r w:rsidRPr="00D275C9">
              <w:fldChar w:fldCharType="end"/>
            </w:r>
            <w:r w:rsidRPr="00D275C9">
              <w:noBreakHyphen/>
            </w:r>
            <w:r w:rsidRPr="00D275C9">
              <w:fldChar w:fldCharType="begin"/>
            </w:r>
            <w:r w:rsidRPr="00D275C9">
              <w:instrText xml:space="preserve"> SEQ Obr. \* ARABIC \s 1 </w:instrText>
            </w:r>
            <w:r w:rsidRPr="00D275C9">
              <w:fldChar w:fldCharType="separate"/>
            </w:r>
            <w:r w:rsidR="003843F3">
              <w:rPr>
                <w:noProof/>
              </w:rPr>
              <w:t>3</w:t>
            </w:r>
            <w:r w:rsidRPr="00D275C9">
              <w:fldChar w:fldCharType="end"/>
            </w:r>
            <w:r w:rsidRPr="00D275C9">
              <w:t>:</w:t>
            </w:r>
            <w:r w:rsidRPr="0061341E">
              <w:t xml:space="preserve"> </w:t>
            </w:r>
            <w:r w:rsidRPr="00714409">
              <w:t>Modelov</w:t>
            </w:r>
            <w:r>
              <w:t>ý</w:t>
            </w:r>
            <w:r w:rsidRPr="00714409">
              <w:t xml:space="preserve"> grafikon pro </w:t>
            </w:r>
            <w:r>
              <w:t>Etapu – současné polohy R a Sp + 3 páry Os/120 min</w:t>
            </w:r>
            <w:bookmarkEnd w:id="150"/>
          </w:p>
        </w:tc>
      </w:tr>
      <w:tr w:rsidR="008F0DC5" w:rsidTr="00E15697">
        <w:tc>
          <w:tcPr>
            <w:tcW w:w="9356" w:type="dxa"/>
          </w:tcPr>
          <w:p w:rsidR="008F0DC5" w:rsidRDefault="008F0DC5" w:rsidP="00E15697">
            <w:pPr>
              <w:pStyle w:val="Bezmezer"/>
            </w:pPr>
            <w:r>
              <w:rPr>
                <w:noProof/>
                <w:lang w:eastAsia="cs-CZ"/>
              </w:rPr>
              <w:drawing>
                <wp:inline distT="0" distB="0" distL="0" distR="0" wp14:anchorId="2307B885" wp14:editId="7A3E7C09">
                  <wp:extent cx="5773003" cy="2593074"/>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4-3.wmf"/>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780664" cy="2596515"/>
                          </a:xfrm>
                          <a:prstGeom prst="rect">
                            <a:avLst/>
                          </a:prstGeom>
                        </pic:spPr>
                      </pic:pic>
                    </a:graphicData>
                  </a:graphic>
                </wp:inline>
              </w:drawing>
            </w:r>
          </w:p>
        </w:tc>
      </w:tr>
    </w:tbl>
    <w:p w:rsidR="00225B27" w:rsidRDefault="008F0DC5">
      <w:r>
        <w:t xml:space="preserve">Žádný z grafikonů způsob dopravy na trati nepředurčuje, účelem je především doložit možnosti tratě. </w:t>
      </w:r>
      <w:r w:rsidR="007814AC">
        <w:t>Pro variantu Maximální se modelový grafikon nedokládá, dvoukolejná trať poskytuje plný provozní komfort a dostatečnou variabilitu pro realizaci různých provozních scénářů.</w:t>
      </w:r>
    </w:p>
    <w:p w:rsidR="002E1CD4" w:rsidRDefault="002E1CD4">
      <w:pPr>
        <w:suppressAutoHyphens w:val="0"/>
        <w:spacing w:before="0" w:after="0" w:line="240" w:lineRule="auto"/>
        <w:jc w:val="left"/>
        <w:rPr>
          <w:rFonts w:cs="Arial"/>
          <w:b/>
          <w:bCs/>
          <w:iCs/>
          <w:sz w:val="28"/>
          <w:szCs w:val="28"/>
        </w:rPr>
      </w:pPr>
      <w:bookmarkStart w:id="151" w:name="_Ref321391163"/>
      <w:r>
        <w:br w:type="page"/>
      </w:r>
    </w:p>
    <w:p w:rsidR="00225B27" w:rsidRDefault="00225B27">
      <w:pPr>
        <w:pStyle w:val="Nadpis2"/>
      </w:pPr>
      <w:bookmarkStart w:id="152" w:name="_Toc390958701"/>
      <w:r>
        <w:t>Dopravní kapacita</w:t>
      </w:r>
      <w:bookmarkEnd w:id="151"/>
      <w:bookmarkEnd w:id="152"/>
    </w:p>
    <w:p w:rsidR="00225B27" w:rsidRDefault="00225B27" w:rsidP="00887E61">
      <w:pPr>
        <w:pStyle w:val="Nadpis3"/>
        <w:ind w:hanging="8234"/>
      </w:pPr>
      <w:r>
        <w:t>Variant</w:t>
      </w:r>
      <w:r w:rsidR="00B04F25">
        <w:t xml:space="preserve">a </w:t>
      </w:r>
      <w:r w:rsidR="0062681E">
        <w:t xml:space="preserve">minimální a </w:t>
      </w:r>
      <w:r w:rsidR="00320C76">
        <w:t>maximální</w:t>
      </w:r>
    </w:p>
    <w:p w:rsidR="005F1316" w:rsidRDefault="00320C76" w:rsidP="00320C76">
      <w:r>
        <w:t>Výpočty propustnosti pro t</w:t>
      </w:r>
      <w:r w:rsidR="0037798D">
        <w:t>y</w:t>
      </w:r>
      <w:r>
        <w:t>to variant</w:t>
      </w:r>
      <w:r w:rsidR="0037798D">
        <w:t>y</w:t>
      </w:r>
      <w:r>
        <w:t xml:space="preserve"> ne</w:t>
      </w:r>
      <w:r w:rsidR="0037798D">
        <w:t>jsou</w:t>
      </w:r>
      <w:r>
        <w:t xml:space="preserve"> doložen</w:t>
      </w:r>
      <w:r w:rsidR="0037798D">
        <w:t>y</w:t>
      </w:r>
      <w:r>
        <w:t xml:space="preserve">. </w:t>
      </w:r>
      <w:r w:rsidR="0062681E">
        <w:t>Ve variantě minimální se předpokládá zachování současného rozsahu dopravy a ukazatele</w:t>
      </w:r>
      <w:r w:rsidR="0037798D">
        <w:t xml:space="preserve"> </w:t>
      </w:r>
      <w:r w:rsidR="0062681E">
        <w:t>propustnosti</w:t>
      </w:r>
      <w:r w:rsidR="0037798D">
        <w:t xml:space="preserve"> se příliš neliší od </w:t>
      </w:r>
      <w:r w:rsidR="0062681E">
        <w:t>současn</w:t>
      </w:r>
      <w:r w:rsidR="0037798D">
        <w:t>ého</w:t>
      </w:r>
      <w:r w:rsidR="0062681E">
        <w:t xml:space="preserve"> stav</w:t>
      </w:r>
      <w:r w:rsidR="0037798D">
        <w:t>u.</w:t>
      </w:r>
      <w:r w:rsidR="0062681E">
        <w:t xml:space="preserve"> </w:t>
      </w:r>
      <w:r w:rsidR="0037798D">
        <w:t xml:space="preserve">Konkrétně k mírnému zlepšení dochází instalací nového SZZ (elektronické stavědlo) v žst. Pardubice-Rosice nad Lab.. Podle údajů SŽDC, s.o. </w:t>
      </w:r>
      <w:r w:rsidR="005F1316">
        <w:t>je za omezující považován úsek Pardubice-Rosice nad Labem – Stéblová a jeho propustnost je využita následovně:</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69"/>
        <w:gridCol w:w="1701"/>
        <w:gridCol w:w="1701"/>
        <w:gridCol w:w="1985"/>
      </w:tblGrid>
      <w:tr w:rsidR="005F1316" w:rsidTr="006B08CB">
        <w:trPr>
          <w:trHeight w:val="284"/>
        </w:trPr>
        <w:tc>
          <w:tcPr>
            <w:tcW w:w="9356" w:type="dxa"/>
            <w:gridSpan w:val="4"/>
            <w:tcBorders>
              <w:bottom w:val="single" w:sz="4" w:space="0" w:color="auto"/>
            </w:tcBorders>
          </w:tcPr>
          <w:p w:rsidR="005F1316" w:rsidRPr="00714409" w:rsidRDefault="005F1316" w:rsidP="002E5756">
            <w:pPr>
              <w:pStyle w:val="Titulek"/>
              <w:tabs>
                <w:tab w:val="clear" w:pos="993"/>
                <w:tab w:val="left" w:pos="1276"/>
              </w:tabs>
              <w:ind w:left="1276" w:hanging="1276"/>
              <w:rPr>
                <w:bCs/>
                <w:kern w:val="28"/>
                <w:sz w:val="32"/>
              </w:rPr>
            </w:pPr>
            <w:bookmarkStart w:id="153" w:name="_Toc390958764"/>
            <w:bookmarkStart w:id="154" w:name="_Toc391034568"/>
            <w:r w:rsidRPr="00714409">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13</w:t>
            </w:r>
            <w:r w:rsidR="000E79AE">
              <w:fldChar w:fldCharType="end"/>
            </w:r>
            <w:r w:rsidRPr="00714409">
              <w:t xml:space="preserve">: Ukazatelé propustnosti pro </w:t>
            </w:r>
            <w:r>
              <w:t>současný stav + variantu minimální</w:t>
            </w:r>
            <w:r w:rsidR="009F22FC">
              <w:t xml:space="preserve"> (P-Rosice n/L. – Stéblová)</w:t>
            </w:r>
            <w:bookmarkEnd w:id="153"/>
            <w:bookmarkEnd w:id="154"/>
          </w:p>
        </w:tc>
      </w:tr>
      <w:tr w:rsidR="005F1316" w:rsidTr="006B08CB">
        <w:trPr>
          <w:trHeight w:val="284"/>
        </w:trPr>
        <w:tc>
          <w:tcPr>
            <w:tcW w:w="3969" w:type="dxa"/>
            <w:tcBorders>
              <w:bottom w:val="single" w:sz="12" w:space="0" w:color="auto"/>
              <w:right w:val="single" w:sz="12" w:space="0" w:color="auto"/>
            </w:tcBorders>
            <w:shd w:val="pct15" w:color="auto" w:fill="auto"/>
          </w:tcPr>
          <w:p w:rsidR="005F1316" w:rsidRPr="006B08CB" w:rsidRDefault="005F1316" w:rsidP="006B08CB">
            <w:pPr>
              <w:spacing w:before="0" w:after="0" w:line="240" w:lineRule="auto"/>
              <w:rPr>
                <w:sz w:val="18"/>
              </w:rPr>
            </w:pPr>
            <w:r w:rsidRPr="006B08CB">
              <w:rPr>
                <w:sz w:val="18"/>
              </w:rPr>
              <w:t>popis</w:t>
            </w:r>
          </w:p>
        </w:tc>
        <w:tc>
          <w:tcPr>
            <w:tcW w:w="1701" w:type="dxa"/>
            <w:tcBorders>
              <w:left w:val="single" w:sz="12" w:space="0" w:color="auto"/>
              <w:bottom w:val="single" w:sz="12" w:space="0" w:color="auto"/>
            </w:tcBorders>
            <w:shd w:val="pct15" w:color="auto" w:fill="auto"/>
          </w:tcPr>
          <w:p w:rsidR="005F1316" w:rsidRPr="006B08CB" w:rsidRDefault="009F22FC" w:rsidP="006B08CB">
            <w:pPr>
              <w:spacing w:before="0" w:after="0" w:line="240" w:lineRule="auto"/>
              <w:rPr>
                <w:sz w:val="18"/>
              </w:rPr>
            </w:pPr>
            <w:r w:rsidRPr="006B08CB">
              <w:rPr>
                <w:sz w:val="18"/>
              </w:rPr>
              <w:t>1440 min</w:t>
            </w:r>
          </w:p>
        </w:tc>
        <w:tc>
          <w:tcPr>
            <w:tcW w:w="1701" w:type="dxa"/>
            <w:tcBorders>
              <w:bottom w:val="single" w:sz="12" w:space="0" w:color="auto"/>
            </w:tcBorders>
            <w:shd w:val="pct15" w:color="auto" w:fill="auto"/>
          </w:tcPr>
          <w:p w:rsidR="005F1316" w:rsidRPr="006B08CB" w:rsidRDefault="009F22FC" w:rsidP="006B08CB">
            <w:pPr>
              <w:spacing w:before="0" w:after="0" w:line="240" w:lineRule="auto"/>
              <w:rPr>
                <w:sz w:val="18"/>
              </w:rPr>
            </w:pPr>
            <w:r w:rsidRPr="006B08CB">
              <w:rPr>
                <w:sz w:val="18"/>
              </w:rPr>
              <w:t>900 min</w:t>
            </w:r>
          </w:p>
        </w:tc>
        <w:tc>
          <w:tcPr>
            <w:tcW w:w="1985" w:type="dxa"/>
            <w:tcBorders>
              <w:bottom w:val="single" w:sz="12" w:space="0" w:color="auto"/>
            </w:tcBorders>
            <w:shd w:val="pct15" w:color="auto" w:fill="auto"/>
          </w:tcPr>
          <w:p w:rsidR="005F1316" w:rsidRPr="006B08CB" w:rsidRDefault="005F1316" w:rsidP="006B08CB">
            <w:pPr>
              <w:spacing w:before="0" w:after="0" w:line="240" w:lineRule="auto"/>
              <w:rPr>
                <w:sz w:val="18"/>
              </w:rPr>
            </w:pPr>
            <w:r w:rsidRPr="006B08CB">
              <w:rPr>
                <w:sz w:val="18"/>
              </w:rPr>
              <w:t>1</w:t>
            </w:r>
            <w:r w:rsidR="009F22FC" w:rsidRPr="006B08CB">
              <w:rPr>
                <w:sz w:val="18"/>
              </w:rPr>
              <w:t>20 min</w:t>
            </w:r>
          </w:p>
        </w:tc>
      </w:tr>
      <w:tr w:rsidR="005F1316" w:rsidTr="006B08CB">
        <w:trPr>
          <w:trHeight w:val="284"/>
        </w:trPr>
        <w:tc>
          <w:tcPr>
            <w:tcW w:w="3969" w:type="dxa"/>
            <w:tcBorders>
              <w:top w:val="single" w:sz="12" w:space="0" w:color="auto"/>
              <w:right w:val="single" w:sz="12" w:space="0" w:color="auto"/>
            </w:tcBorders>
            <w:shd w:val="pct15" w:color="auto" w:fill="auto"/>
          </w:tcPr>
          <w:p w:rsidR="005F1316" w:rsidRPr="006B08CB" w:rsidRDefault="005F1316" w:rsidP="006B08CB">
            <w:pPr>
              <w:spacing w:before="0" w:after="0" w:line="240" w:lineRule="auto"/>
              <w:rPr>
                <w:sz w:val="18"/>
              </w:rPr>
            </w:pPr>
            <w:r w:rsidRPr="006B08CB">
              <w:rPr>
                <w:sz w:val="18"/>
              </w:rPr>
              <w:t xml:space="preserve">N – počet vlaků </w:t>
            </w:r>
          </w:p>
        </w:tc>
        <w:tc>
          <w:tcPr>
            <w:tcW w:w="1701" w:type="dxa"/>
            <w:tcBorders>
              <w:top w:val="single" w:sz="12" w:space="0" w:color="auto"/>
              <w:left w:val="single" w:sz="12" w:space="0" w:color="auto"/>
            </w:tcBorders>
          </w:tcPr>
          <w:p w:rsidR="005F1316" w:rsidRPr="006B08CB" w:rsidRDefault="009F22FC" w:rsidP="006B08CB">
            <w:pPr>
              <w:spacing w:before="0" w:after="0" w:line="240" w:lineRule="auto"/>
              <w:rPr>
                <w:sz w:val="18"/>
              </w:rPr>
            </w:pPr>
            <w:r w:rsidRPr="006B08CB">
              <w:rPr>
                <w:sz w:val="18"/>
              </w:rPr>
              <w:t>83</w:t>
            </w:r>
          </w:p>
        </w:tc>
        <w:tc>
          <w:tcPr>
            <w:tcW w:w="1701" w:type="dxa"/>
            <w:tcBorders>
              <w:top w:val="single" w:sz="12" w:space="0" w:color="auto"/>
            </w:tcBorders>
          </w:tcPr>
          <w:p w:rsidR="005F1316" w:rsidRPr="006B08CB" w:rsidRDefault="009F22FC" w:rsidP="006B08CB">
            <w:pPr>
              <w:spacing w:before="0" w:after="0" w:line="240" w:lineRule="auto"/>
              <w:rPr>
                <w:sz w:val="18"/>
              </w:rPr>
            </w:pPr>
            <w:r w:rsidRPr="006B08CB">
              <w:rPr>
                <w:sz w:val="18"/>
              </w:rPr>
              <w:t>69</w:t>
            </w:r>
          </w:p>
        </w:tc>
        <w:tc>
          <w:tcPr>
            <w:tcW w:w="1985" w:type="dxa"/>
            <w:tcBorders>
              <w:top w:val="single" w:sz="12" w:space="0" w:color="auto"/>
            </w:tcBorders>
          </w:tcPr>
          <w:p w:rsidR="005F1316" w:rsidRPr="006B08CB" w:rsidRDefault="009F22FC" w:rsidP="006B08CB">
            <w:pPr>
              <w:spacing w:before="0" w:after="0" w:line="240" w:lineRule="auto"/>
              <w:rPr>
                <w:sz w:val="18"/>
              </w:rPr>
            </w:pPr>
            <w:r w:rsidRPr="006B08CB">
              <w:rPr>
                <w:sz w:val="18"/>
              </w:rPr>
              <w:t>10,8</w:t>
            </w:r>
          </w:p>
        </w:tc>
      </w:tr>
      <w:tr w:rsidR="005F1316" w:rsidTr="006B08CB">
        <w:trPr>
          <w:trHeight w:val="284"/>
        </w:trPr>
        <w:tc>
          <w:tcPr>
            <w:tcW w:w="3969" w:type="dxa"/>
            <w:tcBorders>
              <w:right w:val="single" w:sz="12" w:space="0" w:color="auto"/>
            </w:tcBorders>
            <w:shd w:val="pct15" w:color="auto" w:fill="auto"/>
          </w:tcPr>
          <w:p w:rsidR="005F1316" w:rsidRPr="006B08CB" w:rsidRDefault="005F1316" w:rsidP="006B08CB">
            <w:pPr>
              <w:spacing w:before="0" w:after="0" w:line="240" w:lineRule="auto"/>
              <w:rPr>
                <w:sz w:val="18"/>
              </w:rPr>
            </w:pPr>
            <w:r w:rsidRPr="006B08CB">
              <w:rPr>
                <w:sz w:val="18"/>
              </w:rPr>
              <w:t>t</w:t>
            </w:r>
            <w:r w:rsidRPr="006B08CB">
              <w:rPr>
                <w:sz w:val="18"/>
                <w:vertAlign w:val="subscript"/>
              </w:rPr>
              <w:t>obs</w:t>
            </w:r>
            <w:r w:rsidRPr="006B08CB">
              <w:rPr>
                <w:sz w:val="18"/>
              </w:rPr>
              <w:t xml:space="preserve"> – jednotková doba obsazení [min]</w:t>
            </w:r>
          </w:p>
        </w:tc>
        <w:tc>
          <w:tcPr>
            <w:tcW w:w="1701" w:type="dxa"/>
            <w:tcBorders>
              <w:left w:val="single" w:sz="12" w:space="0" w:color="auto"/>
            </w:tcBorders>
          </w:tcPr>
          <w:p w:rsidR="005F1316" w:rsidRPr="006B08CB" w:rsidRDefault="009F22FC" w:rsidP="006B08CB">
            <w:pPr>
              <w:spacing w:before="0" w:after="0" w:line="240" w:lineRule="auto"/>
              <w:rPr>
                <w:sz w:val="18"/>
              </w:rPr>
            </w:pPr>
            <w:r w:rsidRPr="006B08CB">
              <w:rPr>
                <w:sz w:val="18"/>
              </w:rPr>
              <w:t>7,95</w:t>
            </w:r>
          </w:p>
        </w:tc>
        <w:tc>
          <w:tcPr>
            <w:tcW w:w="1701" w:type="dxa"/>
          </w:tcPr>
          <w:p w:rsidR="005F1316" w:rsidRPr="006B08CB" w:rsidRDefault="009F22FC" w:rsidP="006B08CB">
            <w:pPr>
              <w:spacing w:before="0" w:after="0" w:line="240" w:lineRule="auto"/>
              <w:rPr>
                <w:sz w:val="18"/>
              </w:rPr>
            </w:pPr>
            <w:r w:rsidRPr="006B08CB">
              <w:rPr>
                <w:sz w:val="18"/>
              </w:rPr>
              <w:t>7,95</w:t>
            </w:r>
          </w:p>
        </w:tc>
        <w:tc>
          <w:tcPr>
            <w:tcW w:w="1985" w:type="dxa"/>
          </w:tcPr>
          <w:p w:rsidR="005F1316" w:rsidRPr="006B08CB" w:rsidRDefault="009F22FC" w:rsidP="006B08CB">
            <w:pPr>
              <w:spacing w:before="0" w:after="0" w:line="240" w:lineRule="auto"/>
              <w:rPr>
                <w:sz w:val="18"/>
              </w:rPr>
            </w:pPr>
            <w:r w:rsidRPr="006B08CB">
              <w:rPr>
                <w:sz w:val="18"/>
              </w:rPr>
              <w:t>7,95</w:t>
            </w:r>
          </w:p>
        </w:tc>
      </w:tr>
      <w:tr w:rsidR="005F1316" w:rsidTr="006B08CB">
        <w:trPr>
          <w:trHeight w:val="284"/>
        </w:trPr>
        <w:tc>
          <w:tcPr>
            <w:tcW w:w="3969" w:type="dxa"/>
            <w:tcBorders>
              <w:right w:val="single" w:sz="12" w:space="0" w:color="auto"/>
            </w:tcBorders>
            <w:shd w:val="pct15" w:color="auto" w:fill="auto"/>
          </w:tcPr>
          <w:p w:rsidR="005F1316" w:rsidRPr="006B08CB" w:rsidRDefault="005F1316" w:rsidP="006B08CB">
            <w:pPr>
              <w:spacing w:before="0" w:after="0" w:line="240" w:lineRule="auto"/>
              <w:rPr>
                <w:sz w:val="18"/>
              </w:rPr>
            </w:pPr>
            <w:r w:rsidRPr="006B08CB">
              <w:rPr>
                <w:sz w:val="18"/>
              </w:rPr>
              <w:t>t</w:t>
            </w:r>
            <w:r w:rsidRPr="006B08CB">
              <w:rPr>
                <w:sz w:val="18"/>
                <w:vertAlign w:val="subscript"/>
              </w:rPr>
              <w:t>mez</w:t>
            </w:r>
            <w:r w:rsidRPr="006B08CB">
              <w:rPr>
                <w:sz w:val="18"/>
              </w:rPr>
              <w:t xml:space="preserve"> – časová záloha – D24 sl. B [min]</w:t>
            </w:r>
          </w:p>
        </w:tc>
        <w:tc>
          <w:tcPr>
            <w:tcW w:w="1701" w:type="dxa"/>
            <w:tcBorders>
              <w:left w:val="single" w:sz="12" w:space="0" w:color="auto"/>
            </w:tcBorders>
          </w:tcPr>
          <w:p w:rsidR="005F1316" w:rsidRPr="006B08CB" w:rsidRDefault="009F22FC" w:rsidP="006B08CB">
            <w:pPr>
              <w:spacing w:before="0" w:after="0" w:line="240" w:lineRule="auto"/>
              <w:rPr>
                <w:bCs/>
                <w:kern w:val="28"/>
                <w:sz w:val="18"/>
              </w:rPr>
            </w:pPr>
            <w:r w:rsidRPr="006B08CB">
              <w:rPr>
                <w:sz w:val="18"/>
              </w:rPr>
              <w:t>4,90</w:t>
            </w:r>
          </w:p>
        </w:tc>
        <w:tc>
          <w:tcPr>
            <w:tcW w:w="1701" w:type="dxa"/>
          </w:tcPr>
          <w:p w:rsidR="005F1316" w:rsidRPr="006B08CB" w:rsidRDefault="009F22FC" w:rsidP="006B08CB">
            <w:pPr>
              <w:spacing w:before="0" w:after="0" w:line="240" w:lineRule="auto"/>
              <w:rPr>
                <w:sz w:val="18"/>
              </w:rPr>
            </w:pPr>
            <w:r w:rsidRPr="006B08CB">
              <w:rPr>
                <w:sz w:val="18"/>
              </w:rPr>
              <w:t>4,90</w:t>
            </w:r>
          </w:p>
        </w:tc>
        <w:tc>
          <w:tcPr>
            <w:tcW w:w="1985" w:type="dxa"/>
          </w:tcPr>
          <w:p w:rsidR="005F1316" w:rsidRPr="006B08CB" w:rsidRDefault="005F1316" w:rsidP="006B08CB">
            <w:pPr>
              <w:spacing w:before="0" w:after="0" w:line="240" w:lineRule="auto"/>
              <w:rPr>
                <w:sz w:val="18"/>
              </w:rPr>
            </w:pPr>
          </w:p>
        </w:tc>
      </w:tr>
      <w:tr w:rsidR="009F22FC" w:rsidTr="006B08CB">
        <w:trPr>
          <w:trHeight w:val="284"/>
        </w:trPr>
        <w:tc>
          <w:tcPr>
            <w:tcW w:w="3969" w:type="dxa"/>
            <w:tcBorders>
              <w:right w:val="single" w:sz="12" w:space="0" w:color="auto"/>
            </w:tcBorders>
            <w:shd w:val="pct15" w:color="auto" w:fill="auto"/>
          </w:tcPr>
          <w:p w:rsidR="009F22FC" w:rsidRPr="006B08CB" w:rsidRDefault="009F22FC" w:rsidP="006B08CB">
            <w:pPr>
              <w:spacing w:before="0" w:after="0" w:line="240" w:lineRule="auto"/>
              <w:rPr>
                <w:sz w:val="18"/>
              </w:rPr>
            </w:pPr>
            <w:r w:rsidRPr="006B08CB">
              <w:rPr>
                <w:sz w:val="18"/>
              </w:rPr>
              <w:t>S</w:t>
            </w:r>
            <w:r w:rsidRPr="006B08CB">
              <w:rPr>
                <w:sz w:val="18"/>
                <w:vertAlign w:val="subscript"/>
              </w:rPr>
              <w:t>o</w:t>
            </w:r>
            <w:r w:rsidRPr="006B08CB">
              <w:rPr>
                <w:sz w:val="18"/>
                <w:vertAlign w:val="superscript"/>
              </w:rPr>
              <w:t>max</w:t>
            </w:r>
            <w:r w:rsidRPr="006B08CB">
              <w:rPr>
                <w:sz w:val="18"/>
              </w:rPr>
              <w:t xml:space="preserve"> – nejvýše přípustný stupeň obsazení </w:t>
            </w:r>
          </w:p>
        </w:tc>
        <w:tc>
          <w:tcPr>
            <w:tcW w:w="1701" w:type="dxa"/>
            <w:tcBorders>
              <w:left w:val="single" w:sz="12" w:space="0" w:color="auto"/>
            </w:tcBorders>
          </w:tcPr>
          <w:p w:rsidR="009F22FC" w:rsidRPr="006B08CB" w:rsidRDefault="009F22FC" w:rsidP="006B08CB">
            <w:pPr>
              <w:spacing w:before="0" w:after="0" w:line="240" w:lineRule="auto"/>
              <w:rPr>
                <w:sz w:val="18"/>
              </w:rPr>
            </w:pPr>
          </w:p>
        </w:tc>
        <w:tc>
          <w:tcPr>
            <w:tcW w:w="1701" w:type="dxa"/>
          </w:tcPr>
          <w:p w:rsidR="009F22FC" w:rsidRPr="006B08CB" w:rsidRDefault="009F22FC" w:rsidP="006B08CB">
            <w:pPr>
              <w:spacing w:before="0" w:after="0" w:line="240" w:lineRule="auto"/>
              <w:rPr>
                <w:sz w:val="18"/>
              </w:rPr>
            </w:pPr>
          </w:p>
        </w:tc>
        <w:tc>
          <w:tcPr>
            <w:tcW w:w="1985" w:type="dxa"/>
          </w:tcPr>
          <w:p w:rsidR="009F22FC" w:rsidRPr="006B08CB" w:rsidRDefault="00F1001A" w:rsidP="006B08CB">
            <w:pPr>
              <w:spacing w:before="0" w:after="0" w:line="240" w:lineRule="auto"/>
              <w:rPr>
                <w:sz w:val="18"/>
              </w:rPr>
            </w:pPr>
            <w:r w:rsidRPr="006B08CB">
              <w:rPr>
                <w:sz w:val="18"/>
              </w:rPr>
              <w:t>0,75</w:t>
            </w:r>
          </w:p>
        </w:tc>
      </w:tr>
      <w:tr w:rsidR="005F1316" w:rsidTr="006B08CB">
        <w:trPr>
          <w:trHeight w:val="284"/>
        </w:trPr>
        <w:tc>
          <w:tcPr>
            <w:tcW w:w="3969" w:type="dxa"/>
            <w:tcBorders>
              <w:right w:val="single" w:sz="12" w:space="0" w:color="auto"/>
            </w:tcBorders>
            <w:shd w:val="pct15" w:color="auto" w:fill="auto"/>
          </w:tcPr>
          <w:p w:rsidR="005F1316" w:rsidRPr="006B08CB" w:rsidRDefault="005F1316" w:rsidP="006B08CB">
            <w:pPr>
              <w:spacing w:before="0" w:after="0" w:line="240" w:lineRule="auto"/>
              <w:rPr>
                <w:sz w:val="18"/>
              </w:rPr>
            </w:pPr>
            <w:r w:rsidRPr="006B08CB">
              <w:rPr>
                <w:sz w:val="18"/>
              </w:rPr>
              <w:t xml:space="preserve">n – prakt. propustnost sl. B </w:t>
            </w:r>
            <w:r w:rsidRPr="006B08CB">
              <w:rPr>
                <w:sz w:val="18"/>
                <w:lang w:val="pl-PL"/>
              </w:rPr>
              <w:t>[vlaky]</w:t>
            </w:r>
          </w:p>
        </w:tc>
        <w:tc>
          <w:tcPr>
            <w:tcW w:w="1701" w:type="dxa"/>
            <w:tcBorders>
              <w:left w:val="single" w:sz="12" w:space="0" w:color="auto"/>
            </w:tcBorders>
          </w:tcPr>
          <w:p w:rsidR="005F1316" w:rsidRPr="006B08CB" w:rsidRDefault="005F1316" w:rsidP="006B08CB">
            <w:pPr>
              <w:spacing w:before="0" w:after="0" w:line="240" w:lineRule="auto"/>
              <w:rPr>
                <w:bCs/>
                <w:kern w:val="28"/>
                <w:sz w:val="18"/>
              </w:rPr>
            </w:pPr>
            <w:r w:rsidRPr="006B08CB">
              <w:rPr>
                <w:sz w:val="18"/>
              </w:rPr>
              <w:t>10</w:t>
            </w:r>
            <w:r w:rsidR="009F22FC" w:rsidRPr="006B08CB">
              <w:rPr>
                <w:sz w:val="18"/>
              </w:rPr>
              <w:t>8</w:t>
            </w:r>
          </w:p>
        </w:tc>
        <w:tc>
          <w:tcPr>
            <w:tcW w:w="1701" w:type="dxa"/>
          </w:tcPr>
          <w:p w:rsidR="005F1316" w:rsidRPr="006B08CB" w:rsidRDefault="009F22FC" w:rsidP="006B08CB">
            <w:pPr>
              <w:spacing w:before="0" w:after="0" w:line="240" w:lineRule="auto"/>
              <w:rPr>
                <w:sz w:val="18"/>
              </w:rPr>
            </w:pPr>
            <w:r w:rsidRPr="006B08CB">
              <w:rPr>
                <w:sz w:val="18"/>
              </w:rPr>
              <w:t>70</w:t>
            </w:r>
          </w:p>
        </w:tc>
        <w:tc>
          <w:tcPr>
            <w:tcW w:w="1985" w:type="dxa"/>
          </w:tcPr>
          <w:p w:rsidR="005F1316" w:rsidRPr="006B08CB" w:rsidRDefault="005F1316" w:rsidP="006B08CB">
            <w:pPr>
              <w:spacing w:before="0" w:after="0" w:line="240" w:lineRule="auto"/>
              <w:rPr>
                <w:bCs/>
                <w:kern w:val="28"/>
                <w:sz w:val="18"/>
              </w:rPr>
            </w:pPr>
            <w:r w:rsidRPr="006B08CB">
              <w:rPr>
                <w:sz w:val="18"/>
              </w:rPr>
              <w:t>11</w:t>
            </w:r>
            <w:r w:rsidR="009F22FC" w:rsidRPr="006B08CB">
              <w:rPr>
                <w:sz w:val="18"/>
              </w:rPr>
              <w:t>,3</w:t>
            </w:r>
          </w:p>
        </w:tc>
      </w:tr>
      <w:tr w:rsidR="005F1316" w:rsidTr="006B08CB">
        <w:trPr>
          <w:trHeight w:val="284"/>
        </w:trPr>
        <w:tc>
          <w:tcPr>
            <w:tcW w:w="3969" w:type="dxa"/>
            <w:tcBorders>
              <w:right w:val="single" w:sz="12" w:space="0" w:color="auto"/>
            </w:tcBorders>
            <w:shd w:val="pct15" w:color="auto" w:fill="auto"/>
          </w:tcPr>
          <w:p w:rsidR="005F1316" w:rsidRPr="006B08CB" w:rsidRDefault="005F1316" w:rsidP="006B08CB">
            <w:pPr>
              <w:spacing w:before="0" w:after="0" w:line="240" w:lineRule="auto"/>
              <w:rPr>
                <w:sz w:val="18"/>
              </w:rPr>
            </w:pPr>
            <w:r w:rsidRPr="006B08CB">
              <w:rPr>
                <w:sz w:val="18"/>
              </w:rPr>
              <w:t>k</w:t>
            </w:r>
            <w:r w:rsidRPr="006B08CB">
              <w:rPr>
                <w:sz w:val="18"/>
                <w:vertAlign w:val="subscript"/>
              </w:rPr>
              <w:t>prakt</w:t>
            </w:r>
            <w:r w:rsidRPr="006B08CB">
              <w:rPr>
                <w:sz w:val="18"/>
              </w:rPr>
              <w:t xml:space="preserve"> = využití prakt. propust. (sl.B) </w:t>
            </w:r>
          </w:p>
        </w:tc>
        <w:tc>
          <w:tcPr>
            <w:tcW w:w="1701" w:type="dxa"/>
            <w:tcBorders>
              <w:left w:val="single" w:sz="12" w:space="0" w:color="auto"/>
            </w:tcBorders>
          </w:tcPr>
          <w:p w:rsidR="005F1316" w:rsidRPr="006B08CB" w:rsidRDefault="009F22FC" w:rsidP="006B08CB">
            <w:pPr>
              <w:spacing w:before="0" w:after="0" w:line="240" w:lineRule="auto"/>
              <w:rPr>
                <w:sz w:val="18"/>
              </w:rPr>
            </w:pPr>
            <w:r w:rsidRPr="006B08CB">
              <w:rPr>
                <w:sz w:val="18"/>
              </w:rPr>
              <w:t>7</w:t>
            </w:r>
            <w:r w:rsidR="005F1316" w:rsidRPr="006B08CB">
              <w:rPr>
                <w:sz w:val="18"/>
              </w:rPr>
              <w:t>7 %</w:t>
            </w:r>
          </w:p>
        </w:tc>
        <w:tc>
          <w:tcPr>
            <w:tcW w:w="1701" w:type="dxa"/>
          </w:tcPr>
          <w:p w:rsidR="005F1316" w:rsidRPr="006B08CB" w:rsidRDefault="009F22FC" w:rsidP="006B08CB">
            <w:pPr>
              <w:spacing w:before="0" w:after="0" w:line="240" w:lineRule="auto"/>
              <w:rPr>
                <w:sz w:val="18"/>
              </w:rPr>
            </w:pPr>
            <w:r w:rsidRPr="006B08CB">
              <w:rPr>
                <w:sz w:val="18"/>
              </w:rPr>
              <w:t>98</w:t>
            </w:r>
            <w:r w:rsidR="005F1316" w:rsidRPr="006B08CB">
              <w:rPr>
                <w:sz w:val="18"/>
              </w:rPr>
              <w:t xml:space="preserve"> %</w:t>
            </w:r>
          </w:p>
        </w:tc>
        <w:tc>
          <w:tcPr>
            <w:tcW w:w="1985" w:type="dxa"/>
          </w:tcPr>
          <w:p w:rsidR="005F1316" w:rsidRPr="006B08CB" w:rsidRDefault="009F22FC" w:rsidP="006B08CB">
            <w:pPr>
              <w:spacing w:before="0" w:after="0" w:line="240" w:lineRule="auto"/>
              <w:rPr>
                <w:sz w:val="18"/>
              </w:rPr>
            </w:pPr>
            <w:r w:rsidRPr="006B08CB">
              <w:rPr>
                <w:sz w:val="18"/>
              </w:rPr>
              <w:t>95</w:t>
            </w:r>
            <w:r w:rsidR="005F1316" w:rsidRPr="006B08CB">
              <w:rPr>
                <w:sz w:val="18"/>
              </w:rPr>
              <w:t xml:space="preserve"> %</w:t>
            </w:r>
          </w:p>
        </w:tc>
      </w:tr>
      <w:tr w:rsidR="005F1316" w:rsidTr="006B08CB">
        <w:trPr>
          <w:trHeight w:val="284"/>
        </w:trPr>
        <w:tc>
          <w:tcPr>
            <w:tcW w:w="3969" w:type="dxa"/>
            <w:tcBorders>
              <w:right w:val="single" w:sz="12" w:space="0" w:color="auto"/>
            </w:tcBorders>
            <w:shd w:val="pct15" w:color="auto" w:fill="auto"/>
          </w:tcPr>
          <w:p w:rsidR="005F1316" w:rsidRPr="006B08CB" w:rsidRDefault="005F1316" w:rsidP="006B08CB">
            <w:pPr>
              <w:spacing w:before="0" w:after="0" w:line="240" w:lineRule="auto"/>
              <w:rPr>
                <w:sz w:val="18"/>
              </w:rPr>
            </w:pPr>
            <w:r w:rsidRPr="006B08CB">
              <w:rPr>
                <w:sz w:val="18"/>
              </w:rPr>
              <w:t>S</w:t>
            </w:r>
            <w:r w:rsidRPr="006B08CB">
              <w:rPr>
                <w:sz w:val="18"/>
                <w:vertAlign w:val="subscript"/>
              </w:rPr>
              <w:t>o</w:t>
            </w:r>
            <w:r w:rsidRPr="006B08CB">
              <w:rPr>
                <w:sz w:val="18"/>
              </w:rPr>
              <w:t xml:space="preserve"> – stupeň obsazení</w:t>
            </w:r>
          </w:p>
        </w:tc>
        <w:tc>
          <w:tcPr>
            <w:tcW w:w="1701" w:type="dxa"/>
            <w:tcBorders>
              <w:left w:val="single" w:sz="12" w:space="0" w:color="auto"/>
            </w:tcBorders>
          </w:tcPr>
          <w:p w:rsidR="005F1316" w:rsidRPr="006B08CB" w:rsidRDefault="005F1316" w:rsidP="006B08CB">
            <w:pPr>
              <w:spacing w:before="0" w:after="0" w:line="240" w:lineRule="auto"/>
              <w:rPr>
                <w:bCs/>
                <w:kern w:val="28"/>
                <w:sz w:val="18"/>
              </w:rPr>
            </w:pPr>
            <w:r w:rsidRPr="006B08CB">
              <w:rPr>
                <w:sz w:val="18"/>
              </w:rPr>
              <w:t>0,</w:t>
            </w:r>
            <w:r w:rsidR="009F22FC" w:rsidRPr="006B08CB">
              <w:rPr>
                <w:sz w:val="18"/>
              </w:rPr>
              <w:t>47</w:t>
            </w:r>
          </w:p>
        </w:tc>
        <w:tc>
          <w:tcPr>
            <w:tcW w:w="1701" w:type="dxa"/>
          </w:tcPr>
          <w:p w:rsidR="005F1316" w:rsidRPr="006B08CB" w:rsidRDefault="005F1316" w:rsidP="006B08CB">
            <w:pPr>
              <w:spacing w:before="0" w:after="0" w:line="240" w:lineRule="auto"/>
              <w:rPr>
                <w:bCs/>
                <w:kern w:val="28"/>
                <w:sz w:val="18"/>
              </w:rPr>
            </w:pPr>
            <w:r w:rsidRPr="006B08CB">
              <w:rPr>
                <w:sz w:val="18"/>
              </w:rPr>
              <w:t>0,6</w:t>
            </w:r>
            <w:r w:rsidR="009F22FC" w:rsidRPr="006B08CB">
              <w:rPr>
                <w:sz w:val="18"/>
              </w:rPr>
              <w:t>1</w:t>
            </w:r>
          </w:p>
        </w:tc>
        <w:tc>
          <w:tcPr>
            <w:tcW w:w="1985" w:type="dxa"/>
          </w:tcPr>
          <w:p w:rsidR="005F1316" w:rsidRPr="006B08CB" w:rsidRDefault="005F1316" w:rsidP="006B08CB">
            <w:pPr>
              <w:spacing w:before="0" w:after="0" w:line="240" w:lineRule="auto"/>
              <w:rPr>
                <w:bCs/>
                <w:kern w:val="28"/>
                <w:sz w:val="18"/>
              </w:rPr>
            </w:pPr>
            <w:r w:rsidRPr="006B08CB">
              <w:rPr>
                <w:sz w:val="18"/>
              </w:rPr>
              <w:t>0,</w:t>
            </w:r>
            <w:r w:rsidR="009F22FC" w:rsidRPr="006B08CB">
              <w:rPr>
                <w:sz w:val="18"/>
              </w:rPr>
              <w:t>71</w:t>
            </w:r>
          </w:p>
        </w:tc>
      </w:tr>
    </w:tbl>
    <w:p w:rsidR="00320C76" w:rsidRPr="00320C76" w:rsidRDefault="00641C83" w:rsidP="00320C76">
      <w:r>
        <w:t>V</w:t>
      </w:r>
      <w:r w:rsidR="00320C76">
        <w:t xml:space="preserve">arianta </w:t>
      </w:r>
      <w:r w:rsidR="001075CA">
        <w:t>M</w:t>
      </w:r>
      <w:r w:rsidR="00320C76">
        <w:t>aximální poskytuje vysokou praktickou propustnost, která plně vyhoví všem požadavkům železničních dopravců i s požadovanou rezervou.</w:t>
      </w:r>
    </w:p>
    <w:p w:rsidR="001176E7" w:rsidRPr="007814AC" w:rsidRDefault="007814AC" w:rsidP="00887E61">
      <w:pPr>
        <w:pStyle w:val="Nadpis3"/>
        <w:ind w:hanging="8234"/>
      </w:pPr>
      <w:bookmarkStart w:id="155" w:name="_Ref332115800"/>
      <w:r>
        <w:t>Stav Etapa</w:t>
      </w:r>
      <w:bookmarkEnd w:id="155"/>
      <w:r w:rsidR="001176E7" w:rsidRPr="007814AC">
        <w:t xml:space="preserve"> </w:t>
      </w:r>
    </w:p>
    <w:p w:rsidR="00320C76" w:rsidRDefault="00320C76">
      <w:r w:rsidRPr="007814AC">
        <w:t>Na základ</w:t>
      </w:r>
      <w:r w:rsidRPr="007814AC">
        <w:rPr>
          <w:rFonts w:hint="eastAsia"/>
        </w:rPr>
        <w:t>ě</w:t>
      </w:r>
      <w:r w:rsidRPr="007814AC">
        <w:t xml:space="preserve"> výše uvedených </w:t>
      </w:r>
      <w:r w:rsidR="0062681E" w:rsidRPr="007814AC">
        <w:t xml:space="preserve">maximálních </w:t>
      </w:r>
      <w:r w:rsidRPr="007814AC">
        <w:t>modelových grafikon</w:t>
      </w:r>
      <w:r w:rsidRPr="007814AC">
        <w:rPr>
          <w:rFonts w:hint="eastAsia"/>
        </w:rPr>
        <w:t>ů</w:t>
      </w:r>
      <w:r w:rsidRPr="007814AC">
        <w:t xml:space="preserve"> byly pro </w:t>
      </w:r>
      <w:r w:rsidR="006A77BD" w:rsidRPr="007814AC">
        <w:t>uvedené projektové</w:t>
      </w:r>
      <w:r w:rsidRPr="007814AC">
        <w:t xml:space="preserve"> varianty vy</w:t>
      </w:r>
      <w:r w:rsidRPr="007814AC">
        <w:rPr>
          <w:rFonts w:hint="eastAsia"/>
        </w:rPr>
        <w:t>čí</w:t>
      </w:r>
      <w:r w:rsidRPr="007814AC">
        <w:t>sleny ukazatele propustnosti, které jsou shrnuty v následujících tabulkách pro období 05-22 hod a pro 120 min špi</w:t>
      </w:r>
      <w:r w:rsidRPr="007814AC">
        <w:rPr>
          <w:rFonts w:hint="eastAsia"/>
        </w:rPr>
        <w:t>č</w:t>
      </w:r>
      <w:r w:rsidRPr="007814AC">
        <w:t>ku:</w:t>
      </w:r>
    </w:p>
    <w:p w:rsidR="006A77BD" w:rsidRPr="00A657DB" w:rsidRDefault="006A77BD">
      <w:pPr>
        <w:rPr>
          <w:b/>
        </w:rPr>
      </w:pPr>
      <w:r w:rsidRPr="00A657DB">
        <w:rPr>
          <w:b/>
        </w:rPr>
        <w:t>A. Jednokolejné úseky Pardubice-Rosice nad Labem – Stéblová a Opatovice nad Labem – Hradec Králové hlavní nádraží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69"/>
        <w:gridCol w:w="2693"/>
        <w:gridCol w:w="2694"/>
      </w:tblGrid>
      <w:tr w:rsidR="00320C76" w:rsidTr="006B08CB">
        <w:trPr>
          <w:trHeight w:val="284"/>
        </w:trPr>
        <w:tc>
          <w:tcPr>
            <w:tcW w:w="9356" w:type="dxa"/>
            <w:gridSpan w:val="3"/>
            <w:tcBorders>
              <w:bottom w:val="single" w:sz="4" w:space="0" w:color="auto"/>
            </w:tcBorders>
          </w:tcPr>
          <w:p w:rsidR="00320C76" w:rsidRPr="00714409" w:rsidRDefault="00320C76" w:rsidP="002E5756">
            <w:pPr>
              <w:pStyle w:val="Titulek"/>
            </w:pPr>
            <w:bookmarkStart w:id="156" w:name="_Toc390958765"/>
            <w:bookmarkStart w:id="157" w:name="_Toc391034569"/>
            <w:r w:rsidRPr="00714409">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14</w:t>
            </w:r>
            <w:r w:rsidR="000E79AE">
              <w:fldChar w:fldCharType="end"/>
            </w:r>
            <w:r w:rsidRPr="00714409">
              <w:t xml:space="preserve">: Ukazatelé propustnosti pro </w:t>
            </w:r>
            <w:r w:rsidR="007814AC">
              <w:t>Etap</w:t>
            </w:r>
            <w:r w:rsidR="001075CA">
              <w:t>u</w:t>
            </w:r>
            <w:r w:rsidRPr="00714409">
              <w:t xml:space="preserve"> (05-22 hod)</w:t>
            </w:r>
            <w:bookmarkEnd w:id="156"/>
            <w:bookmarkEnd w:id="157"/>
          </w:p>
        </w:tc>
      </w:tr>
      <w:tr w:rsidR="006B08CB" w:rsidTr="006B08CB">
        <w:trPr>
          <w:trHeight w:val="587"/>
        </w:trPr>
        <w:tc>
          <w:tcPr>
            <w:tcW w:w="3969" w:type="dxa"/>
            <w:tcBorders>
              <w:right w:val="single" w:sz="12" w:space="0" w:color="auto"/>
            </w:tcBorders>
            <w:shd w:val="clear" w:color="auto" w:fill="D9D9D9" w:themeFill="background1" w:themeFillShade="D9"/>
            <w:vAlign w:val="center"/>
          </w:tcPr>
          <w:p w:rsidR="006B08CB" w:rsidRPr="006B08CB" w:rsidRDefault="006B08CB" w:rsidP="006B08CB">
            <w:pPr>
              <w:spacing w:before="0" w:after="0" w:line="240" w:lineRule="auto"/>
              <w:jc w:val="left"/>
              <w:rPr>
                <w:sz w:val="18"/>
              </w:rPr>
            </w:pPr>
            <w:r w:rsidRPr="006B08CB">
              <w:rPr>
                <w:sz w:val="18"/>
              </w:rPr>
              <w:t>Úsek</w:t>
            </w:r>
            <w:r>
              <w:rPr>
                <w:sz w:val="18"/>
              </w:rPr>
              <w:t>/</w:t>
            </w:r>
            <w:r w:rsidRPr="006B08CB">
              <w:rPr>
                <w:sz w:val="18"/>
              </w:rPr>
              <w:t>Popis</w:t>
            </w:r>
          </w:p>
        </w:tc>
        <w:tc>
          <w:tcPr>
            <w:tcW w:w="2693" w:type="dxa"/>
            <w:tcBorders>
              <w:left w:val="single" w:sz="12" w:space="0" w:color="auto"/>
            </w:tcBorders>
            <w:shd w:val="clear" w:color="auto" w:fill="D9D9D9" w:themeFill="background1" w:themeFillShade="D9"/>
            <w:vAlign w:val="center"/>
          </w:tcPr>
          <w:p w:rsidR="006B08CB" w:rsidRPr="006B08CB" w:rsidRDefault="006B08CB" w:rsidP="006B08CB">
            <w:pPr>
              <w:spacing w:before="0" w:after="0" w:line="240" w:lineRule="auto"/>
              <w:jc w:val="center"/>
              <w:rPr>
                <w:sz w:val="18"/>
              </w:rPr>
            </w:pPr>
            <w:r w:rsidRPr="006B08CB">
              <w:rPr>
                <w:sz w:val="18"/>
              </w:rPr>
              <w:t>Opatovice nad Lab. – Hradec Králové hl. nádr.</w:t>
            </w:r>
          </w:p>
        </w:tc>
        <w:tc>
          <w:tcPr>
            <w:tcW w:w="2694" w:type="dxa"/>
            <w:shd w:val="clear" w:color="auto" w:fill="D9D9D9" w:themeFill="background1" w:themeFillShade="D9"/>
            <w:vAlign w:val="center"/>
          </w:tcPr>
          <w:p w:rsidR="006B08CB" w:rsidRPr="006B08CB" w:rsidRDefault="006B08CB" w:rsidP="006B08CB">
            <w:pPr>
              <w:spacing w:before="0" w:after="0" w:line="240" w:lineRule="auto"/>
              <w:jc w:val="center"/>
              <w:rPr>
                <w:sz w:val="18"/>
              </w:rPr>
            </w:pPr>
            <w:r w:rsidRPr="006B08CB">
              <w:rPr>
                <w:sz w:val="18"/>
              </w:rPr>
              <w:t>Pardubice-Rosice nad Lab. – Stéblová</w:t>
            </w:r>
          </w:p>
        </w:tc>
      </w:tr>
      <w:tr w:rsidR="00F93F13" w:rsidTr="009A3C45">
        <w:trPr>
          <w:trHeight w:val="284"/>
        </w:trPr>
        <w:tc>
          <w:tcPr>
            <w:tcW w:w="3969" w:type="dxa"/>
            <w:tcBorders>
              <w:top w:val="single" w:sz="12" w:space="0" w:color="auto"/>
              <w:right w:val="single" w:sz="12" w:space="0" w:color="auto"/>
            </w:tcBorders>
            <w:shd w:val="clear" w:color="auto" w:fill="D9D9D9" w:themeFill="background1" w:themeFillShade="D9"/>
            <w:vAlign w:val="center"/>
          </w:tcPr>
          <w:p w:rsidR="00F93F13" w:rsidRPr="006B08CB" w:rsidRDefault="00F93F13" w:rsidP="009A3C45">
            <w:pPr>
              <w:spacing w:before="0" w:after="0" w:line="240" w:lineRule="auto"/>
              <w:jc w:val="left"/>
              <w:rPr>
                <w:sz w:val="18"/>
              </w:rPr>
            </w:pPr>
            <w:r w:rsidRPr="006B08CB">
              <w:rPr>
                <w:sz w:val="18"/>
              </w:rPr>
              <w:t>T</w:t>
            </w:r>
            <w:r w:rsidRPr="006B08CB">
              <w:rPr>
                <w:sz w:val="18"/>
                <w:vertAlign w:val="subscript"/>
              </w:rPr>
              <w:t>výp</w:t>
            </w:r>
            <w:r w:rsidRPr="006B08CB">
              <w:rPr>
                <w:sz w:val="18"/>
              </w:rPr>
              <w:t xml:space="preserve"> - výpočetní doba 05-22 hod [min]</w:t>
            </w:r>
          </w:p>
        </w:tc>
        <w:tc>
          <w:tcPr>
            <w:tcW w:w="2693" w:type="dxa"/>
            <w:tcBorders>
              <w:top w:val="single" w:sz="12" w:space="0" w:color="auto"/>
              <w:left w:val="single" w:sz="12" w:space="0" w:color="auto"/>
            </w:tcBorders>
            <w:shd w:val="clear" w:color="auto" w:fill="FFFFFF" w:themeFill="background1"/>
            <w:vAlign w:val="center"/>
          </w:tcPr>
          <w:p w:rsidR="00F93F13" w:rsidRPr="006B08CB" w:rsidRDefault="006B08CB" w:rsidP="006B08CB">
            <w:pPr>
              <w:tabs>
                <w:tab w:val="left" w:pos="2444"/>
              </w:tabs>
              <w:spacing w:before="0" w:after="0" w:line="240" w:lineRule="auto"/>
              <w:ind w:right="175"/>
              <w:jc w:val="center"/>
              <w:rPr>
                <w:sz w:val="18"/>
              </w:rPr>
            </w:pPr>
            <w:r w:rsidRPr="006B08CB">
              <w:rPr>
                <w:sz w:val="18"/>
              </w:rPr>
              <w:t>1</w:t>
            </w:r>
            <w:r>
              <w:rPr>
                <w:sz w:val="18"/>
              </w:rPr>
              <w:t xml:space="preserve"> </w:t>
            </w:r>
            <w:r w:rsidRPr="006B08CB">
              <w:rPr>
                <w:sz w:val="18"/>
              </w:rPr>
              <w:t>020</w:t>
            </w:r>
          </w:p>
        </w:tc>
        <w:tc>
          <w:tcPr>
            <w:tcW w:w="2694" w:type="dxa"/>
            <w:tcBorders>
              <w:top w:val="single" w:sz="12" w:space="0" w:color="auto"/>
            </w:tcBorders>
            <w:shd w:val="clear" w:color="auto" w:fill="FFFFFF" w:themeFill="background1"/>
            <w:vAlign w:val="center"/>
          </w:tcPr>
          <w:p w:rsidR="00F93F13" w:rsidRPr="006B08CB" w:rsidRDefault="006B08CB" w:rsidP="006B08CB">
            <w:pPr>
              <w:tabs>
                <w:tab w:val="left" w:pos="2444"/>
              </w:tabs>
              <w:spacing w:before="0" w:after="0" w:line="240" w:lineRule="auto"/>
              <w:ind w:right="175"/>
              <w:jc w:val="center"/>
              <w:rPr>
                <w:sz w:val="18"/>
              </w:rPr>
            </w:pPr>
            <w:r w:rsidRPr="006B08CB">
              <w:rPr>
                <w:sz w:val="18"/>
              </w:rPr>
              <w:t>1</w:t>
            </w:r>
            <w:r>
              <w:rPr>
                <w:sz w:val="18"/>
              </w:rPr>
              <w:t xml:space="preserve"> </w:t>
            </w:r>
            <w:r w:rsidRPr="006B08CB">
              <w:rPr>
                <w:sz w:val="18"/>
              </w:rPr>
              <w:t>020</w:t>
            </w:r>
          </w:p>
        </w:tc>
      </w:tr>
      <w:tr w:rsidR="00F93F13" w:rsidTr="009A3C45">
        <w:trPr>
          <w:trHeight w:val="284"/>
        </w:trPr>
        <w:tc>
          <w:tcPr>
            <w:tcW w:w="3969" w:type="dxa"/>
            <w:tcBorders>
              <w:right w:val="single" w:sz="12" w:space="0" w:color="auto"/>
            </w:tcBorders>
            <w:shd w:val="clear" w:color="auto" w:fill="D9D9D9" w:themeFill="background1" w:themeFillShade="D9"/>
            <w:vAlign w:val="center"/>
          </w:tcPr>
          <w:p w:rsidR="00F93F13" w:rsidRPr="006B08CB" w:rsidRDefault="00F93F13" w:rsidP="009A3C45">
            <w:pPr>
              <w:spacing w:before="0" w:after="0" w:line="240" w:lineRule="auto"/>
              <w:jc w:val="left"/>
              <w:rPr>
                <w:sz w:val="18"/>
              </w:rPr>
            </w:pPr>
            <w:r w:rsidRPr="006B08CB">
              <w:rPr>
                <w:sz w:val="18"/>
              </w:rPr>
              <w:t>N – počet vlaků (122 osob.+3 páry nákl.)</w:t>
            </w:r>
          </w:p>
        </w:tc>
        <w:tc>
          <w:tcPr>
            <w:tcW w:w="2693" w:type="dxa"/>
            <w:tcBorders>
              <w:left w:val="single" w:sz="12" w:space="0" w:color="auto"/>
            </w:tcBorders>
            <w:shd w:val="clear" w:color="auto" w:fill="FFFFFF" w:themeFill="background1"/>
            <w:vAlign w:val="center"/>
          </w:tcPr>
          <w:p w:rsidR="00F93F13" w:rsidRPr="006B08CB" w:rsidRDefault="006B08CB" w:rsidP="006B08CB">
            <w:pPr>
              <w:tabs>
                <w:tab w:val="left" w:pos="2444"/>
              </w:tabs>
              <w:spacing w:before="0" w:after="0" w:line="240" w:lineRule="auto"/>
              <w:ind w:right="175"/>
              <w:jc w:val="center"/>
              <w:rPr>
                <w:sz w:val="18"/>
              </w:rPr>
            </w:pPr>
            <w:r w:rsidRPr="006B08CB">
              <w:rPr>
                <w:sz w:val="18"/>
              </w:rPr>
              <w:t>128</w:t>
            </w:r>
          </w:p>
        </w:tc>
        <w:tc>
          <w:tcPr>
            <w:tcW w:w="2694" w:type="dxa"/>
            <w:shd w:val="clear" w:color="auto" w:fill="FFFFFF" w:themeFill="background1"/>
            <w:vAlign w:val="center"/>
          </w:tcPr>
          <w:p w:rsidR="00F93F13" w:rsidRPr="006B08CB" w:rsidRDefault="006B08CB" w:rsidP="006B08CB">
            <w:pPr>
              <w:tabs>
                <w:tab w:val="left" w:pos="2444"/>
              </w:tabs>
              <w:spacing w:before="0" w:after="0" w:line="240" w:lineRule="auto"/>
              <w:ind w:right="175"/>
              <w:jc w:val="center"/>
              <w:rPr>
                <w:sz w:val="18"/>
              </w:rPr>
            </w:pPr>
            <w:r w:rsidRPr="006B08CB">
              <w:rPr>
                <w:sz w:val="18"/>
              </w:rPr>
              <w:t>128</w:t>
            </w:r>
          </w:p>
        </w:tc>
      </w:tr>
      <w:tr w:rsidR="00F93F13" w:rsidTr="009A3C45">
        <w:trPr>
          <w:trHeight w:val="284"/>
        </w:trPr>
        <w:tc>
          <w:tcPr>
            <w:tcW w:w="3969" w:type="dxa"/>
            <w:tcBorders>
              <w:right w:val="single" w:sz="12" w:space="0" w:color="auto"/>
            </w:tcBorders>
            <w:shd w:val="clear" w:color="auto" w:fill="D9D9D9" w:themeFill="background1" w:themeFillShade="D9"/>
            <w:vAlign w:val="center"/>
          </w:tcPr>
          <w:p w:rsidR="00F93F13" w:rsidRPr="006B08CB" w:rsidRDefault="00F93F13" w:rsidP="009A3C45">
            <w:pPr>
              <w:spacing w:before="0" w:after="0" w:line="240" w:lineRule="auto"/>
              <w:jc w:val="left"/>
              <w:rPr>
                <w:sz w:val="18"/>
              </w:rPr>
            </w:pPr>
            <w:r w:rsidRPr="006B08CB">
              <w:rPr>
                <w:sz w:val="18"/>
              </w:rPr>
              <w:t>T</w:t>
            </w:r>
            <w:r w:rsidRPr="006B08CB">
              <w:rPr>
                <w:sz w:val="18"/>
                <w:vertAlign w:val="subscript"/>
              </w:rPr>
              <w:t>obs</w:t>
            </w:r>
            <w:r w:rsidRPr="006B08CB">
              <w:rPr>
                <w:sz w:val="18"/>
              </w:rPr>
              <w:t xml:space="preserve"> - celková doba obsazení [min]</w:t>
            </w:r>
          </w:p>
        </w:tc>
        <w:tc>
          <w:tcPr>
            <w:tcW w:w="2693" w:type="dxa"/>
            <w:tcBorders>
              <w:left w:val="single" w:sz="12" w:space="0" w:color="auto"/>
            </w:tcBorders>
            <w:shd w:val="clear" w:color="auto" w:fill="FFFFFF" w:themeFill="background1"/>
            <w:vAlign w:val="center"/>
          </w:tcPr>
          <w:p w:rsidR="00F93F13" w:rsidRPr="006B08CB" w:rsidRDefault="006B08CB" w:rsidP="006B08CB">
            <w:pPr>
              <w:tabs>
                <w:tab w:val="left" w:pos="2444"/>
              </w:tabs>
              <w:spacing w:before="0" w:after="0" w:line="240" w:lineRule="auto"/>
              <w:ind w:right="175"/>
              <w:jc w:val="center"/>
              <w:rPr>
                <w:sz w:val="18"/>
              </w:rPr>
            </w:pPr>
            <w:r w:rsidRPr="006B08CB">
              <w:rPr>
                <w:sz w:val="18"/>
              </w:rPr>
              <w:t>746,0</w:t>
            </w:r>
          </w:p>
        </w:tc>
        <w:tc>
          <w:tcPr>
            <w:tcW w:w="2694" w:type="dxa"/>
            <w:shd w:val="clear" w:color="auto" w:fill="FFFFFF" w:themeFill="background1"/>
            <w:vAlign w:val="center"/>
          </w:tcPr>
          <w:p w:rsidR="00F93F13" w:rsidRPr="006B08CB" w:rsidRDefault="00F93F13" w:rsidP="006B08CB">
            <w:pPr>
              <w:tabs>
                <w:tab w:val="left" w:pos="2444"/>
              </w:tabs>
              <w:spacing w:before="0" w:after="0" w:line="240" w:lineRule="auto"/>
              <w:ind w:right="175"/>
              <w:jc w:val="center"/>
              <w:rPr>
                <w:sz w:val="18"/>
              </w:rPr>
            </w:pPr>
            <w:r w:rsidRPr="006B08CB">
              <w:rPr>
                <w:sz w:val="18"/>
              </w:rPr>
              <w:t>768,7</w:t>
            </w:r>
          </w:p>
        </w:tc>
      </w:tr>
      <w:tr w:rsidR="00F93F13" w:rsidTr="009A3C45">
        <w:trPr>
          <w:trHeight w:val="284"/>
        </w:trPr>
        <w:tc>
          <w:tcPr>
            <w:tcW w:w="3969" w:type="dxa"/>
            <w:tcBorders>
              <w:right w:val="single" w:sz="12" w:space="0" w:color="auto"/>
            </w:tcBorders>
            <w:shd w:val="clear" w:color="auto" w:fill="D9D9D9" w:themeFill="background1" w:themeFillShade="D9"/>
            <w:vAlign w:val="center"/>
          </w:tcPr>
          <w:p w:rsidR="00F93F13" w:rsidRPr="006B08CB" w:rsidRDefault="00F93F13" w:rsidP="009A3C45">
            <w:pPr>
              <w:spacing w:before="0" w:after="0" w:line="240" w:lineRule="auto"/>
              <w:jc w:val="left"/>
              <w:rPr>
                <w:sz w:val="18"/>
              </w:rPr>
            </w:pPr>
            <w:r w:rsidRPr="006B08CB">
              <w:rPr>
                <w:sz w:val="18"/>
              </w:rPr>
              <w:t>t</w:t>
            </w:r>
            <w:r w:rsidRPr="006B08CB">
              <w:rPr>
                <w:sz w:val="18"/>
                <w:vertAlign w:val="subscript"/>
              </w:rPr>
              <w:t>obs</w:t>
            </w:r>
            <w:r w:rsidRPr="006B08CB">
              <w:rPr>
                <w:sz w:val="18"/>
              </w:rPr>
              <w:t xml:space="preserve"> – jednotková doba obsazení [min]</w:t>
            </w:r>
          </w:p>
        </w:tc>
        <w:tc>
          <w:tcPr>
            <w:tcW w:w="2693" w:type="dxa"/>
            <w:tcBorders>
              <w:left w:val="single" w:sz="12" w:space="0" w:color="auto"/>
            </w:tcBorders>
            <w:shd w:val="clear" w:color="auto" w:fill="FFFFFF" w:themeFill="background1"/>
            <w:vAlign w:val="center"/>
          </w:tcPr>
          <w:p w:rsidR="00F93F13" w:rsidRPr="006B08CB" w:rsidRDefault="006B08CB" w:rsidP="006B08CB">
            <w:pPr>
              <w:tabs>
                <w:tab w:val="left" w:pos="2444"/>
              </w:tabs>
              <w:spacing w:before="0" w:after="0" w:line="240" w:lineRule="auto"/>
              <w:ind w:right="175"/>
              <w:jc w:val="center"/>
              <w:rPr>
                <w:sz w:val="18"/>
              </w:rPr>
            </w:pPr>
            <w:r w:rsidRPr="006B08CB">
              <w:rPr>
                <w:sz w:val="18"/>
              </w:rPr>
              <w:t>5,83</w:t>
            </w:r>
          </w:p>
        </w:tc>
        <w:tc>
          <w:tcPr>
            <w:tcW w:w="2694" w:type="dxa"/>
            <w:shd w:val="clear" w:color="auto" w:fill="FFFFFF" w:themeFill="background1"/>
            <w:vAlign w:val="center"/>
          </w:tcPr>
          <w:p w:rsidR="00F93F13" w:rsidRPr="006B08CB" w:rsidRDefault="00F93F13" w:rsidP="006B08CB">
            <w:pPr>
              <w:tabs>
                <w:tab w:val="left" w:pos="2444"/>
              </w:tabs>
              <w:spacing w:before="0" w:after="0" w:line="240" w:lineRule="auto"/>
              <w:ind w:right="175"/>
              <w:jc w:val="center"/>
              <w:rPr>
                <w:sz w:val="18"/>
              </w:rPr>
            </w:pPr>
            <w:r w:rsidRPr="006B08CB">
              <w:rPr>
                <w:sz w:val="18"/>
              </w:rPr>
              <w:t>6,01</w:t>
            </w:r>
          </w:p>
        </w:tc>
      </w:tr>
      <w:tr w:rsidR="00F93F13" w:rsidTr="009A3C45">
        <w:trPr>
          <w:trHeight w:val="284"/>
        </w:trPr>
        <w:tc>
          <w:tcPr>
            <w:tcW w:w="3969" w:type="dxa"/>
            <w:tcBorders>
              <w:right w:val="single" w:sz="12" w:space="0" w:color="auto"/>
            </w:tcBorders>
            <w:shd w:val="clear" w:color="auto" w:fill="D9D9D9" w:themeFill="background1" w:themeFillShade="D9"/>
            <w:vAlign w:val="center"/>
          </w:tcPr>
          <w:p w:rsidR="00F93F13" w:rsidRPr="006B08CB" w:rsidRDefault="00F93F13" w:rsidP="009A3C45">
            <w:pPr>
              <w:spacing w:before="0" w:after="0" w:line="240" w:lineRule="auto"/>
              <w:jc w:val="left"/>
              <w:rPr>
                <w:sz w:val="18"/>
              </w:rPr>
            </w:pPr>
            <w:r w:rsidRPr="006B08CB">
              <w:rPr>
                <w:sz w:val="18"/>
              </w:rPr>
              <w:t>t</w:t>
            </w:r>
            <w:r w:rsidRPr="006B08CB">
              <w:rPr>
                <w:sz w:val="18"/>
                <w:vertAlign w:val="subscript"/>
              </w:rPr>
              <w:t>mez</w:t>
            </w:r>
            <w:r w:rsidRPr="006B08CB">
              <w:rPr>
                <w:sz w:val="18"/>
              </w:rPr>
              <w:t xml:space="preserve"> – časová záloha – D24 sl. B [min]</w:t>
            </w:r>
          </w:p>
        </w:tc>
        <w:tc>
          <w:tcPr>
            <w:tcW w:w="2693" w:type="dxa"/>
            <w:tcBorders>
              <w:left w:val="single" w:sz="12" w:space="0" w:color="auto"/>
            </w:tcBorders>
            <w:shd w:val="clear" w:color="auto" w:fill="FFFFFF" w:themeFill="background1"/>
            <w:vAlign w:val="center"/>
          </w:tcPr>
          <w:p w:rsidR="00F93F13" w:rsidRPr="006B08CB" w:rsidRDefault="006B08CB" w:rsidP="006B08CB">
            <w:pPr>
              <w:tabs>
                <w:tab w:val="left" w:pos="2444"/>
              </w:tabs>
              <w:spacing w:before="0" w:after="0" w:line="240" w:lineRule="auto"/>
              <w:ind w:right="175"/>
              <w:jc w:val="center"/>
              <w:rPr>
                <w:sz w:val="18"/>
              </w:rPr>
            </w:pPr>
            <w:r w:rsidRPr="006B08CB">
              <w:rPr>
                <w:sz w:val="18"/>
              </w:rPr>
              <w:t>3,71</w:t>
            </w:r>
          </w:p>
        </w:tc>
        <w:tc>
          <w:tcPr>
            <w:tcW w:w="2694" w:type="dxa"/>
            <w:shd w:val="clear" w:color="auto" w:fill="FFFFFF" w:themeFill="background1"/>
            <w:vAlign w:val="center"/>
          </w:tcPr>
          <w:p w:rsidR="00F93F13" w:rsidRPr="006B08CB" w:rsidRDefault="00F93F13" w:rsidP="006B08CB">
            <w:pPr>
              <w:tabs>
                <w:tab w:val="left" w:pos="2444"/>
              </w:tabs>
              <w:spacing w:before="0" w:after="0" w:line="240" w:lineRule="auto"/>
              <w:ind w:right="175"/>
              <w:jc w:val="center"/>
              <w:rPr>
                <w:sz w:val="18"/>
              </w:rPr>
            </w:pPr>
            <w:r w:rsidRPr="006B08CB">
              <w:rPr>
                <w:sz w:val="18"/>
              </w:rPr>
              <w:t>3,81</w:t>
            </w:r>
          </w:p>
        </w:tc>
      </w:tr>
      <w:tr w:rsidR="00F93F13" w:rsidTr="009A3C45">
        <w:trPr>
          <w:trHeight w:val="284"/>
        </w:trPr>
        <w:tc>
          <w:tcPr>
            <w:tcW w:w="3969" w:type="dxa"/>
            <w:tcBorders>
              <w:right w:val="single" w:sz="12" w:space="0" w:color="auto"/>
            </w:tcBorders>
            <w:shd w:val="clear" w:color="auto" w:fill="D9D9D9" w:themeFill="background1" w:themeFillShade="D9"/>
            <w:vAlign w:val="center"/>
          </w:tcPr>
          <w:p w:rsidR="00F93F13" w:rsidRPr="006B08CB" w:rsidRDefault="00F93F13" w:rsidP="009A3C45">
            <w:pPr>
              <w:spacing w:before="0" w:after="0" w:line="240" w:lineRule="auto"/>
              <w:jc w:val="left"/>
              <w:rPr>
                <w:sz w:val="18"/>
              </w:rPr>
            </w:pPr>
            <w:r w:rsidRPr="006B08CB">
              <w:rPr>
                <w:sz w:val="18"/>
              </w:rPr>
              <w:t xml:space="preserve">n – prakt. propustnost sl. B </w:t>
            </w:r>
            <w:r w:rsidRPr="006B08CB">
              <w:rPr>
                <w:sz w:val="18"/>
                <w:lang w:val="pl-PL"/>
              </w:rPr>
              <w:t>[vlaky]</w:t>
            </w:r>
          </w:p>
        </w:tc>
        <w:tc>
          <w:tcPr>
            <w:tcW w:w="2693" w:type="dxa"/>
            <w:tcBorders>
              <w:left w:val="single" w:sz="12" w:space="0" w:color="auto"/>
            </w:tcBorders>
            <w:shd w:val="clear" w:color="auto" w:fill="FFFFFF" w:themeFill="background1"/>
            <w:vAlign w:val="center"/>
          </w:tcPr>
          <w:p w:rsidR="00F93F13" w:rsidRPr="006B08CB" w:rsidRDefault="006B08CB" w:rsidP="006B08CB">
            <w:pPr>
              <w:tabs>
                <w:tab w:val="left" w:pos="2444"/>
              </w:tabs>
              <w:spacing w:before="0" w:after="0" w:line="240" w:lineRule="auto"/>
              <w:ind w:right="175"/>
              <w:jc w:val="center"/>
              <w:rPr>
                <w:sz w:val="18"/>
              </w:rPr>
            </w:pPr>
            <w:r w:rsidRPr="006B08CB">
              <w:rPr>
                <w:sz w:val="18"/>
              </w:rPr>
              <w:t>106</w:t>
            </w:r>
          </w:p>
        </w:tc>
        <w:tc>
          <w:tcPr>
            <w:tcW w:w="2694" w:type="dxa"/>
            <w:shd w:val="clear" w:color="auto" w:fill="FFFFFF" w:themeFill="background1"/>
            <w:vAlign w:val="center"/>
          </w:tcPr>
          <w:p w:rsidR="00F93F13" w:rsidRPr="006B08CB" w:rsidRDefault="00F93F13" w:rsidP="006B08CB">
            <w:pPr>
              <w:tabs>
                <w:tab w:val="left" w:pos="2444"/>
              </w:tabs>
              <w:spacing w:before="0" w:after="0" w:line="240" w:lineRule="auto"/>
              <w:ind w:right="175"/>
              <w:jc w:val="center"/>
              <w:rPr>
                <w:sz w:val="18"/>
              </w:rPr>
            </w:pPr>
            <w:r w:rsidRPr="006B08CB">
              <w:rPr>
                <w:sz w:val="18"/>
              </w:rPr>
              <w:t>103</w:t>
            </w:r>
          </w:p>
        </w:tc>
      </w:tr>
      <w:tr w:rsidR="00F93F13" w:rsidTr="009A3C45">
        <w:trPr>
          <w:trHeight w:val="284"/>
        </w:trPr>
        <w:tc>
          <w:tcPr>
            <w:tcW w:w="3969" w:type="dxa"/>
            <w:tcBorders>
              <w:right w:val="single" w:sz="12" w:space="0" w:color="auto"/>
            </w:tcBorders>
            <w:shd w:val="clear" w:color="auto" w:fill="D9D9D9" w:themeFill="background1" w:themeFillShade="D9"/>
            <w:vAlign w:val="center"/>
          </w:tcPr>
          <w:p w:rsidR="00F93F13" w:rsidRPr="006B08CB" w:rsidRDefault="00F93F13" w:rsidP="009A3C45">
            <w:pPr>
              <w:spacing w:before="0" w:after="0" w:line="240" w:lineRule="auto"/>
              <w:jc w:val="left"/>
              <w:rPr>
                <w:sz w:val="18"/>
              </w:rPr>
            </w:pPr>
            <w:r w:rsidRPr="006B08CB">
              <w:rPr>
                <w:sz w:val="18"/>
              </w:rPr>
              <w:t>k</w:t>
            </w:r>
            <w:r w:rsidRPr="006B08CB">
              <w:rPr>
                <w:sz w:val="18"/>
                <w:vertAlign w:val="subscript"/>
              </w:rPr>
              <w:t>prakt</w:t>
            </w:r>
            <w:r w:rsidRPr="006B08CB">
              <w:rPr>
                <w:sz w:val="18"/>
              </w:rPr>
              <w:t xml:space="preserve"> = využití prakt. propust. (sl.B) </w:t>
            </w:r>
          </w:p>
        </w:tc>
        <w:tc>
          <w:tcPr>
            <w:tcW w:w="2693" w:type="dxa"/>
            <w:tcBorders>
              <w:left w:val="single" w:sz="12" w:space="0" w:color="auto"/>
            </w:tcBorders>
            <w:shd w:val="clear" w:color="auto" w:fill="FFFFFF" w:themeFill="background1"/>
            <w:vAlign w:val="center"/>
          </w:tcPr>
          <w:p w:rsidR="00F93F13" w:rsidRPr="006B08CB" w:rsidRDefault="006B08CB" w:rsidP="006B08CB">
            <w:pPr>
              <w:tabs>
                <w:tab w:val="left" w:pos="2444"/>
              </w:tabs>
              <w:spacing w:before="0" w:after="0" w:line="240" w:lineRule="auto"/>
              <w:ind w:right="175"/>
              <w:jc w:val="center"/>
              <w:rPr>
                <w:sz w:val="18"/>
              </w:rPr>
            </w:pPr>
            <w:r w:rsidRPr="006B08CB">
              <w:rPr>
                <w:sz w:val="18"/>
              </w:rPr>
              <w:t>120,7 %</w:t>
            </w:r>
          </w:p>
        </w:tc>
        <w:tc>
          <w:tcPr>
            <w:tcW w:w="2694" w:type="dxa"/>
            <w:shd w:val="clear" w:color="auto" w:fill="FFFFFF" w:themeFill="background1"/>
            <w:vAlign w:val="center"/>
          </w:tcPr>
          <w:p w:rsidR="00F93F13" w:rsidRPr="006B08CB" w:rsidRDefault="00F93F13" w:rsidP="006B08CB">
            <w:pPr>
              <w:tabs>
                <w:tab w:val="left" w:pos="2444"/>
              </w:tabs>
              <w:spacing w:before="0" w:after="0" w:line="240" w:lineRule="auto"/>
              <w:ind w:right="175"/>
              <w:jc w:val="center"/>
              <w:rPr>
                <w:bCs/>
                <w:kern w:val="28"/>
                <w:sz w:val="18"/>
                <w:szCs w:val="32"/>
              </w:rPr>
            </w:pPr>
            <w:r w:rsidRPr="006B08CB">
              <w:rPr>
                <w:sz w:val="18"/>
              </w:rPr>
              <w:t>124,3 %</w:t>
            </w:r>
          </w:p>
        </w:tc>
      </w:tr>
      <w:tr w:rsidR="00F93F13" w:rsidTr="009A3C45">
        <w:trPr>
          <w:trHeight w:val="284"/>
        </w:trPr>
        <w:tc>
          <w:tcPr>
            <w:tcW w:w="3969" w:type="dxa"/>
            <w:tcBorders>
              <w:right w:val="single" w:sz="12" w:space="0" w:color="auto"/>
            </w:tcBorders>
            <w:shd w:val="clear" w:color="auto" w:fill="D9D9D9" w:themeFill="background1" w:themeFillShade="D9"/>
            <w:vAlign w:val="center"/>
          </w:tcPr>
          <w:p w:rsidR="00F93F13" w:rsidRPr="006B08CB" w:rsidRDefault="00F93F13" w:rsidP="009A3C45">
            <w:pPr>
              <w:spacing w:before="0" w:after="0" w:line="240" w:lineRule="auto"/>
              <w:jc w:val="left"/>
              <w:rPr>
                <w:sz w:val="18"/>
              </w:rPr>
            </w:pPr>
            <w:r w:rsidRPr="006B08CB">
              <w:rPr>
                <w:sz w:val="18"/>
              </w:rPr>
              <w:t>t</w:t>
            </w:r>
            <w:r w:rsidRPr="006B08CB">
              <w:rPr>
                <w:sz w:val="18"/>
                <w:vertAlign w:val="subscript"/>
              </w:rPr>
              <w:t>mez</w:t>
            </w:r>
            <w:r w:rsidRPr="006B08CB">
              <w:rPr>
                <w:sz w:val="18"/>
              </w:rPr>
              <w:t xml:space="preserve"> – čas. záloha – D24 sl.(B+C)/2 [min]</w:t>
            </w:r>
          </w:p>
        </w:tc>
        <w:tc>
          <w:tcPr>
            <w:tcW w:w="2693" w:type="dxa"/>
            <w:tcBorders>
              <w:left w:val="single" w:sz="12" w:space="0" w:color="auto"/>
            </w:tcBorders>
            <w:shd w:val="clear" w:color="auto" w:fill="FFFFFF" w:themeFill="background1"/>
            <w:vAlign w:val="center"/>
          </w:tcPr>
          <w:p w:rsidR="00F93F13" w:rsidRPr="006B08CB" w:rsidRDefault="006B08CB" w:rsidP="006B08CB">
            <w:pPr>
              <w:tabs>
                <w:tab w:val="left" w:pos="2444"/>
              </w:tabs>
              <w:spacing w:before="0" w:after="0" w:line="240" w:lineRule="auto"/>
              <w:ind w:right="175"/>
              <w:jc w:val="center"/>
              <w:rPr>
                <w:sz w:val="18"/>
              </w:rPr>
            </w:pPr>
            <w:r w:rsidRPr="006B08CB">
              <w:rPr>
                <w:sz w:val="18"/>
              </w:rPr>
              <w:t>3,31</w:t>
            </w:r>
          </w:p>
        </w:tc>
        <w:tc>
          <w:tcPr>
            <w:tcW w:w="2694" w:type="dxa"/>
            <w:shd w:val="clear" w:color="auto" w:fill="FFFFFF" w:themeFill="background1"/>
            <w:vAlign w:val="center"/>
          </w:tcPr>
          <w:p w:rsidR="00F93F13" w:rsidRPr="006B08CB" w:rsidRDefault="00F93F13" w:rsidP="006B08CB">
            <w:pPr>
              <w:tabs>
                <w:tab w:val="left" w:pos="2444"/>
              </w:tabs>
              <w:spacing w:before="0" w:after="0" w:line="240" w:lineRule="auto"/>
              <w:ind w:right="175"/>
              <w:jc w:val="center"/>
              <w:rPr>
                <w:bCs/>
                <w:kern w:val="28"/>
                <w:sz w:val="18"/>
                <w:szCs w:val="32"/>
              </w:rPr>
            </w:pPr>
            <w:r w:rsidRPr="006B08CB">
              <w:rPr>
                <w:sz w:val="18"/>
              </w:rPr>
              <w:t>3,40</w:t>
            </w:r>
          </w:p>
        </w:tc>
      </w:tr>
      <w:tr w:rsidR="00F93F13" w:rsidTr="009A3C45">
        <w:trPr>
          <w:trHeight w:val="284"/>
        </w:trPr>
        <w:tc>
          <w:tcPr>
            <w:tcW w:w="3969" w:type="dxa"/>
            <w:tcBorders>
              <w:right w:val="single" w:sz="12" w:space="0" w:color="auto"/>
            </w:tcBorders>
            <w:shd w:val="clear" w:color="auto" w:fill="D9D9D9" w:themeFill="background1" w:themeFillShade="D9"/>
            <w:vAlign w:val="center"/>
          </w:tcPr>
          <w:p w:rsidR="00F93F13" w:rsidRPr="006B08CB" w:rsidRDefault="00F93F13" w:rsidP="009A3C45">
            <w:pPr>
              <w:spacing w:before="0" w:after="0" w:line="240" w:lineRule="auto"/>
              <w:jc w:val="left"/>
              <w:rPr>
                <w:sz w:val="18"/>
              </w:rPr>
            </w:pPr>
            <w:r w:rsidRPr="006B08CB">
              <w:rPr>
                <w:sz w:val="18"/>
              </w:rPr>
              <w:t xml:space="preserve">n – prakt. propust. sl. (B+C)/2 </w:t>
            </w:r>
            <w:r w:rsidRPr="006B08CB">
              <w:rPr>
                <w:sz w:val="18"/>
                <w:lang w:val="pl-PL"/>
              </w:rPr>
              <w:t>[vlaky]</w:t>
            </w:r>
          </w:p>
        </w:tc>
        <w:tc>
          <w:tcPr>
            <w:tcW w:w="2693" w:type="dxa"/>
            <w:tcBorders>
              <w:left w:val="single" w:sz="12" w:space="0" w:color="auto"/>
            </w:tcBorders>
            <w:shd w:val="clear" w:color="auto" w:fill="FFFFFF" w:themeFill="background1"/>
            <w:vAlign w:val="center"/>
          </w:tcPr>
          <w:p w:rsidR="00F93F13" w:rsidRPr="006B08CB" w:rsidRDefault="006B08CB" w:rsidP="006B08CB">
            <w:pPr>
              <w:tabs>
                <w:tab w:val="left" w:pos="2444"/>
              </w:tabs>
              <w:spacing w:before="0" w:after="0" w:line="240" w:lineRule="auto"/>
              <w:ind w:right="175"/>
              <w:jc w:val="center"/>
              <w:rPr>
                <w:sz w:val="18"/>
              </w:rPr>
            </w:pPr>
            <w:r w:rsidRPr="006B08CB">
              <w:rPr>
                <w:sz w:val="18"/>
              </w:rPr>
              <w:t>111</w:t>
            </w:r>
          </w:p>
        </w:tc>
        <w:tc>
          <w:tcPr>
            <w:tcW w:w="2694" w:type="dxa"/>
            <w:shd w:val="clear" w:color="auto" w:fill="FFFFFF" w:themeFill="background1"/>
            <w:vAlign w:val="center"/>
          </w:tcPr>
          <w:p w:rsidR="00F93F13" w:rsidRPr="006B08CB" w:rsidRDefault="00F93F13" w:rsidP="006B08CB">
            <w:pPr>
              <w:tabs>
                <w:tab w:val="left" w:pos="2444"/>
              </w:tabs>
              <w:spacing w:before="0" w:after="0" w:line="240" w:lineRule="auto"/>
              <w:ind w:right="175"/>
              <w:jc w:val="center"/>
              <w:rPr>
                <w:bCs/>
                <w:kern w:val="28"/>
                <w:sz w:val="18"/>
                <w:szCs w:val="32"/>
              </w:rPr>
            </w:pPr>
            <w:r w:rsidRPr="006B08CB">
              <w:rPr>
                <w:sz w:val="18"/>
              </w:rPr>
              <w:t>108</w:t>
            </w:r>
          </w:p>
        </w:tc>
      </w:tr>
      <w:tr w:rsidR="00F93F13" w:rsidTr="009A3C45">
        <w:trPr>
          <w:trHeight w:val="284"/>
        </w:trPr>
        <w:tc>
          <w:tcPr>
            <w:tcW w:w="3969" w:type="dxa"/>
            <w:tcBorders>
              <w:right w:val="single" w:sz="12" w:space="0" w:color="auto"/>
            </w:tcBorders>
            <w:shd w:val="clear" w:color="auto" w:fill="D9D9D9" w:themeFill="background1" w:themeFillShade="D9"/>
            <w:vAlign w:val="center"/>
          </w:tcPr>
          <w:p w:rsidR="00F93F13" w:rsidRPr="006B08CB" w:rsidRDefault="00F93F13" w:rsidP="009A3C45">
            <w:pPr>
              <w:spacing w:before="0" w:after="0" w:line="240" w:lineRule="auto"/>
              <w:jc w:val="left"/>
              <w:rPr>
                <w:sz w:val="18"/>
              </w:rPr>
            </w:pPr>
            <w:r w:rsidRPr="006B08CB">
              <w:rPr>
                <w:sz w:val="18"/>
              </w:rPr>
              <w:t>k</w:t>
            </w:r>
            <w:r w:rsidRPr="006B08CB">
              <w:rPr>
                <w:sz w:val="18"/>
                <w:vertAlign w:val="subscript"/>
              </w:rPr>
              <w:t>prakt</w:t>
            </w:r>
            <w:r w:rsidRPr="006B08CB">
              <w:rPr>
                <w:sz w:val="18"/>
              </w:rPr>
              <w:t xml:space="preserve"> - využití prakt. propust. (sl.(B+C)/2) </w:t>
            </w:r>
          </w:p>
        </w:tc>
        <w:tc>
          <w:tcPr>
            <w:tcW w:w="2693" w:type="dxa"/>
            <w:tcBorders>
              <w:left w:val="single" w:sz="12" w:space="0" w:color="auto"/>
            </w:tcBorders>
            <w:shd w:val="clear" w:color="auto" w:fill="FFFFFF" w:themeFill="background1"/>
            <w:vAlign w:val="center"/>
          </w:tcPr>
          <w:p w:rsidR="00F93F13" w:rsidRPr="006B08CB" w:rsidRDefault="006B08CB" w:rsidP="006B08CB">
            <w:pPr>
              <w:tabs>
                <w:tab w:val="left" w:pos="2444"/>
              </w:tabs>
              <w:spacing w:before="0" w:after="0" w:line="240" w:lineRule="auto"/>
              <w:ind w:right="175"/>
              <w:jc w:val="center"/>
              <w:rPr>
                <w:sz w:val="18"/>
              </w:rPr>
            </w:pPr>
            <w:r w:rsidRPr="006B08CB">
              <w:rPr>
                <w:sz w:val="18"/>
              </w:rPr>
              <w:t>115,3 %</w:t>
            </w:r>
          </w:p>
        </w:tc>
        <w:tc>
          <w:tcPr>
            <w:tcW w:w="2694" w:type="dxa"/>
            <w:shd w:val="clear" w:color="auto" w:fill="FFFFFF" w:themeFill="background1"/>
            <w:vAlign w:val="center"/>
          </w:tcPr>
          <w:p w:rsidR="00F93F13" w:rsidRPr="006B08CB" w:rsidRDefault="00F93F13" w:rsidP="006B08CB">
            <w:pPr>
              <w:tabs>
                <w:tab w:val="left" w:pos="2444"/>
              </w:tabs>
              <w:spacing w:before="0" w:after="0" w:line="240" w:lineRule="auto"/>
              <w:ind w:right="175"/>
              <w:jc w:val="center"/>
              <w:rPr>
                <w:bCs/>
                <w:kern w:val="28"/>
                <w:sz w:val="18"/>
                <w:szCs w:val="32"/>
              </w:rPr>
            </w:pPr>
            <w:r w:rsidRPr="006B08CB">
              <w:rPr>
                <w:sz w:val="18"/>
              </w:rPr>
              <w:t>118,5 %</w:t>
            </w:r>
          </w:p>
        </w:tc>
      </w:tr>
      <w:tr w:rsidR="00F93F13" w:rsidTr="009A3C45">
        <w:trPr>
          <w:trHeight w:val="284"/>
        </w:trPr>
        <w:tc>
          <w:tcPr>
            <w:tcW w:w="3969" w:type="dxa"/>
            <w:tcBorders>
              <w:right w:val="single" w:sz="12" w:space="0" w:color="auto"/>
            </w:tcBorders>
            <w:shd w:val="clear" w:color="auto" w:fill="D9D9D9" w:themeFill="background1" w:themeFillShade="D9"/>
            <w:vAlign w:val="center"/>
          </w:tcPr>
          <w:p w:rsidR="00F93F13" w:rsidRPr="006B08CB" w:rsidRDefault="00F93F13" w:rsidP="009A3C45">
            <w:pPr>
              <w:spacing w:before="0" w:after="0" w:line="240" w:lineRule="auto"/>
              <w:jc w:val="left"/>
              <w:rPr>
                <w:sz w:val="18"/>
              </w:rPr>
            </w:pPr>
            <w:r w:rsidRPr="006B08CB">
              <w:rPr>
                <w:sz w:val="18"/>
              </w:rPr>
              <w:t>S</w:t>
            </w:r>
            <w:r w:rsidRPr="006B08CB">
              <w:rPr>
                <w:sz w:val="18"/>
                <w:vertAlign w:val="subscript"/>
              </w:rPr>
              <w:t>o</w:t>
            </w:r>
            <w:r w:rsidRPr="006B08CB">
              <w:rPr>
                <w:sz w:val="18"/>
              </w:rPr>
              <w:t xml:space="preserve"> – stupeň obsazení</w:t>
            </w:r>
          </w:p>
        </w:tc>
        <w:tc>
          <w:tcPr>
            <w:tcW w:w="2693" w:type="dxa"/>
            <w:tcBorders>
              <w:left w:val="single" w:sz="12" w:space="0" w:color="auto"/>
            </w:tcBorders>
            <w:shd w:val="clear" w:color="auto" w:fill="FFFFFF" w:themeFill="background1"/>
            <w:vAlign w:val="center"/>
          </w:tcPr>
          <w:p w:rsidR="00F93F13" w:rsidRPr="006B08CB" w:rsidRDefault="006B08CB" w:rsidP="006B08CB">
            <w:pPr>
              <w:tabs>
                <w:tab w:val="left" w:pos="2444"/>
              </w:tabs>
              <w:spacing w:before="0" w:after="0" w:line="240" w:lineRule="auto"/>
              <w:ind w:right="175"/>
              <w:jc w:val="center"/>
              <w:rPr>
                <w:sz w:val="18"/>
              </w:rPr>
            </w:pPr>
            <w:r w:rsidRPr="006B08CB">
              <w:rPr>
                <w:sz w:val="18"/>
              </w:rPr>
              <w:t>0,73</w:t>
            </w:r>
          </w:p>
        </w:tc>
        <w:tc>
          <w:tcPr>
            <w:tcW w:w="2694" w:type="dxa"/>
            <w:shd w:val="clear" w:color="auto" w:fill="FFFFFF" w:themeFill="background1"/>
            <w:vAlign w:val="center"/>
          </w:tcPr>
          <w:p w:rsidR="00F93F13" w:rsidRPr="006B08CB" w:rsidRDefault="00F93F13" w:rsidP="006B08CB">
            <w:pPr>
              <w:tabs>
                <w:tab w:val="left" w:pos="2444"/>
              </w:tabs>
              <w:spacing w:before="0" w:after="0" w:line="240" w:lineRule="auto"/>
              <w:ind w:right="175"/>
              <w:jc w:val="center"/>
              <w:rPr>
                <w:bCs/>
                <w:kern w:val="28"/>
                <w:sz w:val="18"/>
                <w:szCs w:val="32"/>
              </w:rPr>
            </w:pPr>
            <w:r w:rsidRPr="006B08CB">
              <w:rPr>
                <w:sz w:val="18"/>
              </w:rPr>
              <w:t>0,75</w:t>
            </w:r>
          </w:p>
        </w:tc>
      </w:tr>
    </w:tbl>
    <w:p w:rsidR="00DF6966" w:rsidRPr="00F93F13" w:rsidRDefault="009549BB">
      <w:r w:rsidRPr="00F93F13">
        <w:t>K výše uvedené tabulce: K ur</w:t>
      </w:r>
      <w:r w:rsidRPr="00F93F13">
        <w:rPr>
          <w:rFonts w:hint="eastAsia"/>
        </w:rPr>
        <w:t>č</w:t>
      </w:r>
      <w:r w:rsidRPr="00F93F13">
        <w:t>ení, jak dalece je tra</w:t>
      </w:r>
      <w:r w:rsidRPr="00A975B5">
        <w:rPr>
          <w:rFonts w:hint="eastAsia"/>
        </w:rPr>
        <w:t>ť</w:t>
      </w:r>
      <w:r w:rsidRPr="00F93F13">
        <w:t xml:space="preserve"> zatížena pravidelnou dopravou, slouží </w:t>
      </w:r>
      <w:r w:rsidRPr="00F93F13">
        <w:rPr>
          <w:i/>
        </w:rPr>
        <w:t>stupe</w:t>
      </w:r>
      <w:r w:rsidRPr="00F93F13">
        <w:rPr>
          <w:rFonts w:hint="eastAsia"/>
          <w:i/>
        </w:rPr>
        <w:t>ň</w:t>
      </w:r>
      <w:r w:rsidRPr="00F93F13">
        <w:rPr>
          <w:i/>
        </w:rPr>
        <w:t xml:space="preserve"> obsazení </w:t>
      </w:r>
      <w:r w:rsidR="00F93F13" w:rsidRPr="00F5279A">
        <w:rPr>
          <w:i/>
        </w:rPr>
        <w:t xml:space="preserve"> </w:t>
      </w:r>
      <w:r w:rsidRPr="00F93F13">
        <w:t>S</w:t>
      </w:r>
      <w:r w:rsidRPr="00F93F13">
        <w:rPr>
          <w:vertAlign w:val="subscript"/>
        </w:rPr>
        <w:t>o</w:t>
      </w:r>
      <w:r w:rsidRPr="00F93F13">
        <w:t xml:space="preserve"> , což je pom</w:t>
      </w:r>
      <w:r w:rsidRPr="00A975B5">
        <w:rPr>
          <w:rFonts w:hint="eastAsia"/>
        </w:rPr>
        <w:t>ě</w:t>
      </w:r>
      <w:r w:rsidRPr="00F93F13">
        <w:t>r doby, po kterou je tra</w:t>
      </w:r>
      <w:r w:rsidRPr="00F93F13">
        <w:rPr>
          <w:rFonts w:hint="eastAsia"/>
        </w:rPr>
        <w:t>ť</w:t>
      </w:r>
      <w:r w:rsidRPr="00F93F13">
        <w:t xml:space="preserve"> obsazena jízdou vlak</w:t>
      </w:r>
      <w:r w:rsidRPr="00F93F13">
        <w:rPr>
          <w:rFonts w:hint="eastAsia"/>
        </w:rPr>
        <w:t>ů</w:t>
      </w:r>
      <w:r w:rsidRPr="00F93F13">
        <w:t xml:space="preserve"> a souvisejícími úkony</w:t>
      </w:r>
      <w:r w:rsidR="00E24C3D" w:rsidRPr="00F93F13">
        <w:t>,</w:t>
      </w:r>
      <w:r w:rsidRPr="00F93F13">
        <w:t xml:space="preserve"> k celkové dob</w:t>
      </w:r>
      <w:r w:rsidRPr="00F93F13">
        <w:rPr>
          <w:rFonts w:hint="eastAsia"/>
        </w:rPr>
        <w:t>ě</w:t>
      </w:r>
      <w:r w:rsidRPr="00F93F13">
        <w:t>, kterou hodnotíme. Postup, jak zjistit hodnotu S</w:t>
      </w:r>
      <w:r w:rsidRPr="00F93F13">
        <w:rPr>
          <w:vertAlign w:val="subscript"/>
        </w:rPr>
        <w:t>o</w:t>
      </w:r>
      <w:r w:rsidRPr="00F93F13">
        <w:t xml:space="preserve"> je prakticky shodný jak v národní metodice dané p</w:t>
      </w:r>
      <w:r w:rsidRPr="00F93F13">
        <w:rPr>
          <w:rFonts w:hint="eastAsia"/>
        </w:rPr>
        <w:t>ř</w:t>
      </w:r>
      <w:r w:rsidRPr="00F93F13">
        <w:t>edpisem D 24, tak v mezinárodní metodice (Kodex UIC 406R – Kapacita).</w:t>
      </w:r>
      <w:r w:rsidR="002D51F5" w:rsidRPr="00F93F13">
        <w:t xml:space="preserve"> Krom</w:t>
      </w:r>
      <w:r w:rsidR="002D51F5" w:rsidRPr="00F93F13">
        <w:rPr>
          <w:rFonts w:hint="eastAsia"/>
        </w:rPr>
        <w:t>ě</w:t>
      </w:r>
      <w:r w:rsidR="002D51F5" w:rsidRPr="00F93F13">
        <w:t xml:space="preserve"> toho je základním ukazatelem propustnosti tzv. </w:t>
      </w:r>
      <w:r w:rsidR="002D51F5" w:rsidRPr="00F93F13">
        <w:rPr>
          <w:i/>
        </w:rPr>
        <w:t>praktická propustnost</w:t>
      </w:r>
      <w:r w:rsidR="002D51F5" w:rsidRPr="00F93F13">
        <w:t xml:space="preserve"> vyjád</w:t>
      </w:r>
      <w:r w:rsidR="002D51F5" w:rsidRPr="00F93F13">
        <w:rPr>
          <w:rFonts w:hint="eastAsia"/>
        </w:rPr>
        <w:t>ř</w:t>
      </w:r>
      <w:r w:rsidR="002D51F5" w:rsidRPr="00F93F13">
        <w:t>ená po</w:t>
      </w:r>
      <w:r w:rsidR="002D51F5" w:rsidRPr="00F93F13">
        <w:rPr>
          <w:rFonts w:hint="eastAsia"/>
        </w:rPr>
        <w:t>č</w:t>
      </w:r>
      <w:r w:rsidR="002D51F5" w:rsidRPr="00F93F13">
        <w:t>tem vlak</w:t>
      </w:r>
      <w:r w:rsidR="002D51F5" w:rsidRPr="00F93F13">
        <w:rPr>
          <w:rFonts w:hint="eastAsia"/>
        </w:rPr>
        <w:t>ů</w:t>
      </w:r>
      <w:r w:rsidR="002D51F5" w:rsidRPr="00F93F13">
        <w:t>, které lze v posuzovaném období provézt. P</w:t>
      </w:r>
      <w:r w:rsidR="002D51F5" w:rsidRPr="00F93F13">
        <w:rPr>
          <w:rFonts w:hint="eastAsia"/>
        </w:rPr>
        <w:t>ř</w:t>
      </w:r>
      <w:r w:rsidR="002D51F5" w:rsidRPr="00F93F13">
        <w:t>itom se p</w:t>
      </w:r>
      <w:r w:rsidR="002D51F5" w:rsidRPr="00F93F13">
        <w:rPr>
          <w:rFonts w:hint="eastAsia"/>
        </w:rPr>
        <w:t>ř</w:t>
      </w:r>
      <w:r w:rsidR="002D51F5" w:rsidRPr="00F93F13">
        <w:t xml:space="preserve">ihlíží i ke kvalitativnímu hledisku, to znamená, </w:t>
      </w:r>
      <w:r w:rsidR="00E24C3D" w:rsidRPr="00F93F13">
        <w:t xml:space="preserve">že musí také být </w:t>
      </w:r>
      <w:r w:rsidR="002D51F5" w:rsidRPr="00F93F13">
        <w:t>uvažovány dostate</w:t>
      </w:r>
      <w:r w:rsidR="002D51F5" w:rsidRPr="00F93F13">
        <w:rPr>
          <w:rFonts w:hint="eastAsia"/>
        </w:rPr>
        <w:t>č</w:t>
      </w:r>
      <w:r w:rsidR="002D51F5" w:rsidRPr="00F93F13">
        <w:t xml:space="preserve">né </w:t>
      </w:r>
      <w:r w:rsidR="002D51F5" w:rsidRPr="00F93F13">
        <w:rPr>
          <w:rFonts w:hint="eastAsia"/>
        </w:rPr>
        <w:t>č</w:t>
      </w:r>
      <w:r w:rsidR="002D51F5" w:rsidRPr="00F93F13">
        <w:t>asové rezervy na vyrovnání nepravidelností v doprav</w:t>
      </w:r>
      <w:r w:rsidR="002D51F5" w:rsidRPr="00F93F13">
        <w:rPr>
          <w:rFonts w:hint="eastAsia"/>
        </w:rPr>
        <w:t>ě</w:t>
      </w:r>
      <w:r w:rsidR="002D51F5" w:rsidRPr="00F93F13">
        <w:t>.</w:t>
      </w:r>
      <w:r w:rsidR="00E24C3D" w:rsidRPr="00F93F13">
        <w:t xml:space="preserve"> </w:t>
      </w:r>
    </w:p>
    <w:p w:rsidR="006B08CB" w:rsidRDefault="00320C76" w:rsidP="002E1CD4">
      <w:r w:rsidRPr="00F93F13">
        <w:t>Vysoký po</w:t>
      </w:r>
      <w:r w:rsidRPr="00F93F13">
        <w:rPr>
          <w:rFonts w:hint="eastAsia"/>
        </w:rPr>
        <w:t>č</w:t>
      </w:r>
      <w:r w:rsidRPr="00F93F13">
        <w:t>et vlak</w:t>
      </w:r>
      <w:r w:rsidRPr="00F93F13">
        <w:rPr>
          <w:rFonts w:hint="eastAsia"/>
        </w:rPr>
        <w:t>ů</w:t>
      </w:r>
      <w:r w:rsidRPr="00F93F13">
        <w:t xml:space="preserve"> osobní dopravy, jak je plánován jejími objednateli, tra</w:t>
      </w:r>
      <w:r w:rsidRPr="00F93F13">
        <w:rPr>
          <w:rFonts w:hint="eastAsia"/>
        </w:rPr>
        <w:t>ť</w:t>
      </w:r>
      <w:r w:rsidRPr="00F93F13">
        <w:t xml:space="preserve"> siln</w:t>
      </w:r>
      <w:r w:rsidRPr="00F93F13">
        <w:rPr>
          <w:rFonts w:hint="eastAsia"/>
        </w:rPr>
        <w:t>ě</w:t>
      </w:r>
      <w:r w:rsidRPr="00F93F13">
        <w:t xml:space="preserve"> zat</w:t>
      </w:r>
      <w:r w:rsidRPr="00F93F13">
        <w:rPr>
          <w:rFonts w:hint="eastAsia"/>
        </w:rPr>
        <w:t>ěž</w:t>
      </w:r>
      <w:r w:rsidRPr="00F93F13">
        <w:t xml:space="preserve">uje, což se projevuje zejména v jednokolejných </w:t>
      </w:r>
      <w:r w:rsidRPr="00F93F13">
        <w:rPr>
          <w:rFonts w:hint="eastAsia"/>
        </w:rPr>
        <w:t>ú</w:t>
      </w:r>
      <w:r w:rsidRPr="00F93F13">
        <w:t xml:space="preserve">secích Pardubice-Rosice nad Lab. </w:t>
      </w:r>
      <w:r w:rsidRPr="00F93F13">
        <w:rPr>
          <w:rFonts w:hint="eastAsia"/>
        </w:rPr>
        <w:t>–</w:t>
      </w:r>
      <w:r w:rsidRPr="00F93F13">
        <w:t xml:space="preserve"> Stéblová a Opatovice nad Labem </w:t>
      </w:r>
      <w:r w:rsidRPr="00F93F13">
        <w:rPr>
          <w:rFonts w:hint="eastAsia"/>
        </w:rPr>
        <w:t>–</w:t>
      </w:r>
      <w:r w:rsidRPr="00F93F13">
        <w:t xml:space="preserve"> Hradec Králové hl. nár. Výpo</w:t>
      </w:r>
      <w:r w:rsidRPr="00F93F13">
        <w:rPr>
          <w:rFonts w:hint="eastAsia"/>
        </w:rPr>
        <w:t>č</w:t>
      </w:r>
      <w:r w:rsidRPr="00F93F13">
        <w:t xml:space="preserve">ty prokazují, </w:t>
      </w:r>
      <w:r w:rsidRPr="00F93F13">
        <w:rPr>
          <w:rFonts w:hint="eastAsia"/>
        </w:rPr>
        <w:t>ž</w:t>
      </w:r>
      <w:r w:rsidRPr="00F93F13">
        <w:t xml:space="preserve">e doba požadované </w:t>
      </w:r>
      <w:r w:rsidRPr="00F93F13">
        <w:rPr>
          <w:rFonts w:hint="eastAsia"/>
        </w:rPr>
        <w:t>č</w:t>
      </w:r>
      <w:r w:rsidRPr="00F93F13">
        <w:t>asové mezery, která je stanovena p</w:t>
      </w:r>
      <w:r w:rsidRPr="00F93F13">
        <w:rPr>
          <w:rFonts w:hint="eastAsia"/>
        </w:rPr>
        <w:t>ř</w:t>
      </w:r>
      <w:r w:rsidRPr="00F93F13">
        <w:t>edpisem D 24</w:t>
      </w:r>
      <w:r w:rsidR="00221AFC" w:rsidRPr="00F93F13">
        <w:t>,</w:t>
      </w:r>
      <w:r w:rsidRPr="00F93F13">
        <w:t xml:space="preserve"> není dodržena</w:t>
      </w:r>
      <w:r w:rsidR="00F93F13">
        <w:t>, s</w:t>
      </w:r>
      <w:r w:rsidRPr="00F93F13">
        <w:t>tupe</w:t>
      </w:r>
      <w:r w:rsidRPr="00F93F13">
        <w:rPr>
          <w:rFonts w:hint="eastAsia"/>
        </w:rPr>
        <w:t>ň</w:t>
      </w:r>
      <w:r w:rsidRPr="00F93F13">
        <w:t xml:space="preserve"> obsazení podle doporu</w:t>
      </w:r>
      <w:r w:rsidRPr="00F93F13">
        <w:rPr>
          <w:rFonts w:hint="eastAsia"/>
        </w:rPr>
        <w:t>č</w:t>
      </w:r>
      <w:r w:rsidRPr="00F93F13">
        <w:t>ení Kodexu UIC 406R – Kapacita 0,60 pro celoden je p</w:t>
      </w:r>
      <w:r w:rsidRPr="00F93F13">
        <w:rPr>
          <w:rFonts w:hint="eastAsia"/>
        </w:rPr>
        <w:t>ř</w:t>
      </w:r>
      <w:r w:rsidRPr="00F93F13">
        <w:t>ekro</w:t>
      </w:r>
      <w:r w:rsidRPr="00F93F13">
        <w:rPr>
          <w:rFonts w:hint="eastAsia"/>
        </w:rPr>
        <w:t>č</w:t>
      </w:r>
      <w:r w:rsidRPr="00F93F13">
        <w:t>en ve všech posuzovaných p</w:t>
      </w:r>
      <w:r w:rsidRPr="00F93F13">
        <w:rPr>
          <w:rFonts w:hint="eastAsia"/>
        </w:rPr>
        <w:t>ří</w:t>
      </w:r>
      <w:r w:rsidRPr="00F93F13">
        <w:t>padech</w:t>
      </w:r>
      <w:r w:rsidR="00F93F13">
        <w:t>.</w:t>
      </w:r>
      <w:r w:rsidR="00F93F13" w:rsidRPr="00F93F13" w:rsidDel="00F93F13">
        <w:t xml:space="preserve"> </w:t>
      </w:r>
      <w:r w:rsidR="00881B1D" w:rsidRPr="00F93F13">
        <w:t>Využití praktické propustnosti záleží na organizaci dopravy. P</w:t>
      </w:r>
      <w:r w:rsidR="00881B1D" w:rsidRPr="00F93F13">
        <w:rPr>
          <w:rFonts w:hint="eastAsia"/>
        </w:rPr>
        <w:t>ř</w:t>
      </w:r>
      <w:r w:rsidR="00881B1D" w:rsidRPr="00F93F13">
        <w:t>i pravidelném st</w:t>
      </w:r>
      <w:r w:rsidR="00881B1D" w:rsidRPr="00F93F13">
        <w:rPr>
          <w:rFonts w:hint="eastAsia"/>
        </w:rPr>
        <w:t>ří</w:t>
      </w:r>
      <w:r w:rsidR="00881B1D" w:rsidRPr="00F93F13">
        <w:t>dání sm</w:t>
      </w:r>
      <w:r w:rsidR="00881B1D" w:rsidRPr="00F93F13">
        <w:rPr>
          <w:rFonts w:hint="eastAsia"/>
        </w:rPr>
        <w:t>ě</w:t>
      </w:r>
      <w:r w:rsidR="00881B1D" w:rsidRPr="00F93F13">
        <w:t>r</w:t>
      </w:r>
      <w:r w:rsidR="00881B1D" w:rsidRPr="00F93F13">
        <w:rPr>
          <w:rFonts w:hint="eastAsia"/>
        </w:rPr>
        <w:t>ů</w:t>
      </w:r>
      <w:r w:rsidR="00881B1D" w:rsidRPr="00F93F13">
        <w:t xml:space="preserve"> nelze využít výhod náv</w:t>
      </w:r>
      <w:r w:rsidR="00881B1D" w:rsidRPr="00F93F13">
        <w:rPr>
          <w:rFonts w:hint="eastAsia"/>
        </w:rPr>
        <w:t>ě</w:t>
      </w:r>
      <w:r w:rsidR="00881B1D" w:rsidRPr="00F93F13">
        <w:t>stního bodu automatického hradla, který zkracuje následná mezidobí. Podle modelových grafikon</w:t>
      </w:r>
      <w:r w:rsidR="00881B1D" w:rsidRPr="00F93F13">
        <w:rPr>
          <w:rFonts w:hint="eastAsia"/>
        </w:rPr>
        <w:t>ů</w:t>
      </w:r>
      <w:r w:rsidR="00881B1D" w:rsidRPr="00F93F13">
        <w:t xml:space="preserve"> to platí pro úsek Opatovice nad Labem – Hradec Králové hlavní nádr. Naopak v mezistani</w:t>
      </w:r>
      <w:r w:rsidR="00881B1D" w:rsidRPr="00F93F13">
        <w:rPr>
          <w:rFonts w:hint="eastAsia"/>
        </w:rPr>
        <w:t>č</w:t>
      </w:r>
      <w:r w:rsidR="00881B1D" w:rsidRPr="00F93F13">
        <w:t xml:space="preserve">ním </w:t>
      </w:r>
      <w:r w:rsidR="00881B1D" w:rsidRPr="00F93F13">
        <w:rPr>
          <w:rFonts w:hint="eastAsia"/>
        </w:rPr>
        <w:t>ú</w:t>
      </w:r>
      <w:r w:rsidR="00881B1D" w:rsidRPr="00F93F13">
        <w:t xml:space="preserve">seku Pardubice-Rosice nad Lab. </w:t>
      </w:r>
      <w:r w:rsidR="00881B1D" w:rsidRPr="00F93F13">
        <w:rPr>
          <w:rFonts w:hint="eastAsia"/>
        </w:rPr>
        <w:t>–</w:t>
      </w:r>
      <w:r w:rsidR="00881B1D" w:rsidRPr="00F93F13">
        <w:t xml:space="preserve"> Stéblová se p</w:t>
      </w:r>
      <w:r w:rsidR="00881B1D" w:rsidRPr="00F93F13">
        <w:rPr>
          <w:rFonts w:hint="eastAsia"/>
        </w:rPr>
        <w:t>ř</w:t>
      </w:r>
      <w:r w:rsidR="00E305CC" w:rsidRPr="00F93F13">
        <w:t>í</w:t>
      </w:r>
      <w:r w:rsidR="00881B1D" w:rsidRPr="00F93F13">
        <w:t xml:space="preserve">slušná následná mezidobí využijí, ovšem zastávka Pardubice-Semtín natolik prodlouží jízdní dobu zastavujícího vlaku, že z pohledu propustnosti a jejího </w:t>
      </w:r>
      <w:r w:rsidR="00881B1D" w:rsidRPr="00F93F13">
        <w:rPr>
          <w:rFonts w:hint="eastAsia"/>
        </w:rPr>
        <w:t>č</w:t>
      </w:r>
      <w:r w:rsidR="00881B1D" w:rsidRPr="00F93F13">
        <w:t xml:space="preserve">erpání jsou oba jednokolejné úseky zhruba rovnocenné. </w:t>
      </w:r>
      <w:r w:rsidRPr="00F93F13">
        <w:t xml:space="preserve">V praxi bude rozhodnutí ležet na odboru jízdního </w:t>
      </w:r>
      <w:r w:rsidRPr="00F93F13">
        <w:rPr>
          <w:rFonts w:hint="eastAsia"/>
        </w:rPr>
        <w:t>řá</w:t>
      </w:r>
      <w:r w:rsidRPr="00F93F13">
        <w:t>du a kapacity dráhy SŽDC, zdali požadavk</w:t>
      </w:r>
      <w:r w:rsidRPr="00F93F13">
        <w:rPr>
          <w:rFonts w:hint="eastAsia"/>
        </w:rPr>
        <w:t>ů</w:t>
      </w:r>
      <w:r w:rsidRPr="00F93F13">
        <w:t>m objednatel</w:t>
      </w:r>
      <w:r w:rsidRPr="00F93F13">
        <w:rPr>
          <w:rFonts w:hint="eastAsia"/>
        </w:rPr>
        <w:t>ů</w:t>
      </w:r>
      <w:r w:rsidRPr="00F93F13">
        <w:t xml:space="preserve"> dopravy pln</w:t>
      </w:r>
      <w:r w:rsidRPr="00F93F13">
        <w:rPr>
          <w:rFonts w:hint="eastAsia"/>
        </w:rPr>
        <w:t>ě</w:t>
      </w:r>
      <w:r w:rsidRPr="00F93F13">
        <w:t xml:space="preserve"> vyhoví nebo zda je bude krátit. Nákladní doprava je v minimálním rozsahu, trasy nákladních vlak</w:t>
      </w:r>
      <w:r w:rsidRPr="00F93F13">
        <w:rPr>
          <w:rFonts w:hint="eastAsia"/>
        </w:rPr>
        <w:t>ů</w:t>
      </w:r>
      <w:r w:rsidRPr="00F93F13">
        <w:t xml:space="preserve"> budou muset být zakresleny do období p</w:t>
      </w:r>
      <w:r w:rsidRPr="00F93F13">
        <w:rPr>
          <w:rFonts w:hint="eastAsia"/>
        </w:rPr>
        <w:t>ř</w:t>
      </w:r>
      <w:r w:rsidRPr="00F93F13">
        <w:t>epravních sedel a no</w:t>
      </w:r>
      <w:r w:rsidRPr="00F93F13">
        <w:rPr>
          <w:rFonts w:hint="eastAsia"/>
        </w:rPr>
        <w:t>č</w:t>
      </w:r>
      <w:r w:rsidRPr="00F93F13">
        <w:t xml:space="preserve">ní doby. Osobní doprava má dosti homogenní charakter a je </w:t>
      </w:r>
      <w:r w:rsidRPr="00F93F13">
        <w:rPr>
          <w:rFonts w:hint="eastAsia"/>
        </w:rPr>
        <w:t>ř</w:t>
      </w:r>
      <w:r w:rsidRPr="00F93F13">
        <w:t>ada jiných tratí s pravidelnou osobní dopravou, na kterých je kapacita využita ješt</w:t>
      </w:r>
      <w:r w:rsidRPr="00F93F13">
        <w:rPr>
          <w:rFonts w:hint="eastAsia"/>
        </w:rPr>
        <w:t>ě</w:t>
      </w:r>
      <w:r w:rsidRPr="00F93F13">
        <w:t xml:space="preserve"> více, než v tomto p</w:t>
      </w:r>
      <w:r w:rsidRPr="00F93F13">
        <w:rPr>
          <w:rFonts w:hint="eastAsia"/>
        </w:rPr>
        <w:t>ří</w:t>
      </w:r>
      <w:r w:rsidRPr="00F93F13">
        <w:t>pad</w:t>
      </w:r>
      <w:r w:rsidRPr="00F93F13">
        <w:rPr>
          <w:rFonts w:hint="eastAsia"/>
        </w:rPr>
        <w:t>ě</w:t>
      </w:r>
      <w:r w:rsidRPr="00F93F13">
        <w:t xml:space="preserve">. </w:t>
      </w:r>
      <w:r w:rsidR="0062681E" w:rsidRPr="00F93F13">
        <w:t>Vysoké je i obsazení posuzovaných úsek</w:t>
      </w:r>
      <w:r w:rsidR="0062681E" w:rsidRPr="00F93F13">
        <w:rPr>
          <w:rFonts w:hint="eastAsia"/>
        </w:rPr>
        <w:t>ů</w:t>
      </w:r>
      <w:r w:rsidR="0062681E" w:rsidRPr="00F93F13">
        <w:t xml:space="preserve"> ve špi</w:t>
      </w:r>
      <w:r w:rsidR="0062681E" w:rsidRPr="00F93F13">
        <w:rPr>
          <w:rFonts w:hint="eastAsia"/>
        </w:rPr>
        <w:t>č</w:t>
      </w:r>
      <w:r w:rsidR="0062681E" w:rsidRPr="00F93F13">
        <w:t>ce:</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69"/>
        <w:gridCol w:w="2693"/>
        <w:gridCol w:w="2694"/>
      </w:tblGrid>
      <w:tr w:rsidR="004D049D" w:rsidTr="00BE1919">
        <w:trPr>
          <w:trHeight w:val="284"/>
        </w:trPr>
        <w:tc>
          <w:tcPr>
            <w:tcW w:w="9356" w:type="dxa"/>
            <w:gridSpan w:val="3"/>
            <w:tcBorders>
              <w:bottom w:val="single" w:sz="4" w:space="0" w:color="auto"/>
            </w:tcBorders>
          </w:tcPr>
          <w:p w:rsidR="004D049D" w:rsidRPr="00714409" w:rsidRDefault="004D049D" w:rsidP="002E5756">
            <w:pPr>
              <w:pStyle w:val="Titulek"/>
            </w:pPr>
            <w:bookmarkStart w:id="158" w:name="_Toc390958766"/>
            <w:bookmarkStart w:id="159" w:name="_Toc391034570"/>
            <w:r w:rsidRPr="00F93F13">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15</w:t>
            </w:r>
            <w:r w:rsidR="000E79AE">
              <w:fldChar w:fldCharType="end"/>
            </w:r>
            <w:r w:rsidRPr="00F93F13">
              <w:t xml:space="preserve">: Ukazatelé propustnosti pro </w:t>
            </w:r>
            <w:r w:rsidR="00F93F13">
              <w:t>Etap</w:t>
            </w:r>
            <w:r w:rsidR="001075CA">
              <w:t>u</w:t>
            </w:r>
            <w:r w:rsidRPr="00F93F13">
              <w:t xml:space="preserve"> (120 min)</w:t>
            </w:r>
            <w:bookmarkEnd w:id="158"/>
            <w:bookmarkEnd w:id="159"/>
          </w:p>
        </w:tc>
      </w:tr>
      <w:tr w:rsidR="004D049D" w:rsidTr="009A3C45">
        <w:trPr>
          <w:trHeight w:val="284"/>
        </w:trPr>
        <w:tc>
          <w:tcPr>
            <w:tcW w:w="3969" w:type="dxa"/>
            <w:tcBorders>
              <w:bottom w:val="single" w:sz="12" w:space="0" w:color="auto"/>
              <w:right w:val="single" w:sz="12" w:space="0" w:color="auto"/>
            </w:tcBorders>
            <w:shd w:val="pct15" w:color="auto" w:fill="auto"/>
            <w:vAlign w:val="center"/>
          </w:tcPr>
          <w:p w:rsidR="004D049D" w:rsidRPr="006B08CB" w:rsidRDefault="004D049D" w:rsidP="009A3C45">
            <w:pPr>
              <w:jc w:val="left"/>
              <w:rPr>
                <w:sz w:val="18"/>
              </w:rPr>
            </w:pPr>
            <w:r w:rsidRPr="006B08CB">
              <w:rPr>
                <w:sz w:val="18"/>
              </w:rPr>
              <w:t>popis</w:t>
            </w:r>
          </w:p>
        </w:tc>
        <w:tc>
          <w:tcPr>
            <w:tcW w:w="2693" w:type="dxa"/>
            <w:tcBorders>
              <w:left w:val="single" w:sz="12" w:space="0" w:color="auto"/>
              <w:bottom w:val="single" w:sz="12" w:space="0" w:color="auto"/>
            </w:tcBorders>
            <w:shd w:val="pct15" w:color="auto" w:fill="auto"/>
            <w:vAlign w:val="center"/>
          </w:tcPr>
          <w:p w:rsidR="004D049D" w:rsidRPr="006B08CB" w:rsidRDefault="004D049D" w:rsidP="009A3C45">
            <w:pPr>
              <w:pStyle w:val="Nadpis5"/>
              <w:jc w:val="center"/>
              <w:rPr>
                <w:b w:val="0"/>
                <w:sz w:val="18"/>
              </w:rPr>
            </w:pPr>
            <w:r w:rsidRPr="006B08CB">
              <w:rPr>
                <w:b w:val="0"/>
                <w:sz w:val="18"/>
              </w:rPr>
              <w:t>Opatovice nad Lab. – Hradec Králové hl. nádr.</w:t>
            </w:r>
          </w:p>
        </w:tc>
        <w:tc>
          <w:tcPr>
            <w:tcW w:w="2694" w:type="dxa"/>
            <w:tcBorders>
              <w:bottom w:val="single" w:sz="12" w:space="0" w:color="auto"/>
            </w:tcBorders>
            <w:shd w:val="pct15" w:color="auto" w:fill="auto"/>
            <w:vAlign w:val="center"/>
          </w:tcPr>
          <w:p w:rsidR="004D049D" w:rsidRPr="006B08CB" w:rsidRDefault="004D049D" w:rsidP="009A3C45">
            <w:pPr>
              <w:pStyle w:val="Nadpis5"/>
              <w:jc w:val="center"/>
              <w:rPr>
                <w:b w:val="0"/>
                <w:sz w:val="18"/>
              </w:rPr>
            </w:pPr>
            <w:r w:rsidRPr="006B08CB">
              <w:rPr>
                <w:b w:val="0"/>
                <w:sz w:val="18"/>
              </w:rPr>
              <w:t>Pardubice-Rosice nad Lab. – Stéblová</w:t>
            </w:r>
          </w:p>
        </w:tc>
      </w:tr>
      <w:tr w:rsidR="00F93F13" w:rsidTr="009A3C45">
        <w:trPr>
          <w:trHeight w:val="340"/>
        </w:trPr>
        <w:tc>
          <w:tcPr>
            <w:tcW w:w="3969" w:type="dxa"/>
            <w:tcBorders>
              <w:top w:val="single" w:sz="12" w:space="0" w:color="auto"/>
              <w:right w:val="single" w:sz="12" w:space="0" w:color="auto"/>
            </w:tcBorders>
            <w:shd w:val="pct15" w:color="auto" w:fill="auto"/>
            <w:vAlign w:val="center"/>
          </w:tcPr>
          <w:p w:rsidR="00F93F13" w:rsidRPr="006B08CB" w:rsidRDefault="00F93F13" w:rsidP="009A3C45">
            <w:pPr>
              <w:spacing w:before="0" w:after="0"/>
              <w:jc w:val="left"/>
              <w:rPr>
                <w:sz w:val="18"/>
              </w:rPr>
            </w:pPr>
            <w:r w:rsidRPr="006B08CB">
              <w:rPr>
                <w:sz w:val="18"/>
              </w:rPr>
              <w:t>T</w:t>
            </w:r>
            <w:r w:rsidRPr="006B08CB">
              <w:rPr>
                <w:sz w:val="18"/>
                <w:vertAlign w:val="subscript"/>
              </w:rPr>
              <w:t>výp</w:t>
            </w:r>
            <w:r w:rsidRPr="006B08CB">
              <w:rPr>
                <w:sz w:val="18"/>
              </w:rPr>
              <w:t xml:space="preserve"> - výpočetní doba 2 hod [min] špička</w:t>
            </w:r>
          </w:p>
        </w:tc>
        <w:tc>
          <w:tcPr>
            <w:tcW w:w="2693" w:type="dxa"/>
            <w:tcBorders>
              <w:top w:val="single" w:sz="12" w:space="0" w:color="auto"/>
              <w:left w:val="single" w:sz="12" w:space="0" w:color="auto"/>
            </w:tcBorders>
            <w:vAlign w:val="center"/>
          </w:tcPr>
          <w:p w:rsidR="00F93F13" w:rsidRPr="006B08CB" w:rsidRDefault="00BE1919" w:rsidP="009A3C45">
            <w:pPr>
              <w:spacing w:before="0" w:after="0"/>
              <w:ind w:right="332"/>
              <w:jc w:val="center"/>
              <w:rPr>
                <w:sz w:val="18"/>
                <w:szCs w:val="20"/>
              </w:rPr>
            </w:pPr>
            <w:r w:rsidRPr="006B08CB">
              <w:rPr>
                <w:sz w:val="18"/>
                <w:szCs w:val="20"/>
              </w:rPr>
              <w:t>120</w:t>
            </w:r>
          </w:p>
        </w:tc>
        <w:tc>
          <w:tcPr>
            <w:tcW w:w="2694" w:type="dxa"/>
            <w:tcBorders>
              <w:top w:val="single" w:sz="12" w:space="0" w:color="auto"/>
            </w:tcBorders>
            <w:vAlign w:val="center"/>
          </w:tcPr>
          <w:p w:rsidR="00F93F13" w:rsidRPr="006B08CB" w:rsidRDefault="00BE1919" w:rsidP="009A3C45">
            <w:pPr>
              <w:spacing w:before="0" w:after="0"/>
              <w:ind w:right="332"/>
              <w:jc w:val="center"/>
              <w:rPr>
                <w:sz w:val="18"/>
                <w:szCs w:val="20"/>
              </w:rPr>
            </w:pPr>
            <w:r w:rsidRPr="006B08CB">
              <w:rPr>
                <w:sz w:val="18"/>
                <w:szCs w:val="20"/>
              </w:rPr>
              <w:t>120</w:t>
            </w:r>
          </w:p>
        </w:tc>
      </w:tr>
      <w:tr w:rsidR="00F93F13" w:rsidTr="009A3C45">
        <w:trPr>
          <w:trHeight w:val="340"/>
        </w:trPr>
        <w:tc>
          <w:tcPr>
            <w:tcW w:w="3969" w:type="dxa"/>
            <w:tcBorders>
              <w:right w:val="single" w:sz="12" w:space="0" w:color="auto"/>
            </w:tcBorders>
            <w:shd w:val="pct15" w:color="auto" w:fill="auto"/>
            <w:vAlign w:val="center"/>
          </w:tcPr>
          <w:p w:rsidR="00F93F13" w:rsidRPr="006B08CB" w:rsidRDefault="00F93F13" w:rsidP="009A3C45">
            <w:pPr>
              <w:spacing w:before="0" w:after="0"/>
              <w:jc w:val="left"/>
              <w:rPr>
                <w:sz w:val="18"/>
              </w:rPr>
            </w:pPr>
            <w:r w:rsidRPr="006B08CB">
              <w:rPr>
                <w:sz w:val="18"/>
              </w:rPr>
              <w:t>N – počet vlaků (122 osob.+3 páry nákl.)</w:t>
            </w:r>
          </w:p>
        </w:tc>
        <w:tc>
          <w:tcPr>
            <w:tcW w:w="2693" w:type="dxa"/>
            <w:tcBorders>
              <w:left w:val="single" w:sz="12" w:space="0" w:color="auto"/>
            </w:tcBorders>
            <w:vAlign w:val="center"/>
          </w:tcPr>
          <w:p w:rsidR="00F93F13" w:rsidRPr="006B08CB" w:rsidRDefault="00BE1919" w:rsidP="009A3C45">
            <w:pPr>
              <w:spacing w:before="0" w:after="0"/>
              <w:ind w:right="332"/>
              <w:jc w:val="center"/>
              <w:rPr>
                <w:sz w:val="18"/>
                <w:szCs w:val="20"/>
              </w:rPr>
            </w:pPr>
            <w:r w:rsidRPr="006B08CB">
              <w:rPr>
                <w:sz w:val="18"/>
                <w:szCs w:val="20"/>
              </w:rPr>
              <w:t>16</w:t>
            </w:r>
          </w:p>
        </w:tc>
        <w:tc>
          <w:tcPr>
            <w:tcW w:w="2694" w:type="dxa"/>
            <w:vAlign w:val="center"/>
          </w:tcPr>
          <w:p w:rsidR="00F93F13" w:rsidRPr="006B08CB" w:rsidRDefault="00BE1919" w:rsidP="009A3C45">
            <w:pPr>
              <w:spacing w:before="0" w:after="0"/>
              <w:ind w:right="332"/>
              <w:jc w:val="center"/>
              <w:rPr>
                <w:sz w:val="18"/>
                <w:szCs w:val="20"/>
              </w:rPr>
            </w:pPr>
            <w:r w:rsidRPr="006B08CB">
              <w:rPr>
                <w:sz w:val="18"/>
                <w:szCs w:val="20"/>
              </w:rPr>
              <w:t>16</w:t>
            </w:r>
          </w:p>
        </w:tc>
      </w:tr>
      <w:tr w:rsidR="00F93F13" w:rsidTr="009A3C45">
        <w:trPr>
          <w:trHeight w:val="340"/>
        </w:trPr>
        <w:tc>
          <w:tcPr>
            <w:tcW w:w="3969" w:type="dxa"/>
            <w:tcBorders>
              <w:right w:val="single" w:sz="12" w:space="0" w:color="auto"/>
            </w:tcBorders>
            <w:shd w:val="pct15" w:color="auto" w:fill="auto"/>
            <w:vAlign w:val="center"/>
          </w:tcPr>
          <w:p w:rsidR="00F93F13" w:rsidRPr="006B08CB" w:rsidRDefault="00F93F13" w:rsidP="009A3C45">
            <w:pPr>
              <w:spacing w:before="0" w:after="0"/>
              <w:jc w:val="left"/>
              <w:rPr>
                <w:sz w:val="18"/>
              </w:rPr>
            </w:pPr>
            <w:r w:rsidRPr="006B08CB">
              <w:rPr>
                <w:sz w:val="18"/>
              </w:rPr>
              <w:t>T</w:t>
            </w:r>
            <w:r w:rsidRPr="006B08CB">
              <w:rPr>
                <w:sz w:val="18"/>
                <w:vertAlign w:val="subscript"/>
              </w:rPr>
              <w:t>obs</w:t>
            </w:r>
            <w:r w:rsidRPr="006B08CB">
              <w:rPr>
                <w:sz w:val="18"/>
              </w:rPr>
              <w:t xml:space="preserve"> - celková doba obsazení [min]</w:t>
            </w:r>
          </w:p>
        </w:tc>
        <w:tc>
          <w:tcPr>
            <w:tcW w:w="2693" w:type="dxa"/>
            <w:tcBorders>
              <w:left w:val="single" w:sz="12" w:space="0" w:color="auto"/>
            </w:tcBorders>
            <w:vAlign w:val="center"/>
          </w:tcPr>
          <w:p w:rsidR="00F93F13" w:rsidRPr="006B08CB" w:rsidRDefault="00F93F13" w:rsidP="009A3C45">
            <w:pPr>
              <w:spacing w:before="0" w:after="0"/>
              <w:ind w:right="332"/>
              <w:jc w:val="center"/>
              <w:rPr>
                <w:sz w:val="18"/>
                <w:szCs w:val="20"/>
              </w:rPr>
            </w:pPr>
            <w:r w:rsidRPr="006B08CB">
              <w:rPr>
                <w:sz w:val="18"/>
                <w:szCs w:val="20"/>
              </w:rPr>
              <w:t>114,0</w:t>
            </w:r>
          </w:p>
        </w:tc>
        <w:tc>
          <w:tcPr>
            <w:tcW w:w="2694" w:type="dxa"/>
            <w:vAlign w:val="center"/>
          </w:tcPr>
          <w:p w:rsidR="00F93F13" w:rsidRPr="006B08CB" w:rsidRDefault="00F93F13" w:rsidP="009A3C45">
            <w:pPr>
              <w:spacing w:before="0" w:after="0"/>
              <w:ind w:right="332"/>
              <w:jc w:val="center"/>
              <w:rPr>
                <w:bCs/>
                <w:kern w:val="28"/>
                <w:sz w:val="18"/>
                <w:szCs w:val="20"/>
              </w:rPr>
            </w:pPr>
            <w:r w:rsidRPr="006B08CB">
              <w:rPr>
                <w:sz w:val="18"/>
                <w:szCs w:val="20"/>
              </w:rPr>
              <w:t>91,5</w:t>
            </w:r>
          </w:p>
        </w:tc>
      </w:tr>
      <w:tr w:rsidR="00F93F13" w:rsidTr="009A3C45">
        <w:trPr>
          <w:trHeight w:val="340"/>
        </w:trPr>
        <w:tc>
          <w:tcPr>
            <w:tcW w:w="3969" w:type="dxa"/>
            <w:tcBorders>
              <w:right w:val="single" w:sz="12" w:space="0" w:color="auto"/>
            </w:tcBorders>
            <w:shd w:val="pct15" w:color="auto" w:fill="auto"/>
            <w:vAlign w:val="center"/>
          </w:tcPr>
          <w:p w:rsidR="00F93F13" w:rsidRPr="006B08CB" w:rsidRDefault="00F93F13" w:rsidP="009A3C45">
            <w:pPr>
              <w:spacing w:before="0" w:after="0"/>
              <w:jc w:val="left"/>
              <w:rPr>
                <w:sz w:val="18"/>
              </w:rPr>
            </w:pPr>
            <w:r w:rsidRPr="006B08CB">
              <w:rPr>
                <w:sz w:val="18"/>
              </w:rPr>
              <w:t>t</w:t>
            </w:r>
            <w:r w:rsidRPr="006B08CB">
              <w:rPr>
                <w:sz w:val="18"/>
                <w:vertAlign w:val="subscript"/>
              </w:rPr>
              <w:t>obs</w:t>
            </w:r>
            <w:r w:rsidRPr="006B08CB">
              <w:rPr>
                <w:sz w:val="18"/>
              </w:rPr>
              <w:t xml:space="preserve"> – jednotková doba obsazení [min]</w:t>
            </w:r>
          </w:p>
        </w:tc>
        <w:tc>
          <w:tcPr>
            <w:tcW w:w="2693" w:type="dxa"/>
            <w:tcBorders>
              <w:left w:val="single" w:sz="12" w:space="0" w:color="auto"/>
            </w:tcBorders>
            <w:vAlign w:val="center"/>
          </w:tcPr>
          <w:p w:rsidR="00F93F13" w:rsidRPr="006B08CB" w:rsidRDefault="00F93F13" w:rsidP="009A3C45">
            <w:pPr>
              <w:spacing w:before="0" w:after="0"/>
              <w:ind w:right="332"/>
              <w:jc w:val="center"/>
              <w:rPr>
                <w:sz w:val="18"/>
                <w:szCs w:val="20"/>
              </w:rPr>
            </w:pPr>
            <w:r w:rsidRPr="006B08CB">
              <w:rPr>
                <w:sz w:val="18"/>
                <w:szCs w:val="20"/>
              </w:rPr>
              <w:t>7,12</w:t>
            </w:r>
          </w:p>
        </w:tc>
        <w:tc>
          <w:tcPr>
            <w:tcW w:w="2694" w:type="dxa"/>
            <w:vAlign w:val="center"/>
          </w:tcPr>
          <w:p w:rsidR="00F93F13" w:rsidRPr="006B08CB" w:rsidRDefault="00F93F13" w:rsidP="009A3C45">
            <w:pPr>
              <w:spacing w:before="0" w:after="0"/>
              <w:ind w:right="332"/>
              <w:jc w:val="center"/>
              <w:rPr>
                <w:sz w:val="18"/>
                <w:szCs w:val="20"/>
              </w:rPr>
            </w:pPr>
            <w:r w:rsidRPr="006B08CB">
              <w:rPr>
                <w:sz w:val="18"/>
                <w:szCs w:val="20"/>
              </w:rPr>
              <w:t>5,71</w:t>
            </w:r>
          </w:p>
        </w:tc>
      </w:tr>
      <w:tr w:rsidR="00F93F13" w:rsidTr="009A3C45">
        <w:trPr>
          <w:trHeight w:val="340"/>
        </w:trPr>
        <w:tc>
          <w:tcPr>
            <w:tcW w:w="3969" w:type="dxa"/>
            <w:tcBorders>
              <w:right w:val="single" w:sz="12" w:space="0" w:color="auto"/>
            </w:tcBorders>
            <w:shd w:val="pct15" w:color="auto" w:fill="auto"/>
            <w:vAlign w:val="center"/>
          </w:tcPr>
          <w:p w:rsidR="00F93F13" w:rsidRPr="006B08CB" w:rsidRDefault="00F93F13" w:rsidP="009A3C45">
            <w:pPr>
              <w:spacing w:before="0" w:after="0"/>
              <w:jc w:val="left"/>
              <w:rPr>
                <w:sz w:val="18"/>
              </w:rPr>
            </w:pPr>
            <w:r w:rsidRPr="006B08CB">
              <w:rPr>
                <w:sz w:val="18"/>
              </w:rPr>
              <w:t>t</w:t>
            </w:r>
            <w:r w:rsidRPr="006B08CB">
              <w:rPr>
                <w:sz w:val="18"/>
                <w:vertAlign w:val="subscript"/>
              </w:rPr>
              <w:t>mez</w:t>
            </w:r>
            <w:r w:rsidRPr="006B08CB">
              <w:rPr>
                <w:sz w:val="18"/>
              </w:rPr>
              <w:t xml:space="preserve"> – časová záloha – D24 sl. B [min]</w:t>
            </w:r>
          </w:p>
        </w:tc>
        <w:tc>
          <w:tcPr>
            <w:tcW w:w="2693" w:type="dxa"/>
            <w:tcBorders>
              <w:left w:val="single" w:sz="12" w:space="0" w:color="auto"/>
            </w:tcBorders>
            <w:vAlign w:val="center"/>
          </w:tcPr>
          <w:p w:rsidR="00F93F13" w:rsidRPr="006B08CB" w:rsidRDefault="00F93F13" w:rsidP="009A3C45">
            <w:pPr>
              <w:spacing w:before="0" w:after="0"/>
              <w:ind w:right="332"/>
              <w:jc w:val="center"/>
              <w:rPr>
                <w:sz w:val="18"/>
                <w:szCs w:val="20"/>
              </w:rPr>
            </w:pPr>
            <w:r w:rsidRPr="006B08CB">
              <w:rPr>
                <w:sz w:val="18"/>
                <w:szCs w:val="20"/>
              </w:rPr>
              <w:t>4,43</w:t>
            </w:r>
          </w:p>
        </w:tc>
        <w:tc>
          <w:tcPr>
            <w:tcW w:w="2694" w:type="dxa"/>
            <w:vAlign w:val="center"/>
          </w:tcPr>
          <w:p w:rsidR="00F93F13" w:rsidRPr="006B08CB" w:rsidRDefault="00F93F13" w:rsidP="009A3C45">
            <w:pPr>
              <w:spacing w:before="0" w:after="0"/>
              <w:ind w:right="332"/>
              <w:jc w:val="center"/>
              <w:rPr>
                <w:sz w:val="18"/>
                <w:szCs w:val="20"/>
              </w:rPr>
            </w:pPr>
            <w:r w:rsidRPr="006B08CB">
              <w:rPr>
                <w:sz w:val="18"/>
                <w:szCs w:val="20"/>
              </w:rPr>
              <w:t>3,64</w:t>
            </w:r>
          </w:p>
        </w:tc>
      </w:tr>
      <w:tr w:rsidR="00F93F13" w:rsidTr="009A3C45">
        <w:trPr>
          <w:trHeight w:val="340"/>
        </w:trPr>
        <w:tc>
          <w:tcPr>
            <w:tcW w:w="3969" w:type="dxa"/>
            <w:tcBorders>
              <w:right w:val="single" w:sz="12" w:space="0" w:color="auto"/>
            </w:tcBorders>
            <w:shd w:val="pct15" w:color="auto" w:fill="auto"/>
            <w:vAlign w:val="center"/>
          </w:tcPr>
          <w:p w:rsidR="00F93F13" w:rsidRPr="006B08CB" w:rsidRDefault="00F93F13" w:rsidP="009A3C45">
            <w:pPr>
              <w:spacing w:before="0" w:after="0"/>
              <w:jc w:val="left"/>
              <w:rPr>
                <w:sz w:val="18"/>
              </w:rPr>
            </w:pPr>
            <w:r w:rsidRPr="006B08CB">
              <w:rPr>
                <w:sz w:val="18"/>
              </w:rPr>
              <w:t xml:space="preserve">n – prakt. propustnost sl. B </w:t>
            </w:r>
            <w:r w:rsidRPr="006B08CB">
              <w:rPr>
                <w:sz w:val="18"/>
                <w:lang w:val="pl-PL"/>
              </w:rPr>
              <w:t>[vlaky]</w:t>
            </w:r>
          </w:p>
        </w:tc>
        <w:tc>
          <w:tcPr>
            <w:tcW w:w="2693" w:type="dxa"/>
            <w:tcBorders>
              <w:left w:val="single" w:sz="12" w:space="0" w:color="auto"/>
            </w:tcBorders>
            <w:vAlign w:val="center"/>
          </w:tcPr>
          <w:p w:rsidR="00F93F13" w:rsidRPr="006B08CB" w:rsidRDefault="00F93F13" w:rsidP="009A3C45">
            <w:pPr>
              <w:spacing w:before="0" w:after="0"/>
              <w:ind w:right="332"/>
              <w:jc w:val="center"/>
              <w:rPr>
                <w:sz w:val="18"/>
                <w:szCs w:val="20"/>
              </w:rPr>
            </w:pPr>
            <w:r w:rsidRPr="006B08CB">
              <w:rPr>
                <w:sz w:val="18"/>
                <w:szCs w:val="20"/>
              </w:rPr>
              <w:t>10</w:t>
            </w:r>
          </w:p>
        </w:tc>
        <w:tc>
          <w:tcPr>
            <w:tcW w:w="2694" w:type="dxa"/>
            <w:vAlign w:val="center"/>
          </w:tcPr>
          <w:p w:rsidR="00F93F13" w:rsidRPr="006B08CB" w:rsidRDefault="00F93F13" w:rsidP="009A3C45">
            <w:pPr>
              <w:spacing w:before="0" w:after="0"/>
              <w:ind w:right="332"/>
              <w:jc w:val="center"/>
              <w:rPr>
                <w:bCs/>
                <w:kern w:val="28"/>
                <w:sz w:val="18"/>
                <w:szCs w:val="20"/>
              </w:rPr>
            </w:pPr>
            <w:r w:rsidRPr="006B08CB">
              <w:rPr>
                <w:sz w:val="18"/>
                <w:szCs w:val="20"/>
              </w:rPr>
              <w:t>12</w:t>
            </w:r>
          </w:p>
        </w:tc>
      </w:tr>
      <w:tr w:rsidR="00F93F13" w:rsidTr="009A3C45">
        <w:trPr>
          <w:trHeight w:val="340"/>
        </w:trPr>
        <w:tc>
          <w:tcPr>
            <w:tcW w:w="3969" w:type="dxa"/>
            <w:tcBorders>
              <w:right w:val="single" w:sz="12" w:space="0" w:color="auto"/>
            </w:tcBorders>
            <w:shd w:val="pct15" w:color="auto" w:fill="auto"/>
            <w:vAlign w:val="center"/>
          </w:tcPr>
          <w:p w:rsidR="00F93F13" w:rsidRPr="006B08CB" w:rsidRDefault="00F93F13" w:rsidP="009A3C45">
            <w:pPr>
              <w:spacing w:before="0" w:after="0"/>
              <w:jc w:val="left"/>
              <w:rPr>
                <w:sz w:val="18"/>
              </w:rPr>
            </w:pPr>
            <w:r w:rsidRPr="006B08CB">
              <w:rPr>
                <w:sz w:val="18"/>
              </w:rPr>
              <w:t>k</w:t>
            </w:r>
            <w:r w:rsidRPr="006B08CB">
              <w:rPr>
                <w:sz w:val="18"/>
                <w:vertAlign w:val="subscript"/>
              </w:rPr>
              <w:t>prakt</w:t>
            </w:r>
            <w:r w:rsidRPr="006B08CB">
              <w:rPr>
                <w:sz w:val="18"/>
              </w:rPr>
              <w:t xml:space="preserve"> = využití prakt. propust. (sl.B) </w:t>
            </w:r>
          </w:p>
        </w:tc>
        <w:tc>
          <w:tcPr>
            <w:tcW w:w="2693" w:type="dxa"/>
            <w:tcBorders>
              <w:left w:val="single" w:sz="12" w:space="0" w:color="auto"/>
            </w:tcBorders>
            <w:vAlign w:val="center"/>
          </w:tcPr>
          <w:p w:rsidR="00F93F13" w:rsidRPr="006B08CB" w:rsidRDefault="00F93F13" w:rsidP="009A3C45">
            <w:pPr>
              <w:spacing w:before="0" w:after="0"/>
              <w:ind w:right="332"/>
              <w:jc w:val="center"/>
              <w:rPr>
                <w:sz w:val="18"/>
                <w:szCs w:val="20"/>
              </w:rPr>
            </w:pPr>
            <w:r w:rsidRPr="006B08CB">
              <w:rPr>
                <w:sz w:val="18"/>
                <w:szCs w:val="20"/>
              </w:rPr>
              <w:t>160,0</w:t>
            </w:r>
            <w:r w:rsidR="00BE1919" w:rsidRPr="006B08CB">
              <w:rPr>
                <w:sz w:val="18"/>
                <w:szCs w:val="20"/>
              </w:rPr>
              <w:t xml:space="preserve"> %</w:t>
            </w:r>
          </w:p>
        </w:tc>
        <w:tc>
          <w:tcPr>
            <w:tcW w:w="2694" w:type="dxa"/>
            <w:vAlign w:val="center"/>
          </w:tcPr>
          <w:p w:rsidR="00F93F13" w:rsidRPr="006B08CB" w:rsidRDefault="00F93F13" w:rsidP="009A3C45">
            <w:pPr>
              <w:spacing w:before="0" w:after="0"/>
              <w:ind w:right="332"/>
              <w:jc w:val="center"/>
              <w:rPr>
                <w:bCs/>
                <w:kern w:val="28"/>
                <w:sz w:val="18"/>
                <w:szCs w:val="20"/>
              </w:rPr>
            </w:pPr>
            <w:r w:rsidRPr="006B08CB">
              <w:rPr>
                <w:sz w:val="18"/>
                <w:szCs w:val="20"/>
              </w:rPr>
              <w:t>133,3 %</w:t>
            </w:r>
          </w:p>
        </w:tc>
      </w:tr>
      <w:tr w:rsidR="00F93F13" w:rsidTr="009A3C45">
        <w:trPr>
          <w:trHeight w:val="340"/>
        </w:trPr>
        <w:tc>
          <w:tcPr>
            <w:tcW w:w="3969" w:type="dxa"/>
            <w:tcBorders>
              <w:right w:val="single" w:sz="12" w:space="0" w:color="auto"/>
            </w:tcBorders>
            <w:shd w:val="pct15" w:color="auto" w:fill="auto"/>
            <w:vAlign w:val="center"/>
          </w:tcPr>
          <w:p w:rsidR="00F93F13" w:rsidRPr="006B08CB" w:rsidRDefault="00F93F13" w:rsidP="009A3C45">
            <w:pPr>
              <w:spacing w:before="0" w:after="0"/>
              <w:jc w:val="left"/>
              <w:rPr>
                <w:sz w:val="18"/>
              </w:rPr>
            </w:pPr>
            <w:r w:rsidRPr="006B08CB">
              <w:rPr>
                <w:sz w:val="18"/>
              </w:rPr>
              <w:t>t</w:t>
            </w:r>
            <w:r w:rsidRPr="006B08CB">
              <w:rPr>
                <w:sz w:val="18"/>
                <w:vertAlign w:val="subscript"/>
              </w:rPr>
              <w:t>mez</w:t>
            </w:r>
            <w:r w:rsidRPr="006B08CB">
              <w:rPr>
                <w:sz w:val="18"/>
              </w:rPr>
              <w:t xml:space="preserve"> – čas. záloha – D24 sl.(B+C)/2 [min]</w:t>
            </w:r>
          </w:p>
        </w:tc>
        <w:tc>
          <w:tcPr>
            <w:tcW w:w="2693" w:type="dxa"/>
            <w:tcBorders>
              <w:left w:val="single" w:sz="12" w:space="0" w:color="auto"/>
            </w:tcBorders>
            <w:vAlign w:val="center"/>
          </w:tcPr>
          <w:p w:rsidR="00F93F13" w:rsidRPr="006B08CB" w:rsidRDefault="00F93F13" w:rsidP="009A3C45">
            <w:pPr>
              <w:spacing w:before="0" w:after="0"/>
              <w:ind w:right="332"/>
              <w:jc w:val="center"/>
              <w:rPr>
                <w:sz w:val="18"/>
                <w:szCs w:val="20"/>
              </w:rPr>
            </w:pPr>
            <w:r w:rsidRPr="006B08CB">
              <w:rPr>
                <w:sz w:val="18"/>
                <w:szCs w:val="20"/>
              </w:rPr>
              <w:t>3,92</w:t>
            </w:r>
          </w:p>
        </w:tc>
        <w:tc>
          <w:tcPr>
            <w:tcW w:w="2694" w:type="dxa"/>
            <w:vAlign w:val="center"/>
          </w:tcPr>
          <w:p w:rsidR="00F93F13" w:rsidRPr="006B08CB" w:rsidRDefault="00F93F13" w:rsidP="009A3C45">
            <w:pPr>
              <w:spacing w:before="0" w:after="0"/>
              <w:ind w:right="332"/>
              <w:jc w:val="center"/>
              <w:rPr>
                <w:bCs/>
                <w:kern w:val="28"/>
                <w:sz w:val="18"/>
                <w:szCs w:val="20"/>
              </w:rPr>
            </w:pPr>
            <w:r w:rsidRPr="006B08CB">
              <w:rPr>
                <w:sz w:val="18"/>
                <w:szCs w:val="20"/>
              </w:rPr>
              <w:t>3,25</w:t>
            </w:r>
          </w:p>
        </w:tc>
      </w:tr>
      <w:tr w:rsidR="00F93F13" w:rsidTr="009A3C45">
        <w:trPr>
          <w:trHeight w:val="340"/>
        </w:trPr>
        <w:tc>
          <w:tcPr>
            <w:tcW w:w="3969" w:type="dxa"/>
            <w:tcBorders>
              <w:right w:val="single" w:sz="12" w:space="0" w:color="auto"/>
            </w:tcBorders>
            <w:shd w:val="pct15" w:color="auto" w:fill="auto"/>
            <w:vAlign w:val="center"/>
          </w:tcPr>
          <w:p w:rsidR="00F93F13" w:rsidRPr="006B08CB" w:rsidRDefault="00F93F13" w:rsidP="009A3C45">
            <w:pPr>
              <w:spacing w:before="0" w:after="0"/>
              <w:jc w:val="left"/>
              <w:rPr>
                <w:sz w:val="18"/>
              </w:rPr>
            </w:pPr>
            <w:r w:rsidRPr="006B08CB">
              <w:rPr>
                <w:sz w:val="18"/>
              </w:rPr>
              <w:t xml:space="preserve">n – prakt. propust. sl. (B+C)/2 </w:t>
            </w:r>
            <w:r w:rsidRPr="006B08CB">
              <w:rPr>
                <w:sz w:val="18"/>
                <w:lang w:val="pl-PL"/>
              </w:rPr>
              <w:t>[vlaky]</w:t>
            </w:r>
          </w:p>
        </w:tc>
        <w:tc>
          <w:tcPr>
            <w:tcW w:w="2693" w:type="dxa"/>
            <w:tcBorders>
              <w:left w:val="single" w:sz="12" w:space="0" w:color="auto"/>
            </w:tcBorders>
            <w:vAlign w:val="center"/>
          </w:tcPr>
          <w:p w:rsidR="00F93F13" w:rsidRPr="006B08CB" w:rsidRDefault="00F93F13" w:rsidP="009A3C45">
            <w:pPr>
              <w:spacing w:before="0" w:after="0"/>
              <w:ind w:right="332"/>
              <w:jc w:val="center"/>
              <w:rPr>
                <w:sz w:val="18"/>
                <w:szCs w:val="20"/>
              </w:rPr>
            </w:pPr>
            <w:r w:rsidRPr="006B08CB">
              <w:rPr>
                <w:sz w:val="18"/>
                <w:szCs w:val="20"/>
              </w:rPr>
              <w:t>11</w:t>
            </w:r>
          </w:p>
        </w:tc>
        <w:tc>
          <w:tcPr>
            <w:tcW w:w="2694" w:type="dxa"/>
            <w:vAlign w:val="center"/>
          </w:tcPr>
          <w:p w:rsidR="00F93F13" w:rsidRPr="006B08CB" w:rsidRDefault="00F93F13" w:rsidP="009A3C45">
            <w:pPr>
              <w:spacing w:before="0" w:after="0"/>
              <w:ind w:right="332"/>
              <w:jc w:val="center"/>
              <w:rPr>
                <w:sz w:val="18"/>
                <w:szCs w:val="20"/>
              </w:rPr>
            </w:pPr>
            <w:r w:rsidRPr="006B08CB">
              <w:rPr>
                <w:sz w:val="18"/>
                <w:szCs w:val="20"/>
              </w:rPr>
              <w:t>13</w:t>
            </w:r>
          </w:p>
        </w:tc>
      </w:tr>
      <w:tr w:rsidR="00F93F13" w:rsidTr="009A3C45">
        <w:trPr>
          <w:trHeight w:val="340"/>
        </w:trPr>
        <w:tc>
          <w:tcPr>
            <w:tcW w:w="3969" w:type="dxa"/>
            <w:tcBorders>
              <w:right w:val="single" w:sz="12" w:space="0" w:color="auto"/>
            </w:tcBorders>
            <w:shd w:val="pct15" w:color="auto" w:fill="auto"/>
            <w:vAlign w:val="center"/>
          </w:tcPr>
          <w:p w:rsidR="00F93F13" w:rsidRPr="006B08CB" w:rsidRDefault="00F93F13" w:rsidP="009A3C45">
            <w:pPr>
              <w:spacing w:before="0" w:after="0"/>
              <w:jc w:val="left"/>
              <w:rPr>
                <w:sz w:val="18"/>
              </w:rPr>
            </w:pPr>
            <w:r w:rsidRPr="006B08CB">
              <w:rPr>
                <w:sz w:val="18"/>
              </w:rPr>
              <w:t>k</w:t>
            </w:r>
            <w:r w:rsidRPr="006B08CB">
              <w:rPr>
                <w:sz w:val="18"/>
                <w:vertAlign w:val="subscript"/>
              </w:rPr>
              <w:t>prakt</w:t>
            </w:r>
            <w:r w:rsidRPr="006B08CB">
              <w:rPr>
                <w:sz w:val="18"/>
              </w:rPr>
              <w:t xml:space="preserve"> - využití prakt. propust. (sl.(B+C)/2) </w:t>
            </w:r>
          </w:p>
        </w:tc>
        <w:tc>
          <w:tcPr>
            <w:tcW w:w="2693" w:type="dxa"/>
            <w:tcBorders>
              <w:left w:val="single" w:sz="12" w:space="0" w:color="auto"/>
            </w:tcBorders>
            <w:vAlign w:val="center"/>
          </w:tcPr>
          <w:p w:rsidR="00F93F13" w:rsidRPr="006B08CB" w:rsidRDefault="00F93F13" w:rsidP="009A3C45">
            <w:pPr>
              <w:spacing w:before="0" w:after="0"/>
              <w:ind w:right="332"/>
              <w:jc w:val="center"/>
              <w:rPr>
                <w:sz w:val="18"/>
                <w:szCs w:val="20"/>
              </w:rPr>
            </w:pPr>
            <w:r w:rsidRPr="006B08CB">
              <w:rPr>
                <w:sz w:val="18"/>
                <w:szCs w:val="20"/>
              </w:rPr>
              <w:t>145,4</w:t>
            </w:r>
            <w:r w:rsidR="00BE1919" w:rsidRPr="006B08CB">
              <w:rPr>
                <w:sz w:val="18"/>
                <w:szCs w:val="20"/>
              </w:rPr>
              <w:t xml:space="preserve"> %</w:t>
            </w:r>
          </w:p>
        </w:tc>
        <w:tc>
          <w:tcPr>
            <w:tcW w:w="2694" w:type="dxa"/>
            <w:vAlign w:val="center"/>
          </w:tcPr>
          <w:p w:rsidR="00F93F13" w:rsidRPr="006B08CB" w:rsidRDefault="00F93F13" w:rsidP="009A3C45">
            <w:pPr>
              <w:spacing w:before="0" w:after="0"/>
              <w:ind w:right="332"/>
              <w:jc w:val="center"/>
              <w:rPr>
                <w:sz w:val="18"/>
                <w:szCs w:val="20"/>
              </w:rPr>
            </w:pPr>
            <w:r w:rsidRPr="006B08CB">
              <w:rPr>
                <w:sz w:val="18"/>
                <w:szCs w:val="20"/>
              </w:rPr>
              <w:t>123,1</w:t>
            </w:r>
            <w:r w:rsidR="00BE1919" w:rsidRPr="006B08CB">
              <w:rPr>
                <w:sz w:val="18"/>
                <w:szCs w:val="20"/>
              </w:rPr>
              <w:t xml:space="preserve"> %</w:t>
            </w:r>
          </w:p>
        </w:tc>
      </w:tr>
      <w:tr w:rsidR="00F93F13" w:rsidTr="009A3C45">
        <w:trPr>
          <w:trHeight w:val="340"/>
        </w:trPr>
        <w:tc>
          <w:tcPr>
            <w:tcW w:w="3969" w:type="dxa"/>
            <w:tcBorders>
              <w:right w:val="single" w:sz="12" w:space="0" w:color="auto"/>
            </w:tcBorders>
            <w:shd w:val="pct15" w:color="auto" w:fill="auto"/>
            <w:vAlign w:val="center"/>
          </w:tcPr>
          <w:p w:rsidR="00F93F13" w:rsidRPr="006B08CB" w:rsidRDefault="00F93F13" w:rsidP="009A3C45">
            <w:pPr>
              <w:spacing w:before="0" w:after="0"/>
              <w:jc w:val="left"/>
              <w:rPr>
                <w:sz w:val="18"/>
              </w:rPr>
            </w:pPr>
            <w:r w:rsidRPr="006B08CB">
              <w:rPr>
                <w:sz w:val="18"/>
              </w:rPr>
              <w:t>S</w:t>
            </w:r>
            <w:r w:rsidRPr="006B08CB">
              <w:rPr>
                <w:sz w:val="18"/>
                <w:vertAlign w:val="subscript"/>
              </w:rPr>
              <w:t>o</w:t>
            </w:r>
            <w:r w:rsidRPr="006B08CB">
              <w:rPr>
                <w:sz w:val="18"/>
              </w:rPr>
              <w:t xml:space="preserve"> – stupeň obsazení</w:t>
            </w:r>
          </w:p>
        </w:tc>
        <w:tc>
          <w:tcPr>
            <w:tcW w:w="2693" w:type="dxa"/>
            <w:tcBorders>
              <w:left w:val="single" w:sz="12" w:space="0" w:color="auto"/>
            </w:tcBorders>
            <w:vAlign w:val="center"/>
          </w:tcPr>
          <w:p w:rsidR="00F93F13" w:rsidRPr="006B08CB" w:rsidRDefault="00F93F13" w:rsidP="009A3C45">
            <w:pPr>
              <w:spacing w:before="0" w:after="0"/>
              <w:ind w:right="332"/>
              <w:jc w:val="center"/>
              <w:rPr>
                <w:sz w:val="18"/>
                <w:szCs w:val="20"/>
              </w:rPr>
            </w:pPr>
            <w:r w:rsidRPr="006B08CB">
              <w:rPr>
                <w:sz w:val="18"/>
                <w:szCs w:val="20"/>
              </w:rPr>
              <w:t>0,95</w:t>
            </w:r>
          </w:p>
        </w:tc>
        <w:tc>
          <w:tcPr>
            <w:tcW w:w="2694" w:type="dxa"/>
            <w:vAlign w:val="center"/>
          </w:tcPr>
          <w:p w:rsidR="00F93F13" w:rsidRPr="006B08CB" w:rsidRDefault="00F93F13" w:rsidP="009A3C45">
            <w:pPr>
              <w:spacing w:before="0" w:after="0"/>
              <w:ind w:right="332"/>
              <w:jc w:val="center"/>
              <w:rPr>
                <w:bCs/>
                <w:kern w:val="28"/>
                <w:sz w:val="18"/>
                <w:szCs w:val="20"/>
              </w:rPr>
            </w:pPr>
            <w:r w:rsidRPr="006B08CB">
              <w:rPr>
                <w:sz w:val="18"/>
                <w:szCs w:val="20"/>
              </w:rPr>
              <w:t>0,76</w:t>
            </w:r>
          </w:p>
        </w:tc>
      </w:tr>
    </w:tbl>
    <w:p w:rsidR="008E1A77" w:rsidRPr="001168D6" w:rsidRDefault="0062681E" w:rsidP="0062681E">
      <w:r w:rsidRPr="001168D6">
        <w:t>Na základ</w:t>
      </w:r>
      <w:r w:rsidRPr="001168D6">
        <w:rPr>
          <w:rFonts w:hint="eastAsia"/>
        </w:rPr>
        <w:t>ě</w:t>
      </w:r>
      <w:r w:rsidRPr="001168D6">
        <w:t xml:space="preserve"> výsledk</w:t>
      </w:r>
      <w:r w:rsidRPr="001168D6">
        <w:rPr>
          <w:rFonts w:hint="eastAsia"/>
        </w:rPr>
        <w:t>ů</w:t>
      </w:r>
      <w:r w:rsidRPr="001168D6">
        <w:t xml:space="preserve"> se proto z pohledu zpracovatele jeví jako nep</w:t>
      </w:r>
      <w:r w:rsidRPr="001168D6">
        <w:rPr>
          <w:rFonts w:hint="eastAsia"/>
        </w:rPr>
        <w:t>ř</w:t>
      </w:r>
      <w:r w:rsidRPr="001168D6">
        <w:t>ijatelné, abychom po</w:t>
      </w:r>
      <w:r w:rsidRPr="001168D6">
        <w:rPr>
          <w:rFonts w:hint="eastAsia"/>
        </w:rPr>
        <w:t>čí</w:t>
      </w:r>
      <w:r w:rsidRPr="001168D6">
        <w:t xml:space="preserve">tali s plnou výhledovou dopravou. </w:t>
      </w:r>
      <w:r w:rsidR="001168D6">
        <w:t>Z</w:t>
      </w:r>
      <w:r w:rsidRPr="001168D6">
        <w:t>pracovatel doporu</w:t>
      </w:r>
      <w:r w:rsidRPr="001168D6">
        <w:rPr>
          <w:rFonts w:hint="eastAsia"/>
        </w:rPr>
        <w:t>č</w:t>
      </w:r>
      <w:r w:rsidRPr="001168D6">
        <w:t xml:space="preserve">uje snížit </w:t>
      </w:r>
      <w:r w:rsidR="002032DF" w:rsidRPr="001168D6">
        <w:t xml:space="preserve">výhledový rozsah osobní dopravy </w:t>
      </w:r>
      <w:r w:rsidR="001168D6">
        <w:t xml:space="preserve">na </w:t>
      </w:r>
      <w:r w:rsidR="0019224F" w:rsidRPr="001168D6">
        <w:rPr>
          <w:b/>
        </w:rPr>
        <w:t>98</w:t>
      </w:r>
      <w:r w:rsidR="00F1001A" w:rsidRPr="001168D6">
        <w:rPr>
          <w:b/>
        </w:rPr>
        <w:t xml:space="preserve"> vlak</w:t>
      </w:r>
      <w:r w:rsidR="00F1001A" w:rsidRPr="001168D6">
        <w:rPr>
          <w:rFonts w:hint="eastAsia"/>
          <w:b/>
        </w:rPr>
        <w:t>ů</w:t>
      </w:r>
      <w:r w:rsidR="00F1001A" w:rsidRPr="001168D6">
        <w:rPr>
          <w:b/>
        </w:rPr>
        <w:t xml:space="preserve"> za 1020 min (05-22 hod) a 1</w:t>
      </w:r>
      <w:r w:rsidR="0019224F" w:rsidRPr="001168D6">
        <w:rPr>
          <w:b/>
        </w:rPr>
        <w:t>2</w:t>
      </w:r>
      <w:r w:rsidR="00F1001A" w:rsidRPr="001168D6">
        <w:rPr>
          <w:b/>
        </w:rPr>
        <w:t xml:space="preserve"> vlak</w:t>
      </w:r>
      <w:r w:rsidR="00F1001A" w:rsidRPr="001168D6">
        <w:rPr>
          <w:rFonts w:hint="eastAsia"/>
          <w:b/>
        </w:rPr>
        <w:t>ů</w:t>
      </w:r>
      <w:r w:rsidR="00F1001A" w:rsidRPr="001168D6">
        <w:rPr>
          <w:b/>
        </w:rPr>
        <w:t xml:space="preserve"> za 120 min špi</w:t>
      </w:r>
      <w:r w:rsidR="00F1001A" w:rsidRPr="001168D6">
        <w:rPr>
          <w:rFonts w:hint="eastAsia"/>
          <w:b/>
        </w:rPr>
        <w:t>č</w:t>
      </w:r>
      <w:r w:rsidR="00F1001A" w:rsidRPr="001168D6">
        <w:rPr>
          <w:b/>
        </w:rPr>
        <w:t xml:space="preserve">ky </w:t>
      </w:r>
      <w:r w:rsidR="001168D6">
        <w:rPr>
          <w:b/>
        </w:rPr>
        <w:t xml:space="preserve">(Etapa). </w:t>
      </w:r>
      <w:r w:rsidR="00F71F32" w:rsidRPr="001168D6">
        <w:t xml:space="preserve"> Tomu odpovídá snížený výhledový rozsah dopravy uvedený v kapitole </w:t>
      </w:r>
      <w:r w:rsidR="00AC5CDF" w:rsidRPr="001168D6">
        <w:fldChar w:fldCharType="begin"/>
      </w:r>
      <w:r w:rsidR="00F71F32" w:rsidRPr="001168D6">
        <w:instrText xml:space="preserve"> REF _Ref358984562 \r \h </w:instrText>
      </w:r>
      <w:r w:rsidR="00A92DA7" w:rsidRPr="00F5279A">
        <w:instrText xml:space="preserve"> \* MERGEFORMAT </w:instrText>
      </w:r>
      <w:r w:rsidR="00AC5CDF" w:rsidRPr="001168D6">
        <w:fldChar w:fldCharType="separate"/>
      </w:r>
      <w:r w:rsidR="003843F3">
        <w:t>4.1.2</w:t>
      </w:r>
      <w:r w:rsidR="00AC5CDF" w:rsidRPr="001168D6">
        <w:fldChar w:fldCharType="end"/>
      </w:r>
      <w:r w:rsidR="00F71F32" w:rsidRPr="001168D6">
        <w:t>.</w:t>
      </w:r>
    </w:p>
    <w:p w:rsidR="002E1CD4" w:rsidRDefault="002E1CD4">
      <w:pPr>
        <w:suppressAutoHyphens w:val="0"/>
        <w:spacing w:before="0" w:after="0" w:line="240" w:lineRule="auto"/>
        <w:jc w:val="left"/>
        <w:rPr>
          <w:b/>
        </w:rPr>
      </w:pPr>
      <w:r>
        <w:rPr>
          <w:b/>
        </w:rPr>
        <w:br w:type="page"/>
      </w:r>
    </w:p>
    <w:p w:rsidR="00A657DB" w:rsidRPr="001168D6" w:rsidRDefault="004B54E9" w:rsidP="00A657DB">
      <w:pPr>
        <w:rPr>
          <w:b/>
        </w:rPr>
      </w:pPr>
      <w:r w:rsidRPr="001075CA">
        <w:rPr>
          <w:b/>
        </w:rPr>
        <w:t>B</w:t>
      </w:r>
      <w:r w:rsidR="00A657DB" w:rsidRPr="001075CA">
        <w:rPr>
          <w:b/>
        </w:rPr>
        <w:t xml:space="preserve">. </w:t>
      </w:r>
      <w:r w:rsidR="00A657DB" w:rsidRPr="001168D6">
        <w:rPr>
          <w:b/>
        </w:rPr>
        <w:t>Úsek Pardubice hlavní nádraží -  Pardubice-Rosice nad Labem</w:t>
      </w:r>
    </w:p>
    <w:p w:rsidR="004B54E9" w:rsidRDefault="00A657DB" w:rsidP="00A657DB">
      <w:r w:rsidRPr="001168D6">
        <w:t xml:space="preserve">Tento úsek je </w:t>
      </w:r>
      <w:r w:rsidR="004B54E9" w:rsidRPr="001168D6">
        <w:t>navíc zatížen vlaky trat</w:t>
      </w:r>
      <w:r w:rsidR="004B54E9" w:rsidRPr="001168D6">
        <w:rPr>
          <w:rFonts w:hint="eastAsia"/>
        </w:rPr>
        <w:t>ě</w:t>
      </w:r>
      <w:r w:rsidR="004B54E9" w:rsidRPr="001168D6">
        <w:t xml:space="preserve"> 507 Havlí</w:t>
      </w:r>
      <w:r w:rsidR="004B54E9" w:rsidRPr="001168D6">
        <w:rPr>
          <w:rFonts w:hint="eastAsia"/>
        </w:rPr>
        <w:t>č</w:t>
      </w:r>
      <w:r w:rsidR="004B54E9" w:rsidRPr="001168D6">
        <w:t>k</w:t>
      </w:r>
      <w:r w:rsidR="004B54E9" w:rsidRPr="001168D6">
        <w:rPr>
          <w:rFonts w:hint="eastAsia"/>
        </w:rPr>
        <w:t>ů</w:t>
      </w:r>
      <w:r w:rsidR="004B54E9" w:rsidRPr="001168D6">
        <w:t xml:space="preserve">v Brod </w:t>
      </w:r>
      <w:r w:rsidR="004B54E9" w:rsidRPr="001168D6">
        <w:rPr>
          <w:rFonts w:hint="eastAsia"/>
        </w:rPr>
        <w:t>–</w:t>
      </w:r>
      <w:r w:rsidR="004B54E9" w:rsidRPr="001168D6">
        <w:t xml:space="preserve"> Chrudim </w:t>
      </w:r>
      <w:r w:rsidR="004B54E9" w:rsidRPr="001168D6">
        <w:rPr>
          <w:rFonts w:hint="eastAsia"/>
        </w:rPr>
        <w:t>–</w:t>
      </w:r>
      <w:r w:rsidR="004B54E9" w:rsidRPr="001168D6">
        <w:t xml:space="preserve"> Pardubice a zejména ve </w:t>
      </w:r>
      <w:r w:rsidR="004B54E9" w:rsidRPr="001168D6">
        <w:rPr>
          <w:rFonts w:hint="eastAsia"/>
        </w:rPr>
        <w:t>š</w:t>
      </w:r>
      <w:r w:rsidR="004B54E9" w:rsidRPr="001168D6">
        <w:t>pi</w:t>
      </w:r>
      <w:r w:rsidR="004B54E9" w:rsidRPr="001168D6">
        <w:rPr>
          <w:rFonts w:hint="eastAsia"/>
        </w:rPr>
        <w:t>č</w:t>
      </w:r>
      <w:r w:rsidR="004B54E9" w:rsidRPr="001168D6">
        <w:t>kách je dostupná kapacita využita na maximum. To dokládá následující tabulka. Propustnost v ní uvedená byla vypo</w:t>
      </w:r>
      <w:r w:rsidR="004B54E9" w:rsidRPr="001168D6">
        <w:rPr>
          <w:rFonts w:hint="eastAsia"/>
        </w:rPr>
        <w:t>č</w:t>
      </w:r>
      <w:r w:rsidR="004B54E9" w:rsidRPr="001168D6">
        <w:t>tena novou metodikou, která se vztahuje na mezistani</w:t>
      </w:r>
      <w:r w:rsidR="004B54E9" w:rsidRPr="001168D6">
        <w:rPr>
          <w:rFonts w:hint="eastAsia"/>
        </w:rPr>
        <w:t>č</w:t>
      </w:r>
      <w:r w:rsidR="004B54E9" w:rsidRPr="001168D6">
        <w:t xml:space="preserve">ní </w:t>
      </w:r>
      <w:r w:rsidR="004B54E9" w:rsidRPr="001168D6">
        <w:rPr>
          <w:rFonts w:hint="eastAsia"/>
        </w:rPr>
        <w:t>ú</w:t>
      </w:r>
      <w:r w:rsidR="004B54E9" w:rsidRPr="001168D6">
        <w:t>seky s odbo</w:t>
      </w:r>
      <w:r w:rsidR="004B54E9" w:rsidRPr="001168D6">
        <w:rPr>
          <w:rFonts w:hint="eastAsia"/>
        </w:rPr>
        <w:t>č</w:t>
      </w:r>
      <w:r w:rsidR="004B54E9" w:rsidRPr="001168D6">
        <w:t>kou. Výpo</w:t>
      </w:r>
      <w:r w:rsidR="004B54E9" w:rsidRPr="001168D6">
        <w:rPr>
          <w:rFonts w:hint="eastAsia"/>
        </w:rPr>
        <w:t>č</w:t>
      </w:r>
      <w:r w:rsidR="004B54E9" w:rsidRPr="001168D6">
        <w:t xml:space="preserve">et vychází z rozboru aktuálního grafikonu a </w:t>
      </w:r>
      <w:r w:rsidR="004B54E9" w:rsidRPr="001168D6">
        <w:rPr>
          <w:rFonts w:hint="eastAsia"/>
        </w:rPr>
        <w:t>„</w:t>
      </w:r>
      <w:r w:rsidR="004B54E9" w:rsidRPr="001168D6">
        <w:t>kompresní metody“ podle Kodexu UIC 406R</w:t>
      </w:r>
      <w:r w:rsidR="00F257D1" w:rsidRPr="001168D6">
        <w:t xml:space="preserve">. Byly uvažovány dva </w:t>
      </w:r>
      <w:r w:rsidR="00F257D1" w:rsidRPr="001168D6">
        <w:rPr>
          <w:rFonts w:hint="eastAsia"/>
        </w:rPr>
        <w:t>č</w:t>
      </w:r>
      <w:r w:rsidR="00F257D1" w:rsidRPr="001168D6">
        <w:t>asové úseky: celoden s ode</w:t>
      </w:r>
      <w:r w:rsidR="00F257D1" w:rsidRPr="001168D6">
        <w:rPr>
          <w:rFonts w:hint="eastAsia"/>
        </w:rPr>
        <w:t>č</w:t>
      </w:r>
      <w:r w:rsidR="00F257D1" w:rsidRPr="001168D6">
        <w:t>tem no</w:t>
      </w:r>
      <w:r w:rsidR="00F257D1" w:rsidRPr="001168D6">
        <w:rPr>
          <w:rFonts w:hint="eastAsia"/>
        </w:rPr>
        <w:t>č</w:t>
      </w:r>
      <w:r w:rsidR="00F257D1" w:rsidRPr="001168D6">
        <w:t>ní, málo využité doby 00-05 hod a odpolední špi</w:t>
      </w:r>
      <w:r w:rsidR="00F257D1" w:rsidRPr="001168D6">
        <w:rPr>
          <w:rFonts w:hint="eastAsia"/>
        </w:rPr>
        <w:t>č</w:t>
      </w:r>
      <w:r w:rsidR="00F257D1" w:rsidRPr="001168D6">
        <w:t>ka 14-18 hod.   Hodnoty ve sloupcích sou</w:t>
      </w:r>
      <w:r w:rsidR="00F257D1" w:rsidRPr="001168D6">
        <w:rPr>
          <w:rFonts w:hint="eastAsia"/>
        </w:rPr>
        <w:t>č</w:t>
      </w:r>
      <w:r w:rsidR="00F257D1" w:rsidRPr="001168D6">
        <w:t xml:space="preserve">asnost lze vztáhnout i na </w:t>
      </w:r>
      <w:r w:rsidR="001168D6">
        <w:t>Etap</w:t>
      </w:r>
      <w:r w:rsidR="001075CA">
        <w:t>u</w:t>
      </w:r>
      <w:r w:rsidR="00F257D1" w:rsidRPr="001168D6">
        <w:t>, ve které stav infrastruktury z</w:t>
      </w:r>
      <w:r w:rsidR="00F257D1" w:rsidRPr="001168D6">
        <w:rPr>
          <w:rFonts w:hint="eastAsia"/>
        </w:rPr>
        <w:t>ů</w:t>
      </w:r>
      <w:r w:rsidR="00F257D1" w:rsidRPr="001168D6">
        <w:t>stává nezm</w:t>
      </w:r>
      <w:r w:rsidR="00F257D1" w:rsidRPr="001168D6">
        <w:rPr>
          <w:rFonts w:hint="eastAsia"/>
        </w:rPr>
        <w:t>ě</w:t>
      </w:r>
      <w:r w:rsidR="00F257D1" w:rsidRPr="001168D6">
        <w:t>n</w:t>
      </w:r>
      <w:r w:rsidR="00F257D1" w:rsidRPr="001168D6">
        <w:rPr>
          <w:rFonts w:hint="eastAsia"/>
        </w:rPr>
        <w:t>ě</w:t>
      </w:r>
      <w:r w:rsidR="00F257D1" w:rsidRPr="001168D6">
        <w:t xml:space="preserve">n. </w:t>
      </w:r>
      <w:r w:rsidR="00DA580F" w:rsidRPr="001168D6">
        <w:t>V</w:t>
      </w:r>
      <w:r w:rsidR="00F257D1" w:rsidRPr="001168D6">
        <w:t>e variant</w:t>
      </w:r>
      <w:r w:rsidR="00F257D1" w:rsidRPr="001168D6">
        <w:rPr>
          <w:rFonts w:hint="eastAsia"/>
        </w:rPr>
        <w:t>ě</w:t>
      </w:r>
      <w:r w:rsidR="00F257D1" w:rsidRPr="001168D6">
        <w:t xml:space="preserve"> Minimální</w:t>
      </w:r>
      <w:r w:rsidR="00DA580F" w:rsidRPr="001168D6">
        <w:t xml:space="preserve"> </w:t>
      </w:r>
      <w:r w:rsidR="00F257D1" w:rsidRPr="001168D6">
        <w:t>se p</w:t>
      </w:r>
      <w:r w:rsidR="00F257D1" w:rsidRPr="001168D6">
        <w:rPr>
          <w:rFonts w:hint="eastAsia"/>
        </w:rPr>
        <w:t>ř</w:t>
      </w:r>
      <w:r w:rsidR="00F257D1" w:rsidRPr="001168D6">
        <w:t>edpokládá instalace elektronického stav</w:t>
      </w:r>
      <w:r w:rsidR="00F257D1" w:rsidRPr="001168D6">
        <w:rPr>
          <w:rFonts w:hint="eastAsia"/>
        </w:rPr>
        <w:t>ě</w:t>
      </w:r>
      <w:r w:rsidR="00F257D1" w:rsidRPr="001168D6">
        <w:t>dla v Pardubicí</w:t>
      </w:r>
      <w:r w:rsidR="00DA580F" w:rsidRPr="001168D6">
        <w:t>c</w:t>
      </w:r>
      <w:r w:rsidR="00F257D1" w:rsidRPr="001168D6">
        <w:t>h-Rosicích nad Labem plus TZZ automatické hradlo ve sm</w:t>
      </w:r>
      <w:r w:rsidR="00F257D1" w:rsidRPr="001168D6">
        <w:rPr>
          <w:rFonts w:hint="eastAsia"/>
        </w:rPr>
        <w:t>ě</w:t>
      </w:r>
      <w:r w:rsidR="00F257D1" w:rsidRPr="001168D6">
        <w:t>ru Medlešice. To se projeví zkrácením stani</w:t>
      </w:r>
      <w:r w:rsidR="00F257D1" w:rsidRPr="001168D6">
        <w:rPr>
          <w:rFonts w:hint="eastAsia"/>
        </w:rPr>
        <w:t>č</w:t>
      </w:r>
      <w:r w:rsidR="00F257D1" w:rsidRPr="001168D6">
        <w:t>ních i tra</w:t>
      </w:r>
      <w:r w:rsidR="00F257D1" w:rsidRPr="001168D6">
        <w:rPr>
          <w:rFonts w:hint="eastAsia"/>
        </w:rPr>
        <w:t>ť</w:t>
      </w:r>
      <w:r w:rsidR="00F257D1" w:rsidRPr="001168D6">
        <w:t>ových provozních interval</w:t>
      </w:r>
      <w:r w:rsidR="00F257D1" w:rsidRPr="001168D6">
        <w:rPr>
          <w:rFonts w:hint="eastAsia"/>
        </w:rPr>
        <w:t>ů</w:t>
      </w:r>
      <w:r w:rsidR="00F257D1" w:rsidRPr="001168D6">
        <w:t xml:space="preserve"> a tím p</w:t>
      </w:r>
      <w:r w:rsidR="00F257D1" w:rsidRPr="001168D6">
        <w:rPr>
          <w:rFonts w:hint="eastAsia"/>
        </w:rPr>
        <w:t>ř</w:t>
      </w:r>
      <w:r w:rsidR="00F257D1" w:rsidRPr="001168D6">
        <w:t>im</w:t>
      </w:r>
      <w:r w:rsidR="00F257D1" w:rsidRPr="001168D6">
        <w:rPr>
          <w:rFonts w:hint="eastAsia"/>
        </w:rPr>
        <w:t>ěř</w:t>
      </w:r>
      <w:r w:rsidR="00F257D1" w:rsidRPr="001168D6">
        <w:t>eným navýšením praktické propustnosti.</w:t>
      </w:r>
      <w:r w:rsidR="00AB494A" w:rsidRPr="001168D6">
        <w:t xml:space="preserve"> Variant</w:t>
      </w:r>
      <w:r w:rsidR="001168D6">
        <w:t xml:space="preserve">a </w:t>
      </w:r>
      <w:r w:rsidR="00AB494A" w:rsidRPr="001168D6">
        <w:t>Maximální uvažuj</w:t>
      </w:r>
      <w:r w:rsidR="001168D6">
        <w:t>e</w:t>
      </w:r>
      <w:r w:rsidR="00AB494A" w:rsidRPr="001168D6">
        <w:t xml:space="preserve"> se zdvoukolejn</w:t>
      </w:r>
      <w:r w:rsidR="00AB494A" w:rsidRPr="001168D6">
        <w:rPr>
          <w:rFonts w:hint="eastAsia"/>
        </w:rPr>
        <w:t>ě</w:t>
      </w:r>
      <w:r w:rsidR="00AB494A" w:rsidRPr="001168D6">
        <w:t xml:space="preserve">ním celého úseku, což problém propustnosti </w:t>
      </w:r>
      <w:r w:rsidR="00DA580F" w:rsidRPr="001168D6">
        <w:t>výrazn</w:t>
      </w:r>
      <w:r w:rsidR="00DA580F" w:rsidRPr="001168D6">
        <w:rPr>
          <w:rFonts w:hint="eastAsia"/>
        </w:rPr>
        <w:t>ě</w:t>
      </w:r>
      <w:r w:rsidR="00DA580F" w:rsidRPr="001168D6">
        <w:t xml:space="preserve"> snižuje, nicmén</w:t>
      </w:r>
      <w:r w:rsidR="00DA580F" w:rsidRPr="001168D6">
        <w:rPr>
          <w:rFonts w:hint="eastAsia"/>
        </w:rPr>
        <w:t>ě</w:t>
      </w:r>
      <w:r w:rsidR="00DA580F" w:rsidRPr="001168D6">
        <w:t xml:space="preserve"> je pot</w:t>
      </w:r>
      <w:r w:rsidR="00DA580F" w:rsidRPr="001168D6">
        <w:rPr>
          <w:rFonts w:hint="eastAsia"/>
        </w:rPr>
        <w:t>ř</w:t>
      </w:r>
      <w:r w:rsidR="00DA580F" w:rsidRPr="001168D6">
        <w:t>eba p</w:t>
      </w:r>
      <w:r w:rsidR="00DA580F" w:rsidRPr="001168D6">
        <w:rPr>
          <w:rFonts w:hint="eastAsia"/>
        </w:rPr>
        <w:t>ř</w:t>
      </w:r>
      <w:r w:rsidR="00DA580F" w:rsidRPr="001168D6">
        <w:t xml:space="preserve">ihlédnout k rušení na rosickém zhlaví </w:t>
      </w:r>
      <w:r w:rsidR="00DA580F" w:rsidRPr="001168D6">
        <w:rPr>
          <w:rFonts w:hint="eastAsia"/>
        </w:rPr>
        <w:t>ž</w:t>
      </w:r>
      <w:r w:rsidR="00DA580F" w:rsidRPr="001168D6">
        <w:t>st Par</w:t>
      </w:r>
      <w:r w:rsidR="001168D6">
        <w:t>d</w:t>
      </w:r>
      <w:r w:rsidR="00DA580F" w:rsidRPr="001168D6">
        <w:t>ubice hlavní nádr.</w:t>
      </w:r>
      <w:r w:rsidR="00AB494A">
        <w:t xml:space="preserve">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02"/>
        <w:gridCol w:w="1190"/>
        <w:gridCol w:w="1191"/>
        <w:gridCol w:w="1191"/>
        <w:gridCol w:w="1191"/>
        <w:gridCol w:w="1191"/>
      </w:tblGrid>
      <w:tr w:rsidR="00AB494A" w:rsidTr="009A3C45">
        <w:tc>
          <w:tcPr>
            <w:tcW w:w="9356" w:type="dxa"/>
            <w:gridSpan w:val="6"/>
            <w:tcBorders>
              <w:bottom w:val="single" w:sz="4" w:space="0" w:color="000000"/>
            </w:tcBorders>
          </w:tcPr>
          <w:p w:rsidR="00AB494A" w:rsidRPr="00714409" w:rsidRDefault="00AB494A" w:rsidP="002E5756">
            <w:pPr>
              <w:pStyle w:val="Titulek"/>
            </w:pPr>
            <w:bookmarkStart w:id="160" w:name="_Toc390958767"/>
            <w:bookmarkStart w:id="161" w:name="_Toc391034571"/>
            <w:r w:rsidRPr="00714409">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16</w:t>
            </w:r>
            <w:r w:rsidR="000E79AE">
              <w:fldChar w:fldCharType="end"/>
            </w:r>
            <w:r w:rsidRPr="00714409">
              <w:t>: Ukazatelé propustnosti pro úsek Pardubice hl. nádr. – Pardubice-Rosice nad Lab.</w:t>
            </w:r>
            <w:bookmarkEnd w:id="160"/>
            <w:bookmarkEnd w:id="161"/>
          </w:p>
        </w:tc>
      </w:tr>
      <w:tr w:rsidR="00AB494A" w:rsidTr="009A3C45">
        <w:tc>
          <w:tcPr>
            <w:tcW w:w="3402" w:type="dxa"/>
            <w:tcBorders>
              <w:bottom w:val="single" w:sz="12" w:space="0" w:color="auto"/>
            </w:tcBorders>
            <w:shd w:val="pct15" w:color="auto" w:fill="auto"/>
            <w:vAlign w:val="center"/>
          </w:tcPr>
          <w:p w:rsidR="004B54E9" w:rsidRPr="009A3C45" w:rsidRDefault="004B54E9" w:rsidP="009A3C45">
            <w:pPr>
              <w:spacing w:before="0" w:after="0" w:line="240" w:lineRule="auto"/>
              <w:jc w:val="left"/>
              <w:rPr>
                <w:rFonts w:cs="Tahoma"/>
                <w:sz w:val="18"/>
                <w:szCs w:val="18"/>
              </w:rPr>
            </w:pPr>
            <w:r w:rsidRPr="009A3C45">
              <w:rPr>
                <w:rFonts w:cs="Tahoma"/>
                <w:sz w:val="18"/>
                <w:szCs w:val="18"/>
              </w:rPr>
              <w:t xml:space="preserve">název </w:t>
            </w:r>
          </w:p>
        </w:tc>
        <w:tc>
          <w:tcPr>
            <w:tcW w:w="1190" w:type="dxa"/>
            <w:tcBorders>
              <w:bottom w:val="single" w:sz="12" w:space="0" w:color="auto"/>
              <w:right w:val="single" w:sz="12" w:space="0" w:color="auto"/>
            </w:tcBorders>
            <w:shd w:val="pct15" w:color="auto" w:fill="auto"/>
            <w:vAlign w:val="center"/>
          </w:tcPr>
          <w:p w:rsidR="004B54E9" w:rsidRPr="009A3C45" w:rsidRDefault="004B54E9" w:rsidP="009A3C45">
            <w:pPr>
              <w:spacing w:before="0" w:after="0" w:line="240" w:lineRule="auto"/>
              <w:jc w:val="left"/>
              <w:rPr>
                <w:rFonts w:cs="Tahoma"/>
                <w:sz w:val="18"/>
                <w:szCs w:val="18"/>
              </w:rPr>
            </w:pPr>
            <w:r w:rsidRPr="009A3C45">
              <w:rPr>
                <w:rFonts w:cs="Tahoma"/>
                <w:sz w:val="18"/>
                <w:szCs w:val="18"/>
              </w:rPr>
              <w:t>zkratka</w:t>
            </w:r>
          </w:p>
        </w:tc>
        <w:tc>
          <w:tcPr>
            <w:tcW w:w="1191" w:type="dxa"/>
            <w:tcBorders>
              <w:left w:val="single" w:sz="12" w:space="0" w:color="auto"/>
              <w:bottom w:val="single" w:sz="12" w:space="0" w:color="auto"/>
            </w:tcBorders>
            <w:shd w:val="pct15" w:color="auto" w:fill="auto"/>
            <w:vAlign w:val="center"/>
          </w:tcPr>
          <w:p w:rsidR="004B54E9" w:rsidRPr="009A3C45" w:rsidRDefault="004B54E9" w:rsidP="009A3C45">
            <w:pPr>
              <w:spacing w:before="0" w:after="0" w:line="240" w:lineRule="auto"/>
              <w:jc w:val="center"/>
              <w:rPr>
                <w:rFonts w:cs="Tahoma"/>
                <w:sz w:val="18"/>
                <w:szCs w:val="18"/>
              </w:rPr>
            </w:pPr>
            <w:r w:rsidRPr="009A3C45">
              <w:rPr>
                <w:rFonts w:cs="Tahoma"/>
                <w:sz w:val="18"/>
                <w:szCs w:val="18"/>
              </w:rPr>
              <w:t>současnost 05-24 hod</w:t>
            </w:r>
          </w:p>
        </w:tc>
        <w:tc>
          <w:tcPr>
            <w:tcW w:w="1191" w:type="dxa"/>
            <w:tcBorders>
              <w:bottom w:val="single" w:sz="12" w:space="0" w:color="auto"/>
            </w:tcBorders>
            <w:shd w:val="pct15" w:color="auto" w:fill="auto"/>
            <w:vAlign w:val="center"/>
          </w:tcPr>
          <w:p w:rsidR="004B54E9" w:rsidRPr="009A3C45" w:rsidRDefault="004B54E9" w:rsidP="009A3C45">
            <w:pPr>
              <w:spacing w:before="0" w:after="0" w:line="240" w:lineRule="auto"/>
              <w:jc w:val="center"/>
              <w:rPr>
                <w:rFonts w:cs="Tahoma"/>
                <w:sz w:val="18"/>
                <w:szCs w:val="18"/>
              </w:rPr>
            </w:pPr>
            <w:r w:rsidRPr="009A3C45">
              <w:rPr>
                <w:rFonts w:cs="Tahoma"/>
                <w:sz w:val="18"/>
                <w:szCs w:val="18"/>
              </w:rPr>
              <w:t>současnost 14-18 hod</w:t>
            </w:r>
          </w:p>
        </w:tc>
        <w:tc>
          <w:tcPr>
            <w:tcW w:w="1191" w:type="dxa"/>
            <w:tcBorders>
              <w:bottom w:val="single" w:sz="12" w:space="0" w:color="auto"/>
            </w:tcBorders>
            <w:shd w:val="pct15" w:color="auto" w:fill="auto"/>
            <w:vAlign w:val="center"/>
          </w:tcPr>
          <w:p w:rsidR="004B54E9" w:rsidRPr="009A3C45" w:rsidRDefault="00DA580F" w:rsidP="009A3C45">
            <w:pPr>
              <w:spacing w:before="0" w:after="0" w:line="240" w:lineRule="auto"/>
              <w:jc w:val="center"/>
              <w:rPr>
                <w:rFonts w:cs="Tahoma"/>
                <w:sz w:val="18"/>
                <w:szCs w:val="18"/>
              </w:rPr>
            </w:pPr>
            <w:r w:rsidRPr="009A3C45">
              <w:rPr>
                <w:rFonts w:cs="Tahoma"/>
                <w:sz w:val="18"/>
                <w:szCs w:val="18"/>
              </w:rPr>
              <w:t>M</w:t>
            </w:r>
            <w:r w:rsidR="00BF5EEE" w:rsidRPr="009A3C45">
              <w:rPr>
                <w:rFonts w:cs="Tahoma"/>
                <w:sz w:val="18"/>
                <w:szCs w:val="18"/>
              </w:rPr>
              <w:t>inimální</w:t>
            </w:r>
            <w:r w:rsidR="004B54E9" w:rsidRPr="009A3C45">
              <w:rPr>
                <w:rFonts w:cs="Tahoma"/>
                <w:sz w:val="18"/>
                <w:szCs w:val="18"/>
              </w:rPr>
              <w:t xml:space="preserve"> 05-24 hod</w:t>
            </w:r>
          </w:p>
        </w:tc>
        <w:tc>
          <w:tcPr>
            <w:tcW w:w="1191" w:type="dxa"/>
            <w:tcBorders>
              <w:bottom w:val="single" w:sz="12" w:space="0" w:color="auto"/>
            </w:tcBorders>
            <w:shd w:val="pct15" w:color="auto" w:fill="auto"/>
            <w:vAlign w:val="center"/>
          </w:tcPr>
          <w:p w:rsidR="004B54E9" w:rsidRPr="009A3C45" w:rsidRDefault="00DA580F" w:rsidP="009A3C45">
            <w:pPr>
              <w:spacing w:before="0" w:after="0" w:line="240" w:lineRule="auto"/>
              <w:jc w:val="center"/>
              <w:rPr>
                <w:rFonts w:cs="Tahoma"/>
                <w:sz w:val="18"/>
                <w:szCs w:val="18"/>
              </w:rPr>
            </w:pPr>
            <w:r w:rsidRPr="009A3C45">
              <w:rPr>
                <w:rFonts w:cs="Tahoma"/>
                <w:sz w:val="18"/>
                <w:szCs w:val="18"/>
              </w:rPr>
              <w:t>Minimální</w:t>
            </w:r>
            <w:r w:rsidR="004B54E9" w:rsidRPr="009A3C45">
              <w:rPr>
                <w:rFonts w:cs="Tahoma"/>
                <w:sz w:val="18"/>
                <w:szCs w:val="18"/>
              </w:rPr>
              <w:t xml:space="preserve"> 14-18 hod</w:t>
            </w:r>
          </w:p>
        </w:tc>
      </w:tr>
      <w:tr w:rsidR="004B54E9" w:rsidTr="009A3C45">
        <w:tc>
          <w:tcPr>
            <w:tcW w:w="3402" w:type="dxa"/>
            <w:tcBorders>
              <w:top w:val="single" w:sz="12" w:space="0" w:color="auto"/>
            </w:tcBorders>
            <w:shd w:val="pct15" w:color="auto" w:fill="auto"/>
            <w:vAlign w:val="center"/>
          </w:tcPr>
          <w:p w:rsidR="004B54E9" w:rsidRPr="009A3C45" w:rsidRDefault="00AB494A" w:rsidP="009A3C45">
            <w:pPr>
              <w:spacing w:before="0" w:after="0" w:line="264" w:lineRule="auto"/>
              <w:jc w:val="left"/>
              <w:rPr>
                <w:rFonts w:cs="Tahoma"/>
                <w:sz w:val="18"/>
                <w:szCs w:val="18"/>
              </w:rPr>
            </w:pPr>
            <w:r w:rsidRPr="009A3C45">
              <w:rPr>
                <w:rFonts w:cs="Tahoma"/>
                <w:sz w:val="18"/>
                <w:szCs w:val="18"/>
              </w:rPr>
              <w:t>výpočetní doba</w:t>
            </w:r>
          </w:p>
        </w:tc>
        <w:tc>
          <w:tcPr>
            <w:tcW w:w="1190" w:type="dxa"/>
            <w:tcBorders>
              <w:top w:val="single" w:sz="12" w:space="0" w:color="auto"/>
              <w:right w:val="single" w:sz="12" w:space="0" w:color="auto"/>
            </w:tcBorders>
            <w:vAlign w:val="center"/>
          </w:tcPr>
          <w:p w:rsidR="004B54E9" w:rsidRPr="009A3C45" w:rsidRDefault="00AB494A" w:rsidP="009A3C45">
            <w:pPr>
              <w:spacing w:before="0" w:after="0" w:line="264" w:lineRule="auto"/>
              <w:jc w:val="left"/>
              <w:rPr>
                <w:rFonts w:cs="Tahoma"/>
                <w:sz w:val="18"/>
                <w:szCs w:val="18"/>
                <w:vertAlign w:val="subscript"/>
              </w:rPr>
            </w:pPr>
            <w:r w:rsidRPr="009A3C45">
              <w:rPr>
                <w:rFonts w:cs="Tahoma"/>
                <w:sz w:val="18"/>
                <w:szCs w:val="18"/>
              </w:rPr>
              <w:t>T</w:t>
            </w:r>
            <w:r w:rsidRPr="009A3C45">
              <w:rPr>
                <w:rFonts w:cs="Tahoma"/>
                <w:sz w:val="18"/>
                <w:szCs w:val="18"/>
                <w:vertAlign w:val="subscript"/>
              </w:rPr>
              <w:t>výp</w:t>
            </w:r>
          </w:p>
        </w:tc>
        <w:tc>
          <w:tcPr>
            <w:tcW w:w="1191" w:type="dxa"/>
            <w:tcBorders>
              <w:top w:val="single" w:sz="12" w:space="0" w:color="auto"/>
              <w:left w:val="single" w:sz="12" w:space="0" w:color="auto"/>
            </w:tcBorders>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1</w:t>
            </w:r>
            <w:r w:rsidR="009A3C45">
              <w:rPr>
                <w:rFonts w:cs="Tahoma"/>
                <w:sz w:val="18"/>
                <w:szCs w:val="18"/>
              </w:rPr>
              <w:t xml:space="preserve"> </w:t>
            </w:r>
            <w:r w:rsidRPr="009A3C45">
              <w:rPr>
                <w:rFonts w:cs="Tahoma"/>
                <w:sz w:val="18"/>
                <w:szCs w:val="18"/>
              </w:rPr>
              <w:t>140</w:t>
            </w:r>
          </w:p>
        </w:tc>
        <w:tc>
          <w:tcPr>
            <w:tcW w:w="1191" w:type="dxa"/>
            <w:tcBorders>
              <w:top w:val="single" w:sz="12" w:space="0" w:color="auto"/>
            </w:tcBorders>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240</w:t>
            </w:r>
          </w:p>
        </w:tc>
        <w:tc>
          <w:tcPr>
            <w:tcW w:w="1191" w:type="dxa"/>
            <w:tcBorders>
              <w:top w:val="single" w:sz="12" w:space="0" w:color="auto"/>
            </w:tcBorders>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1</w:t>
            </w:r>
            <w:r w:rsidR="009A3C45">
              <w:rPr>
                <w:rFonts w:cs="Tahoma"/>
                <w:sz w:val="18"/>
                <w:szCs w:val="18"/>
              </w:rPr>
              <w:t xml:space="preserve"> </w:t>
            </w:r>
            <w:r w:rsidRPr="009A3C45">
              <w:rPr>
                <w:rFonts w:cs="Tahoma"/>
                <w:sz w:val="18"/>
                <w:szCs w:val="18"/>
              </w:rPr>
              <w:t>140</w:t>
            </w:r>
          </w:p>
        </w:tc>
        <w:tc>
          <w:tcPr>
            <w:tcW w:w="1191" w:type="dxa"/>
            <w:tcBorders>
              <w:top w:val="single" w:sz="12" w:space="0" w:color="auto"/>
            </w:tcBorders>
            <w:vAlign w:val="center"/>
          </w:tcPr>
          <w:p w:rsidR="009F716E" w:rsidRPr="009A3C45" w:rsidRDefault="009F716E" w:rsidP="009A3C45">
            <w:pPr>
              <w:spacing w:before="0" w:after="0" w:line="264" w:lineRule="auto"/>
              <w:ind w:right="146"/>
              <w:jc w:val="right"/>
              <w:rPr>
                <w:rFonts w:cs="Tahoma"/>
                <w:sz w:val="18"/>
                <w:szCs w:val="18"/>
              </w:rPr>
            </w:pPr>
            <w:r w:rsidRPr="009A3C45">
              <w:rPr>
                <w:rFonts w:cs="Tahoma"/>
                <w:sz w:val="18"/>
                <w:szCs w:val="18"/>
              </w:rPr>
              <w:t>240</w:t>
            </w:r>
          </w:p>
        </w:tc>
      </w:tr>
      <w:tr w:rsidR="004B54E9" w:rsidTr="009A3C45">
        <w:tc>
          <w:tcPr>
            <w:tcW w:w="3402" w:type="dxa"/>
            <w:shd w:val="pct15" w:color="auto" w:fill="auto"/>
            <w:vAlign w:val="center"/>
          </w:tcPr>
          <w:p w:rsidR="004B54E9" w:rsidRPr="009A3C45" w:rsidRDefault="00AB494A" w:rsidP="009A3C45">
            <w:pPr>
              <w:spacing w:before="0" w:after="0" w:line="264" w:lineRule="auto"/>
              <w:jc w:val="left"/>
              <w:rPr>
                <w:rFonts w:cs="Tahoma"/>
                <w:sz w:val="18"/>
                <w:szCs w:val="18"/>
              </w:rPr>
            </w:pPr>
            <w:r w:rsidRPr="009A3C45">
              <w:rPr>
                <w:rFonts w:cs="Tahoma"/>
                <w:sz w:val="18"/>
                <w:szCs w:val="18"/>
              </w:rPr>
              <w:t>doba obsazení všemi vlaky</w:t>
            </w:r>
          </w:p>
        </w:tc>
        <w:tc>
          <w:tcPr>
            <w:tcW w:w="1190" w:type="dxa"/>
            <w:tcBorders>
              <w:right w:val="single" w:sz="12" w:space="0" w:color="auto"/>
            </w:tcBorders>
            <w:vAlign w:val="center"/>
          </w:tcPr>
          <w:p w:rsidR="004B54E9" w:rsidRPr="009A3C45" w:rsidRDefault="00AB494A" w:rsidP="009A3C45">
            <w:pPr>
              <w:spacing w:before="0" w:after="0" w:line="264" w:lineRule="auto"/>
              <w:jc w:val="left"/>
              <w:rPr>
                <w:rFonts w:cs="Tahoma"/>
                <w:sz w:val="18"/>
                <w:szCs w:val="18"/>
              </w:rPr>
            </w:pPr>
            <w:r w:rsidRPr="009A3C45">
              <w:rPr>
                <w:rFonts w:cs="Tahoma"/>
                <w:sz w:val="18"/>
                <w:szCs w:val="18"/>
              </w:rPr>
              <w:t>T</w:t>
            </w:r>
            <w:r w:rsidRPr="009A3C45">
              <w:rPr>
                <w:rFonts w:cs="Tahoma"/>
                <w:sz w:val="18"/>
                <w:szCs w:val="18"/>
                <w:vertAlign w:val="subscript"/>
              </w:rPr>
              <w:t>J obs</w:t>
            </w:r>
          </w:p>
        </w:tc>
        <w:tc>
          <w:tcPr>
            <w:tcW w:w="1191" w:type="dxa"/>
            <w:tcBorders>
              <w:left w:val="single" w:sz="12" w:space="0" w:color="auto"/>
            </w:tcBorders>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759</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179,5</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695,5</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164,5</w:t>
            </w:r>
          </w:p>
        </w:tc>
      </w:tr>
      <w:tr w:rsidR="004B54E9" w:rsidTr="009A3C45">
        <w:tc>
          <w:tcPr>
            <w:tcW w:w="3402" w:type="dxa"/>
            <w:shd w:val="pct15" w:color="auto" w:fill="auto"/>
            <w:vAlign w:val="center"/>
          </w:tcPr>
          <w:p w:rsidR="004B54E9" w:rsidRPr="009A3C45" w:rsidRDefault="00AB494A" w:rsidP="009A3C45">
            <w:pPr>
              <w:spacing w:before="0" w:after="0" w:line="264" w:lineRule="auto"/>
              <w:jc w:val="left"/>
              <w:rPr>
                <w:rFonts w:cs="Tahoma"/>
                <w:sz w:val="18"/>
                <w:szCs w:val="18"/>
              </w:rPr>
            </w:pPr>
            <w:r w:rsidRPr="009A3C45">
              <w:rPr>
                <w:rFonts w:cs="Tahoma"/>
                <w:sz w:val="18"/>
                <w:szCs w:val="18"/>
              </w:rPr>
              <w:t>doba obsazení pouze vlaky trati 505</w:t>
            </w:r>
          </w:p>
        </w:tc>
        <w:tc>
          <w:tcPr>
            <w:tcW w:w="1190" w:type="dxa"/>
            <w:tcBorders>
              <w:right w:val="single" w:sz="12" w:space="0" w:color="auto"/>
            </w:tcBorders>
            <w:vAlign w:val="center"/>
          </w:tcPr>
          <w:p w:rsidR="004B54E9" w:rsidRPr="009A3C45" w:rsidRDefault="00AB494A" w:rsidP="009A3C45">
            <w:pPr>
              <w:spacing w:before="0" w:after="0" w:line="264" w:lineRule="auto"/>
              <w:jc w:val="left"/>
              <w:rPr>
                <w:rFonts w:cs="Tahoma"/>
                <w:sz w:val="18"/>
                <w:szCs w:val="18"/>
                <w:vertAlign w:val="subscript"/>
              </w:rPr>
            </w:pPr>
            <w:r w:rsidRPr="009A3C45">
              <w:rPr>
                <w:rFonts w:cs="Tahoma"/>
                <w:sz w:val="18"/>
                <w:szCs w:val="18"/>
              </w:rPr>
              <w:t>T</w:t>
            </w:r>
            <w:r w:rsidRPr="009A3C45">
              <w:rPr>
                <w:rFonts w:cs="Tahoma"/>
                <w:sz w:val="18"/>
                <w:szCs w:val="18"/>
                <w:vertAlign w:val="subscript"/>
              </w:rPr>
              <w:t>obs</w:t>
            </w:r>
          </w:p>
        </w:tc>
        <w:tc>
          <w:tcPr>
            <w:tcW w:w="1191" w:type="dxa"/>
            <w:tcBorders>
              <w:left w:val="single" w:sz="12" w:space="0" w:color="auto"/>
            </w:tcBorders>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600</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135,5</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549,5</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124</w:t>
            </w:r>
          </w:p>
        </w:tc>
      </w:tr>
      <w:tr w:rsidR="004B54E9" w:rsidTr="009A3C45">
        <w:tc>
          <w:tcPr>
            <w:tcW w:w="3402" w:type="dxa"/>
            <w:shd w:val="pct15" w:color="auto" w:fill="auto"/>
            <w:vAlign w:val="center"/>
          </w:tcPr>
          <w:p w:rsidR="004B54E9" w:rsidRPr="009A3C45" w:rsidRDefault="00AB494A" w:rsidP="009A3C45">
            <w:pPr>
              <w:spacing w:before="0" w:after="0" w:line="264" w:lineRule="auto"/>
              <w:jc w:val="left"/>
              <w:rPr>
                <w:rFonts w:cs="Tahoma"/>
                <w:sz w:val="18"/>
                <w:szCs w:val="18"/>
              </w:rPr>
            </w:pPr>
            <w:r w:rsidRPr="009A3C45">
              <w:rPr>
                <w:rFonts w:cs="Tahoma"/>
                <w:sz w:val="18"/>
                <w:szCs w:val="18"/>
              </w:rPr>
              <w:t>počet vlaků trati 505</w:t>
            </w:r>
          </w:p>
        </w:tc>
        <w:tc>
          <w:tcPr>
            <w:tcW w:w="1190" w:type="dxa"/>
            <w:tcBorders>
              <w:right w:val="single" w:sz="12" w:space="0" w:color="auto"/>
            </w:tcBorders>
            <w:vAlign w:val="center"/>
          </w:tcPr>
          <w:p w:rsidR="004B54E9" w:rsidRPr="009A3C45" w:rsidRDefault="00AB494A" w:rsidP="009A3C45">
            <w:pPr>
              <w:spacing w:before="0" w:after="0" w:line="264" w:lineRule="auto"/>
              <w:jc w:val="left"/>
              <w:rPr>
                <w:rFonts w:cs="Tahoma"/>
                <w:sz w:val="18"/>
                <w:szCs w:val="18"/>
              </w:rPr>
            </w:pPr>
            <w:r w:rsidRPr="009A3C45">
              <w:rPr>
                <w:rFonts w:cs="Tahoma"/>
                <w:sz w:val="18"/>
                <w:szCs w:val="18"/>
              </w:rPr>
              <w:t>N</w:t>
            </w:r>
          </w:p>
        </w:tc>
        <w:tc>
          <w:tcPr>
            <w:tcW w:w="1191" w:type="dxa"/>
            <w:tcBorders>
              <w:left w:val="single" w:sz="12" w:space="0" w:color="auto"/>
            </w:tcBorders>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146</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35</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146</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35</w:t>
            </w:r>
          </w:p>
        </w:tc>
      </w:tr>
      <w:tr w:rsidR="004B54E9" w:rsidTr="009A3C45">
        <w:tc>
          <w:tcPr>
            <w:tcW w:w="3402" w:type="dxa"/>
            <w:shd w:val="pct15" w:color="auto" w:fill="auto"/>
            <w:vAlign w:val="center"/>
          </w:tcPr>
          <w:p w:rsidR="004B54E9" w:rsidRPr="009A3C45" w:rsidRDefault="00AB494A" w:rsidP="009A3C45">
            <w:pPr>
              <w:spacing w:before="0" w:after="0" w:line="264" w:lineRule="auto"/>
              <w:jc w:val="left"/>
              <w:rPr>
                <w:rFonts w:cs="Tahoma"/>
                <w:sz w:val="18"/>
                <w:szCs w:val="18"/>
              </w:rPr>
            </w:pPr>
            <w:r w:rsidRPr="009A3C45">
              <w:rPr>
                <w:rFonts w:cs="Tahoma"/>
                <w:sz w:val="18"/>
                <w:szCs w:val="18"/>
              </w:rPr>
              <w:t>počet vlaků trati 507</w:t>
            </w:r>
          </w:p>
        </w:tc>
        <w:tc>
          <w:tcPr>
            <w:tcW w:w="1190" w:type="dxa"/>
            <w:tcBorders>
              <w:right w:val="single" w:sz="12" w:space="0" w:color="auto"/>
            </w:tcBorders>
            <w:vAlign w:val="center"/>
          </w:tcPr>
          <w:p w:rsidR="004B54E9" w:rsidRPr="009A3C45" w:rsidRDefault="00AB494A" w:rsidP="009A3C45">
            <w:pPr>
              <w:spacing w:before="0" w:after="0" w:line="264" w:lineRule="auto"/>
              <w:jc w:val="left"/>
              <w:rPr>
                <w:rFonts w:cs="Tahoma"/>
                <w:sz w:val="18"/>
                <w:szCs w:val="18"/>
                <w:vertAlign w:val="subscript"/>
              </w:rPr>
            </w:pPr>
            <w:r w:rsidRPr="009A3C45">
              <w:rPr>
                <w:rFonts w:cs="Tahoma"/>
                <w:sz w:val="18"/>
                <w:szCs w:val="18"/>
              </w:rPr>
              <w:t>N</w:t>
            </w:r>
            <w:r w:rsidRPr="009A3C45">
              <w:rPr>
                <w:rFonts w:cs="Tahoma"/>
                <w:sz w:val="18"/>
                <w:szCs w:val="18"/>
                <w:vertAlign w:val="subscript"/>
              </w:rPr>
              <w:t>J</w:t>
            </w:r>
          </w:p>
        </w:tc>
        <w:tc>
          <w:tcPr>
            <w:tcW w:w="1191" w:type="dxa"/>
            <w:tcBorders>
              <w:left w:val="single" w:sz="12" w:space="0" w:color="auto"/>
            </w:tcBorders>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57</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16</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57</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16</w:t>
            </w:r>
          </w:p>
        </w:tc>
      </w:tr>
      <w:tr w:rsidR="004B54E9" w:rsidTr="009A3C45">
        <w:tc>
          <w:tcPr>
            <w:tcW w:w="3402" w:type="dxa"/>
            <w:shd w:val="pct15" w:color="auto" w:fill="auto"/>
            <w:vAlign w:val="center"/>
          </w:tcPr>
          <w:p w:rsidR="004B54E9" w:rsidRPr="009A3C45" w:rsidRDefault="00AB494A" w:rsidP="009A3C45">
            <w:pPr>
              <w:spacing w:before="0" w:after="0" w:line="264" w:lineRule="auto"/>
              <w:jc w:val="left"/>
              <w:rPr>
                <w:rFonts w:cs="Tahoma"/>
                <w:sz w:val="18"/>
                <w:szCs w:val="18"/>
              </w:rPr>
            </w:pPr>
            <w:r w:rsidRPr="009A3C45">
              <w:rPr>
                <w:rFonts w:cs="Tahoma"/>
                <w:sz w:val="18"/>
                <w:szCs w:val="18"/>
              </w:rPr>
              <w:t>doba obsazení 1 vlakem trati 505</w:t>
            </w:r>
          </w:p>
        </w:tc>
        <w:tc>
          <w:tcPr>
            <w:tcW w:w="1190" w:type="dxa"/>
            <w:tcBorders>
              <w:right w:val="single" w:sz="12" w:space="0" w:color="auto"/>
            </w:tcBorders>
            <w:vAlign w:val="center"/>
          </w:tcPr>
          <w:p w:rsidR="004B54E9" w:rsidRPr="009A3C45" w:rsidRDefault="00AB494A" w:rsidP="009A3C45">
            <w:pPr>
              <w:spacing w:before="0" w:after="0" w:line="264" w:lineRule="auto"/>
              <w:jc w:val="left"/>
              <w:rPr>
                <w:rFonts w:cs="Tahoma"/>
                <w:sz w:val="18"/>
                <w:szCs w:val="18"/>
                <w:vertAlign w:val="subscript"/>
              </w:rPr>
            </w:pPr>
            <w:r w:rsidRPr="009A3C45">
              <w:rPr>
                <w:rFonts w:cs="Tahoma"/>
                <w:sz w:val="18"/>
                <w:szCs w:val="18"/>
              </w:rPr>
              <w:t>t</w:t>
            </w:r>
            <w:r w:rsidRPr="009A3C45">
              <w:rPr>
                <w:rFonts w:cs="Tahoma"/>
                <w:sz w:val="18"/>
                <w:szCs w:val="18"/>
                <w:vertAlign w:val="subscript"/>
              </w:rPr>
              <w:t>obs</w:t>
            </w:r>
          </w:p>
        </w:tc>
        <w:tc>
          <w:tcPr>
            <w:tcW w:w="1191" w:type="dxa"/>
            <w:tcBorders>
              <w:left w:val="single" w:sz="12" w:space="0" w:color="auto"/>
            </w:tcBorders>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4,11</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3,87</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3,76</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3,54</w:t>
            </w:r>
          </w:p>
        </w:tc>
      </w:tr>
      <w:tr w:rsidR="004B54E9" w:rsidTr="009A3C45">
        <w:tc>
          <w:tcPr>
            <w:tcW w:w="3402" w:type="dxa"/>
            <w:shd w:val="pct15" w:color="auto" w:fill="auto"/>
            <w:vAlign w:val="center"/>
          </w:tcPr>
          <w:p w:rsidR="004B54E9" w:rsidRPr="009A3C45" w:rsidRDefault="00AB494A" w:rsidP="009A3C45">
            <w:pPr>
              <w:spacing w:before="0" w:after="0" w:line="264" w:lineRule="auto"/>
              <w:jc w:val="left"/>
              <w:rPr>
                <w:rFonts w:cs="Tahoma"/>
                <w:sz w:val="18"/>
                <w:szCs w:val="18"/>
              </w:rPr>
            </w:pPr>
            <w:r w:rsidRPr="009A3C45">
              <w:rPr>
                <w:rFonts w:cs="Tahoma"/>
                <w:sz w:val="18"/>
                <w:szCs w:val="18"/>
              </w:rPr>
              <w:t>nejvýše přípustný stupeň obsazení</w:t>
            </w:r>
          </w:p>
        </w:tc>
        <w:tc>
          <w:tcPr>
            <w:tcW w:w="1190" w:type="dxa"/>
            <w:tcBorders>
              <w:right w:val="single" w:sz="12" w:space="0" w:color="auto"/>
            </w:tcBorders>
            <w:vAlign w:val="center"/>
          </w:tcPr>
          <w:p w:rsidR="004B54E9" w:rsidRPr="009A3C45" w:rsidRDefault="00AB494A" w:rsidP="009A3C45">
            <w:pPr>
              <w:spacing w:before="0" w:after="0" w:line="264" w:lineRule="auto"/>
              <w:jc w:val="left"/>
              <w:rPr>
                <w:rFonts w:cs="Tahoma"/>
                <w:sz w:val="18"/>
                <w:szCs w:val="18"/>
                <w:vertAlign w:val="subscript"/>
              </w:rPr>
            </w:pPr>
            <w:r w:rsidRPr="009A3C45">
              <w:rPr>
                <w:rFonts w:cs="Tahoma"/>
                <w:sz w:val="18"/>
                <w:szCs w:val="18"/>
              </w:rPr>
              <w:t>So</w:t>
            </w:r>
            <w:r w:rsidRPr="009A3C45">
              <w:rPr>
                <w:rFonts w:cs="Tahoma"/>
                <w:sz w:val="18"/>
                <w:szCs w:val="18"/>
                <w:vertAlign w:val="subscript"/>
              </w:rPr>
              <w:t>max</w:t>
            </w:r>
          </w:p>
        </w:tc>
        <w:tc>
          <w:tcPr>
            <w:tcW w:w="1191" w:type="dxa"/>
            <w:tcBorders>
              <w:left w:val="single" w:sz="12" w:space="0" w:color="auto"/>
            </w:tcBorders>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0,67</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0,75</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0,67</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0,75</w:t>
            </w:r>
          </w:p>
        </w:tc>
      </w:tr>
      <w:tr w:rsidR="004B54E9" w:rsidTr="009A3C45">
        <w:tc>
          <w:tcPr>
            <w:tcW w:w="3402" w:type="dxa"/>
            <w:shd w:val="pct15" w:color="auto" w:fill="auto"/>
            <w:vAlign w:val="center"/>
          </w:tcPr>
          <w:p w:rsidR="004B54E9" w:rsidRPr="009A3C45" w:rsidRDefault="00AB494A" w:rsidP="009A3C45">
            <w:pPr>
              <w:spacing w:before="0" w:after="0" w:line="264" w:lineRule="auto"/>
              <w:jc w:val="left"/>
              <w:rPr>
                <w:rFonts w:cs="Tahoma"/>
                <w:sz w:val="18"/>
                <w:szCs w:val="18"/>
              </w:rPr>
            </w:pPr>
            <w:r w:rsidRPr="009A3C45">
              <w:rPr>
                <w:rFonts w:cs="Tahoma"/>
                <w:sz w:val="18"/>
                <w:szCs w:val="18"/>
              </w:rPr>
              <w:t>praktická propustnost ve vlacích</w:t>
            </w:r>
          </w:p>
        </w:tc>
        <w:tc>
          <w:tcPr>
            <w:tcW w:w="1190" w:type="dxa"/>
            <w:tcBorders>
              <w:right w:val="single" w:sz="12" w:space="0" w:color="auto"/>
            </w:tcBorders>
            <w:vAlign w:val="center"/>
          </w:tcPr>
          <w:p w:rsidR="004B54E9" w:rsidRPr="009A3C45" w:rsidRDefault="00AB494A" w:rsidP="009A3C45">
            <w:pPr>
              <w:spacing w:before="0" w:after="0" w:line="264" w:lineRule="auto"/>
              <w:jc w:val="left"/>
              <w:rPr>
                <w:rFonts w:cs="Tahoma"/>
                <w:sz w:val="18"/>
                <w:szCs w:val="18"/>
              </w:rPr>
            </w:pPr>
            <w:r w:rsidRPr="009A3C45">
              <w:rPr>
                <w:rFonts w:cs="Tahoma"/>
                <w:sz w:val="18"/>
                <w:szCs w:val="18"/>
              </w:rPr>
              <w:t>n</w:t>
            </w:r>
          </w:p>
        </w:tc>
        <w:tc>
          <w:tcPr>
            <w:tcW w:w="1191" w:type="dxa"/>
            <w:tcBorders>
              <w:left w:val="single" w:sz="12" w:space="0" w:color="auto"/>
            </w:tcBorders>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147</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35</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164</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39</w:t>
            </w:r>
          </w:p>
        </w:tc>
      </w:tr>
      <w:tr w:rsidR="004B54E9" w:rsidTr="009A3C45">
        <w:tc>
          <w:tcPr>
            <w:tcW w:w="3402" w:type="dxa"/>
            <w:shd w:val="pct15" w:color="auto" w:fill="auto"/>
            <w:vAlign w:val="center"/>
          </w:tcPr>
          <w:p w:rsidR="004B54E9" w:rsidRPr="009A3C45" w:rsidRDefault="00AB494A" w:rsidP="009A3C45">
            <w:pPr>
              <w:spacing w:before="0" w:after="0" w:line="264" w:lineRule="auto"/>
              <w:jc w:val="left"/>
              <w:rPr>
                <w:rFonts w:cs="Tahoma"/>
                <w:sz w:val="18"/>
                <w:szCs w:val="18"/>
              </w:rPr>
            </w:pPr>
            <w:r w:rsidRPr="009A3C45">
              <w:rPr>
                <w:rFonts w:cs="Tahoma"/>
                <w:sz w:val="18"/>
                <w:szCs w:val="18"/>
              </w:rPr>
              <w:t>využití praktické propustnosti</w:t>
            </w:r>
          </w:p>
        </w:tc>
        <w:tc>
          <w:tcPr>
            <w:tcW w:w="1190" w:type="dxa"/>
            <w:tcBorders>
              <w:right w:val="single" w:sz="12" w:space="0" w:color="auto"/>
            </w:tcBorders>
            <w:vAlign w:val="center"/>
          </w:tcPr>
          <w:p w:rsidR="004B54E9" w:rsidRPr="009A3C45" w:rsidRDefault="00AB494A" w:rsidP="009A3C45">
            <w:pPr>
              <w:spacing w:before="0" w:after="0" w:line="264" w:lineRule="auto"/>
              <w:jc w:val="left"/>
              <w:rPr>
                <w:rFonts w:cs="Tahoma"/>
                <w:sz w:val="18"/>
                <w:szCs w:val="18"/>
                <w:vertAlign w:val="subscript"/>
              </w:rPr>
            </w:pPr>
            <w:r w:rsidRPr="009A3C45">
              <w:rPr>
                <w:rFonts w:cs="Tahoma"/>
                <w:sz w:val="18"/>
                <w:szCs w:val="18"/>
              </w:rPr>
              <w:t>k</w:t>
            </w:r>
            <w:r w:rsidRPr="009A3C45">
              <w:rPr>
                <w:rFonts w:cs="Tahoma"/>
                <w:sz w:val="18"/>
                <w:szCs w:val="18"/>
                <w:vertAlign w:val="subscript"/>
              </w:rPr>
              <w:t>prakt</w:t>
            </w:r>
          </w:p>
        </w:tc>
        <w:tc>
          <w:tcPr>
            <w:tcW w:w="1191" w:type="dxa"/>
            <w:tcBorders>
              <w:left w:val="single" w:sz="12" w:space="0" w:color="auto"/>
            </w:tcBorders>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99,3 %</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100,0 %</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89,0 %</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89,7 %</w:t>
            </w:r>
          </w:p>
        </w:tc>
      </w:tr>
      <w:tr w:rsidR="004B54E9" w:rsidTr="009A3C45">
        <w:tc>
          <w:tcPr>
            <w:tcW w:w="3402" w:type="dxa"/>
            <w:shd w:val="pct15" w:color="auto" w:fill="auto"/>
            <w:vAlign w:val="center"/>
          </w:tcPr>
          <w:p w:rsidR="004B54E9" w:rsidRPr="009A3C45" w:rsidRDefault="00AB494A" w:rsidP="009A3C45">
            <w:pPr>
              <w:spacing w:before="0" w:after="0" w:line="264" w:lineRule="auto"/>
              <w:jc w:val="left"/>
              <w:rPr>
                <w:rFonts w:cs="Tahoma"/>
                <w:sz w:val="18"/>
                <w:szCs w:val="18"/>
              </w:rPr>
            </w:pPr>
            <w:r w:rsidRPr="009A3C45">
              <w:rPr>
                <w:rFonts w:cs="Tahoma"/>
                <w:sz w:val="18"/>
                <w:szCs w:val="18"/>
              </w:rPr>
              <w:t>skutečný stupeň obsazení</w:t>
            </w:r>
          </w:p>
        </w:tc>
        <w:tc>
          <w:tcPr>
            <w:tcW w:w="1190" w:type="dxa"/>
            <w:tcBorders>
              <w:right w:val="single" w:sz="12" w:space="0" w:color="auto"/>
            </w:tcBorders>
            <w:vAlign w:val="center"/>
          </w:tcPr>
          <w:p w:rsidR="004B54E9" w:rsidRPr="009A3C45" w:rsidRDefault="00AB494A" w:rsidP="009A3C45">
            <w:pPr>
              <w:spacing w:before="0" w:after="0" w:line="264" w:lineRule="auto"/>
              <w:jc w:val="left"/>
              <w:rPr>
                <w:rFonts w:cs="Tahoma"/>
                <w:sz w:val="18"/>
                <w:szCs w:val="18"/>
              </w:rPr>
            </w:pPr>
            <w:r w:rsidRPr="009A3C45">
              <w:rPr>
                <w:rFonts w:cs="Tahoma"/>
                <w:sz w:val="18"/>
                <w:szCs w:val="18"/>
              </w:rPr>
              <w:t>So</w:t>
            </w:r>
          </w:p>
        </w:tc>
        <w:tc>
          <w:tcPr>
            <w:tcW w:w="1191" w:type="dxa"/>
            <w:tcBorders>
              <w:left w:val="single" w:sz="12" w:space="0" w:color="auto"/>
            </w:tcBorders>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0,612</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0,691</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0,553</w:t>
            </w:r>
          </w:p>
        </w:tc>
        <w:tc>
          <w:tcPr>
            <w:tcW w:w="1191" w:type="dxa"/>
            <w:vAlign w:val="center"/>
          </w:tcPr>
          <w:p w:rsidR="004B54E9" w:rsidRPr="009A3C45" w:rsidRDefault="009F716E" w:rsidP="009A3C45">
            <w:pPr>
              <w:spacing w:before="0" w:after="0" w:line="264" w:lineRule="auto"/>
              <w:ind w:right="146"/>
              <w:jc w:val="right"/>
              <w:rPr>
                <w:rFonts w:cs="Tahoma"/>
                <w:sz w:val="18"/>
                <w:szCs w:val="18"/>
              </w:rPr>
            </w:pPr>
            <w:r w:rsidRPr="009A3C45">
              <w:rPr>
                <w:rFonts w:cs="Tahoma"/>
                <w:sz w:val="18"/>
                <w:szCs w:val="18"/>
              </w:rPr>
              <w:t>0,622</w:t>
            </w:r>
          </w:p>
        </w:tc>
      </w:tr>
      <w:tr w:rsidR="00F257D1" w:rsidRPr="00615FB6" w:rsidTr="009A3C45">
        <w:tc>
          <w:tcPr>
            <w:tcW w:w="3402" w:type="dxa"/>
            <w:shd w:val="pct15" w:color="auto" w:fill="auto"/>
            <w:vAlign w:val="center"/>
          </w:tcPr>
          <w:p w:rsidR="00F257D1" w:rsidRPr="009A3C45" w:rsidRDefault="00AB494A" w:rsidP="009A3C45">
            <w:pPr>
              <w:spacing w:before="0" w:after="0" w:line="264" w:lineRule="auto"/>
              <w:jc w:val="left"/>
              <w:rPr>
                <w:rFonts w:cs="Tahoma"/>
                <w:sz w:val="18"/>
                <w:szCs w:val="18"/>
              </w:rPr>
            </w:pPr>
            <w:r w:rsidRPr="009A3C45">
              <w:rPr>
                <w:rFonts w:cs="Tahoma"/>
                <w:sz w:val="18"/>
                <w:szCs w:val="18"/>
              </w:rPr>
              <w:t>výhledový počet vlaků</w:t>
            </w:r>
          </w:p>
        </w:tc>
        <w:tc>
          <w:tcPr>
            <w:tcW w:w="1190" w:type="dxa"/>
            <w:tcBorders>
              <w:right w:val="single" w:sz="12" w:space="0" w:color="auto"/>
            </w:tcBorders>
            <w:vAlign w:val="center"/>
          </w:tcPr>
          <w:p w:rsidR="00F257D1" w:rsidRPr="009A3C45" w:rsidRDefault="00AB494A" w:rsidP="009A3C45">
            <w:pPr>
              <w:spacing w:before="0" w:after="0" w:line="264" w:lineRule="auto"/>
              <w:jc w:val="left"/>
              <w:rPr>
                <w:rFonts w:cs="Tahoma"/>
                <w:sz w:val="18"/>
                <w:szCs w:val="18"/>
                <w:vertAlign w:val="subscript"/>
              </w:rPr>
            </w:pPr>
            <w:r w:rsidRPr="009A3C45">
              <w:rPr>
                <w:rFonts w:cs="Tahoma"/>
                <w:sz w:val="18"/>
                <w:szCs w:val="18"/>
              </w:rPr>
              <w:t>N</w:t>
            </w:r>
            <w:r w:rsidRPr="009A3C45">
              <w:rPr>
                <w:rFonts w:cs="Tahoma"/>
                <w:sz w:val="18"/>
                <w:szCs w:val="18"/>
                <w:vertAlign w:val="subscript"/>
              </w:rPr>
              <w:t>ýhl</w:t>
            </w:r>
          </w:p>
        </w:tc>
        <w:tc>
          <w:tcPr>
            <w:tcW w:w="1191" w:type="dxa"/>
            <w:tcBorders>
              <w:left w:val="single" w:sz="12" w:space="0" w:color="auto"/>
            </w:tcBorders>
            <w:vAlign w:val="center"/>
          </w:tcPr>
          <w:p w:rsidR="00F257D1" w:rsidRPr="009A3C45" w:rsidRDefault="00F257D1" w:rsidP="009A3C45">
            <w:pPr>
              <w:spacing w:before="0" w:after="0" w:line="264" w:lineRule="auto"/>
              <w:ind w:right="146"/>
              <w:jc w:val="right"/>
              <w:rPr>
                <w:rFonts w:cs="Tahoma"/>
                <w:sz w:val="18"/>
                <w:szCs w:val="18"/>
              </w:rPr>
            </w:pPr>
          </w:p>
        </w:tc>
        <w:tc>
          <w:tcPr>
            <w:tcW w:w="1191" w:type="dxa"/>
            <w:vAlign w:val="center"/>
          </w:tcPr>
          <w:p w:rsidR="00F257D1" w:rsidRPr="009A3C45" w:rsidRDefault="009F716E" w:rsidP="009A3C45">
            <w:pPr>
              <w:spacing w:before="0" w:after="0" w:line="264" w:lineRule="auto"/>
              <w:ind w:right="146"/>
              <w:jc w:val="right"/>
              <w:rPr>
                <w:rFonts w:cs="Tahoma"/>
                <w:sz w:val="18"/>
                <w:szCs w:val="18"/>
              </w:rPr>
            </w:pPr>
            <w:r w:rsidRPr="009A3C45">
              <w:rPr>
                <w:rFonts w:cs="Tahoma"/>
                <w:sz w:val="18"/>
                <w:szCs w:val="18"/>
              </w:rPr>
              <w:t>47</w:t>
            </w:r>
          </w:p>
        </w:tc>
        <w:tc>
          <w:tcPr>
            <w:tcW w:w="1191" w:type="dxa"/>
            <w:vAlign w:val="center"/>
          </w:tcPr>
          <w:p w:rsidR="00F257D1" w:rsidRPr="009A3C45" w:rsidRDefault="00F257D1" w:rsidP="009A3C45">
            <w:pPr>
              <w:spacing w:before="0" w:after="0" w:line="264" w:lineRule="auto"/>
              <w:ind w:right="146"/>
              <w:jc w:val="right"/>
              <w:rPr>
                <w:rFonts w:cs="Tahoma"/>
                <w:sz w:val="18"/>
                <w:szCs w:val="18"/>
              </w:rPr>
            </w:pPr>
          </w:p>
        </w:tc>
        <w:tc>
          <w:tcPr>
            <w:tcW w:w="1191" w:type="dxa"/>
            <w:vAlign w:val="center"/>
          </w:tcPr>
          <w:p w:rsidR="00F257D1" w:rsidRPr="009A3C45" w:rsidRDefault="009F716E" w:rsidP="009A3C45">
            <w:pPr>
              <w:spacing w:before="0" w:after="0" w:line="264" w:lineRule="auto"/>
              <w:ind w:right="146"/>
              <w:jc w:val="right"/>
              <w:rPr>
                <w:rFonts w:cs="Tahoma"/>
                <w:sz w:val="18"/>
                <w:szCs w:val="18"/>
              </w:rPr>
            </w:pPr>
            <w:r w:rsidRPr="009A3C45">
              <w:rPr>
                <w:rFonts w:cs="Tahoma"/>
                <w:sz w:val="18"/>
                <w:szCs w:val="18"/>
              </w:rPr>
              <w:t>47</w:t>
            </w:r>
          </w:p>
        </w:tc>
      </w:tr>
      <w:tr w:rsidR="00F257D1" w:rsidRPr="00615FB6" w:rsidTr="009A3C45">
        <w:tc>
          <w:tcPr>
            <w:tcW w:w="3402" w:type="dxa"/>
            <w:shd w:val="pct15" w:color="auto" w:fill="auto"/>
            <w:vAlign w:val="center"/>
          </w:tcPr>
          <w:p w:rsidR="00F257D1" w:rsidRPr="009A3C45" w:rsidRDefault="00AB494A" w:rsidP="009A3C45">
            <w:pPr>
              <w:spacing w:before="0" w:after="0" w:line="264" w:lineRule="auto"/>
              <w:jc w:val="left"/>
              <w:rPr>
                <w:rFonts w:cs="Tahoma"/>
                <w:sz w:val="18"/>
                <w:szCs w:val="18"/>
              </w:rPr>
            </w:pPr>
            <w:r w:rsidRPr="009A3C45">
              <w:rPr>
                <w:rFonts w:cs="Tahoma"/>
                <w:sz w:val="18"/>
                <w:szCs w:val="18"/>
              </w:rPr>
              <w:t>volné / chyběj</w:t>
            </w:r>
            <w:r w:rsidR="005B3B7C" w:rsidRPr="009A3C45">
              <w:rPr>
                <w:rFonts w:cs="Tahoma"/>
                <w:sz w:val="18"/>
                <w:szCs w:val="18"/>
              </w:rPr>
              <w:t>í</w:t>
            </w:r>
            <w:r w:rsidRPr="009A3C45">
              <w:rPr>
                <w:rFonts w:cs="Tahoma"/>
                <w:sz w:val="18"/>
                <w:szCs w:val="18"/>
              </w:rPr>
              <w:t>cí trasy</w:t>
            </w:r>
          </w:p>
        </w:tc>
        <w:tc>
          <w:tcPr>
            <w:tcW w:w="1190" w:type="dxa"/>
            <w:tcBorders>
              <w:right w:val="single" w:sz="12" w:space="0" w:color="auto"/>
            </w:tcBorders>
            <w:vAlign w:val="center"/>
          </w:tcPr>
          <w:p w:rsidR="00F257D1" w:rsidRPr="009A3C45" w:rsidRDefault="00AB494A" w:rsidP="009A3C45">
            <w:pPr>
              <w:spacing w:before="0" w:after="0" w:line="264" w:lineRule="auto"/>
              <w:jc w:val="left"/>
              <w:rPr>
                <w:rFonts w:cs="Tahoma"/>
                <w:sz w:val="18"/>
                <w:szCs w:val="18"/>
              </w:rPr>
            </w:pPr>
            <w:r w:rsidRPr="009A3C45">
              <w:rPr>
                <w:rFonts w:cs="Tahoma"/>
                <w:sz w:val="18"/>
                <w:szCs w:val="18"/>
              </w:rPr>
              <w:t>+/-</w:t>
            </w:r>
          </w:p>
        </w:tc>
        <w:tc>
          <w:tcPr>
            <w:tcW w:w="1191" w:type="dxa"/>
            <w:tcBorders>
              <w:left w:val="single" w:sz="12" w:space="0" w:color="auto"/>
            </w:tcBorders>
            <w:vAlign w:val="center"/>
          </w:tcPr>
          <w:p w:rsidR="00F257D1" w:rsidRPr="009A3C45" w:rsidRDefault="00F257D1" w:rsidP="009A3C45">
            <w:pPr>
              <w:spacing w:before="0" w:after="0" w:line="264" w:lineRule="auto"/>
              <w:ind w:right="146"/>
              <w:jc w:val="right"/>
              <w:rPr>
                <w:rFonts w:cs="Tahoma"/>
                <w:sz w:val="18"/>
                <w:szCs w:val="18"/>
              </w:rPr>
            </w:pPr>
          </w:p>
        </w:tc>
        <w:tc>
          <w:tcPr>
            <w:tcW w:w="1191" w:type="dxa"/>
            <w:vAlign w:val="center"/>
          </w:tcPr>
          <w:p w:rsidR="00F257D1" w:rsidRPr="009A3C45" w:rsidRDefault="009F716E" w:rsidP="009A3C45">
            <w:pPr>
              <w:spacing w:before="0" w:after="0" w:line="264" w:lineRule="auto"/>
              <w:ind w:right="146"/>
              <w:jc w:val="right"/>
              <w:rPr>
                <w:rFonts w:cs="Tahoma"/>
                <w:sz w:val="18"/>
                <w:szCs w:val="18"/>
              </w:rPr>
            </w:pPr>
            <w:r w:rsidRPr="009A3C45">
              <w:rPr>
                <w:rFonts w:cs="Tahoma"/>
                <w:sz w:val="18"/>
                <w:szCs w:val="18"/>
              </w:rPr>
              <w:t>-12</w:t>
            </w:r>
          </w:p>
        </w:tc>
        <w:tc>
          <w:tcPr>
            <w:tcW w:w="1191" w:type="dxa"/>
            <w:vAlign w:val="center"/>
          </w:tcPr>
          <w:p w:rsidR="00F257D1" w:rsidRPr="009A3C45" w:rsidRDefault="00F257D1" w:rsidP="009A3C45">
            <w:pPr>
              <w:spacing w:before="0" w:after="0" w:line="264" w:lineRule="auto"/>
              <w:ind w:right="146"/>
              <w:jc w:val="right"/>
              <w:rPr>
                <w:rFonts w:cs="Tahoma"/>
                <w:sz w:val="18"/>
                <w:szCs w:val="18"/>
              </w:rPr>
            </w:pPr>
          </w:p>
        </w:tc>
        <w:tc>
          <w:tcPr>
            <w:tcW w:w="1191" w:type="dxa"/>
            <w:vAlign w:val="center"/>
          </w:tcPr>
          <w:p w:rsidR="00F257D1" w:rsidRPr="009A3C45" w:rsidRDefault="009F716E" w:rsidP="009A3C45">
            <w:pPr>
              <w:spacing w:before="0" w:after="0" w:line="264" w:lineRule="auto"/>
              <w:ind w:right="146"/>
              <w:jc w:val="right"/>
              <w:rPr>
                <w:rFonts w:cs="Tahoma"/>
                <w:sz w:val="18"/>
                <w:szCs w:val="18"/>
              </w:rPr>
            </w:pPr>
            <w:r w:rsidRPr="009A3C45">
              <w:rPr>
                <w:rFonts w:cs="Tahoma"/>
                <w:sz w:val="18"/>
                <w:szCs w:val="18"/>
              </w:rPr>
              <w:t>-8</w:t>
            </w:r>
          </w:p>
        </w:tc>
      </w:tr>
    </w:tbl>
    <w:p w:rsidR="004710D4" w:rsidRDefault="006A637B" w:rsidP="004710D4">
      <w:r>
        <w:t>Ú</w:t>
      </w:r>
      <w:r w:rsidR="00D939C9">
        <w:t xml:space="preserve">sek Pardubice hl. nádr. – Pardubice-Rosice nad Lab. vzhledem ke krátké jízdní době (3,0 min) disponuje poměrně značnou, ne však dostatečnou kapacitou. </w:t>
      </w:r>
      <w:r w:rsidR="004710D4">
        <w:t xml:space="preserve">Ani stavy, ve kterých by bylo v Pardubicích-Rosicích nad Labem instalováno elektronické stavědlo, situaci uspokojivě neřeší. Dochází sice k mírnému zlepšení situace, ale nárůst propustnosti nepokryje výhledovou dopravu v plném rozsahu. </w:t>
      </w:r>
      <w:r w:rsidR="00D939C9">
        <w:t>Při nárůstu dopravy na trati 030 bude záležet na rozložení dopravy na trati 238, jak dalece půjde oba směry skloubit. Z pohledu provozní technologie je modernizace úseku Pardubice hl. nádr. – Pardubice-Rosice nad Lab. prioritní. Ohledně způsobu modernizace existuje konsensus na základě studie z roku 2010.</w:t>
      </w:r>
      <w:r w:rsidR="004710D4">
        <w:t xml:space="preserve"> Jednokolejný stav vždy povede k hledání ještě přijatelného kompromisu mezi požadavky dopravců, zatížením tratě a využitím možností vyvážení chrudimských vlaků na vlacích trati 505.</w:t>
      </w:r>
    </w:p>
    <w:p w:rsidR="002E1CD4" w:rsidRDefault="002E1CD4">
      <w:pPr>
        <w:suppressAutoHyphens w:val="0"/>
        <w:spacing w:before="0" w:after="0" w:line="240" w:lineRule="auto"/>
        <w:jc w:val="left"/>
        <w:rPr>
          <w:b/>
        </w:rPr>
      </w:pPr>
      <w:r>
        <w:rPr>
          <w:b/>
        </w:rPr>
        <w:br w:type="page"/>
      </w:r>
    </w:p>
    <w:p w:rsidR="000E10E4" w:rsidRDefault="000E10E4" w:rsidP="000E10E4">
      <w:pPr>
        <w:rPr>
          <w:b/>
        </w:rPr>
      </w:pPr>
      <w:r>
        <w:rPr>
          <w:b/>
        </w:rPr>
        <w:t>C</w:t>
      </w:r>
      <w:r w:rsidRPr="00A657DB">
        <w:rPr>
          <w:b/>
        </w:rPr>
        <w:t xml:space="preserve">. </w:t>
      </w:r>
      <w:r>
        <w:rPr>
          <w:b/>
        </w:rPr>
        <w:t>Ú</w:t>
      </w:r>
      <w:r w:rsidRPr="00A657DB">
        <w:rPr>
          <w:b/>
        </w:rPr>
        <w:t>sek</w:t>
      </w:r>
      <w:r>
        <w:rPr>
          <w:b/>
        </w:rPr>
        <w:t xml:space="preserve"> Stéblová – Opatovice </w:t>
      </w:r>
      <w:r w:rsidRPr="00A657DB">
        <w:rPr>
          <w:b/>
        </w:rPr>
        <w:t>nad Labem</w:t>
      </w:r>
    </w:p>
    <w:p w:rsidR="00295435" w:rsidRDefault="000E10E4" w:rsidP="000E10E4">
      <w:r w:rsidRPr="001168D6">
        <w:t>Ve variant</w:t>
      </w:r>
      <w:r w:rsidR="001168D6">
        <w:t xml:space="preserve">ě </w:t>
      </w:r>
      <w:r w:rsidRPr="001168D6">
        <w:t xml:space="preserve">Maximální je tento úsek dvoukolejný a s autoblokem poskytuje plně vyhovující propustnost. </w:t>
      </w:r>
      <w:r w:rsidR="00DA580F" w:rsidRPr="001168D6">
        <w:t xml:space="preserve">V </w:t>
      </w:r>
      <w:r w:rsidR="001168D6">
        <w:t>Etap</w:t>
      </w:r>
      <w:r w:rsidR="001075CA">
        <w:t>ě</w:t>
      </w:r>
      <w:r w:rsidR="00DA580F" w:rsidRPr="001168D6">
        <w:t xml:space="preserve"> je</w:t>
      </w:r>
      <w:r w:rsidR="00DA580F">
        <w:t xml:space="preserve"> přínos zdvoukolejnění zmenšen skutečností, že tato není plnohodnotně dotažena až do hradeckého zhlaví žst Opatovice nad Lab.. </w:t>
      </w:r>
      <w:r>
        <w:t>Ve variantě Minimální však tento úsek z</w:t>
      </w:r>
      <w:r w:rsidR="005B3B7C">
        <w:t>ů</w:t>
      </w:r>
      <w:r>
        <w:t>stává jednokolejný, od současného stavu se však liší instalac</w:t>
      </w:r>
      <w:r w:rsidR="001168D6">
        <w:t>í</w:t>
      </w:r>
      <w:r>
        <w:t xml:space="preserve"> nových staničních a traťových zabezpečovacích zařízení, jmenovitě elektronické</w:t>
      </w:r>
      <w:r w:rsidR="001168D6">
        <w:t>ho</w:t>
      </w:r>
      <w:r>
        <w:t xml:space="preserve"> stavědl</w:t>
      </w:r>
      <w:r w:rsidR="001168D6">
        <w:t>a</w:t>
      </w:r>
      <w:r>
        <w:t xml:space="preserve"> a automatické</w:t>
      </w:r>
      <w:r w:rsidR="001168D6">
        <w:t>ho</w:t>
      </w:r>
      <w:r>
        <w:t xml:space="preserve"> hradl</w:t>
      </w:r>
      <w:r w:rsidR="001168D6">
        <w:t>a</w:t>
      </w:r>
      <w:r>
        <w:t xml:space="preserve"> s návěstním bodem</w:t>
      </w:r>
      <w:r w:rsidR="00295435">
        <w:t>. To je změna oproti současnosti, proto jsou ukazatele propustnosti pro tento stav spočítány a uvedeny níže:</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45"/>
        <w:gridCol w:w="2055"/>
        <w:gridCol w:w="2056"/>
      </w:tblGrid>
      <w:tr w:rsidR="00295435" w:rsidTr="009A3C45">
        <w:trPr>
          <w:trHeight w:val="284"/>
        </w:trPr>
        <w:tc>
          <w:tcPr>
            <w:tcW w:w="9356" w:type="dxa"/>
            <w:gridSpan w:val="3"/>
            <w:shd w:val="clear" w:color="auto" w:fill="auto"/>
          </w:tcPr>
          <w:p w:rsidR="00295435" w:rsidRPr="00714409" w:rsidRDefault="00295435" w:rsidP="002E5756">
            <w:pPr>
              <w:pStyle w:val="Titulek"/>
            </w:pPr>
            <w:bookmarkStart w:id="162" w:name="_Toc390958768"/>
            <w:bookmarkStart w:id="163" w:name="_Toc391034572"/>
            <w:r w:rsidRPr="00714409">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17</w:t>
            </w:r>
            <w:r w:rsidR="000E79AE">
              <w:fldChar w:fldCharType="end"/>
            </w:r>
            <w:r w:rsidRPr="00714409">
              <w:t>: Ukazatelé propustnosti pro variantu Minimální</w:t>
            </w:r>
            <w:bookmarkEnd w:id="162"/>
            <w:bookmarkEnd w:id="163"/>
          </w:p>
        </w:tc>
      </w:tr>
      <w:tr w:rsidR="009A3C45" w:rsidTr="009A3C45">
        <w:trPr>
          <w:trHeight w:val="343"/>
        </w:trPr>
        <w:tc>
          <w:tcPr>
            <w:tcW w:w="5245" w:type="dxa"/>
            <w:vMerge w:val="restart"/>
            <w:tcBorders>
              <w:right w:val="single" w:sz="12" w:space="0" w:color="auto"/>
            </w:tcBorders>
            <w:shd w:val="clear" w:color="auto" w:fill="FFFFFF" w:themeFill="background1"/>
            <w:vAlign w:val="center"/>
          </w:tcPr>
          <w:p w:rsidR="009A3C45" w:rsidRPr="009A3C45" w:rsidRDefault="009A3C45" w:rsidP="009A3C45">
            <w:pPr>
              <w:spacing w:before="0" w:after="0" w:line="264" w:lineRule="auto"/>
              <w:ind w:left="34" w:hanging="34"/>
              <w:jc w:val="left"/>
              <w:rPr>
                <w:sz w:val="18"/>
              </w:rPr>
            </w:pPr>
            <w:r w:rsidRPr="009A3C45">
              <w:rPr>
                <w:sz w:val="18"/>
              </w:rPr>
              <w:t>popis</w:t>
            </w:r>
          </w:p>
        </w:tc>
        <w:tc>
          <w:tcPr>
            <w:tcW w:w="4111" w:type="dxa"/>
            <w:gridSpan w:val="2"/>
            <w:tcBorders>
              <w:left w:val="single" w:sz="12" w:space="0" w:color="auto"/>
              <w:bottom w:val="single" w:sz="2" w:space="0" w:color="auto"/>
            </w:tcBorders>
            <w:shd w:val="clear" w:color="auto" w:fill="FFFFFF" w:themeFill="background1"/>
            <w:vAlign w:val="center"/>
          </w:tcPr>
          <w:p w:rsidR="009A3C45" w:rsidRPr="009A3C45" w:rsidRDefault="009A3C45" w:rsidP="009A3C45">
            <w:pPr>
              <w:pStyle w:val="Nadpis5"/>
              <w:spacing w:line="264" w:lineRule="auto"/>
              <w:jc w:val="center"/>
              <w:rPr>
                <w:b w:val="0"/>
                <w:sz w:val="18"/>
              </w:rPr>
            </w:pPr>
            <w:r w:rsidRPr="009A3C45">
              <w:rPr>
                <w:b w:val="0"/>
                <w:sz w:val="18"/>
              </w:rPr>
              <w:t>Stéblová – Opatovice nad Lab</w:t>
            </w:r>
          </w:p>
        </w:tc>
      </w:tr>
      <w:tr w:rsidR="009A3C45" w:rsidTr="009A3C45">
        <w:trPr>
          <w:trHeight w:val="284"/>
        </w:trPr>
        <w:tc>
          <w:tcPr>
            <w:tcW w:w="5245" w:type="dxa"/>
            <w:vMerge/>
            <w:tcBorders>
              <w:bottom w:val="single" w:sz="12" w:space="0" w:color="auto"/>
              <w:right w:val="single" w:sz="12" w:space="0" w:color="auto"/>
            </w:tcBorders>
            <w:shd w:val="clear" w:color="auto" w:fill="FFFFFF" w:themeFill="background1"/>
            <w:vAlign w:val="center"/>
          </w:tcPr>
          <w:p w:rsidR="009A3C45" w:rsidRPr="009A3C45" w:rsidRDefault="009A3C45" w:rsidP="009A3C45">
            <w:pPr>
              <w:spacing w:before="0" w:after="0" w:line="264" w:lineRule="auto"/>
              <w:ind w:left="34" w:hanging="34"/>
              <w:jc w:val="left"/>
              <w:rPr>
                <w:sz w:val="18"/>
              </w:rPr>
            </w:pPr>
          </w:p>
        </w:tc>
        <w:tc>
          <w:tcPr>
            <w:tcW w:w="2055" w:type="dxa"/>
            <w:tcBorders>
              <w:top w:val="single" w:sz="2" w:space="0" w:color="auto"/>
              <w:left w:val="single" w:sz="12" w:space="0" w:color="auto"/>
              <w:bottom w:val="single" w:sz="12" w:space="0" w:color="auto"/>
              <w:right w:val="single" w:sz="2" w:space="0" w:color="auto"/>
            </w:tcBorders>
            <w:shd w:val="clear" w:color="auto" w:fill="FFFFFF" w:themeFill="background1"/>
            <w:vAlign w:val="center"/>
          </w:tcPr>
          <w:p w:rsidR="009A3C45" w:rsidRPr="009A3C45" w:rsidRDefault="009A3C45" w:rsidP="009A3C45">
            <w:pPr>
              <w:pStyle w:val="Nadpis5"/>
              <w:spacing w:line="264" w:lineRule="auto"/>
              <w:jc w:val="center"/>
              <w:rPr>
                <w:b w:val="0"/>
                <w:sz w:val="18"/>
              </w:rPr>
            </w:pPr>
            <w:r w:rsidRPr="009A3C45">
              <w:rPr>
                <w:b w:val="0"/>
                <w:sz w:val="18"/>
              </w:rPr>
              <w:t>120 min</w:t>
            </w:r>
          </w:p>
        </w:tc>
        <w:tc>
          <w:tcPr>
            <w:tcW w:w="2056" w:type="dxa"/>
            <w:tcBorders>
              <w:top w:val="single" w:sz="2" w:space="0" w:color="auto"/>
              <w:left w:val="single" w:sz="2" w:space="0" w:color="auto"/>
              <w:bottom w:val="single" w:sz="12" w:space="0" w:color="auto"/>
            </w:tcBorders>
            <w:shd w:val="clear" w:color="auto" w:fill="FFFFFF" w:themeFill="background1"/>
            <w:vAlign w:val="center"/>
          </w:tcPr>
          <w:p w:rsidR="009A3C45" w:rsidRPr="009A3C45" w:rsidRDefault="009A3C45" w:rsidP="009A3C45">
            <w:pPr>
              <w:pStyle w:val="Nadpis5"/>
              <w:spacing w:line="264" w:lineRule="auto"/>
              <w:jc w:val="center"/>
              <w:rPr>
                <w:b w:val="0"/>
                <w:sz w:val="18"/>
              </w:rPr>
            </w:pPr>
            <w:r w:rsidRPr="009A3C45">
              <w:rPr>
                <w:b w:val="0"/>
                <w:sz w:val="18"/>
              </w:rPr>
              <w:t>18 hod</w:t>
            </w:r>
          </w:p>
        </w:tc>
      </w:tr>
      <w:tr w:rsidR="00295435" w:rsidTr="009A3C45">
        <w:trPr>
          <w:trHeight w:val="284"/>
        </w:trPr>
        <w:tc>
          <w:tcPr>
            <w:tcW w:w="5245" w:type="dxa"/>
            <w:tcBorders>
              <w:top w:val="single" w:sz="12" w:space="0" w:color="auto"/>
              <w:right w:val="single" w:sz="12" w:space="0" w:color="auto"/>
            </w:tcBorders>
            <w:shd w:val="clear" w:color="auto" w:fill="FFFFFF" w:themeFill="background1"/>
            <w:vAlign w:val="center"/>
          </w:tcPr>
          <w:p w:rsidR="00295435" w:rsidRPr="009A3C45" w:rsidRDefault="00295435" w:rsidP="009A3C45">
            <w:pPr>
              <w:spacing w:before="0" w:after="0" w:line="264" w:lineRule="auto"/>
              <w:ind w:left="34" w:hanging="34"/>
              <w:jc w:val="left"/>
              <w:rPr>
                <w:sz w:val="18"/>
              </w:rPr>
            </w:pPr>
            <w:r w:rsidRPr="009A3C45">
              <w:rPr>
                <w:sz w:val="18"/>
              </w:rPr>
              <w:t>T</w:t>
            </w:r>
            <w:r w:rsidRPr="009A3C45">
              <w:rPr>
                <w:sz w:val="18"/>
                <w:vertAlign w:val="subscript"/>
              </w:rPr>
              <w:t>výp</w:t>
            </w:r>
            <w:r w:rsidRPr="009A3C45">
              <w:rPr>
                <w:sz w:val="18"/>
              </w:rPr>
              <w:t xml:space="preserve"> - výpočetní doba 2 hod [min] špička</w:t>
            </w:r>
          </w:p>
        </w:tc>
        <w:tc>
          <w:tcPr>
            <w:tcW w:w="2055" w:type="dxa"/>
            <w:tcBorders>
              <w:top w:val="single" w:sz="12" w:space="0" w:color="auto"/>
              <w:left w:val="single" w:sz="12" w:space="0" w:color="auto"/>
            </w:tcBorders>
            <w:vAlign w:val="center"/>
          </w:tcPr>
          <w:p w:rsidR="00295435" w:rsidRPr="009A3C45" w:rsidRDefault="00295435" w:rsidP="009A3C45">
            <w:pPr>
              <w:pStyle w:val="Nadpis5"/>
              <w:spacing w:line="264" w:lineRule="auto"/>
              <w:ind w:right="671"/>
              <w:jc w:val="right"/>
              <w:rPr>
                <w:b w:val="0"/>
                <w:sz w:val="18"/>
              </w:rPr>
            </w:pPr>
            <w:r w:rsidRPr="009A3C45">
              <w:rPr>
                <w:b w:val="0"/>
                <w:sz w:val="18"/>
              </w:rPr>
              <w:t>120</w:t>
            </w:r>
          </w:p>
        </w:tc>
        <w:tc>
          <w:tcPr>
            <w:tcW w:w="2056" w:type="dxa"/>
            <w:tcBorders>
              <w:top w:val="single" w:sz="12" w:space="0" w:color="auto"/>
            </w:tcBorders>
            <w:vAlign w:val="center"/>
          </w:tcPr>
          <w:p w:rsidR="00295435" w:rsidRPr="009A3C45" w:rsidRDefault="00295435" w:rsidP="009A3C45">
            <w:pPr>
              <w:pStyle w:val="Nadpis5"/>
              <w:spacing w:line="264" w:lineRule="auto"/>
              <w:ind w:right="671"/>
              <w:jc w:val="right"/>
              <w:rPr>
                <w:b w:val="0"/>
                <w:sz w:val="18"/>
              </w:rPr>
            </w:pPr>
            <w:r w:rsidRPr="009A3C45">
              <w:rPr>
                <w:b w:val="0"/>
                <w:sz w:val="18"/>
              </w:rPr>
              <w:t>1</w:t>
            </w:r>
            <w:r w:rsidR="009A3C45">
              <w:rPr>
                <w:b w:val="0"/>
                <w:sz w:val="18"/>
              </w:rPr>
              <w:t xml:space="preserve"> </w:t>
            </w:r>
            <w:r w:rsidRPr="009A3C45">
              <w:rPr>
                <w:b w:val="0"/>
                <w:sz w:val="18"/>
              </w:rPr>
              <w:t>080</w:t>
            </w:r>
          </w:p>
        </w:tc>
      </w:tr>
      <w:tr w:rsidR="00295435" w:rsidTr="009A3C45">
        <w:trPr>
          <w:trHeight w:val="284"/>
        </w:trPr>
        <w:tc>
          <w:tcPr>
            <w:tcW w:w="5245" w:type="dxa"/>
            <w:tcBorders>
              <w:right w:val="single" w:sz="12" w:space="0" w:color="auto"/>
            </w:tcBorders>
            <w:shd w:val="clear" w:color="auto" w:fill="FFFFFF" w:themeFill="background1"/>
            <w:vAlign w:val="center"/>
          </w:tcPr>
          <w:p w:rsidR="00295435" w:rsidRPr="009A3C45" w:rsidRDefault="00295435" w:rsidP="009A3C45">
            <w:pPr>
              <w:spacing w:before="0" w:after="0" w:line="264" w:lineRule="auto"/>
              <w:ind w:left="34" w:hanging="34"/>
              <w:jc w:val="left"/>
              <w:rPr>
                <w:sz w:val="18"/>
              </w:rPr>
            </w:pPr>
            <w:r w:rsidRPr="009A3C45">
              <w:rPr>
                <w:sz w:val="18"/>
              </w:rPr>
              <w:t xml:space="preserve">N – počet vlaků </w:t>
            </w:r>
          </w:p>
        </w:tc>
        <w:tc>
          <w:tcPr>
            <w:tcW w:w="2055" w:type="dxa"/>
            <w:tcBorders>
              <w:left w:val="single" w:sz="12" w:space="0" w:color="auto"/>
            </w:tcBorders>
            <w:vAlign w:val="center"/>
          </w:tcPr>
          <w:p w:rsidR="00295435" w:rsidRPr="009A3C45" w:rsidRDefault="00295435" w:rsidP="009A3C45">
            <w:pPr>
              <w:pStyle w:val="Nadpis5"/>
              <w:spacing w:line="264" w:lineRule="auto"/>
              <w:ind w:right="671"/>
              <w:jc w:val="right"/>
              <w:rPr>
                <w:b w:val="0"/>
                <w:sz w:val="18"/>
              </w:rPr>
            </w:pPr>
            <w:r w:rsidRPr="009A3C45">
              <w:rPr>
                <w:b w:val="0"/>
                <w:sz w:val="18"/>
              </w:rPr>
              <w:t>10</w:t>
            </w:r>
          </w:p>
        </w:tc>
        <w:tc>
          <w:tcPr>
            <w:tcW w:w="2056" w:type="dxa"/>
            <w:vAlign w:val="center"/>
          </w:tcPr>
          <w:p w:rsidR="00295435" w:rsidRPr="009A3C45" w:rsidRDefault="00001364" w:rsidP="009A3C45">
            <w:pPr>
              <w:pStyle w:val="Nadpis5"/>
              <w:spacing w:line="264" w:lineRule="auto"/>
              <w:ind w:right="671"/>
              <w:jc w:val="right"/>
              <w:rPr>
                <w:b w:val="0"/>
                <w:sz w:val="18"/>
              </w:rPr>
            </w:pPr>
            <w:r w:rsidRPr="009A3C45">
              <w:rPr>
                <w:b w:val="0"/>
                <w:sz w:val="18"/>
              </w:rPr>
              <w:t>84</w:t>
            </w:r>
          </w:p>
        </w:tc>
      </w:tr>
      <w:tr w:rsidR="00295435" w:rsidTr="009A3C45">
        <w:trPr>
          <w:trHeight w:val="284"/>
        </w:trPr>
        <w:tc>
          <w:tcPr>
            <w:tcW w:w="5245" w:type="dxa"/>
            <w:tcBorders>
              <w:right w:val="single" w:sz="12" w:space="0" w:color="auto"/>
            </w:tcBorders>
            <w:shd w:val="clear" w:color="auto" w:fill="FFFFFF" w:themeFill="background1"/>
            <w:vAlign w:val="center"/>
          </w:tcPr>
          <w:p w:rsidR="00295435" w:rsidRPr="009A3C45" w:rsidRDefault="00295435" w:rsidP="009A3C45">
            <w:pPr>
              <w:spacing w:before="0" w:after="0" w:line="264" w:lineRule="auto"/>
              <w:ind w:left="34" w:hanging="34"/>
              <w:jc w:val="left"/>
              <w:rPr>
                <w:sz w:val="18"/>
              </w:rPr>
            </w:pPr>
            <w:r w:rsidRPr="009A3C45">
              <w:rPr>
                <w:sz w:val="18"/>
              </w:rPr>
              <w:t>T</w:t>
            </w:r>
            <w:r w:rsidRPr="009A3C45">
              <w:rPr>
                <w:sz w:val="18"/>
                <w:vertAlign w:val="subscript"/>
              </w:rPr>
              <w:t>obs</w:t>
            </w:r>
            <w:r w:rsidRPr="009A3C45">
              <w:rPr>
                <w:sz w:val="18"/>
              </w:rPr>
              <w:t xml:space="preserve"> - celková doba obsazení [min]</w:t>
            </w:r>
          </w:p>
        </w:tc>
        <w:tc>
          <w:tcPr>
            <w:tcW w:w="2055" w:type="dxa"/>
            <w:tcBorders>
              <w:left w:val="single" w:sz="12" w:space="0" w:color="auto"/>
            </w:tcBorders>
            <w:vAlign w:val="center"/>
          </w:tcPr>
          <w:p w:rsidR="00295435" w:rsidRPr="009A3C45" w:rsidRDefault="00295435" w:rsidP="009A3C45">
            <w:pPr>
              <w:pStyle w:val="Nadpis5"/>
              <w:spacing w:line="264" w:lineRule="auto"/>
              <w:ind w:right="671"/>
              <w:jc w:val="right"/>
              <w:rPr>
                <w:b w:val="0"/>
                <w:sz w:val="18"/>
              </w:rPr>
            </w:pPr>
            <w:r w:rsidRPr="009A3C45">
              <w:rPr>
                <w:b w:val="0"/>
                <w:sz w:val="18"/>
              </w:rPr>
              <w:t>64,5</w:t>
            </w:r>
          </w:p>
        </w:tc>
        <w:tc>
          <w:tcPr>
            <w:tcW w:w="2056" w:type="dxa"/>
            <w:vAlign w:val="center"/>
          </w:tcPr>
          <w:p w:rsidR="00295435" w:rsidRPr="009A3C45" w:rsidRDefault="00001364" w:rsidP="009A3C45">
            <w:pPr>
              <w:pStyle w:val="Nadpis5"/>
              <w:spacing w:line="264" w:lineRule="auto"/>
              <w:ind w:right="671"/>
              <w:jc w:val="right"/>
              <w:rPr>
                <w:b w:val="0"/>
                <w:sz w:val="18"/>
              </w:rPr>
            </w:pPr>
            <w:r w:rsidRPr="009A3C45">
              <w:rPr>
                <w:b w:val="0"/>
                <w:sz w:val="18"/>
              </w:rPr>
              <w:t>551,8</w:t>
            </w:r>
          </w:p>
        </w:tc>
      </w:tr>
      <w:tr w:rsidR="00295435" w:rsidTr="009A3C45">
        <w:trPr>
          <w:trHeight w:val="284"/>
        </w:trPr>
        <w:tc>
          <w:tcPr>
            <w:tcW w:w="5245" w:type="dxa"/>
            <w:tcBorders>
              <w:right w:val="single" w:sz="12" w:space="0" w:color="auto"/>
            </w:tcBorders>
            <w:shd w:val="clear" w:color="auto" w:fill="FFFFFF" w:themeFill="background1"/>
            <w:vAlign w:val="center"/>
          </w:tcPr>
          <w:p w:rsidR="00295435" w:rsidRPr="009A3C45" w:rsidRDefault="00295435" w:rsidP="009A3C45">
            <w:pPr>
              <w:spacing w:before="0" w:after="0" w:line="264" w:lineRule="auto"/>
              <w:ind w:left="34" w:hanging="34"/>
              <w:jc w:val="left"/>
              <w:rPr>
                <w:sz w:val="18"/>
              </w:rPr>
            </w:pPr>
            <w:r w:rsidRPr="009A3C45">
              <w:rPr>
                <w:sz w:val="18"/>
              </w:rPr>
              <w:t>t</w:t>
            </w:r>
            <w:r w:rsidRPr="009A3C45">
              <w:rPr>
                <w:sz w:val="18"/>
                <w:vertAlign w:val="subscript"/>
              </w:rPr>
              <w:t>obs</w:t>
            </w:r>
            <w:r w:rsidRPr="009A3C45">
              <w:rPr>
                <w:sz w:val="18"/>
              </w:rPr>
              <w:t xml:space="preserve"> – jednotková doba obsazení [min]</w:t>
            </w:r>
          </w:p>
        </w:tc>
        <w:tc>
          <w:tcPr>
            <w:tcW w:w="2055" w:type="dxa"/>
            <w:tcBorders>
              <w:left w:val="single" w:sz="12" w:space="0" w:color="auto"/>
            </w:tcBorders>
            <w:vAlign w:val="center"/>
          </w:tcPr>
          <w:p w:rsidR="00295435" w:rsidRPr="009A3C45" w:rsidRDefault="00295435" w:rsidP="009A3C45">
            <w:pPr>
              <w:pStyle w:val="Nadpis5"/>
              <w:spacing w:line="264" w:lineRule="auto"/>
              <w:ind w:right="671"/>
              <w:jc w:val="right"/>
              <w:rPr>
                <w:b w:val="0"/>
                <w:sz w:val="18"/>
              </w:rPr>
            </w:pPr>
            <w:r w:rsidRPr="009A3C45">
              <w:rPr>
                <w:b w:val="0"/>
                <w:sz w:val="18"/>
              </w:rPr>
              <w:t>6,45</w:t>
            </w:r>
          </w:p>
        </w:tc>
        <w:tc>
          <w:tcPr>
            <w:tcW w:w="2056" w:type="dxa"/>
            <w:vAlign w:val="center"/>
          </w:tcPr>
          <w:p w:rsidR="00295435" w:rsidRPr="009A3C45" w:rsidRDefault="00001364" w:rsidP="009A3C45">
            <w:pPr>
              <w:pStyle w:val="Nadpis5"/>
              <w:spacing w:line="264" w:lineRule="auto"/>
              <w:ind w:right="671"/>
              <w:jc w:val="right"/>
              <w:rPr>
                <w:b w:val="0"/>
                <w:sz w:val="18"/>
              </w:rPr>
            </w:pPr>
            <w:r w:rsidRPr="009A3C45">
              <w:rPr>
                <w:b w:val="0"/>
                <w:sz w:val="18"/>
              </w:rPr>
              <w:t>6,57</w:t>
            </w:r>
          </w:p>
        </w:tc>
      </w:tr>
      <w:tr w:rsidR="00295435" w:rsidTr="009A3C45">
        <w:trPr>
          <w:trHeight w:val="284"/>
        </w:trPr>
        <w:tc>
          <w:tcPr>
            <w:tcW w:w="5245" w:type="dxa"/>
            <w:tcBorders>
              <w:right w:val="single" w:sz="12" w:space="0" w:color="auto"/>
            </w:tcBorders>
            <w:shd w:val="clear" w:color="auto" w:fill="FFFFFF" w:themeFill="background1"/>
            <w:vAlign w:val="center"/>
          </w:tcPr>
          <w:p w:rsidR="00295435" w:rsidRPr="009A3C45" w:rsidRDefault="00295435" w:rsidP="009A3C45">
            <w:pPr>
              <w:spacing w:before="0" w:after="0" w:line="264" w:lineRule="auto"/>
              <w:ind w:left="34" w:hanging="34"/>
              <w:jc w:val="left"/>
              <w:rPr>
                <w:sz w:val="18"/>
              </w:rPr>
            </w:pPr>
            <w:r w:rsidRPr="009A3C45">
              <w:rPr>
                <w:sz w:val="18"/>
              </w:rPr>
              <w:t>t</w:t>
            </w:r>
            <w:r w:rsidRPr="009A3C45">
              <w:rPr>
                <w:sz w:val="18"/>
                <w:vertAlign w:val="subscript"/>
              </w:rPr>
              <w:t>mez</w:t>
            </w:r>
            <w:r w:rsidRPr="009A3C45">
              <w:rPr>
                <w:sz w:val="18"/>
              </w:rPr>
              <w:t xml:space="preserve"> – časová záloha – D24 sl. B [min]</w:t>
            </w:r>
          </w:p>
        </w:tc>
        <w:tc>
          <w:tcPr>
            <w:tcW w:w="2055" w:type="dxa"/>
            <w:tcBorders>
              <w:left w:val="single" w:sz="12" w:space="0" w:color="auto"/>
            </w:tcBorders>
            <w:vAlign w:val="center"/>
          </w:tcPr>
          <w:p w:rsidR="00295435" w:rsidRPr="009A3C45" w:rsidRDefault="00295435" w:rsidP="009A3C45">
            <w:pPr>
              <w:pStyle w:val="Nadpis5"/>
              <w:spacing w:line="264" w:lineRule="auto"/>
              <w:ind w:right="671"/>
              <w:jc w:val="right"/>
              <w:rPr>
                <w:b w:val="0"/>
                <w:sz w:val="18"/>
              </w:rPr>
            </w:pPr>
            <w:r w:rsidRPr="009A3C45">
              <w:rPr>
                <w:b w:val="0"/>
                <w:sz w:val="18"/>
              </w:rPr>
              <w:t>4,06</w:t>
            </w:r>
          </w:p>
        </w:tc>
        <w:tc>
          <w:tcPr>
            <w:tcW w:w="2056" w:type="dxa"/>
            <w:vAlign w:val="center"/>
          </w:tcPr>
          <w:p w:rsidR="00295435" w:rsidRPr="009A3C45" w:rsidRDefault="00001364" w:rsidP="009A3C45">
            <w:pPr>
              <w:pStyle w:val="Nadpis5"/>
              <w:spacing w:line="264" w:lineRule="auto"/>
              <w:ind w:right="671"/>
              <w:jc w:val="right"/>
              <w:rPr>
                <w:b w:val="0"/>
                <w:sz w:val="18"/>
              </w:rPr>
            </w:pPr>
            <w:r w:rsidRPr="009A3C45">
              <w:rPr>
                <w:b w:val="0"/>
                <w:sz w:val="18"/>
              </w:rPr>
              <w:t>4,13</w:t>
            </w:r>
          </w:p>
        </w:tc>
      </w:tr>
      <w:tr w:rsidR="00295435" w:rsidTr="009A3C45">
        <w:trPr>
          <w:trHeight w:val="284"/>
        </w:trPr>
        <w:tc>
          <w:tcPr>
            <w:tcW w:w="5245" w:type="dxa"/>
            <w:tcBorders>
              <w:right w:val="single" w:sz="12" w:space="0" w:color="auto"/>
            </w:tcBorders>
            <w:shd w:val="clear" w:color="auto" w:fill="FFFFFF" w:themeFill="background1"/>
            <w:vAlign w:val="center"/>
          </w:tcPr>
          <w:p w:rsidR="00295435" w:rsidRPr="009A3C45" w:rsidRDefault="00295435" w:rsidP="009A3C45">
            <w:pPr>
              <w:spacing w:before="0" w:after="0" w:line="264" w:lineRule="auto"/>
              <w:ind w:left="34" w:hanging="34"/>
              <w:jc w:val="left"/>
              <w:rPr>
                <w:sz w:val="18"/>
              </w:rPr>
            </w:pPr>
            <w:r w:rsidRPr="009A3C45">
              <w:rPr>
                <w:sz w:val="18"/>
              </w:rPr>
              <w:t xml:space="preserve">n – prakt. propustnost sl. B </w:t>
            </w:r>
            <w:r w:rsidRPr="009A3C45">
              <w:rPr>
                <w:sz w:val="18"/>
                <w:lang w:val="pl-PL"/>
              </w:rPr>
              <w:t>[vlaky]</w:t>
            </w:r>
          </w:p>
        </w:tc>
        <w:tc>
          <w:tcPr>
            <w:tcW w:w="2055" w:type="dxa"/>
            <w:tcBorders>
              <w:left w:val="single" w:sz="12" w:space="0" w:color="auto"/>
            </w:tcBorders>
            <w:vAlign w:val="center"/>
          </w:tcPr>
          <w:p w:rsidR="00295435" w:rsidRPr="009A3C45" w:rsidRDefault="00295435" w:rsidP="009A3C45">
            <w:pPr>
              <w:pStyle w:val="Nadpis5"/>
              <w:spacing w:line="264" w:lineRule="auto"/>
              <w:ind w:right="671"/>
              <w:jc w:val="right"/>
              <w:rPr>
                <w:sz w:val="18"/>
              </w:rPr>
            </w:pPr>
            <w:r w:rsidRPr="009A3C45">
              <w:rPr>
                <w:sz w:val="18"/>
              </w:rPr>
              <w:t>11</w:t>
            </w:r>
          </w:p>
        </w:tc>
        <w:tc>
          <w:tcPr>
            <w:tcW w:w="2056" w:type="dxa"/>
            <w:vAlign w:val="center"/>
          </w:tcPr>
          <w:p w:rsidR="00295435" w:rsidRPr="009A3C45" w:rsidRDefault="00001364" w:rsidP="009A3C45">
            <w:pPr>
              <w:pStyle w:val="Nadpis5"/>
              <w:spacing w:line="264" w:lineRule="auto"/>
              <w:ind w:right="671"/>
              <w:jc w:val="right"/>
              <w:rPr>
                <w:sz w:val="18"/>
              </w:rPr>
            </w:pPr>
            <w:r w:rsidRPr="009A3C45">
              <w:rPr>
                <w:sz w:val="18"/>
              </w:rPr>
              <w:t>100</w:t>
            </w:r>
          </w:p>
        </w:tc>
      </w:tr>
      <w:tr w:rsidR="00295435" w:rsidTr="009A3C45">
        <w:trPr>
          <w:trHeight w:val="284"/>
        </w:trPr>
        <w:tc>
          <w:tcPr>
            <w:tcW w:w="5245" w:type="dxa"/>
            <w:tcBorders>
              <w:right w:val="single" w:sz="12" w:space="0" w:color="auto"/>
            </w:tcBorders>
            <w:shd w:val="clear" w:color="auto" w:fill="FFFFFF" w:themeFill="background1"/>
            <w:vAlign w:val="center"/>
          </w:tcPr>
          <w:p w:rsidR="00295435" w:rsidRPr="009A3C45" w:rsidRDefault="00295435" w:rsidP="009A3C45">
            <w:pPr>
              <w:spacing w:before="0" w:after="0" w:line="264" w:lineRule="auto"/>
              <w:ind w:left="34" w:hanging="34"/>
              <w:jc w:val="left"/>
              <w:rPr>
                <w:sz w:val="18"/>
              </w:rPr>
            </w:pPr>
            <w:r w:rsidRPr="009A3C45">
              <w:rPr>
                <w:sz w:val="18"/>
              </w:rPr>
              <w:t>k</w:t>
            </w:r>
            <w:r w:rsidRPr="009A3C45">
              <w:rPr>
                <w:sz w:val="18"/>
                <w:vertAlign w:val="subscript"/>
              </w:rPr>
              <w:t>prakt</w:t>
            </w:r>
            <w:r w:rsidRPr="009A3C45">
              <w:rPr>
                <w:sz w:val="18"/>
              </w:rPr>
              <w:t xml:space="preserve"> = využití prakt. propust. (sl.B) </w:t>
            </w:r>
          </w:p>
        </w:tc>
        <w:tc>
          <w:tcPr>
            <w:tcW w:w="2055" w:type="dxa"/>
            <w:tcBorders>
              <w:left w:val="single" w:sz="12" w:space="0" w:color="auto"/>
            </w:tcBorders>
            <w:vAlign w:val="center"/>
          </w:tcPr>
          <w:p w:rsidR="00295435" w:rsidRPr="009A3C45" w:rsidRDefault="009A3C45" w:rsidP="009A3C45">
            <w:pPr>
              <w:pStyle w:val="Nadpis5"/>
              <w:spacing w:line="264" w:lineRule="auto"/>
              <w:ind w:right="529"/>
              <w:jc w:val="right"/>
              <w:rPr>
                <w:sz w:val="18"/>
              </w:rPr>
            </w:pPr>
            <w:r>
              <w:rPr>
                <w:sz w:val="18"/>
              </w:rPr>
              <w:t>90,1</w:t>
            </w:r>
            <w:r w:rsidR="00295435" w:rsidRPr="009A3C45">
              <w:rPr>
                <w:sz w:val="18"/>
              </w:rPr>
              <w:t>%</w:t>
            </w:r>
          </w:p>
        </w:tc>
        <w:tc>
          <w:tcPr>
            <w:tcW w:w="2056" w:type="dxa"/>
            <w:vAlign w:val="center"/>
          </w:tcPr>
          <w:p w:rsidR="00295435" w:rsidRPr="009A3C45" w:rsidRDefault="00001364" w:rsidP="009A3C45">
            <w:pPr>
              <w:pStyle w:val="Nadpis5"/>
              <w:spacing w:line="264" w:lineRule="auto"/>
              <w:ind w:right="671"/>
              <w:jc w:val="right"/>
              <w:rPr>
                <w:sz w:val="18"/>
              </w:rPr>
            </w:pPr>
            <w:r w:rsidRPr="009A3C45">
              <w:rPr>
                <w:sz w:val="18"/>
              </w:rPr>
              <w:t>8</w:t>
            </w:r>
            <w:r w:rsidR="00295435" w:rsidRPr="009A3C45">
              <w:rPr>
                <w:sz w:val="18"/>
              </w:rPr>
              <w:t>4,</w:t>
            </w:r>
            <w:r w:rsidRPr="009A3C45">
              <w:rPr>
                <w:sz w:val="18"/>
              </w:rPr>
              <w:t>0</w:t>
            </w:r>
            <w:r w:rsidR="00295435" w:rsidRPr="009A3C45">
              <w:rPr>
                <w:sz w:val="18"/>
              </w:rPr>
              <w:t>%</w:t>
            </w:r>
          </w:p>
        </w:tc>
      </w:tr>
      <w:tr w:rsidR="00295435" w:rsidTr="009A3C45">
        <w:trPr>
          <w:trHeight w:val="284"/>
        </w:trPr>
        <w:tc>
          <w:tcPr>
            <w:tcW w:w="5245" w:type="dxa"/>
            <w:tcBorders>
              <w:right w:val="single" w:sz="12" w:space="0" w:color="auto"/>
            </w:tcBorders>
            <w:shd w:val="clear" w:color="auto" w:fill="FFFFFF" w:themeFill="background1"/>
            <w:vAlign w:val="center"/>
          </w:tcPr>
          <w:p w:rsidR="00295435" w:rsidRPr="009A3C45" w:rsidRDefault="00295435" w:rsidP="009A3C45">
            <w:pPr>
              <w:spacing w:before="0" w:after="0" w:line="264" w:lineRule="auto"/>
              <w:ind w:left="34" w:hanging="34"/>
              <w:jc w:val="left"/>
              <w:rPr>
                <w:sz w:val="18"/>
              </w:rPr>
            </w:pPr>
            <w:r w:rsidRPr="009A3C45">
              <w:rPr>
                <w:sz w:val="18"/>
              </w:rPr>
              <w:t>n</w:t>
            </w:r>
            <w:r w:rsidRPr="009A3C45">
              <w:rPr>
                <w:sz w:val="18"/>
                <w:vertAlign w:val="subscript"/>
              </w:rPr>
              <w:t>0,75</w:t>
            </w:r>
            <w:r w:rsidRPr="009A3C45">
              <w:rPr>
                <w:sz w:val="18"/>
              </w:rPr>
              <w:t xml:space="preserve"> = propustnost </w:t>
            </w:r>
            <w:r w:rsidR="00001364" w:rsidRPr="009A3C45">
              <w:rPr>
                <w:sz w:val="18"/>
              </w:rPr>
              <w:t>odpovídající So = 0,75</w:t>
            </w:r>
          </w:p>
        </w:tc>
        <w:tc>
          <w:tcPr>
            <w:tcW w:w="2055" w:type="dxa"/>
            <w:tcBorders>
              <w:left w:val="single" w:sz="12" w:space="0" w:color="auto"/>
            </w:tcBorders>
            <w:vAlign w:val="center"/>
          </w:tcPr>
          <w:p w:rsidR="00295435" w:rsidRPr="009A3C45" w:rsidRDefault="00001364" w:rsidP="009A3C45">
            <w:pPr>
              <w:pStyle w:val="Nadpis5"/>
              <w:spacing w:line="264" w:lineRule="auto"/>
              <w:ind w:right="671"/>
              <w:jc w:val="right"/>
              <w:rPr>
                <w:sz w:val="18"/>
              </w:rPr>
            </w:pPr>
            <w:r w:rsidRPr="009A3C45">
              <w:rPr>
                <w:sz w:val="18"/>
              </w:rPr>
              <w:t>13</w:t>
            </w:r>
          </w:p>
        </w:tc>
        <w:tc>
          <w:tcPr>
            <w:tcW w:w="2056" w:type="dxa"/>
            <w:vAlign w:val="center"/>
          </w:tcPr>
          <w:p w:rsidR="00295435" w:rsidRPr="009A3C45" w:rsidRDefault="00001364" w:rsidP="009A3C45">
            <w:pPr>
              <w:pStyle w:val="Nadpis5"/>
              <w:spacing w:line="264" w:lineRule="auto"/>
              <w:ind w:right="671"/>
              <w:jc w:val="right"/>
              <w:rPr>
                <w:b w:val="0"/>
                <w:sz w:val="18"/>
              </w:rPr>
            </w:pPr>
            <w:r w:rsidRPr="009A3C45">
              <w:rPr>
                <w:b w:val="0"/>
                <w:sz w:val="18"/>
              </w:rPr>
              <w:t>xx</w:t>
            </w:r>
          </w:p>
        </w:tc>
      </w:tr>
      <w:tr w:rsidR="00001364" w:rsidTr="009A3C45">
        <w:trPr>
          <w:trHeight w:val="284"/>
        </w:trPr>
        <w:tc>
          <w:tcPr>
            <w:tcW w:w="5245" w:type="dxa"/>
            <w:tcBorders>
              <w:right w:val="single" w:sz="12" w:space="0" w:color="auto"/>
            </w:tcBorders>
            <w:shd w:val="clear" w:color="auto" w:fill="FFFFFF" w:themeFill="background1"/>
            <w:vAlign w:val="center"/>
          </w:tcPr>
          <w:p w:rsidR="00001364" w:rsidRPr="009A3C45" w:rsidRDefault="00001364" w:rsidP="009A3C45">
            <w:pPr>
              <w:spacing w:before="0" w:after="0" w:line="264" w:lineRule="auto"/>
              <w:ind w:left="34" w:hanging="34"/>
              <w:jc w:val="left"/>
              <w:rPr>
                <w:sz w:val="18"/>
              </w:rPr>
            </w:pPr>
            <w:r w:rsidRPr="009A3C45">
              <w:rPr>
                <w:sz w:val="18"/>
              </w:rPr>
              <w:t>S</w:t>
            </w:r>
            <w:r w:rsidRPr="009A3C45">
              <w:rPr>
                <w:sz w:val="18"/>
                <w:vertAlign w:val="subscript"/>
              </w:rPr>
              <w:t>o</w:t>
            </w:r>
            <w:r w:rsidRPr="009A3C45">
              <w:rPr>
                <w:sz w:val="18"/>
              </w:rPr>
              <w:t xml:space="preserve"> – stupeň obsazení</w:t>
            </w:r>
          </w:p>
        </w:tc>
        <w:tc>
          <w:tcPr>
            <w:tcW w:w="2055" w:type="dxa"/>
            <w:tcBorders>
              <w:left w:val="single" w:sz="12" w:space="0" w:color="auto"/>
            </w:tcBorders>
            <w:vAlign w:val="center"/>
          </w:tcPr>
          <w:p w:rsidR="00001364" w:rsidRPr="009A3C45" w:rsidRDefault="00001364" w:rsidP="009A3C45">
            <w:pPr>
              <w:pStyle w:val="Nadpis5"/>
              <w:spacing w:line="264" w:lineRule="auto"/>
              <w:ind w:right="671"/>
              <w:jc w:val="right"/>
              <w:rPr>
                <w:sz w:val="18"/>
              </w:rPr>
            </w:pPr>
            <w:r w:rsidRPr="009A3C45">
              <w:rPr>
                <w:sz w:val="18"/>
              </w:rPr>
              <w:t>0,538</w:t>
            </w:r>
          </w:p>
        </w:tc>
        <w:tc>
          <w:tcPr>
            <w:tcW w:w="2056" w:type="dxa"/>
            <w:vAlign w:val="center"/>
          </w:tcPr>
          <w:p w:rsidR="00001364" w:rsidRPr="009A3C45" w:rsidRDefault="00001364" w:rsidP="009A3C45">
            <w:pPr>
              <w:pStyle w:val="Nadpis5"/>
              <w:spacing w:line="264" w:lineRule="auto"/>
              <w:ind w:right="671"/>
              <w:jc w:val="right"/>
              <w:rPr>
                <w:sz w:val="18"/>
              </w:rPr>
            </w:pPr>
            <w:r w:rsidRPr="009A3C45">
              <w:rPr>
                <w:sz w:val="18"/>
              </w:rPr>
              <w:t>0,511</w:t>
            </w:r>
          </w:p>
        </w:tc>
      </w:tr>
    </w:tbl>
    <w:p w:rsidR="00001364" w:rsidRPr="000E10E4" w:rsidRDefault="00001364" w:rsidP="000E10E4">
      <w:r>
        <w:t>Minimální varianta nevytváří podmínky pro navýšení počtu vlaků, proto byl uvažován současný rozsah dopravy v pracovní dny. Pro období 04-22 hod byl výpočet proveden pomocí počtu pravděpodobnosti, kromě osobní dopravy bylo uvažováno s pěti nákladními vlaky. Pro období špičky výpočet vychází z rozboru typické špičkové dvouhodiny (14-16 hod).</w:t>
      </w:r>
      <w:r w:rsidR="00400833">
        <w:t xml:space="preserve"> Ukazatel nasvědčují vysokému využití tratě, nicméně jsou ve všech ohledech přijatelné. V omezeném rozsahu jsou k dispozici i časové rezervy.</w:t>
      </w:r>
    </w:p>
    <w:p w:rsidR="005E0389" w:rsidRPr="001168D6" w:rsidRDefault="00A657DB" w:rsidP="00887E61">
      <w:pPr>
        <w:pStyle w:val="Nadpis3"/>
        <w:ind w:hanging="8234"/>
      </w:pPr>
      <w:r w:rsidRPr="001168D6">
        <w:t xml:space="preserve">Následná mezidobí </w:t>
      </w:r>
      <w:r w:rsidR="00400833" w:rsidRPr="001168D6">
        <w:t>–</w:t>
      </w:r>
      <w:r w:rsidRPr="001168D6">
        <w:t xml:space="preserve"> </w:t>
      </w:r>
      <w:r w:rsidR="00A6718E" w:rsidRPr="001168D6">
        <w:t>variant</w:t>
      </w:r>
      <w:r w:rsidRPr="001168D6">
        <w:t>y</w:t>
      </w:r>
      <w:r w:rsidR="00400833" w:rsidRPr="001168D6">
        <w:t xml:space="preserve"> Minimální</w:t>
      </w:r>
      <w:r w:rsidR="00F0419C" w:rsidRPr="001168D6">
        <w:t xml:space="preserve"> a </w:t>
      </w:r>
      <w:r w:rsidR="001075CA">
        <w:t>Etapy</w:t>
      </w:r>
    </w:p>
    <w:p w:rsidR="00A6718E" w:rsidRDefault="00A6718E" w:rsidP="00A6718E">
      <w:r>
        <w:t xml:space="preserve">Zřízení návěstních bodů AH mění i poměry na úsecích Pardubice-Rosice nad Labem – Stéblová a Opatovice nad Lab. – Hradec Králové hlavní nádraží. Následné vlaky tak mohou vyjet za předchozím vlakem téhož směru, jakmile tento celý mine oddílové návěstidlo AH. Následná mezidobí odvozená od projektovaných poloh návěstidel </w:t>
      </w:r>
      <w:r w:rsidR="00015077">
        <w:t xml:space="preserve">platná pro </w:t>
      </w:r>
      <w:r w:rsidR="001075CA">
        <w:t>Etapu</w:t>
      </w:r>
      <w:r w:rsidR="00015077">
        <w:t xml:space="preserve"> </w:t>
      </w:r>
      <w:r>
        <w:t>jsou následující: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1555"/>
        <w:gridCol w:w="1186"/>
        <w:gridCol w:w="1187"/>
        <w:gridCol w:w="1187"/>
        <w:gridCol w:w="1187"/>
        <w:gridCol w:w="1187"/>
        <w:gridCol w:w="1187"/>
      </w:tblGrid>
      <w:tr w:rsidR="00A6718E" w:rsidTr="00940AE8">
        <w:tc>
          <w:tcPr>
            <w:tcW w:w="9385" w:type="dxa"/>
            <w:gridSpan w:val="8"/>
          </w:tcPr>
          <w:p w:rsidR="00A6718E" w:rsidRPr="00D66A2B" w:rsidRDefault="00A6718E" w:rsidP="002E5756">
            <w:pPr>
              <w:pStyle w:val="Titulek"/>
            </w:pPr>
            <w:bookmarkStart w:id="164" w:name="_Toc390958769"/>
            <w:bookmarkStart w:id="165" w:name="_Toc391034573"/>
            <w:r w:rsidRPr="00D66A2B">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18</w:t>
            </w:r>
            <w:r w:rsidR="000E79AE">
              <w:fldChar w:fldCharType="end"/>
            </w:r>
            <w:r w:rsidRPr="00D66A2B">
              <w:t>: Následná mezidobí pro mezistaniční úsek Pardubice-Rosice nad Lab. - Stéblová</w:t>
            </w:r>
            <w:bookmarkEnd w:id="164"/>
            <w:bookmarkEnd w:id="165"/>
          </w:p>
        </w:tc>
      </w:tr>
      <w:tr w:rsidR="00A6718E" w:rsidTr="00940AE8">
        <w:tc>
          <w:tcPr>
            <w:tcW w:w="709" w:type="dxa"/>
            <w:tcBorders>
              <w:left w:val="single" w:sz="2" w:space="0" w:color="auto"/>
              <w:bottom w:val="nil"/>
              <w:right w:val="nil"/>
            </w:tcBorders>
          </w:tcPr>
          <w:p w:rsidR="00A6718E" w:rsidRPr="00940AE8" w:rsidRDefault="00A6718E" w:rsidP="00D66A2B">
            <w:pPr>
              <w:pStyle w:val="Bezmezer"/>
              <w:rPr>
                <w:sz w:val="18"/>
              </w:rPr>
            </w:pPr>
          </w:p>
        </w:tc>
        <w:tc>
          <w:tcPr>
            <w:tcW w:w="1555" w:type="dxa"/>
            <w:tcBorders>
              <w:left w:val="nil"/>
              <w:bottom w:val="nil"/>
              <w:right w:val="single" w:sz="12" w:space="0" w:color="auto"/>
            </w:tcBorders>
          </w:tcPr>
          <w:p w:rsidR="00A6718E" w:rsidRPr="00940AE8" w:rsidRDefault="00A6718E" w:rsidP="00D66A2B">
            <w:pPr>
              <w:pStyle w:val="Bezmezer"/>
              <w:rPr>
                <w:sz w:val="18"/>
              </w:rPr>
            </w:pPr>
          </w:p>
        </w:tc>
        <w:tc>
          <w:tcPr>
            <w:tcW w:w="3560" w:type="dxa"/>
            <w:gridSpan w:val="3"/>
            <w:tcBorders>
              <w:left w:val="single" w:sz="12" w:space="0" w:color="auto"/>
            </w:tcBorders>
            <w:shd w:val="pct15" w:color="auto" w:fill="auto"/>
          </w:tcPr>
          <w:p w:rsidR="00A6718E" w:rsidRPr="00940AE8" w:rsidRDefault="00A6718E" w:rsidP="00D66A2B">
            <w:pPr>
              <w:pStyle w:val="Bezmezer"/>
              <w:jc w:val="center"/>
              <w:rPr>
                <w:sz w:val="18"/>
              </w:rPr>
            </w:pPr>
            <w:r w:rsidRPr="00940AE8">
              <w:rPr>
                <w:sz w:val="18"/>
              </w:rPr>
              <w:t>1. vlak</w:t>
            </w:r>
          </w:p>
          <w:p w:rsidR="00A6718E" w:rsidRPr="00940AE8" w:rsidRDefault="00A6718E" w:rsidP="00D66A2B">
            <w:pPr>
              <w:pStyle w:val="Bezmezer"/>
              <w:jc w:val="center"/>
              <w:rPr>
                <w:sz w:val="18"/>
              </w:rPr>
            </w:pPr>
            <w:r w:rsidRPr="00940AE8">
              <w:rPr>
                <w:sz w:val="18"/>
              </w:rPr>
              <w:t>směr P-Rosice n/L. - Stéblová</w:t>
            </w:r>
          </w:p>
        </w:tc>
        <w:tc>
          <w:tcPr>
            <w:tcW w:w="3561" w:type="dxa"/>
            <w:gridSpan w:val="3"/>
            <w:shd w:val="pct15" w:color="auto" w:fill="auto"/>
          </w:tcPr>
          <w:p w:rsidR="00A6718E" w:rsidRPr="00940AE8" w:rsidRDefault="00A6718E" w:rsidP="00D66A2B">
            <w:pPr>
              <w:pStyle w:val="Bezmezer"/>
              <w:jc w:val="center"/>
              <w:rPr>
                <w:sz w:val="18"/>
              </w:rPr>
            </w:pPr>
            <w:r w:rsidRPr="00940AE8">
              <w:rPr>
                <w:sz w:val="18"/>
              </w:rPr>
              <w:t>1. vlak</w:t>
            </w:r>
          </w:p>
          <w:p w:rsidR="00A6718E" w:rsidRPr="00940AE8" w:rsidRDefault="00A6718E" w:rsidP="00D66A2B">
            <w:pPr>
              <w:pStyle w:val="Bezmezer"/>
              <w:rPr>
                <w:sz w:val="18"/>
              </w:rPr>
            </w:pPr>
            <w:r w:rsidRPr="00940AE8">
              <w:rPr>
                <w:sz w:val="18"/>
              </w:rPr>
              <w:t>směr Stéblová - P-Rosice n/L.</w:t>
            </w:r>
          </w:p>
        </w:tc>
      </w:tr>
      <w:tr w:rsidR="00A6718E" w:rsidTr="00940AE8">
        <w:tc>
          <w:tcPr>
            <w:tcW w:w="709" w:type="dxa"/>
            <w:tcBorders>
              <w:top w:val="nil"/>
              <w:left w:val="single" w:sz="2" w:space="0" w:color="auto"/>
              <w:bottom w:val="single" w:sz="12" w:space="0" w:color="auto"/>
              <w:right w:val="nil"/>
            </w:tcBorders>
          </w:tcPr>
          <w:p w:rsidR="00A6718E" w:rsidRPr="00940AE8" w:rsidRDefault="00A6718E" w:rsidP="00D66A2B">
            <w:pPr>
              <w:pStyle w:val="Bezmezer"/>
              <w:rPr>
                <w:sz w:val="18"/>
              </w:rPr>
            </w:pPr>
          </w:p>
        </w:tc>
        <w:tc>
          <w:tcPr>
            <w:tcW w:w="1555" w:type="dxa"/>
            <w:tcBorders>
              <w:top w:val="nil"/>
              <w:left w:val="nil"/>
              <w:bottom w:val="single" w:sz="12" w:space="0" w:color="auto"/>
              <w:right w:val="single" w:sz="12" w:space="0" w:color="auto"/>
            </w:tcBorders>
          </w:tcPr>
          <w:p w:rsidR="00A6718E" w:rsidRPr="00940AE8" w:rsidRDefault="00A6718E" w:rsidP="00D66A2B">
            <w:pPr>
              <w:pStyle w:val="Bezmezer"/>
              <w:rPr>
                <w:sz w:val="18"/>
              </w:rPr>
            </w:pPr>
          </w:p>
        </w:tc>
        <w:tc>
          <w:tcPr>
            <w:tcW w:w="1186" w:type="dxa"/>
            <w:tcBorders>
              <w:left w:val="single" w:sz="12" w:space="0" w:color="auto"/>
              <w:bottom w:val="single" w:sz="12" w:space="0" w:color="auto"/>
            </w:tcBorders>
            <w:shd w:val="pct15" w:color="auto" w:fill="auto"/>
          </w:tcPr>
          <w:p w:rsidR="00A6718E" w:rsidRPr="00940AE8" w:rsidRDefault="00A6718E" w:rsidP="00D66A2B">
            <w:pPr>
              <w:pStyle w:val="Bezmezer"/>
              <w:rPr>
                <w:sz w:val="18"/>
              </w:rPr>
            </w:pPr>
            <w:r w:rsidRPr="00940AE8">
              <w:rPr>
                <w:sz w:val="18"/>
              </w:rPr>
              <w:t>R, Sp</w:t>
            </w:r>
          </w:p>
        </w:tc>
        <w:tc>
          <w:tcPr>
            <w:tcW w:w="1187" w:type="dxa"/>
            <w:tcBorders>
              <w:bottom w:val="single" w:sz="12" w:space="0" w:color="auto"/>
            </w:tcBorders>
            <w:shd w:val="pct15" w:color="auto" w:fill="auto"/>
          </w:tcPr>
          <w:p w:rsidR="00A6718E" w:rsidRPr="00940AE8" w:rsidRDefault="00A6718E" w:rsidP="00D66A2B">
            <w:pPr>
              <w:pStyle w:val="Bezmezer"/>
              <w:rPr>
                <w:sz w:val="18"/>
              </w:rPr>
            </w:pPr>
            <w:r w:rsidRPr="00940AE8">
              <w:rPr>
                <w:sz w:val="18"/>
              </w:rPr>
              <w:t>Os</w:t>
            </w:r>
          </w:p>
        </w:tc>
        <w:tc>
          <w:tcPr>
            <w:tcW w:w="1187" w:type="dxa"/>
            <w:tcBorders>
              <w:bottom w:val="single" w:sz="12" w:space="0" w:color="auto"/>
            </w:tcBorders>
            <w:shd w:val="pct15" w:color="auto" w:fill="auto"/>
          </w:tcPr>
          <w:p w:rsidR="00A6718E" w:rsidRPr="00940AE8" w:rsidRDefault="00A6718E" w:rsidP="00D66A2B">
            <w:pPr>
              <w:pStyle w:val="Bezmezer"/>
              <w:rPr>
                <w:sz w:val="18"/>
              </w:rPr>
            </w:pPr>
            <w:r w:rsidRPr="00940AE8">
              <w:rPr>
                <w:sz w:val="18"/>
              </w:rPr>
              <w:t>Nzz</w:t>
            </w:r>
          </w:p>
        </w:tc>
        <w:tc>
          <w:tcPr>
            <w:tcW w:w="1187" w:type="dxa"/>
            <w:tcBorders>
              <w:bottom w:val="single" w:sz="12" w:space="0" w:color="auto"/>
            </w:tcBorders>
            <w:shd w:val="pct15" w:color="auto" w:fill="auto"/>
          </w:tcPr>
          <w:p w:rsidR="00A6718E" w:rsidRPr="00940AE8" w:rsidRDefault="00A6718E" w:rsidP="00D66A2B">
            <w:pPr>
              <w:pStyle w:val="Bezmezer"/>
              <w:rPr>
                <w:sz w:val="18"/>
              </w:rPr>
            </w:pPr>
            <w:r w:rsidRPr="00940AE8">
              <w:rPr>
                <w:sz w:val="18"/>
              </w:rPr>
              <w:t>R, Sp</w:t>
            </w:r>
          </w:p>
        </w:tc>
        <w:tc>
          <w:tcPr>
            <w:tcW w:w="1187" w:type="dxa"/>
            <w:tcBorders>
              <w:bottom w:val="single" w:sz="12" w:space="0" w:color="auto"/>
            </w:tcBorders>
            <w:shd w:val="pct15" w:color="auto" w:fill="auto"/>
          </w:tcPr>
          <w:p w:rsidR="00A6718E" w:rsidRPr="00940AE8" w:rsidRDefault="00A6718E" w:rsidP="00D66A2B">
            <w:pPr>
              <w:pStyle w:val="Bezmezer"/>
              <w:rPr>
                <w:sz w:val="18"/>
              </w:rPr>
            </w:pPr>
            <w:r w:rsidRPr="00940AE8">
              <w:rPr>
                <w:sz w:val="18"/>
              </w:rPr>
              <w:t>Os</w:t>
            </w:r>
          </w:p>
        </w:tc>
        <w:tc>
          <w:tcPr>
            <w:tcW w:w="1187" w:type="dxa"/>
            <w:tcBorders>
              <w:bottom w:val="single" w:sz="12" w:space="0" w:color="auto"/>
            </w:tcBorders>
            <w:shd w:val="pct15" w:color="auto" w:fill="auto"/>
          </w:tcPr>
          <w:p w:rsidR="00A6718E" w:rsidRPr="00940AE8" w:rsidRDefault="00A6718E" w:rsidP="00D66A2B">
            <w:pPr>
              <w:pStyle w:val="Bezmezer"/>
              <w:rPr>
                <w:sz w:val="18"/>
              </w:rPr>
            </w:pPr>
            <w:r w:rsidRPr="00940AE8">
              <w:rPr>
                <w:sz w:val="18"/>
              </w:rPr>
              <w:t>Nzz</w:t>
            </w:r>
          </w:p>
        </w:tc>
      </w:tr>
      <w:tr w:rsidR="00A6718E" w:rsidTr="00940AE8">
        <w:tc>
          <w:tcPr>
            <w:tcW w:w="709" w:type="dxa"/>
            <w:vMerge w:val="restart"/>
            <w:tcBorders>
              <w:top w:val="single" w:sz="12" w:space="0" w:color="auto"/>
            </w:tcBorders>
            <w:shd w:val="pct15" w:color="auto" w:fill="auto"/>
            <w:vAlign w:val="center"/>
          </w:tcPr>
          <w:p w:rsidR="00A6718E" w:rsidRPr="00940AE8" w:rsidRDefault="00A6718E" w:rsidP="00940AE8">
            <w:pPr>
              <w:pStyle w:val="Bezmezer"/>
              <w:jc w:val="left"/>
              <w:rPr>
                <w:sz w:val="18"/>
              </w:rPr>
            </w:pPr>
            <w:r w:rsidRPr="00940AE8">
              <w:rPr>
                <w:sz w:val="18"/>
              </w:rPr>
              <w:t>2. vlak</w:t>
            </w:r>
          </w:p>
        </w:tc>
        <w:tc>
          <w:tcPr>
            <w:tcW w:w="1555" w:type="dxa"/>
            <w:tcBorders>
              <w:top w:val="single" w:sz="12" w:space="0" w:color="auto"/>
              <w:right w:val="single" w:sz="12" w:space="0" w:color="auto"/>
            </w:tcBorders>
            <w:shd w:val="pct15" w:color="auto" w:fill="auto"/>
          </w:tcPr>
          <w:p w:rsidR="00A6718E" w:rsidRPr="00940AE8" w:rsidRDefault="00A6718E" w:rsidP="00D66A2B">
            <w:pPr>
              <w:pStyle w:val="Bezmezer"/>
              <w:rPr>
                <w:sz w:val="18"/>
              </w:rPr>
            </w:pPr>
            <w:r w:rsidRPr="00940AE8">
              <w:rPr>
                <w:sz w:val="18"/>
              </w:rPr>
              <w:t>R, Sp</w:t>
            </w:r>
          </w:p>
        </w:tc>
        <w:tc>
          <w:tcPr>
            <w:tcW w:w="1186" w:type="dxa"/>
            <w:tcBorders>
              <w:top w:val="single" w:sz="12" w:space="0" w:color="auto"/>
              <w:left w:val="single" w:sz="12" w:space="0" w:color="auto"/>
            </w:tcBorders>
          </w:tcPr>
          <w:p w:rsidR="00A6718E" w:rsidRPr="00940AE8" w:rsidRDefault="00A6718E" w:rsidP="00D66A2B">
            <w:pPr>
              <w:pStyle w:val="Bezmezer"/>
              <w:rPr>
                <w:sz w:val="18"/>
              </w:rPr>
            </w:pPr>
            <w:r w:rsidRPr="00940AE8">
              <w:rPr>
                <w:sz w:val="18"/>
              </w:rPr>
              <w:t>3,5</w:t>
            </w:r>
          </w:p>
        </w:tc>
        <w:tc>
          <w:tcPr>
            <w:tcW w:w="1187" w:type="dxa"/>
            <w:tcBorders>
              <w:top w:val="single" w:sz="12" w:space="0" w:color="auto"/>
            </w:tcBorders>
          </w:tcPr>
          <w:p w:rsidR="00A6718E" w:rsidRPr="00940AE8" w:rsidRDefault="00A6718E" w:rsidP="00D66A2B">
            <w:pPr>
              <w:pStyle w:val="Bezmezer"/>
              <w:rPr>
                <w:sz w:val="18"/>
              </w:rPr>
            </w:pPr>
            <w:r w:rsidRPr="00940AE8">
              <w:rPr>
                <w:sz w:val="18"/>
              </w:rPr>
              <w:t>5,0</w:t>
            </w:r>
          </w:p>
        </w:tc>
        <w:tc>
          <w:tcPr>
            <w:tcW w:w="1187" w:type="dxa"/>
            <w:tcBorders>
              <w:top w:val="single" w:sz="12" w:space="0" w:color="auto"/>
            </w:tcBorders>
          </w:tcPr>
          <w:p w:rsidR="00A6718E" w:rsidRPr="00940AE8" w:rsidRDefault="00A6718E" w:rsidP="00D66A2B">
            <w:pPr>
              <w:pStyle w:val="Bezmezer"/>
              <w:rPr>
                <w:sz w:val="18"/>
              </w:rPr>
            </w:pPr>
            <w:r w:rsidRPr="00940AE8">
              <w:rPr>
                <w:sz w:val="18"/>
              </w:rPr>
              <w:t>6,5</w:t>
            </w:r>
          </w:p>
        </w:tc>
        <w:tc>
          <w:tcPr>
            <w:tcW w:w="1187" w:type="dxa"/>
            <w:tcBorders>
              <w:top w:val="single" w:sz="12" w:space="0" w:color="auto"/>
            </w:tcBorders>
          </w:tcPr>
          <w:p w:rsidR="00A6718E" w:rsidRPr="00940AE8" w:rsidRDefault="00A6718E" w:rsidP="00D66A2B">
            <w:pPr>
              <w:pStyle w:val="Bezmezer"/>
              <w:rPr>
                <w:sz w:val="18"/>
              </w:rPr>
            </w:pPr>
            <w:r w:rsidRPr="00940AE8">
              <w:rPr>
                <w:sz w:val="18"/>
              </w:rPr>
              <w:t>3,0</w:t>
            </w:r>
          </w:p>
        </w:tc>
        <w:tc>
          <w:tcPr>
            <w:tcW w:w="1187" w:type="dxa"/>
            <w:tcBorders>
              <w:top w:val="single" w:sz="12" w:space="0" w:color="auto"/>
            </w:tcBorders>
          </w:tcPr>
          <w:p w:rsidR="00A6718E" w:rsidRPr="00940AE8" w:rsidRDefault="00A6718E" w:rsidP="00D66A2B">
            <w:pPr>
              <w:pStyle w:val="Bezmezer"/>
              <w:rPr>
                <w:sz w:val="18"/>
              </w:rPr>
            </w:pPr>
            <w:r w:rsidRPr="00940AE8">
              <w:rPr>
                <w:sz w:val="18"/>
              </w:rPr>
              <w:t>5,0</w:t>
            </w:r>
          </w:p>
        </w:tc>
        <w:tc>
          <w:tcPr>
            <w:tcW w:w="1187" w:type="dxa"/>
            <w:tcBorders>
              <w:top w:val="single" w:sz="12" w:space="0" w:color="auto"/>
            </w:tcBorders>
          </w:tcPr>
          <w:p w:rsidR="00A6718E" w:rsidRPr="00940AE8" w:rsidRDefault="00A6718E" w:rsidP="00D66A2B">
            <w:pPr>
              <w:pStyle w:val="Bezmezer"/>
              <w:rPr>
                <w:sz w:val="18"/>
              </w:rPr>
            </w:pPr>
            <w:r w:rsidRPr="00940AE8">
              <w:rPr>
                <w:sz w:val="18"/>
              </w:rPr>
              <w:t>6,5</w:t>
            </w:r>
          </w:p>
        </w:tc>
      </w:tr>
      <w:tr w:rsidR="00A6718E" w:rsidTr="00940AE8">
        <w:tc>
          <w:tcPr>
            <w:tcW w:w="709" w:type="dxa"/>
            <w:vMerge/>
            <w:shd w:val="pct15" w:color="auto" w:fill="auto"/>
          </w:tcPr>
          <w:p w:rsidR="00A6718E" w:rsidRPr="00940AE8" w:rsidRDefault="00A6718E" w:rsidP="00D66A2B">
            <w:pPr>
              <w:pStyle w:val="Bezmezer"/>
              <w:rPr>
                <w:sz w:val="18"/>
              </w:rPr>
            </w:pPr>
          </w:p>
        </w:tc>
        <w:tc>
          <w:tcPr>
            <w:tcW w:w="1555" w:type="dxa"/>
            <w:tcBorders>
              <w:right w:val="single" w:sz="12" w:space="0" w:color="auto"/>
            </w:tcBorders>
            <w:shd w:val="pct15" w:color="auto" w:fill="auto"/>
          </w:tcPr>
          <w:p w:rsidR="00A6718E" w:rsidRPr="00940AE8" w:rsidRDefault="00A6718E" w:rsidP="00D66A2B">
            <w:pPr>
              <w:pStyle w:val="Bezmezer"/>
              <w:rPr>
                <w:sz w:val="18"/>
              </w:rPr>
            </w:pPr>
            <w:r w:rsidRPr="00940AE8">
              <w:rPr>
                <w:sz w:val="18"/>
              </w:rPr>
              <w:t>Os</w:t>
            </w:r>
          </w:p>
        </w:tc>
        <w:tc>
          <w:tcPr>
            <w:tcW w:w="1186" w:type="dxa"/>
            <w:tcBorders>
              <w:left w:val="single" w:sz="12" w:space="0" w:color="auto"/>
            </w:tcBorders>
          </w:tcPr>
          <w:p w:rsidR="00A6718E" w:rsidRPr="00940AE8" w:rsidRDefault="00A6718E" w:rsidP="00D66A2B">
            <w:pPr>
              <w:pStyle w:val="Bezmezer"/>
              <w:rPr>
                <w:sz w:val="18"/>
              </w:rPr>
            </w:pPr>
            <w:r w:rsidRPr="00940AE8">
              <w:rPr>
                <w:sz w:val="18"/>
              </w:rPr>
              <w:t>3,5</w:t>
            </w:r>
          </w:p>
        </w:tc>
        <w:tc>
          <w:tcPr>
            <w:tcW w:w="1187" w:type="dxa"/>
          </w:tcPr>
          <w:p w:rsidR="00A6718E" w:rsidRPr="00940AE8" w:rsidRDefault="00A6718E" w:rsidP="00D66A2B">
            <w:pPr>
              <w:pStyle w:val="Bezmezer"/>
              <w:rPr>
                <w:sz w:val="18"/>
              </w:rPr>
            </w:pPr>
            <w:r w:rsidRPr="00940AE8">
              <w:rPr>
                <w:sz w:val="18"/>
              </w:rPr>
              <w:t>5,0</w:t>
            </w:r>
          </w:p>
        </w:tc>
        <w:tc>
          <w:tcPr>
            <w:tcW w:w="1187" w:type="dxa"/>
          </w:tcPr>
          <w:p w:rsidR="00A6718E" w:rsidRPr="00940AE8" w:rsidRDefault="00A6718E" w:rsidP="00D66A2B">
            <w:pPr>
              <w:pStyle w:val="Bezmezer"/>
              <w:rPr>
                <w:sz w:val="18"/>
              </w:rPr>
            </w:pPr>
            <w:r w:rsidRPr="00940AE8">
              <w:rPr>
                <w:sz w:val="18"/>
              </w:rPr>
              <w:t>6,0</w:t>
            </w:r>
          </w:p>
        </w:tc>
        <w:tc>
          <w:tcPr>
            <w:tcW w:w="1187" w:type="dxa"/>
          </w:tcPr>
          <w:p w:rsidR="00A6718E" w:rsidRPr="00940AE8" w:rsidRDefault="00A6718E" w:rsidP="00D66A2B">
            <w:pPr>
              <w:pStyle w:val="Bezmezer"/>
              <w:rPr>
                <w:sz w:val="18"/>
              </w:rPr>
            </w:pPr>
            <w:r w:rsidRPr="00940AE8">
              <w:rPr>
                <w:sz w:val="18"/>
              </w:rPr>
              <w:t>2,5</w:t>
            </w:r>
          </w:p>
        </w:tc>
        <w:tc>
          <w:tcPr>
            <w:tcW w:w="1187" w:type="dxa"/>
          </w:tcPr>
          <w:p w:rsidR="00A6718E" w:rsidRPr="00940AE8" w:rsidRDefault="00A6718E" w:rsidP="00D66A2B">
            <w:pPr>
              <w:pStyle w:val="Bezmezer"/>
              <w:rPr>
                <w:sz w:val="18"/>
              </w:rPr>
            </w:pPr>
            <w:r w:rsidRPr="00940AE8">
              <w:rPr>
                <w:sz w:val="18"/>
              </w:rPr>
              <w:t>4,5</w:t>
            </w:r>
          </w:p>
        </w:tc>
        <w:tc>
          <w:tcPr>
            <w:tcW w:w="1187" w:type="dxa"/>
          </w:tcPr>
          <w:p w:rsidR="00A6718E" w:rsidRPr="00940AE8" w:rsidRDefault="00A6718E" w:rsidP="00D66A2B">
            <w:pPr>
              <w:pStyle w:val="Bezmezer"/>
              <w:rPr>
                <w:sz w:val="18"/>
              </w:rPr>
            </w:pPr>
            <w:r w:rsidRPr="00940AE8">
              <w:rPr>
                <w:sz w:val="18"/>
              </w:rPr>
              <w:t>6,0</w:t>
            </w:r>
          </w:p>
        </w:tc>
      </w:tr>
      <w:tr w:rsidR="00A6718E" w:rsidTr="00940AE8">
        <w:tc>
          <w:tcPr>
            <w:tcW w:w="709" w:type="dxa"/>
            <w:vMerge/>
            <w:shd w:val="pct15" w:color="auto" w:fill="auto"/>
          </w:tcPr>
          <w:p w:rsidR="00A6718E" w:rsidRPr="00940AE8" w:rsidRDefault="00A6718E" w:rsidP="00D66A2B">
            <w:pPr>
              <w:pStyle w:val="Bezmezer"/>
              <w:rPr>
                <w:sz w:val="18"/>
              </w:rPr>
            </w:pPr>
          </w:p>
        </w:tc>
        <w:tc>
          <w:tcPr>
            <w:tcW w:w="1555" w:type="dxa"/>
            <w:tcBorders>
              <w:right w:val="single" w:sz="12" w:space="0" w:color="auto"/>
            </w:tcBorders>
            <w:shd w:val="pct15" w:color="auto" w:fill="auto"/>
          </w:tcPr>
          <w:p w:rsidR="00A6718E" w:rsidRPr="00940AE8" w:rsidRDefault="00A6718E" w:rsidP="00D66A2B">
            <w:pPr>
              <w:pStyle w:val="Bezmezer"/>
              <w:rPr>
                <w:sz w:val="18"/>
              </w:rPr>
            </w:pPr>
            <w:r w:rsidRPr="00940AE8">
              <w:rPr>
                <w:sz w:val="18"/>
              </w:rPr>
              <w:t>Nzz</w:t>
            </w:r>
          </w:p>
        </w:tc>
        <w:tc>
          <w:tcPr>
            <w:tcW w:w="1186" w:type="dxa"/>
            <w:tcBorders>
              <w:left w:val="single" w:sz="12" w:space="0" w:color="auto"/>
            </w:tcBorders>
          </w:tcPr>
          <w:p w:rsidR="00A6718E" w:rsidRPr="00940AE8" w:rsidRDefault="00A6718E" w:rsidP="00D66A2B">
            <w:pPr>
              <w:pStyle w:val="Bezmezer"/>
              <w:rPr>
                <w:sz w:val="18"/>
              </w:rPr>
            </w:pPr>
            <w:r w:rsidRPr="00940AE8">
              <w:rPr>
                <w:sz w:val="18"/>
              </w:rPr>
              <w:t>4,0</w:t>
            </w:r>
          </w:p>
        </w:tc>
        <w:tc>
          <w:tcPr>
            <w:tcW w:w="1187" w:type="dxa"/>
          </w:tcPr>
          <w:p w:rsidR="00A6718E" w:rsidRPr="00940AE8" w:rsidRDefault="00A6718E" w:rsidP="00D66A2B">
            <w:pPr>
              <w:pStyle w:val="Bezmezer"/>
              <w:rPr>
                <w:sz w:val="18"/>
              </w:rPr>
            </w:pPr>
            <w:r w:rsidRPr="00940AE8">
              <w:rPr>
                <w:sz w:val="18"/>
              </w:rPr>
              <w:t>5,5</w:t>
            </w:r>
          </w:p>
        </w:tc>
        <w:tc>
          <w:tcPr>
            <w:tcW w:w="1187" w:type="dxa"/>
          </w:tcPr>
          <w:p w:rsidR="00A6718E" w:rsidRPr="00940AE8" w:rsidRDefault="00A6718E" w:rsidP="00D66A2B">
            <w:pPr>
              <w:pStyle w:val="Bezmezer"/>
              <w:rPr>
                <w:sz w:val="18"/>
              </w:rPr>
            </w:pPr>
            <w:r w:rsidRPr="00940AE8">
              <w:rPr>
                <w:sz w:val="18"/>
              </w:rPr>
              <w:t>6,5</w:t>
            </w:r>
          </w:p>
        </w:tc>
        <w:tc>
          <w:tcPr>
            <w:tcW w:w="1187" w:type="dxa"/>
          </w:tcPr>
          <w:p w:rsidR="00A6718E" w:rsidRPr="00940AE8" w:rsidRDefault="00A6718E" w:rsidP="00D66A2B">
            <w:pPr>
              <w:pStyle w:val="Bezmezer"/>
              <w:rPr>
                <w:sz w:val="18"/>
              </w:rPr>
            </w:pPr>
            <w:r w:rsidRPr="00940AE8">
              <w:rPr>
                <w:sz w:val="18"/>
              </w:rPr>
              <w:t>3,5</w:t>
            </w:r>
          </w:p>
        </w:tc>
        <w:tc>
          <w:tcPr>
            <w:tcW w:w="1187" w:type="dxa"/>
          </w:tcPr>
          <w:p w:rsidR="00A6718E" w:rsidRPr="00940AE8" w:rsidRDefault="00A6718E" w:rsidP="00D66A2B">
            <w:pPr>
              <w:pStyle w:val="Bezmezer"/>
              <w:rPr>
                <w:sz w:val="18"/>
              </w:rPr>
            </w:pPr>
            <w:r w:rsidRPr="00940AE8">
              <w:rPr>
                <w:sz w:val="18"/>
              </w:rPr>
              <w:t>4,5</w:t>
            </w:r>
          </w:p>
        </w:tc>
        <w:tc>
          <w:tcPr>
            <w:tcW w:w="1187" w:type="dxa"/>
          </w:tcPr>
          <w:p w:rsidR="00A6718E" w:rsidRPr="00940AE8" w:rsidRDefault="00A6718E" w:rsidP="00D66A2B">
            <w:pPr>
              <w:pStyle w:val="Bezmezer"/>
              <w:rPr>
                <w:sz w:val="18"/>
              </w:rPr>
            </w:pPr>
            <w:r w:rsidRPr="00940AE8">
              <w:rPr>
                <w:sz w:val="18"/>
              </w:rPr>
              <w:t>6,5</w:t>
            </w:r>
          </w:p>
        </w:tc>
      </w:tr>
    </w:tbl>
    <w:p w:rsidR="00085A31" w:rsidRDefault="00085A31"/>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1555"/>
        <w:gridCol w:w="1186"/>
        <w:gridCol w:w="1187"/>
        <w:gridCol w:w="1187"/>
        <w:gridCol w:w="1187"/>
        <w:gridCol w:w="1187"/>
        <w:gridCol w:w="1187"/>
      </w:tblGrid>
      <w:tr w:rsidR="00A6718E" w:rsidTr="00940AE8">
        <w:tc>
          <w:tcPr>
            <w:tcW w:w="9385" w:type="dxa"/>
            <w:gridSpan w:val="8"/>
          </w:tcPr>
          <w:p w:rsidR="00A6718E" w:rsidRPr="00D66A2B" w:rsidRDefault="00A6718E" w:rsidP="002E5756">
            <w:pPr>
              <w:pStyle w:val="Titulek"/>
            </w:pPr>
            <w:bookmarkStart w:id="166" w:name="_Toc390958770"/>
            <w:bookmarkStart w:id="167" w:name="_Toc391034574"/>
            <w:r w:rsidRPr="00D66A2B">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19</w:t>
            </w:r>
            <w:r w:rsidR="000E79AE">
              <w:fldChar w:fldCharType="end"/>
            </w:r>
            <w:r w:rsidRPr="00D66A2B">
              <w:t xml:space="preserve">: Následná mezidobí pro mezistaniční úsek </w:t>
            </w:r>
            <w:r w:rsidR="00085A31" w:rsidRPr="00D66A2B">
              <w:t xml:space="preserve">Opatovice </w:t>
            </w:r>
            <w:r w:rsidRPr="00D66A2B">
              <w:t xml:space="preserve">nad Lab. </w:t>
            </w:r>
            <w:r w:rsidR="00085A31" w:rsidRPr="00D66A2B">
              <w:t>–</w:t>
            </w:r>
            <w:r w:rsidRPr="00D66A2B">
              <w:t xml:space="preserve"> </w:t>
            </w:r>
            <w:r w:rsidR="00085A31" w:rsidRPr="00D66A2B">
              <w:t>Hr. Králové hl.n.</w:t>
            </w:r>
            <w:bookmarkEnd w:id="166"/>
            <w:bookmarkEnd w:id="167"/>
          </w:p>
        </w:tc>
      </w:tr>
      <w:tr w:rsidR="00A6718E" w:rsidTr="00940AE8">
        <w:tc>
          <w:tcPr>
            <w:tcW w:w="709" w:type="dxa"/>
            <w:tcBorders>
              <w:left w:val="single" w:sz="2" w:space="0" w:color="auto"/>
              <w:bottom w:val="nil"/>
              <w:right w:val="nil"/>
            </w:tcBorders>
          </w:tcPr>
          <w:p w:rsidR="00A6718E" w:rsidRPr="00940AE8" w:rsidRDefault="00A6718E" w:rsidP="00D66A2B">
            <w:pPr>
              <w:pStyle w:val="Bezmezer"/>
              <w:rPr>
                <w:sz w:val="18"/>
              </w:rPr>
            </w:pPr>
          </w:p>
        </w:tc>
        <w:tc>
          <w:tcPr>
            <w:tcW w:w="1555" w:type="dxa"/>
            <w:tcBorders>
              <w:left w:val="nil"/>
              <w:bottom w:val="nil"/>
              <w:right w:val="single" w:sz="12" w:space="0" w:color="auto"/>
            </w:tcBorders>
          </w:tcPr>
          <w:p w:rsidR="00A6718E" w:rsidRPr="00940AE8" w:rsidRDefault="00A6718E" w:rsidP="00D66A2B">
            <w:pPr>
              <w:pStyle w:val="Bezmezer"/>
              <w:rPr>
                <w:sz w:val="18"/>
              </w:rPr>
            </w:pPr>
          </w:p>
        </w:tc>
        <w:tc>
          <w:tcPr>
            <w:tcW w:w="3560" w:type="dxa"/>
            <w:gridSpan w:val="3"/>
            <w:tcBorders>
              <w:left w:val="single" w:sz="12" w:space="0" w:color="auto"/>
            </w:tcBorders>
            <w:shd w:val="pct15" w:color="auto" w:fill="auto"/>
          </w:tcPr>
          <w:p w:rsidR="00A6718E" w:rsidRPr="00940AE8" w:rsidRDefault="00A6718E" w:rsidP="00D66A2B">
            <w:pPr>
              <w:pStyle w:val="Bezmezer"/>
              <w:jc w:val="center"/>
              <w:rPr>
                <w:sz w:val="18"/>
              </w:rPr>
            </w:pPr>
            <w:r w:rsidRPr="00940AE8">
              <w:rPr>
                <w:sz w:val="18"/>
              </w:rPr>
              <w:t>1. vlak</w:t>
            </w:r>
          </w:p>
          <w:p w:rsidR="00A6718E" w:rsidRPr="00940AE8" w:rsidRDefault="00A6718E" w:rsidP="00D66A2B">
            <w:pPr>
              <w:pStyle w:val="Bezmezer"/>
              <w:jc w:val="center"/>
              <w:rPr>
                <w:sz w:val="18"/>
              </w:rPr>
            </w:pPr>
            <w:r w:rsidRPr="00940AE8">
              <w:rPr>
                <w:sz w:val="18"/>
              </w:rPr>
              <w:t xml:space="preserve">směr </w:t>
            </w:r>
            <w:r w:rsidR="00085A31" w:rsidRPr="00940AE8">
              <w:rPr>
                <w:sz w:val="18"/>
              </w:rPr>
              <w:t>Opatovi</w:t>
            </w:r>
            <w:r w:rsidRPr="00940AE8">
              <w:rPr>
                <w:sz w:val="18"/>
              </w:rPr>
              <w:t xml:space="preserve">ce n/L. </w:t>
            </w:r>
            <w:r w:rsidR="00085A31" w:rsidRPr="00940AE8">
              <w:rPr>
                <w:sz w:val="18"/>
              </w:rPr>
              <w:t>–</w:t>
            </w:r>
            <w:r w:rsidRPr="00940AE8">
              <w:rPr>
                <w:sz w:val="18"/>
              </w:rPr>
              <w:t xml:space="preserve"> </w:t>
            </w:r>
            <w:r w:rsidR="00085A31" w:rsidRPr="00940AE8">
              <w:rPr>
                <w:sz w:val="18"/>
              </w:rPr>
              <w:t xml:space="preserve">Hr.Král. hl.n. </w:t>
            </w:r>
          </w:p>
        </w:tc>
        <w:tc>
          <w:tcPr>
            <w:tcW w:w="3561" w:type="dxa"/>
            <w:gridSpan w:val="3"/>
            <w:shd w:val="pct15" w:color="auto" w:fill="auto"/>
          </w:tcPr>
          <w:p w:rsidR="00A6718E" w:rsidRPr="00940AE8" w:rsidRDefault="00A6718E" w:rsidP="00D66A2B">
            <w:pPr>
              <w:pStyle w:val="Bezmezer"/>
              <w:jc w:val="center"/>
              <w:rPr>
                <w:sz w:val="18"/>
              </w:rPr>
            </w:pPr>
            <w:r w:rsidRPr="00940AE8">
              <w:rPr>
                <w:sz w:val="18"/>
              </w:rPr>
              <w:t>1. vlak</w:t>
            </w:r>
          </w:p>
          <w:p w:rsidR="00A6718E" w:rsidRPr="00940AE8" w:rsidRDefault="00A6718E" w:rsidP="00D66A2B">
            <w:pPr>
              <w:pStyle w:val="Bezmezer"/>
              <w:rPr>
                <w:sz w:val="18"/>
              </w:rPr>
            </w:pPr>
            <w:r w:rsidRPr="00940AE8">
              <w:rPr>
                <w:sz w:val="18"/>
              </w:rPr>
              <w:t xml:space="preserve">směr </w:t>
            </w:r>
            <w:r w:rsidR="00085A31" w:rsidRPr="00940AE8">
              <w:rPr>
                <w:sz w:val="18"/>
              </w:rPr>
              <w:t xml:space="preserve">Hr.Král. hl.n. </w:t>
            </w:r>
            <w:r w:rsidRPr="00940AE8">
              <w:rPr>
                <w:sz w:val="18"/>
              </w:rPr>
              <w:t xml:space="preserve">- </w:t>
            </w:r>
            <w:r w:rsidR="00085A31" w:rsidRPr="00940AE8">
              <w:rPr>
                <w:sz w:val="18"/>
              </w:rPr>
              <w:t>Opatovi</w:t>
            </w:r>
            <w:r w:rsidRPr="00940AE8">
              <w:rPr>
                <w:sz w:val="18"/>
              </w:rPr>
              <w:t>ce n/L.</w:t>
            </w:r>
          </w:p>
        </w:tc>
      </w:tr>
      <w:tr w:rsidR="00A6718E" w:rsidTr="00940AE8">
        <w:tc>
          <w:tcPr>
            <w:tcW w:w="709" w:type="dxa"/>
            <w:tcBorders>
              <w:top w:val="nil"/>
              <w:left w:val="single" w:sz="2" w:space="0" w:color="auto"/>
              <w:bottom w:val="single" w:sz="12" w:space="0" w:color="auto"/>
              <w:right w:val="nil"/>
            </w:tcBorders>
          </w:tcPr>
          <w:p w:rsidR="00A6718E" w:rsidRPr="00940AE8" w:rsidRDefault="00A6718E" w:rsidP="00D66A2B">
            <w:pPr>
              <w:pStyle w:val="Bezmezer"/>
              <w:rPr>
                <w:sz w:val="18"/>
              </w:rPr>
            </w:pPr>
          </w:p>
        </w:tc>
        <w:tc>
          <w:tcPr>
            <w:tcW w:w="1555" w:type="dxa"/>
            <w:tcBorders>
              <w:top w:val="nil"/>
              <w:left w:val="nil"/>
              <w:bottom w:val="single" w:sz="12" w:space="0" w:color="auto"/>
              <w:right w:val="single" w:sz="12" w:space="0" w:color="auto"/>
            </w:tcBorders>
          </w:tcPr>
          <w:p w:rsidR="00A6718E" w:rsidRPr="00940AE8" w:rsidRDefault="00A6718E" w:rsidP="00D66A2B">
            <w:pPr>
              <w:pStyle w:val="Bezmezer"/>
              <w:rPr>
                <w:sz w:val="18"/>
              </w:rPr>
            </w:pPr>
          </w:p>
        </w:tc>
        <w:tc>
          <w:tcPr>
            <w:tcW w:w="1186" w:type="dxa"/>
            <w:tcBorders>
              <w:left w:val="single" w:sz="12" w:space="0" w:color="auto"/>
              <w:bottom w:val="single" w:sz="12" w:space="0" w:color="auto"/>
            </w:tcBorders>
            <w:shd w:val="pct15" w:color="auto" w:fill="auto"/>
          </w:tcPr>
          <w:p w:rsidR="00A6718E" w:rsidRPr="00940AE8" w:rsidRDefault="00A6718E" w:rsidP="00D66A2B">
            <w:pPr>
              <w:pStyle w:val="Bezmezer"/>
              <w:rPr>
                <w:sz w:val="18"/>
              </w:rPr>
            </w:pPr>
            <w:r w:rsidRPr="00940AE8">
              <w:rPr>
                <w:sz w:val="18"/>
              </w:rPr>
              <w:t>R, Sp</w:t>
            </w:r>
          </w:p>
        </w:tc>
        <w:tc>
          <w:tcPr>
            <w:tcW w:w="1187" w:type="dxa"/>
            <w:tcBorders>
              <w:bottom w:val="single" w:sz="12" w:space="0" w:color="auto"/>
            </w:tcBorders>
            <w:shd w:val="pct15" w:color="auto" w:fill="auto"/>
          </w:tcPr>
          <w:p w:rsidR="00A6718E" w:rsidRPr="00940AE8" w:rsidRDefault="00A6718E" w:rsidP="00D66A2B">
            <w:pPr>
              <w:pStyle w:val="Bezmezer"/>
              <w:rPr>
                <w:sz w:val="18"/>
              </w:rPr>
            </w:pPr>
            <w:r w:rsidRPr="00940AE8">
              <w:rPr>
                <w:sz w:val="18"/>
              </w:rPr>
              <w:t>Os</w:t>
            </w:r>
          </w:p>
        </w:tc>
        <w:tc>
          <w:tcPr>
            <w:tcW w:w="1187" w:type="dxa"/>
            <w:tcBorders>
              <w:bottom w:val="single" w:sz="12" w:space="0" w:color="auto"/>
            </w:tcBorders>
            <w:shd w:val="pct15" w:color="auto" w:fill="auto"/>
          </w:tcPr>
          <w:p w:rsidR="00A6718E" w:rsidRPr="00940AE8" w:rsidRDefault="00A6718E" w:rsidP="00D66A2B">
            <w:pPr>
              <w:pStyle w:val="Bezmezer"/>
              <w:rPr>
                <w:sz w:val="18"/>
              </w:rPr>
            </w:pPr>
            <w:r w:rsidRPr="00940AE8">
              <w:rPr>
                <w:sz w:val="18"/>
              </w:rPr>
              <w:t>Nzz</w:t>
            </w:r>
          </w:p>
        </w:tc>
        <w:tc>
          <w:tcPr>
            <w:tcW w:w="1187" w:type="dxa"/>
            <w:tcBorders>
              <w:bottom w:val="single" w:sz="12" w:space="0" w:color="auto"/>
            </w:tcBorders>
            <w:shd w:val="pct15" w:color="auto" w:fill="auto"/>
          </w:tcPr>
          <w:p w:rsidR="00A6718E" w:rsidRPr="00940AE8" w:rsidRDefault="00A6718E" w:rsidP="00D66A2B">
            <w:pPr>
              <w:pStyle w:val="Bezmezer"/>
              <w:rPr>
                <w:sz w:val="18"/>
              </w:rPr>
            </w:pPr>
            <w:r w:rsidRPr="00940AE8">
              <w:rPr>
                <w:sz w:val="18"/>
              </w:rPr>
              <w:t>R, Sp</w:t>
            </w:r>
          </w:p>
        </w:tc>
        <w:tc>
          <w:tcPr>
            <w:tcW w:w="1187" w:type="dxa"/>
            <w:tcBorders>
              <w:bottom w:val="single" w:sz="12" w:space="0" w:color="auto"/>
            </w:tcBorders>
            <w:shd w:val="pct15" w:color="auto" w:fill="auto"/>
          </w:tcPr>
          <w:p w:rsidR="00A6718E" w:rsidRPr="00940AE8" w:rsidRDefault="00A6718E" w:rsidP="00D66A2B">
            <w:pPr>
              <w:pStyle w:val="Bezmezer"/>
              <w:rPr>
                <w:sz w:val="18"/>
              </w:rPr>
            </w:pPr>
            <w:r w:rsidRPr="00940AE8">
              <w:rPr>
                <w:sz w:val="18"/>
              </w:rPr>
              <w:t>Os</w:t>
            </w:r>
          </w:p>
        </w:tc>
        <w:tc>
          <w:tcPr>
            <w:tcW w:w="1187" w:type="dxa"/>
            <w:tcBorders>
              <w:bottom w:val="single" w:sz="12" w:space="0" w:color="auto"/>
            </w:tcBorders>
            <w:shd w:val="pct15" w:color="auto" w:fill="auto"/>
          </w:tcPr>
          <w:p w:rsidR="00A6718E" w:rsidRPr="00940AE8" w:rsidRDefault="00A6718E" w:rsidP="00D66A2B">
            <w:pPr>
              <w:pStyle w:val="Bezmezer"/>
              <w:rPr>
                <w:sz w:val="18"/>
              </w:rPr>
            </w:pPr>
            <w:r w:rsidRPr="00940AE8">
              <w:rPr>
                <w:sz w:val="18"/>
              </w:rPr>
              <w:t>Nzz</w:t>
            </w:r>
          </w:p>
        </w:tc>
      </w:tr>
      <w:tr w:rsidR="00A6718E" w:rsidTr="00940AE8">
        <w:tc>
          <w:tcPr>
            <w:tcW w:w="709" w:type="dxa"/>
            <w:vMerge w:val="restart"/>
            <w:tcBorders>
              <w:top w:val="single" w:sz="12" w:space="0" w:color="auto"/>
            </w:tcBorders>
            <w:shd w:val="pct15" w:color="auto" w:fill="auto"/>
            <w:vAlign w:val="center"/>
          </w:tcPr>
          <w:p w:rsidR="00A6718E" w:rsidRPr="00940AE8" w:rsidRDefault="00A6718E" w:rsidP="00940AE8">
            <w:pPr>
              <w:pStyle w:val="Bezmezer"/>
              <w:jc w:val="left"/>
              <w:rPr>
                <w:sz w:val="18"/>
              </w:rPr>
            </w:pPr>
            <w:r w:rsidRPr="00940AE8">
              <w:rPr>
                <w:sz w:val="18"/>
              </w:rPr>
              <w:t>2. vlak</w:t>
            </w:r>
          </w:p>
        </w:tc>
        <w:tc>
          <w:tcPr>
            <w:tcW w:w="1555" w:type="dxa"/>
            <w:tcBorders>
              <w:top w:val="single" w:sz="12" w:space="0" w:color="auto"/>
              <w:right w:val="single" w:sz="12" w:space="0" w:color="auto"/>
            </w:tcBorders>
            <w:shd w:val="pct15" w:color="auto" w:fill="auto"/>
          </w:tcPr>
          <w:p w:rsidR="00A6718E" w:rsidRPr="00940AE8" w:rsidRDefault="00A6718E" w:rsidP="00D66A2B">
            <w:pPr>
              <w:pStyle w:val="Bezmezer"/>
              <w:rPr>
                <w:sz w:val="18"/>
              </w:rPr>
            </w:pPr>
            <w:r w:rsidRPr="00940AE8">
              <w:rPr>
                <w:sz w:val="18"/>
              </w:rPr>
              <w:t>R, Sp</w:t>
            </w:r>
          </w:p>
        </w:tc>
        <w:tc>
          <w:tcPr>
            <w:tcW w:w="1186" w:type="dxa"/>
            <w:tcBorders>
              <w:top w:val="single" w:sz="12" w:space="0" w:color="auto"/>
              <w:left w:val="single" w:sz="12" w:space="0" w:color="auto"/>
            </w:tcBorders>
          </w:tcPr>
          <w:p w:rsidR="00A6718E" w:rsidRPr="00940AE8" w:rsidRDefault="00085A31" w:rsidP="00D66A2B">
            <w:pPr>
              <w:pStyle w:val="Bezmezer"/>
              <w:rPr>
                <w:sz w:val="18"/>
              </w:rPr>
            </w:pPr>
            <w:r w:rsidRPr="00940AE8">
              <w:rPr>
                <w:sz w:val="18"/>
              </w:rPr>
              <w:t>3,0</w:t>
            </w:r>
          </w:p>
        </w:tc>
        <w:tc>
          <w:tcPr>
            <w:tcW w:w="1187" w:type="dxa"/>
            <w:tcBorders>
              <w:top w:val="single" w:sz="12" w:space="0" w:color="auto"/>
            </w:tcBorders>
          </w:tcPr>
          <w:p w:rsidR="00A6718E" w:rsidRPr="00940AE8" w:rsidRDefault="00085A31" w:rsidP="00D66A2B">
            <w:pPr>
              <w:pStyle w:val="Bezmezer"/>
              <w:rPr>
                <w:sz w:val="18"/>
              </w:rPr>
            </w:pPr>
            <w:r w:rsidRPr="00940AE8">
              <w:rPr>
                <w:sz w:val="18"/>
              </w:rPr>
              <w:t>3,0</w:t>
            </w:r>
          </w:p>
        </w:tc>
        <w:tc>
          <w:tcPr>
            <w:tcW w:w="1187" w:type="dxa"/>
            <w:tcBorders>
              <w:top w:val="single" w:sz="12" w:space="0" w:color="auto"/>
            </w:tcBorders>
          </w:tcPr>
          <w:p w:rsidR="00A6718E" w:rsidRPr="00940AE8" w:rsidRDefault="00085A31" w:rsidP="00D66A2B">
            <w:pPr>
              <w:pStyle w:val="Bezmezer"/>
              <w:rPr>
                <w:sz w:val="18"/>
              </w:rPr>
            </w:pPr>
            <w:r w:rsidRPr="00940AE8">
              <w:rPr>
                <w:sz w:val="18"/>
              </w:rPr>
              <w:t>6,5</w:t>
            </w:r>
          </w:p>
        </w:tc>
        <w:tc>
          <w:tcPr>
            <w:tcW w:w="1187" w:type="dxa"/>
            <w:tcBorders>
              <w:top w:val="single" w:sz="12" w:space="0" w:color="auto"/>
            </w:tcBorders>
          </w:tcPr>
          <w:p w:rsidR="00A6718E" w:rsidRPr="00940AE8" w:rsidRDefault="00085A31" w:rsidP="00D66A2B">
            <w:pPr>
              <w:pStyle w:val="Bezmezer"/>
              <w:rPr>
                <w:sz w:val="18"/>
              </w:rPr>
            </w:pPr>
            <w:r w:rsidRPr="00940AE8">
              <w:rPr>
                <w:sz w:val="18"/>
              </w:rPr>
              <w:t>3,0</w:t>
            </w:r>
          </w:p>
        </w:tc>
        <w:tc>
          <w:tcPr>
            <w:tcW w:w="1187" w:type="dxa"/>
            <w:tcBorders>
              <w:top w:val="single" w:sz="12" w:space="0" w:color="auto"/>
            </w:tcBorders>
          </w:tcPr>
          <w:p w:rsidR="00A6718E" w:rsidRPr="00940AE8" w:rsidRDefault="00085A31" w:rsidP="00D66A2B">
            <w:pPr>
              <w:pStyle w:val="Bezmezer"/>
              <w:rPr>
                <w:sz w:val="18"/>
              </w:rPr>
            </w:pPr>
            <w:r w:rsidRPr="00940AE8">
              <w:rPr>
                <w:sz w:val="18"/>
              </w:rPr>
              <w:t>3,0</w:t>
            </w:r>
          </w:p>
        </w:tc>
        <w:tc>
          <w:tcPr>
            <w:tcW w:w="1187" w:type="dxa"/>
            <w:tcBorders>
              <w:top w:val="single" w:sz="12" w:space="0" w:color="auto"/>
            </w:tcBorders>
          </w:tcPr>
          <w:p w:rsidR="00A6718E" w:rsidRPr="00940AE8" w:rsidRDefault="00085A31" w:rsidP="00D66A2B">
            <w:pPr>
              <w:pStyle w:val="Bezmezer"/>
              <w:rPr>
                <w:sz w:val="18"/>
              </w:rPr>
            </w:pPr>
            <w:r w:rsidRPr="00940AE8">
              <w:rPr>
                <w:sz w:val="18"/>
              </w:rPr>
              <w:t>6,0</w:t>
            </w:r>
          </w:p>
        </w:tc>
      </w:tr>
      <w:tr w:rsidR="00A6718E" w:rsidTr="00940AE8">
        <w:tc>
          <w:tcPr>
            <w:tcW w:w="709" w:type="dxa"/>
            <w:vMerge/>
            <w:shd w:val="pct15" w:color="auto" w:fill="auto"/>
          </w:tcPr>
          <w:p w:rsidR="00A6718E" w:rsidRPr="00940AE8" w:rsidRDefault="00A6718E" w:rsidP="00D66A2B">
            <w:pPr>
              <w:pStyle w:val="Bezmezer"/>
              <w:rPr>
                <w:sz w:val="18"/>
              </w:rPr>
            </w:pPr>
          </w:p>
        </w:tc>
        <w:tc>
          <w:tcPr>
            <w:tcW w:w="1555" w:type="dxa"/>
            <w:tcBorders>
              <w:right w:val="single" w:sz="12" w:space="0" w:color="auto"/>
            </w:tcBorders>
            <w:shd w:val="pct15" w:color="auto" w:fill="auto"/>
          </w:tcPr>
          <w:p w:rsidR="00A6718E" w:rsidRPr="00940AE8" w:rsidRDefault="00A6718E" w:rsidP="00D66A2B">
            <w:pPr>
              <w:pStyle w:val="Bezmezer"/>
              <w:rPr>
                <w:sz w:val="18"/>
              </w:rPr>
            </w:pPr>
            <w:r w:rsidRPr="00940AE8">
              <w:rPr>
                <w:sz w:val="18"/>
              </w:rPr>
              <w:t>Os</w:t>
            </w:r>
          </w:p>
        </w:tc>
        <w:tc>
          <w:tcPr>
            <w:tcW w:w="1186" w:type="dxa"/>
            <w:tcBorders>
              <w:left w:val="single" w:sz="12" w:space="0" w:color="auto"/>
            </w:tcBorders>
          </w:tcPr>
          <w:p w:rsidR="00A6718E" w:rsidRPr="00940AE8" w:rsidRDefault="00085A31" w:rsidP="00D66A2B">
            <w:pPr>
              <w:pStyle w:val="Bezmezer"/>
              <w:rPr>
                <w:sz w:val="18"/>
              </w:rPr>
            </w:pPr>
            <w:r w:rsidRPr="00940AE8">
              <w:rPr>
                <w:sz w:val="18"/>
              </w:rPr>
              <w:t>4,0</w:t>
            </w:r>
          </w:p>
        </w:tc>
        <w:tc>
          <w:tcPr>
            <w:tcW w:w="1187" w:type="dxa"/>
          </w:tcPr>
          <w:p w:rsidR="00A6718E" w:rsidRPr="00940AE8" w:rsidRDefault="00085A31" w:rsidP="00D66A2B">
            <w:pPr>
              <w:pStyle w:val="Bezmezer"/>
              <w:rPr>
                <w:sz w:val="18"/>
              </w:rPr>
            </w:pPr>
            <w:r w:rsidRPr="00940AE8">
              <w:rPr>
                <w:sz w:val="18"/>
              </w:rPr>
              <w:t>4,0</w:t>
            </w:r>
          </w:p>
        </w:tc>
        <w:tc>
          <w:tcPr>
            <w:tcW w:w="1187" w:type="dxa"/>
          </w:tcPr>
          <w:p w:rsidR="00A6718E" w:rsidRPr="00940AE8" w:rsidRDefault="00085A31" w:rsidP="00D66A2B">
            <w:pPr>
              <w:pStyle w:val="Bezmezer"/>
              <w:rPr>
                <w:sz w:val="18"/>
              </w:rPr>
            </w:pPr>
            <w:r w:rsidRPr="00940AE8">
              <w:rPr>
                <w:sz w:val="18"/>
              </w:rPr>
              <w:t>7,5</w:t>
            </w:r>
          </w:p>
        </w:tc>
        <w:tc>
          <w:tcPr>
            <w:tcW w:w="1187" w:type="dxa"/>
          </w:tcPr>
          <w:p w:rsidR="00A6718E" w:rsidRPr="00940AE8" w:rsidRDefault="00085A31" w:rsidP="00D66A2B">
            <w:pPr>
              <w:pStyle w:val="Bezmezer"/>
              <w:rPr>
                <w:sz w:val="18"/>
              </w:rPr>
            </w:pPr>
            <w:r w:rsidRPr="00940AE8">
              <w:rPr>
                <w:sz w:val="18"/>
              </w:rPr>
              <w:t>3,0</w:t>
            </w:r>
          </w:p>
        </w:tc>
        <w:tc>
          <w:tcPr>
            <w:tcW w:w="1187" w:type="dxa"/>
          </w:tcPr>
          <w:p w:rsidR="00A6718E" w:rsidRPr="00940AE8" w:rsidRDefault="00085A31" w:rsidP="00D66A2B">
            <w:pPr>
              <w:pStyle w:val="Bezmezer"/>
              <w:rPr>
                <w:sz w:val="18"/>
              </w:rPr>
            </w:pPr>
            <w:r w:rsidRPr="00940AE8">
              <w:rPr>
                <w:sz w:val="18"/>
              </w:rPr>
              <w:t>3,0</w:t>
            </w:r>
          </w:p>
        </w:tc>
        <w:tc>
          <w:tcPr>
            <w:tcW w:w="1187" w:type="dxa"/>
          </w:tcPr>
          <w:p w:rsidR="00A6718E" w:rsidRPr="00940AE8" w:rsidRDefault="00085A31" w:rsidP="00D66A2B">
            <w:pPr>
              <w:pStyle w:val="Bezmezer"/>
              <w:rPr>
                <w:sz w:val="18"/>
              </w:rPr>
            </w:pPr>
            <w:r w:rsidRPr="00940AE8">
              <w:rPr>
                <w:sz w:val="18"/>
              </w:rPr>
              <w:t>6,0</w:t>
            </w:r>
          </w:p>
        </w:tc>
      </w:tr>
      <w:tr w:rsidR="00A6718E" w:rsidTr="00940AE8">
        <w:tc>
          <w:tcPr>
            <w:tcW w:w="709" w:type="dxa"/>
            <w:vMerge/>
            <w:shd w:val="pct15" w:color="auto" w:fill="auto"/>
          </w:tcPr>
          <w:p w:rsidR="00A6718E" w:rsidRPr="00940AE8" w:rsidRDefault="00A6718E" w:rsidP="00D66A2B">
            <w:pPr>
              <w:pStyle w:val="Bezmezer"/>
              <w:rPr>
                <w:sz w:val="18"/>
              </w:rPr>
            </w:pPr>
          </w:p>
        </w:tc>
        <w:tc>
          <w:tcPr>
            <w:tcW w:w="1555" w:type="dxa"/>
            <w:tcBorders>
              <w:right w:val="single" w:sz="12" w:space="0" w:color="auto"/>
            </w:tcBorders>
            <w:shd w:val="pct15" w:color="auto" w:fill="auto"/>
          </w:tcPr>
          <w:p w:rsidR="00A6718E" w:rsidRPr="00940AE8" w:rsidRDefault="00A6718E" w:rsidP="00D66A2B">
            <w:pPr>
              <w:pStyle w:val="Bezmezer"/>
              <w:rPr>
                <w:sz w:val="18"/>
              </w:rPr>
            </w:pPr>
            <w:r w:rsidRPr="00940AE8">
              <w:rPr>
                <w:sz w:val="18"/>
              </w:rPr>
              <w:t>Nzz</w:t>
            </w:r>
          </w:p>
        </w:tc>
        <w:tc>
          <w:tcPr>
            <w:tcW w:w="1186" w:type="dxa"/>
            <w:tcBorders>
              <w:left w:val="single" w:sz="12" w:space="0" w:color="auto"/>
            </w:tcBorders>
          </w:tcPr>
          <w:p w:rsidR="00A6718E" w:rsidRPr="00940AE8" w:rsidRDefault="00085A31" w:rsidP="00D66A2B">
            <w:pPr>
              <w:pStyle w:val="Bezmezer"/>
              <w:rPr>
                <w:sz w:val="18"/>
              </w:rPr>
            </w:pPr>
            <w:r w:rsidRPr="00940AE8">
              <w:rPr>
                <w:sz w:val="18"/>
              </w:rPr>
              <w:t>3,5</w:t>
            </w:r>
          </w:p>
        </w:tc>
        <w:tc>
          <w:tcPr>
            <w:tcW w:w="1187" w:type="dxa"/>
          </w:tcPr>
          <w:p w:rsidR="00A6718E" w:rsidRPr="00940AE8" w:rsidRDefault="00085A31" w:rsidP="00D66A2B">
            <w:pPr>
              <w:pStyle w:val="Bezmezer"/>
              <w:rPr>
                <w:sz w:val="18"/>
              </w:rPr>
            </w:pPr>
            <w:r w:rsidRPr="00940AE8">
              <w:rPr>
                <w:sz w:val="18"/>
              </w:rPr>
              <w:t>3,5</w:t>
            </w:r>
          </w:p>
        </w:tc>
        <w:tc>
          <w:tcPr>
            <w:tcW w:w="1187" w:type="dxa"/>
          </w:tcPr>
          <w:p w:rsidR="00A6718E" w:rsidRPr="00940AE8" w:rsidRDefault="00085A31" w:rsidP="00D66A2B">
            <w:pPr>
              <w:pStyle w:val="Bezmezer"/>
              <w:rPr>
                <w:sz w:val="18"/>
              </w:rPr>
            </w:pPr>
            <w:r w:rsidRPr="00940AE8">
              <w:rPr>
                <w:sz w:val="18"/>
              </w:rPr>
              <w:t>7,0</w:t>
            </w:r>
          </w:p>
        </w:tc>
        <w:tc>
          <w:tcPr>
            <w:tcW w:w="1187" w:type="dxa"/>
          </w:tcPr>
          <w:p w:rsidR="00A6718E" w:rsidRPr="00940AE8" w:rsidRDefault="00085A31" w:rsidP="00D66A2B">
            <w:pPr>
              <w:pStyle w:val="Bezmezer"/>
              <w:rPr>
                <w:sz w:val="18"/>
              </w:rPr>
            </w:pPr>
            <w:r w:rsidRPr="00940AE8">
              <w:rPr>
                <w:sz w:val="18"/>
              </w:rPr>
              <w:t>4,0</w:t>
            </w:r>
          </w:p>
        </w:tc>
        <w:tc>
          <w:tcPr>
            <w:tcW w:w="1187" w:type="dxa"/>
          </w:tcPr>
          <w:p w:rsidR="00A6718E" w:rsidRPr="00940AE8" w:rsidRDefault="00085A31" w:rsidP="00D66A2B">
            <w:pPr>
              <w:pStyle w:val="Bezmezer"/>
              <w:rPr>
                <w:sz w:val="18"/>
              </w:rPr>
            </w:pPr>
            <w:r w:rsidRPr="00940AE8">
              <w:rPr>
                <w:sz w:val="18"/>
              </w:rPr>
              <w:t>4,0</w:t>
            </w:r>
          </w:p>
        </w:tc>
        <w:tc>
          <w:tcPr>
            <w:tcW w:w="1187" w:type="dxa"/>
          </w:tcPr>
          <w:p w:rsidR="00A6718E" w:rsidRPr="00940AE8" w:rsidRDefault="00085A31" w:rsidP="00D66A2B">
            <w:pPr>
              <w:pStyle w:val="Bezmezer"/>
              <w:rPr>
                <w:sz w:val="18"/>
              </w:rPr>
            </w:pPr>
            <w:r w:rsidRPr="00940AE8">
              <w:rPr>
                <w:sz w:val="18"/>
              </w:rPr>
              <w:t>6,0</w:t>
            </w:r>
          </w:p>
        </w:tc>
      </w:tr>
    </w:tbl>
    <w:p w:rsidR="008B3D06" w:rsidRDefault="00015077" w:rsidP="00A6718E">
      <w:r>
        <w:t xml:space="preserve">Možnost vložení trasy nákladního vlaku ve směru Pardubice-Rosice nad Lab. - Stéblová: </w:t>
      </w:r>
    </w:p>
    <w:p w:rsidR="008B3D06" w:rsidRDefault="008B3D06" w:rsidP="00A6718E">
      <w:r>
        <w:t xml:space="preserve">sled vlaků R (Sp) / Nzz = </w:t>
      </w:r>
      <w:r w:rsidR="00015077">
        <w:t>4,0</w:t>
      </w:r>
      <w:r>
        <w:t xml:space="preserve"> min</w:t>
      </w:r>
    </w:p>
    <w:p w:rsidR="008B3D06" w:rsidRDefault="008B3D06" w:rsidP="00A6718E">
      <w:r>
        <w:t xml:space="preserve">sled vlaků Nzz / Os = </w:t>
      </w:r>
      <w:r w:rsidR="00015077">
        <w:t>6,0</w:t>
      </w:r>
      <w:r>
        <w:t xml:space="preserve"> min</w:t>
      </w:r>
    </w:p>
    <w:p w:rsidR="00015077" w:rsidRDefault="00015077" w:rsidP="00A6718E">
      <w:r>
        <w:t>=</w:t>
      </w:r>
      <w:r w:rsidR="00BA51DC">
        <w:t xml:space="preserve"> úhrnem</w:t>
      </w:r>
      <w:r>
        <w:t xml:space="preserve"> 10,0 minut potřebná délka mezery, k dispozici je nejvýše 7,5 minuty</w:t>
      </w:r>
      <w:r w:rsidR="00BA51DC">
        <w:t xml:space="preserve">, z toho vyplývá, že </w:t>
      </w:r>
      <w:r>
        <w:t>trasu nákladního vlaku nelze vložit.</w:t>
      </w:r>
    </w:p>
    <w:p w:rsidR="00BA51DC" w:rsidRDefault="00015077" w:rsidP="00015077">
      <w:r>
        <w:t xml:space="preserve">Možnost vložení trasy nákladního vlaku ve směru Stéblová - Pardubice-Rosice nad Lab.: </w:t>
      </w:r>
    </w:p>
    <w:p w:rsidR="00BA51DC" w:rsidRDefault="00BA51DC" w:rsidP="00015077">
      <w:r>
        <w:t xml:space="preserve">sled vlaků Os / Nzz = </w:t>
      </w:r>
      <w:r w:rsidR="00015077">
        <w:t>4,5</w:t>
      </w:r>
      <w:r>
        <w:t xml:space="preserve"> min</w:t>
      </w:r>
    </w:p>
    <w:p w:rsidR="00BA51DC" w:rsidRDefault="00BA51DC" w:rsidP="00015077">
      <w:r>
        <w:t xml:space="preserve">sled vlaků Nzz / R(Sp) = </w:t>
      </w:r>
      <w:r w:rsidR="00015077">
        <w:t>6,5</w:t>
      </w:r>
      <w:r>
        <w:t xml:space="preserve"> min</w:t>
      </w:r>
    </w:p>
    <w:p w:rsidR="00015077" w:rsidRDefault="00015077" w:rsidP="00015077">
      <w:r>
        <w:t>=</w:t>
      </w:r>
      <w:r w:rsidR="00BA51DC">
        <w:t xml:space="preserve"> úhrnem</w:t>
      </w:r>
      <w:r>
        <w:t xml:space="preserve"> 11,0 minut potřebná délka mezery, k dispozici je nejvýše 10,0 minut</w:t>
      </w:r>
      <w:r w:rsidR="00BA51DC">
        <w:t xml:space="preserve">, z toho vyplývá, že </w:t>
      </w:r>
      <w:r>
        <w:t>trasu nákladního vlaku nelze vložit.</w:t>
      </w:r>
    </w:p>
    <w:p w:rsidR="00B04F25" w:rsidRDefault="00B04F25" w:rsidP="00B04F25">
      <w:r>
        <w:t>Možnost vložení trasy nákladního vlaku ve směru Opatovice nad Lab. – Hradec Králové hl. nádr.: pro sled Os/Nzz je následné mezidobí 3,5 minut. Aby nákladní vlak stihl dojet do Hradce Králové hl. nádr., musela by jízdní doba činit 5,0 minut, což není reálné</w:t>
      </w:r>
      <w:r w:rsidR="00BA51DC">
        <w:t>. Z toho vyplývá, že</w:t>
      </w:r>
      <w:r>
        <w:t xml:space="preserve"> trasu nákladního vlaku nelze vložit. V opačném směru je situace podobná. Trasu mezi vlaky Os nelze vložit, není dodrženo následné  mezidobí pro sled Nzz/Os.</w:t>
      </w:r>
    </w:p>
    <w:p w:rsidR="00400833" w:rsidRDefault="00400833" w:rsidP="00B04F25">
      <w:r>
        <w:t>Následná mezidobí, která byla vypočtena pro jednokolejný úsek Stéblová – Opatovice nad Lab. (varianta Minimální) a která byla použita pro výpočet propustnosti tohoto úseku jsou uvedena v následující tabulce:</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1555"/>
        <w:gridCol w:w="1186"/>
        <w:gridCol w:w="1187"/>
        <w:gridCol w:w="1187"/>
        <w:gridCol w:w="1187"/>
        <w:gridCol w:w="1187"/>
        <w:gridCol w:w="1187"/>
      </w:tblGrid>
      <w:tr w:rsidR="00400833" w:rsidTr="00940AE8">
        <w:tc>
          <w:tcPr>
            <w:tcW w:w="9385" w:type="dxa"/>
            <w:gridSpan w:val="8"/>
          </w:tcPr>
          <w:p w:rsidR="00400833" w:rsidRPr="00D66A2B" w:rsidRDefault="00400833" w:rsidP="002E5756">
            <w:pPr>
              <w:pStyle w:val="Titulek"/>
            </w:pPr>
            <w:bookmarkStart w:id="168" w:name="_Toc390958771"/>
            <w:bookmarkStart w:id="169" w:name="_Toc391034575"/>
            <w:r w:rsidRPr="00D66A2B">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20</w:t>
            </w:r>
            <w:r w:rsidR="000E79AE">
              <w:fldChar w:fldCharType="end"/>
            </w:r>
            <w:r w:rsidRPr="00D66A2B">
              <w:t xml:space="preserve">: Následná mezidobí pro mezistaniční úsek </w:t>
            </w:r>
            <w:r>
              <w:t xml:space="preserve">Stéblová </w:t>
            </w:r>
            <w:r w:rsidRPr="00D66A2B">
              <w:t>–</w:t>
            </w:r>
            <w:r>
              <w:t xml:space="preserve"> </w:t>
            </w:r>
            <w:r w:rsidRPr="00D66A2B">
              <w:t>Opatovice nad Lab</w:t>
            </w:r>
            <w:r>
              <w:t>em</w:t>
            </w:r>
            <w:bookmarkEnd w:id="168"/>
            <w:bookmarkEnd w:id="169"/>
          </w:p>
        </w:tc>
      </w:tr>
      <w:tr w:rsidR="00400833" w:rsidTr="00940AE8">
        <w:tc>
          <w:tcPr>
            <w:tcW w:w="709" w:type="dxa"/>
            <w:tcBorders>
              <w:left w:val="single" w:sz="2" w:space="0" w:color="auto"/>
              <w:bottom w:val="nil"/>
              <w:right w:val="nil"/>
            </w:tcBorders>
          </w:tcPr>
          <w:p w:rsidR="00400833" w:rsidRPr="00940AE8" w:rsidRDefault="00400833" w:rsidP="007C7222">
            <w:pPr>
              <w:pStyle w:val="Bezmezer"/>
              <w:rPr>
                <w:sz w:val="18"/>
              </w:rPr>
            </w:pPr>
          </w:p>
        </w:tc>
        <w:tc>
          <w:tcPr>
            <w:tcW w:w="1555" w:type="dxa"/>
            <w:tcBorders>
              <w:left w:val="nil"/>
              <w:bottom w:val="nil"/>
              <w:right w:val="single" w:sz="12" w:space="0" w:color="auto"/>
            </w:tcBorders>
          </w:tcPr>
          <w:p w:rsidR="00400833" w:rsidRPr="00940AE8" w:rsidRDefault="00400833" w:rsidP="007C7222">
            <w:pPr>
              <w:pStyle w:val="Bezmezer"/>
              <w:rPr>
                <w:sz w:val="18"/>
              </w:rPr>
            </w:pPr>
          </w:p>
        </w:tc>
        <w:tc>
          <w:tcPr>
            <w:tcW w:w="3560" w:type="dxa"/>
            <w:gridSpan w:val="3"/>
            <w:tcBorders>
              <w:left w:val="single" w:sz="12" w:space="0" w:color="auto"/>
            </w:tcBorders>
            <w:shd w:val="pct15" w:color="auto" w:fill="auto"/>
          </w:tcPr>
          <w:p w:rsidR="00400833" w:rsidRPr="00940AE8" w:rsidRDefault="00400833" w:rsidP="007C7222">
            <w:pPr>
              <w:pStyle w:val="Bezmezer"/>
              <w:jc w:val="center"/>
              <w:rPr>
                <w:sz w:val="18"/>
              </w:rPr>
            </w:pPr>
            <w:r w:rsidRPr="00940AE8">
              <w:rPr>
                <w:sz w:val="18"/>
              </w:rPr>
              <w:t>1. vlak</w:t>
            </w:r>
          </w:p>
          <w:p w:rsidR="00400833" w:rsidRPr="00940AE8" w:rsidRDefault="00400833" w:rsidP="00400833">
            <w:pPr>
              <w:pStyle w:val="Bezmezer"/>
              <w:jc w:val="center"/>
              <w:rPr>
                <w:sz w:val="18"/>
              </w:rPr>
            </w:pPr>
            <w:r w:rsidRPr="00940AE8">
              <w:rPr>
                <w:sz w:val="18"/>
              </w:rPr>
              <w:t>směr Stéblová – Opatovice n/Lab.</w:t>
            </w:r>
          </w:p>
        </w:tc>
        <w:tc>
          <w:tcPr>
            <w:tcW w:w="3561" w:type="dxa"/>
            <w:gridSpan w:val="3"/>
            <w:shd w:val="pct15" w:color="auto" w:fill="auto"/>
          </w:tcPr>
          <w:p w:rsidR="00400833" w:rsidRPr="00940AE8" w:rsidRDefault="00400833" w:rsidP="007C7222">
            <w:pPr>
              <w:pStyle w:val="Bezmezer"/>
              <w:jc w:val="center"/>
              <w:rPr>
                <w:sz w:val="18"/>
              </w:rPr>
            </w:pPr>
            <w:r w:rsidRPr="00940AE8">
              <w:rPr>
                <w:sz w:val="18"/>
              </w:rPr>
              <w:t>1. vlak</w:t>
            </w:r>
          </w:p>
          <w:p w:rsidR="00400833" w:rsidRPr="00940AE8" w:rsidRDefault="00400833" w:rsidP="00400833">
            <w:pPr>
              <w:pStyle w:val="Bezmezer"/>
              <w:rPr>
                <w:sz w:val="18"/>
              </w:rPr>
            </w:pPr>
            <w:r w:rsidRPr="00940AE8">
              <w:rPr>
                <w:sz w:val="18"/>
              </w:rPr>
              <w:t>směr Opatovice n/Lab. – Stéblová</w:t>
            </w:r>
          </w:p>
        </w:tc>
      </w:tr>
      <w:tr w:rsidR="00400833" w:rsidTr="00940AE8">
        <w:tc>
          <w:tcPr>
            <w:tcW w:w="709" w:type="dxa"/>
            <w:tcBorders>
              <w:top w:val="nil"/>
              <w:left w:val="single" w:sz="2" w:space="0" w:color="auto"/>
              <w:bottom w:val="single" w:sz="12" w:space="0" w:color="auto"/>
              <w:right w:val="nil"/>
            </w:tcBorders>
          </w:tcPr>
          <w:p w:rsidR="00400833" w:rsidRPr="00940AE8" w:rsidRDefault="00400833" w:rsidP="007C7222">
            <w:pPr>
              <w:pStyle w:val="Bezmezer"/>
              <w:rPr>
                <w:sz w:val="18"/>
              </w:rPr>
            </w:pPr>
          </w:p>
        </w:tc>
        <w:tc>
          <w:tcPr>
            <w:tcW w:w="1555" w:type="dxa"/>
            <w:tcBorders>
              <w:top w:val="nil"/>
              <w:left w:val="nil"/>
              <w:bottom w:val="single" w:sz="12" w:space="0" w:color="auto"/>
              <w:right w:val="single" w:sz="12" w:space="0" w:color="auto"/>
            </w:tcBorders>
          </w:tcPr>
          <w:p w:rsidR="00400833" w:rsidRPr="00940AE8" w:rsidRDefault="00400833" w:rsidP="007C7222">
            <w:pPr>
              <w:pStyle w:val="Bezmezer"/>
              <w:rPr>
                <w:sz w:val="18"/>
              </w:rPr>
            </w:pPr>
          </w:p>
        </w:tc>
        <w:tc>
          <w:tcPr>
            <w:tcW w:w="1186" w:type="dxa"/>
            <w:tcBorders>
              <w:left w:val="single" w:sz="12" w:space="0" w:color="auto"/>
              <w:bottom w:val="single" w:sz="12" w:space="0" w:color="auto"/>
            </w:tcBorders>
            <w:shd w:val="pct15" w:color="auto" w:fill="auto"/>
          </w:tcPr>
          <w:p w:rsidR="00400833" w:rsidRPr="00940AE8" w:rsidRDefault="00400833" w:rsidP="007C7222">
            <w:pPr>
              <w:pStyle w:val="Bezmezer"/>
              <w:rPr>
                <w:sz w:val="18"/>
              </w:rPr>
            </w:pPr>
            <w:r w:rsidRPr="00940AE8">
              <w:rPr>
                <w:sz w:val="18"/>
              </w:rPr>
              <w:t>R, Sp</w:t>
            </w:r>
          </w:p>
        </w:tc>
        <w:tc>
          <w:tcPr>
            <w:tcW w:w="1187" w:type="dxa"/>
            <w:tcBorders>
              <w:bottom w:val="single" w:sz="12" w:space="0" w:color="auto"/>
            </w:tcBorders>
            <w:shd w:val="pct15" w:color="auto" w:fill="auto"/>
          </w:tcPr>
          <w:p w:rsidR="00400833" w:rsidRPr="00940AE8" w:rsidRDefault="00400833" w:rsidP="007C7222">
            <w:pPr>
              <w:pStyle w:val="Bezmezer"/>
              <w:rPr>
                <w:sz w:val="18"/>
              </w:rPr>
            </w:pPr>
            <w:r w:rsidRPr="00940AE8">
              <w:rPr>
                <w:sz w:val="18"/>
              </w:rPr>
              <w:t>Os</w:t>
            </w:r>
          </w:p>
        </w:tc>
        <w:tc>
          <w:tcPr>
            <w:tcW w:w="1187" w:type="dxa"/>
            <w:tcBorders>
              <w:bottom w:val="single" w:sz="12" w:space="0" w:color="auto"/>
            </w:tcBorders>
            <w:shd w:val="pct15" w:color="auto" w:fill="auto"/>
          </w:tcPr>
          <w:p w:rsidR="00400833" w:rsidRPr="00940AE8" w:rsidRDefault="00400833" w:rsidP="007C7222">
            <w:pPr>
              <w:pStyle w:val="Bezmezer"/>
              <w:rPr>
                <w:sz w:val="18"/>
              </w:rPr>
            </w:pPr>
            <w:r w:rsidRPr="00940AE8">
              <w:rPr>
                <w:sz w:val="18"/>
              </w:rPr>
              <w:t>Nzz</w:t>
            </w:r>
          </w:p>
        </w:tc>
        <w:tc>
          <w:tcPr>
            <w:tcW w:w="1187" w:type="dxa"/>
            <w:tcBorders>
              <w:bottom w:val="single" w:sz="12" w:space="0" w:color="auto"/>
            </w:tcBorders>
            <w:shd w:val="pct15" w:color="auto" w:fill="auto"/>
          </w:tcPr>
          <w:p w:rsidR="00400833" w:rsidRPr="00940AE8" w:rsidRDefault="00400833" w:rsidP="007C7222">
            <w:pPr>
              <w:pStyle w:val="Bezmezer"/>
              <w:rPr>
                <w:sz w:val="18"/>
              </w:rPr>
            </w:pPr>
            <w:r w:rsidRPr="00940AE8">
              <w:rPr>
                <w:sz w:val="18"/>
              </w:rPr>
              <w:t>R, Sp</w:t>
            </w:r>
          </w:p>
        </w:tc>
        <w:tc>
          <w:tcPr>
            <w:tcW w:w="1187" w:type="dxa"/>
            <w:tcBorders>
              <w:bottom w:val="single" w:sz="12" w:space="0" w:color="auto"/>
            </w:tcBorders>
            <w:shd w:val="pct15" w:color="auto" w:fill="auto"/>
          </w:tcPr>
          <w:p w:rsidR="00400833" w:rsidRPr="00940AE8" w:rsidRDefault="00400833" w:rsidP="007C7222">
            <w:pPr>
              <w:pStyle w:val="Bezmezer"/>
              <w:rPr>
                <w:sz w:val="18"/>
              </w:rPr>
            </w:pPr>
            <w:r w:rsidRPr="00940AE8">
              <w:rPr>
                <w:sz w:val="18"/>
              </w:rPr>
              <w:t>Os</w:t>
            </w:r>
          </w:p>
        </w:tc>
        <w:tc>
          <w:tcPr>
            <w:tcW w:w="1187" w:type="dxa"/>
            <w:tcBorders>
              <w:bottom w:val="single" w:sz="12" w:space="0" w:color="auto"/>
            </w:tcBorders>
            <w:shd w:val="pct15" w:color="auto" w:fill="auto"/>
          </w:tcPr>
          <w:p w:rsidR="00400833" w:rsidRPr="00940AE8" w:rsidRDefault="00400833" w:rsidP="007C7222">
            <w:pPr>
              <w:pStyle w:val="Bezmezer"/>
              <w:rPr>
                <w:sz w:val="18"/>
              </w:rPr>
            </w:pPr>
            <w:r w:rsidRPr="00940AE8">
              <w:rPr>
                <w:sz w:val="18"/>
              </w:rPr>
              <w:t>Nzz</w:t>
            </w:r>
          </w:p>
        </w:tc>
      </w:tr>
      <w:tr w:rsidR="00400833" w:rsidTr="00940AE8">
        <w:tc>
          <w:tcPr>
            <w:tcW w:w="709" w:type="dxa"/>
            <w:vMerge w:val="restart"/>
            <w:tcBorders>
              <w:top w:val="single" w:sz="12" w:space="0" w:color="auto"/>
            </w:tcBorders>
            <w:shd w:val="pct15" w:color="auto" w:fill="auto"/>
            <w:vAlign w:val="center"/>
          </w:tcPr>
          <w:p w:rsidR="00400833" w:rsidRPr="00940AE8" w:rsidRDefault="00400833" w:rsidP="00940AE8">
            <w:pPr>
              <w:pStyle w:val="Bezmezer"/>
              <w:jc w:val="left"/>
              <w:rPr>
                <w:sz w:val="18"/>
              </w:rPr>
            </w:pPr>
            <w:r w:rsidRPr="00940AE8">
              <w:rPr>
                <w:sz w:val="18"/>
              </w:rPr>
              <w:t>2. vlak</w:t>
            </w:r>
          </w:p>
        </w:tc>
        <w:tc>
          <w:tcPr>
            <w:tcW w:w="1555" w:type="dxa"/>
            <w:tcBorders>
              <w:top w:val="single" w:sz="12" w:space="0" w:color="auto"/>
              <w:right w:val="single" w:sz="12" w:space="0" w:color="auto"/>
            </w:tcBorders>
            <w:shd w:val="pct15" w:color="auto" w:fill="auto"/>
          </w:tcPr>
          <w:p w:rsidR="00400833" w:rsidRPr="00940AE8" w:rsidRDefault="00400833" w:rsidP="007C7222">
            <w:pPr>
              <w:pStyle w:val="Bezmezer"/>
              <w:rPr>
                <w:sz w:val="18"/>
              </w:rPr>
            </w:pPr>
            <w:r w:rsidRPr="00940AE8">
              <w:rPr>
                <w:sz w:val="18"/>
              </w:rPr>
              <w:t>R, Sp</w:t>
            </w:r>
          </w:p>
        </w:tc>
        <w:tc>
          <w:tcPr>
            <w:tcW w:w="1186" w:type="dxa"/>
            <w:tcBorders>
              <w:top w:val="single" w:sz="12" w:space="0" w:color="auto"/>
              <w:left w:val="single" w:sz="12" w:space="0" w:color="auto"/>
            </w:tcBorders>
          </w:tcPr>
          <w:p w:rsidR="00400833" w:rsidRPr="00940AE8" w:rsidRDefault="00400833" w:rsidP="00400833">
            <w:pPr>
              <w:pStyle w:val="Bezmezer"/>
              <w:rPr>
                <w:sz w:val="18"/>
              </w:rPr>
            </w:pPr>
            <w:r w:rsidRPr="00940AE8">
              <w:rPr>
                <w:sz w:val="18"/>
              </w:rPr>
              <w:t>3,5</w:t>
            </w:r>
          </w:p>
        </w:tc>
        <w:tc>
          <w:tcPr>
            <w:tcW w:w="1187" w:type="dxa"/>
            <w:tcBorders>
              <w:top w:val="single" w:sz="12" w:space="0" w:color="auto"/>
            </w:tcBorders>
          </w:tcPr>
          <w:p w:rsidR="00400833" w:rsidRPr="00940AE8" w:rsidRDefault="00400833" w:rsidP="007C7222">
            <w:pPr>
              <w:pStyle w:val="Bezmezer"/>
              <w:rPr>
                <w:sz w:val="18"/>
              </w:rPr>
            </w:pPr>
            <w:r w:rsidRPr="00940AE8">
              <w:rPr>
                <w:sz w:val="18"/>
              </w:rPr>
              <w:t>5,0</w:t>
            </w:r>
          </w:p>
        </w:tc>
        <w:tc>
          <w:tcPr>
            <w:tcW w:w="1187" w:type="dxa"/>
            <w:tcBorders>
              <w:top w:val="single" w:sz="12" w:space="0" w:color="auto"/>
            </w:tcBorders>
          </w:tcPr>
          <w:p w:rsidR="00400833" w:rsidRPr="00940AE8" w:rsidRDefault="00400833" w:rsidP="00400833">
            <w:pPr>
              <w:pStyle w:val="Bezmezer"/>
              <w:rPr>
                <w:sz w:val="18"/>
              </w:rPr>
            </w:pPr>
            <w:r w:rsidRPr="00940AE8">
              <w:rPr>
                <w:sz w:val="18"/>
              </w:rPr>
              <w:t>8,0</w:t>
            </w:r>
          </w:p>
        </w:tc>
        <w:tc>
          <w:tcPr>
            <w:tcW w:w="1187" w:type="dxa"/>
            <w:tcBorders>
              <w:top w:val="single" w:sz="12" w:space="0" w:color="auto"/>
            </w:tcBorders>
          </w:tcPr>
          <w:p w:rsidR="00400833" w:rsidRPr="00940AE8" w:rsidRDefault="00400833" w:rsidP="007C7222">
            <w:pPr>
              <w:pStyle w:val="Bezmezer"/>
              <w:rPr>
                <w:sz w:val="18"/>
              </w:rPr>
            </w:pPr>
            <w:r w:rsidRPr="00940AE8">
              <w:rPr>
                <w:sz w:val="18"/>
              </w:rPr>
              <w:t>4,0</w:t>
            </w:r>
          </w:p>
        </w:tc>
        <w:tc>
          <w:tcPr>
            <w:tcW w:w="1187" w:type="dxa"/>
            <w:tcBorders>
              <w:top w:val="single" w:sz="12" w:space="0" w:color="auto"/>
            </w:tcBorders>
          </w:tcPr>
          <w:p w:rsidR="00400833" w:rsidRPr="00940AE8" w:rsidRDefault="00400833" w:rsidP="007C7222">
            <w:pPr>
              <w:pStyle w:val="Bezmezer"/>
              <w:rPr>
                <w:sz w:val="18"/>
              </w:rPr>
            </w:pPr>
            <w:r w:rsidRPr="00940AE8">
              <w:rPr>
                <w:sz w:val="18"/>
              </w:rPr>
              <w:t>6,0</w:t>
            </w:r>
          </w:p>
        </w:tc>
        <w:tc>
          <w:tcPr>
            <w:tcW w:w="1187" w:type="dxa"/>
            <w:tcBorders>
              <w:top w:val="single" w:sz="12" w:space="0" w:color="auto"/>
            </w:tcBorders>
          </w:tcPr>
          <w:p w:rsidR="00400833" w:rsidRPr="00940AE8" w:rsidRDefault="00400833" w:rsidP="007C7222">
            <w:pPr>
              <w:pStyle w:val="Bezmezer"/>
              <w:rPr>
                <w:sz w:val="18"/>
              </w:rPr>
            </w:pPr>
            <w:r w:rsidRPr="00940AE8">
              <w:rPr>
                <w:sz w:val="18"/>
              </w:rPr>
              <w:t>8,0</w:t>
            </w:r>
          </w:p>
        </w:tc>
      </w:tr>
      <w:tr w:rsidR="00400833" w:rsidTr="00940AE8">
        <w:tc>
          <w:tcPr>
            <w:tcW w:w="709" w:type="dxa"/>
            <w:vMerge/>
            <w:shd w:val="pct15" w:color="auto" w:fill="auto"/>
          </w:tcPr>
          <w:p w:rsidR="00400833" w:rsidRPr="00940AE8" w:rsidRDefault="00400833" w:rsidP="007C7222">
            <w:pPr>
              <w:pStyle w:val="Bezmezer"/>
              <w:rPr>
                <w:sz w:val="18"/>
              </w:rPr>
            </w:pPr>
          </w:p>
        </w:tc>
        <w:tc>
          <w:tcPr>
            <w:tcW w:w="1555" w:type="dxa"/>
            <w:tcBorders>
              <w:right w:val="single" w:sz="12" w:space="0" w:color="auto"/>
            </w:tcBorders>
            <w:shd w:val="pct15" w:color="auto" w:fill="auto"/>
          </w:tcPr>
          <w:p w:rsidR="00400833" w:rsidRPr="00940AE8" w:rsidRDefault="00400833" w:rsidP="007C7222">
            <w:pPr>
              <w:pStyle w:val="Bezmezer"/>
              <w:rPr>
                <w:sz w:val="18"/>
              </w:rPr>
            </w:pPr>
            <w:r w:rsidRPr="00940AE8">
              <w:rPr>
                <w:sz w:val="18"/>
              </w:rPr>
              <w:t>Os</w:t>
            </w:r>
          </w:p>
        </w:tc>
        <w:tc>
          <w:tcPr>
            <w:tcW w:w="1186" w:type="dxa"/>
            <w:tcBorders>
              <w:left w:val="single" w:sz="12" w:space="0" w:color="auto"/>
            </w:tcBorders>
          </w:tcPr>
          <w:p w:rsidR="00400833" w:rsidRPr="00940AE8" w:rsidRDefault="00400833" w:rsidP="007C7222">
            <w:pPr>
              <w:pStyle w:val="Bezmezer"/>
              <w:rPr>
                <w:sz w:val="18"/>
              </w:rPr>
            </w:pPr>
            <w:r w:rsidRPr="00940AE8">
              <w:rPr>
                <w:sz w:val="18"/>
              </w:rPr>
              <w:t>3,0</w:t>
            </w:r>
          </w:p>
        </w:tc>
        <w:tc>
          <w:tcPr>
            <w:tcW w:w="1187" w:type="dxa"/>
          </w:tcPr>
          <w:p w:rsidR="00400833" w:rsidRPr="00940AE8" w:rsidRDefault="00400833" w:rsidP="00400833">
            <w:pPr>
              <w:pStyle w:val="Bezmezer"/>
              <w:rPr>
                <w:sz w:val="18"/>
              </w:rPr>
            </w:pPr>
            <w:r w:rsidRPr="00940AE8">
              <w:rPr>
                <w:sz w:val="18"/>
              </w:rPr>
              <w:t>4,5</w:t>
            </w:r>
          </w:p>
        </w:tc>
        <w:tc>
          <w:tcPr>
            <w:tcW w:w="1187" w:type="dxa"/>
          </w:tcPr>
          <w:p w:rsidR="00400833" w:rsidRPr="00940AE8" w:rsidRDefault="00400833" w:rsidP="007C7222">
            <w:pPr>
              <w:pStyle w:val="Bezmezer"/>
              <w:rPr>
                <w:sz w:val="18"/>
              </w:rPr>
            </w:pPr>
            <w:r w:rsidRPr="00940AE8">
              <w:rPr>
                <w:sz w:val="18"/>
              </w:rPr>
              <w:t>6,5</w:t>
            </w:r>
          </w:p>
        </w:tc>
        <w:tc>
          <w:tcPr>
            <w:tcW w:w="1187" w:type="dxa"/>
          </w:tcPr>
          <w:p w:rsidR="00400833" w:rsidRPr="00940AE8" w:rsidRDefault="00400833" w:rsidP="00400833">
            <w:pPr>
              <w:pStyle w:val="Bezmezer"/>
              <w:rPr>
                <w:sz w:val="18"/>
              </w:rPr>
            </w:pPr>
            <w:r w:rsidRPr="00940AE8">
              <w:rPr>
                <w:sz w:val="18"/>
              </w:rPr>
              <w:t>3,5</w:t>
            </w:r>
          </w:p>
        </w:tc>
        <w:tc>
          <w:tcPr>
            <w:tcW w:w="1187" w:type="dxa"/>
          </w:tcPr>
          <w:p w:rsidR="00400833" w:rsidRPr="00940AE8" w:rsidRDefault="00400833" w:rsidP="007C7222">
            <w:pPr>
              <w:pStyle w:val="Bezmezer"/>
              <w:rPr>
                <w:sz w:val="18"/>
              </w:rPr>
            </w:pPr>
            <w:r w:rsidRPr="00940AE8">
              <w:rPr>
                <w:sz w:val="18"/>
              </w:rPr>
              <w:t>5,0</w:t>
            </w:r>
          </w:p>
        </w:tc>
        <w:tc>
          <w:tcPr>
            <w:tcW w:w="1187" w:type="dxa"/>
          </w:tcPr>
          <w:p w:rsidR="00400833" w:rsidRPr="00940AE8" w:rsidRDefault="00400833" w:rsidP="007C7222">
            <w:pPr>
              <w:pStyle w:val="Bezmezer"/>
              <w:rPr>
                <w:sz w:val="18"/>
              </w:rPr>
            </w:pPr>
            <w:r w:rsidRPr="00940AE8">
              <w:rPr>
                <w:sz w:val="18"/>
              </w:rPr>
              <w:t>7,0</w:t>
            </w:r>
          </w:p>
        </w:tc>
      </w:tr>
      <w:tr w:rsidR="00400833" w:rsidTr="00940AE8">
        <w:tc>
          <w:tcPr>
            <w:tcW w:w="709" w:type="dxa"/>
            <w:vMerge/>
            <w:shd w:val="pct15" w:color="auto" w:fill="auto"/>
          </w:tcPr>
          <w:p w:rsidR="00400833" w:rsidRPr="00940AE8" w:rsidRDefault="00400833" w:rsidP="007C7222">
            <w:pPr>
              <w:pStyle w:val="Bezmezer"/>
              <w:rPr>
                <w:sz w:val="18"/>
              </w:rPr>
            </w:pPr>
          </w:p>
        </w:tc>
        <w:tc>
          <w:tcPr>
            <w:tcW w:w="1555" w:type="dxa"/>
            <w:tcBorders>
              <w:right w:val="single" w:sz="12" w:space="0" w:color="auto"/>
            </w:tcBorders>
            <w:shd w:val="pct15" w:color="auto" w:fill="auto"/>
          </w:tcPr>
          <w:p w:rsidR="00400833" w:rsidRPr="00940AE8" w:rsidRDefault="00400833" w:rsidP="007C7222">
            <w:pPr>
              <w:pStyle w:val="Bezmezer"/>
              <w:rPr>
                <w:sz w:val="18"/>
              </w:rPr>
            </w:pPr>
            <w:r w:rsidRPr="00940AE8">
              <w:rPr>
                <w:sz w:val="18"/>
              </w:rPr>
              <w:t>Nzz</w:t>
            </w:r>
          </w:p>
        </w:tc>
        <w:tc>
          <w:tcPr>
            <w:tcW w:w="1186" w:type="dxa"/>
            <w:tcBorders>
              <w:left w:val="single" w:sz="12" w:space="0" w:color="auto"/>
            </w:tcBorders>
          </w:tcPr>
          <w:p w:rsidR="00400833" w:rsidRPr="00940AE8" w:rsidRDefault="00400833" w:rsidP="007C7222">
            <w:pPr>
              <w:pStyle w:val="Bezmezer"/>
              <w:rPr>
                <w:sz w:val="18"/>
              </w:rPr>
            </w:pPr>
            <w:r w:rsidRPr="00940AE8">
              <w:rPr>
                <w:sz w:val="18"/>
              </w:rPr>
              <w:t>3,5</w:t>
            </w:r>
          </w:p>
        </w:tc>
        <w:tc>
          <w:tcPr>
            <w:tcW w:w="1187" w:type="dxa"/>
          </w:tcPr>
          <w:p w:rsidR="00400833" w:rsidRPr="00940AE8" w:rsidRDefault="00400833" w:rsidP="007C7222">
            <w:pPr>
              <w:pStyle w:val="Bezmezer"/>
              <w:rPr>
                <w:sz w:val="18"/>
              </w:rPr>
            </w:pPr>
            <w:r w:rsidRPr="00940AE8">
              <w:rPr>
                <w:sz w:val="18"/>
              </w:rPr>
              <w:t>5,5</w:t>
            </w:r>
          </w:p>
        </w:tc>
        <w:tc>
          <w:tcPr>
            <w:tcW w:w="1187" w:type="dxa"/>
          </w:tcPr>
          <w:p w:rsidR="00400833" w:rsidRPr="00940AE8" w:rsidRDefault="00400833" w:rsidP="007C7222">
            <w:pPr>
              <w:pStyle w:val="Bezmezer"/>
              <w:rPr>
                <w:sz w:val="18"/>
              </w:rPr>
            </w:pPr>
            <w:r w:rsidRPr="00940AE8">
              <w:rPr>
                <w:sz w:val="18"/>
              </w:rPr>
              <w:t>7,0</w:t>
            </w:r>
          </w:p>
        </w:tc>
        <w:tc>
          <w:tcPr>
            <w:tcW w:w="1187" w:type="dxa"/>
          </w:tcPr>
          <w:p w:rsidR="00400833" w:rsidRPr="00940AE8" w:rsidRDefault="00400833" w:rsidP="007C7222">
            <w:pPr>
              <w:pStyle w:val="Bezmezer"/>
              <w:rPr>
                <w:sz w:val="18"/>
              </w:rPr>
            </w:pPr>
            <w:r w:rsidRPr="00940AE8">
              <w:rPr>
                <w:sz w:val="18"/>
              </w:rPr>
              <w:t>4,0</w:t>
            </w:r>
          </w:p>
        </w:tc>
        <w:tc>
          <w:tcPr>
            <w:tcW w:w="1187" w:type="dxa"/>
          </w:tcPr>
          <w:p w:rsidR="00400833" w:rsidRPr="00940AE8" w:rsidRDefault="00400833" w:rsidP="007C7222">
            <w:pPr>
              <w:pStyle w:val="Bezmezer"/>
              <w:rPr>
                <w:sz w:val="18"/>
              </w:rPr>
            </w:pPr>
            <w:r w:rsidRPr="00940AE8">
              <w:rPr>
                <w:sz w:val="18"/>
              </w:rPr>
              <w:t>6,0</w:t>
            </w:r>
          </w:p>
        </w:tc>
        <w:tc>
          <w:tcPr>
            <w:tcW w:w="1187" w:type="dxa"/>
          </w:tcPr>
          <w:p w:rsidR="00400833" w:rsidRPr="00940AE8" w:rsidRDefault="00400833" w:rsidP="007C7222">
            <w:pPr>
              <w:pStyle w:val="Bezmezer"/>
              <w:rPr>
                <w:sz w:val="18"/>
              </w:rPr>
            </w:pPr>
            <w:r w:rsidRPr="00940AE8">
              <w:rPr>
                <w:sz w:val="18"/>
              </w:rPr>
              <w:t>7,5</w:t>
            </w:r>
          </w:p>
        </w:tc>
      </w:tr>
    </w:tbl>
    <w:p w:rsidR="002E1CD4" w:rsidRDefault="002E1CD4" w:rsidP="002E1CD4"/>
    <w:p w:rsidR="002E1CD4" w:rsidRDefault="002E1CD4">
      <w:pPr>
        <w:suppressAutoHyphens w:val="0"/>
        <w:spacing w:before="0" w:after="0" w:line="240" w:lineRule="auto"/>
        <w:jc w:val="left"/>
        <w:rPr>
          <w:b/>
          <w:bCs/>
          <w:sz w:val="24"/>
        </w:rPr>
      </w:pPr>
      <w:r>
        <w:br w:type="page"/>
      </w:r>
    </w:p>
    <w:p w:rsidR="008E1A77" w:rsidRDefault="008E1A77" w:rsidP="00887E61">
      <w:pPr>
        <w:pStyle w:val="Nadpis3"/>
        <w:ind w:hanging="8234"/>
      </w:pPr>
      <w:r>
        <w:t>Nová zařízení infrastruktury – zdůvodnění</w:t>
      </w:r>
    </w:p>
    <w:p w:rsidR="003B0C23" w:rsidRDefault="003B0C23" w:rsidP="003D3F72">
      <w:r>
        <w:t>K</w:t>
      </w:r>
      <w:r w:rsidR="003D3F72">
        <w:t>romě kolejových úpra</w:t>
      </w:r>
      <w:r>
        <w:t>v je ve variantě Maximální budováno nové ostrovní nástupiště v </w:t>
      </w:r>
      <w:r w:rsidRPr="00115C21">
        <w:rPr>
          <w:b/>
        </w:rPr>
        <w:t>železniční stanici Hradec Králové hlavní nádraží</w:t>
      </w:r>
      <w:r>
        <w:t>. Výstavba nového nástupiště je součástí projektu „Modernizace jižního zhlaví železniční stanice Hradec Králové hlavní nádraží“ a důvody pro jeho výstavbu jsou následující:</w:t>
      </w:r>
    </w:p>
    <w:p w:rsidR="00631EAB" w:rsidRDefault="00551B53" w:rsidP="00D20948">
      <w:pPr>
        <w:numPr>
          <w:ilvl w:val="0"/>
          <w:numId w:val="42"/>
        </w:numPr>
      </w:pPr>
      <w:r>
        <w:t>z</w:t>
      </w:r>
      <w:r w:rsidR="003B0C23">
        <w:t>lepšení rychlostních poměrů na zhlaví spolu s výhledovou realizací dvoukolejného průjezdu stanicí ve směru Opatovice nad Labem – Předměřice nad Labem a snahou neužívat křižovatkové výhybky vyúsťují v takové řešení, ve kterém není možné propojit nástupiště 1A (kusé koleje č. 8a a 10a) s traťovou kolejí směr Praskačka. Chybějící možnost musí být nahrazena v liché části kolejiště</w:t>
      </w:r>
      <w:r>
        <w:t>;</w:t>
      </w:r>
    </w:p>
    <w:p w:rsidR="00631EAB" w:rsidRDefault="00551B53" w:rsidP="00D20948">
      <w:pPr>
        <w:numPr>
          <w:ilvl w:val="0"/>
          <w:numId w:val="42"/>
        </w:numPr>
      </w:pPr>
      <w:r>
        <w:t>j</w:t>
      </w:r>
      <w:r w:rsidR="003B0C23">
        <w:t>ak ukazuje výpočet propustnosti staničních kolejí upravený pro koleje s průběžnou nástupištní hranou (viz níže), je již dnes využití těchto kolejí velmi vysoké a při nepravidelnostech v dopravě je zdrojem různých improvizovaných stavů</w:t>
      </w:r>
      <w:r>
        <w:t>;</w:t>
      </w:r>
    </w:p>
    <w:p w:rsidR="00631EAB" w:rsidRDefault="00551B53" w:rsidP="00D20948">
      <w:pPr>
        <w:numPr>
          <w:ilvl w:val="0"/>
          <w:numId w:val="42"/>
        </w:numPr>
      </w:pPr>
      <w:r>
        <w:t>v</w:t>
      </w:r>
      <w:r w:rsidR="003B0C23">
        <w:t>ýměna současného zabezpečovacího zařízení za nové bude znamenat, že nebude umožněn vjezd na obsazenou kolej. To bylo nyní za předpokladu splnění příslušných předpisových ustanovení možné</w:t>
      </w:r>
      <w:r>
        <w:t>;</w:t>
      </w:r>
    </w:p>
    <w:p w:rsidR="00631EAB" w:rsidRDefault="00551B53" w:rsidP="00D20948">
      <w:pPr>
        <w:numPr>
          <w:ilvl w:val="0"/>
          <w:numId w:val="42"/>
        </w:numPr>
      </w:pPr>
      <w:r>
        <w:t>p</w:t>
      </w:r>
      <w:r w:rsidR="006D3EE1">
        <w:t xml:space="preserve">otřeba zrušit a nahradit nevyhovující nástupiště u koleje č. </w:t>
      </w:r>
      <w:smartTag w:uri="urn:schemas-microsoft-com:office:smarttags" w:element="metricconverter">
        <w:smartTagPr>
          <w:attr w:name="ProductID" w:val="7 a"/>
        </w:smartTagPr>
        <w:r w:rsidR="006D3EE1">
          <w:t>7 a</w:t>
        </w:r>
      </w:smartTag>
      <w:r w:rsidR="006D3EE1">
        <w:t xml:space="preserve"> mezi kolejemi č. </w:t>
      </w:r>
      <w:smartTag w:uri="urn:schemas-microsoft-com:office:smarttags" w:element="metricconverter">
        <w:smartTagPr>
          <w:attr w:name="ProductID" w:val="5 a"/>
        </w:smartTagPr>
        <w:r w:rsidR="006D3EE1">
          <w:t>5 a</w:t>
        </w:r>
      </w:smartTag>
      <w:r w:rsidR="006D3EE1">
        <w:t xml:space="preserve"> 3b</w:t>
      </w:r>
      <w:r>
        <w:t>;</w:t>
      </w:r>
      <w:r w:rsidR="006D3EE1">
        <w:t xml:space="preserve"> </w:t>
      </w:r>
    </w:p>
    <w:p w:rsidR="00631EAB" w:rsidRDefault="003B0C23" w:rsidP="00D20948">
      <w:pPr>
        <w:numPr>
          <w:ilvl w:val="0"/>
          <w:numId w:val="42"/>
        </w:numPr>
      </w:pPr>
      <w:r>
        <w:t>Hradec Králové hlavní nádraží je velmi důležit</w:t>
      </w:r>
      <w:r w:rsidR="00551B53">
        <w:t>á stanice</w:t>
      </w:r>
      <w:r>
        <w:t xml:space="preserve"> pro funkčnost dálkové i regionální dopravy podle požadavku objednavatelů MD ČR i Královéhradeckého kraje, zastoupeného společností OREDO. Počty vlaků budou nadále stoupat, cíl je umožnit dodržení časové osy symetrie a přestupních vazeb. Dostatečné vybavení nástupištními hranami je pro realizaci těchto záměrů podmínkou. Zároveň se tím vytváří i rezerva do budoucnosti při uskutečnění dalších rozvojových záměrů (modernizace spojení Hradec Králové – Liberec, spojka Česká Skalice – Náchod).    </w:t>
      </w:r>
    </w:p>
    <w:p w:rsidR="002E5756" w:rsidRDefault="002E5756">
      <w:pPr>
        <w:suppressAutoHyphens w:val="0"/>
        <w:spacing w:before="0" w:after="0" w:line="240" w:lineRule="auto"/>
        <w:jc w:val="left"/>
      </w:pPr>
    </w:p>
    <w:p w:rsidR="003D3F72" w:rsidRDefault="006D3EE1" w:rsidP="003D3F72">
      <w:r>
        <w:t xml:space="preserve">Z projektu „Modernizace jižního zhlaví železniční stanice Hradec Králové hlavní nádraží“ je převzat výpočet propustnosti pro </w:t>
      </w:r>
      <w:r w:rsidR="003D3F72">
        <w:rPr>
          <w:u w:val="single"/>
        </w:rPr>
        <w:t>pětihodinové období odpolední špičky</w:t>
      </w:r>
      <w:r w:rsidR="003D3F72">
        <w:t xml:space="preserve">, konkrétně pro období 12:50 – 17:50 a pro průběžné koleje u nástupišť – tj. pro koleje č. 8, 6, 2, </w:t>
      </w:r>
      <w:smartTag w:uri="urn:schemas-microsoft-com:office:smarttags" w:element="metricconverter">
        <w:smartTagPr>
          <w:attr w:name="ProductID" w:val="1 a"/>
        </w:smartTagPr>
        <w:r w:rsidR="003D3F72">
          <w:t>1 a</w:t>
        </w:r>
      </w:smartTag>
      <w:r w:rsidR="003D3F72">
        <w:t xml:space="preserve"> 5. Základem pro výpočet </w:t>
      </w:r>
      <w:r>
        <w:t>byl</w:t>
      </w:r>
      <w:r w:rsidR="003D3F72">
        <w:t xml:space="preserve"> plán obsazení kolejí zpracovaný železniční stanicí</w:t>
      </w:r>
      <w:r>
        <w:t xml:space="preserve">. </w:t>
      </w:r>
      <w:r w:rsidR="003D3F72">
        <w:t>Výpočet dává tyto výsledky:</w:t>
      </w:r>
    </w:p>
    <w:p w:rsidR="003D3F72" w:rsidRDefault="003D3F72" w:rsidP="006D3EE1">
      <w:pPr>
        <w:pStyle w:val="Bezmezer"/>
      </w:pPr>
      <w:r>
        <w:t xml:space="preserve">Výpočetní doba </w:t>
      </w:r>
      <w:r>
        <w:tab/>
      </w:r>
      <w:r w:rsidR="006D3EE1">
        <w:tab/>
      </w:r>
      <w:r w:rsidR="006D3EE1">
        <w:tab/>
      </w:r>
      <w:r w:rsidR="006D3EE1">
        <w:tab/>
      </w:r>
      <w:r w:rsidR="006D3EE1">
        <w:tab/>
      </w:r>
      <w:r w:rsidR="00940AE8">
        <w:tab/>
      </w:r>
      <w:r w:rsidR="006D3EE1">
        <w:tab/>
      </w:r>
      <w:r>
        <w:t>300 minut</w:t>
      </w:r>
    </w:p>
    <w:p w:rsidR="003D3F72" w:rsidRDefault="003D3F72" w:rsidP="006D3EE1">
      <w:pPr>
        <w:pStyle w:val="Bezmezer"/>
      </w:pPr>
      <w:r>
        <w:t xml:space="preserve">Počet dopravních kolejí, které jsou zahrnuty do výpočtu </w:t>
      </w:r>
      <w:r>
        <w:tab/>
      </w:r>
      <w:r w:rsidR="00940AE8">
        <w:tab/>
      </w:r>
      <w:r w:rsidR="006D3EE1">
        <w:tab/>
      </w:r>
      <w:r>
        <w:t>5</w:t>
      </w:r>
    </w:p>
    <w:p w:rsidR="003D3F72" w:rsidRDefault="003D3F72" w:rsidP="006D3EE1">
      <w:pPr>
        <w:pStyle w:val="Bezmezer"/>
      </w:pPr>
      <w:r>
        <w:t>Průměrná doba obsazení jedním vlakem</w:t>
      </w:r>
      <w:r>
        <w:tab/>
      </w:r>
      <w:r w:rsidR="006D3EE1">
        <w:tab/>
      </w:r>
      <w:r w:rsidR="006D3EE1">
        <w:tab/>
      </w:r>
      <w:r w:rsidR="00940AE8">
        <w:tab/>
      </w:r>
      <w:r w:rsidR="006D3EE1">
        <w:tab/>
      </w:r>
      <w:r>
        <w:t>15,78 minut</w:t>
      </w:r>
    </w:p>
    <w:p w:rsidR="003D3F72" w:rsidRDefault="003D3F72" w:rsidP="006D3EE1">
      <w:pPr>
        <w:pStyle w:val="Bezmezer"/>
      </w:pPr>
      <w:r>
        <w:t>Poměrná doba rušení připadající na jeden vlak</w:t>
      </w:r>
      <w:r>
        <w:tab/>
      </w:r>
      <w:r w:rsidR="006D3EE1">
        <w:tab/>
      </w:r>
      <w:r w:rsidR="00940AE8">
        <w:tab/>
      </w:r>
      <w:r w:rsidR="006D3EE1">
        <w:tab/>
      </w:r>
      <w:r>
        <w:t>2,65 minut</w:t>
      </w:r>
    </w:p>
    <w:p w:rsidR="003D3F72" w:rsidRDefault="003D3F72" w:rsidP="006D3EE1">
      <w:pPr>
        <w:pStyle w:val="Bezmezer"/>
      </w:pPr>
      <w:r>
        <w:t>Časová záloha připadající na jeden vlak</w:t>
      </w:r>
      <w:r>
        <w:tab/>
      </w:r>
      <w:r w:rsidR="006D3EE1">
        <w:tab/>
      </w:r>
      <w:r w:rsidR="006D3EE1">
        <w:tab/>
      </w:r>
      <w:r w:rsidR="00940AE8">
        <w:tab/>
      </w:r>
      <w:r w:rsidR="006D3EE1">
        <w:tab/>
      </w:r>
      <w:r>
        <w:t>13,63 minut</w:t>
      </w:r>
    </w:p>
    <w:p w:rsidR="003D3F72" w:rsidRDefault="003D3F72" w:rsidP="006D3EE1">
      <w:pPr>
        <w:pStyle w:val="Bezmezer"/>
      </w:pPr>
      <w:r>
        <w:t>Celkový počet vlaků zahrnutých do výpočtu</w:t>
      </w:r>
      <w:r>
        <w:tab/>
      </w:r>
      <w:r w:rsidR="006D3EE1">
        <w:tab/>
      </w:r>
      <w:r w:rsidR="00940AE8">
        <w:tab/>
      </w:r>
      <w:r w:rsidR="006D3EE1">
        <w:tab/>
      </w:r>
      <w:r>
        <w:t>51</w:t>
      </w:r>
    </w:p>
    <w:p w:rsidR="003D3F72" w:rsidRDefault="003D3F72" w:rsidP="006D3EE1">
      <w:pPr>
        <w:pStyle w:val="Bezmezer"/>
      </w:pPr>
      <w:r>
        <w:t>Praktická propustnost (ve vlacích)</w:t>
      </w:r>
      <w:r>
        <w:tab/>
      </w:r>
      <w:r w:rsidR="006D3EE1">
        <w:tab/>
      </w:r>
      <w:r w:rsidR="006D3EE1">
        <w:tab/>
      </w:r>
      <w:r w:rsidR="00940AE8">
        <w:tab/>
      </w:r>
      <w:r w:rsidR="006D3EE1">
        <w:tab/>
      </w:r>
      <w:r>
        <w:rPr>
          <w:b/>
          <w:bCs/>
        </w:rPr>
        <w:t>59</w:t>
      </w:r>
    </w:p>
    <w:p w:rsidR="003D3F72" w:rsidRDefault="003D3F72" w:rsidP="006D3EE1">
      <w:pPr>
        <w:pStyle w:val="Bezmezer"/>
      </w:pPr>
      <w:r>
        <w:t>Využití praktické propustnosti</w:t>
      </w:r>
      <w:r>
        <w:tab/>
      </w:r>
      <w:r w:rsidR="006D3EE1">
        <w:tab/>
      </w:r>
      <w:r w:rsidR="006D3EE1">
        <w:tab/>
      </w:r>
      <w:r w:rsidR="006D3EE1">
        <w:tab/>
      </w:r>
      <w:r w:rsidR="00940AE8">
        <w:tab/>
      </w:r>
      <w:r w:rsidR="006D3EE1">
        <w:tab/>
      </w:r>
      <w:r>
        <w:rPr>
          <w:b/>
          <w:bCs/>
        </w:rPr>
        <w:t>86,4 %</w:t>
      </w:r>
    </w:p>
    <w:p w:rsidR="003D3F72" w:rsidRDefault="003D3F72" w:rsidP="006D3EE1">
      <w:pPr>
        <w:pStyle w:val="Bezmezer"/>
        <w:rPr>
          <w:b/>
          <w:bCs/>
        </w:rPr>
      </w:pPr>
      <w:r>
        <w:t>Stupeň obsazení</w:t>
      </w:r>
      <w:r>
        <w:tab/>
      </w:r>
      <w:r w:rsidR="006D3EE1">
        <w:tab/>
      </w:r>
      <w:r w:rsidR="006D3EE1">
        <w:tab/>
      </w:r>
      <w:r w:rsidR="006D3EE1">
        <w:tab/>
      </w:r>
      <w:r w:rsidR="006D3EE1">
        <w:tab/>
      </w:r>
      <w:r w:rsidR="00940AE8">
        <w:tab/>
      </w:r>
      <w:r w:rsidR="006D3EE1">
        <w:tab/>
      </w:r>
      <w:r>
        <w:rPr>
          <w:b/>
          <w:bCs/>
        </w:rPr>
        <w:t>0,579</w:t>
      </w:r>
    </w:p>
    <w:p w:rsidR="008E1A77" w:rsidRDefault="00F1708A" w:rsidP="008E1A77">
      <w:r w:rsidRPr="001168D6">
        <w:t>Ve variant</w:t>
      </w:r>
      <w:r w:rsidR="001168D6">
        <w:t xml:space="preserve">ě </w:t>
      </w:r>
      <w:r w:rsidRPr="001168D6">
        <w:t>Maximální</w:t>
      </w:r>
      <w:r>
        <w:t xml:space="preserve"> se zásadně mění uspořádání nástupišť i v </w:t>
      </w:r>
      <w:r w:rsidRPr="00115C21">
        <w:rPr>
          <w:b/>
        </w:rPr>
        <w:t>železniční stanici Pardubice-Rosice nad Labem</w:t>
      </w:r>
      <w:r>
        <w:t xml:space="preserve">. Nově se předpokládá výstavba ostrovního nástupiště mezi kolejemi č. </w:t>
      </w:r>
      <w:smartTag w:uri="urn:schemas-microsoft-com:office:smarttags" w:element="metricconverter">
        <w:smartTagPr>
          <w:attr w:name="ProductID" w:val="1 a"/>
        </w:smartTagPr>
        <w:r>
          <w:t>1 a</w:t>
        </w:r>
      </w:smartTag>
      <w:r>
        <w:t xml:space="preserve"> 3, boční nástupiště u koleje č.2 a boční nástupiště u koleje č. 4a kusé. Důvody pro toto uspořádání a základní použití nástupišť jsou následující:</w:t>
      </w:r>
    </w:p>
    <w:p w:rsidR="00631EAB" w:rsidRDefault="00F1708A" w:rsidP="00D20948">
      <w:pPr>
        <w:numPr>
          <w:ilvl w:val="0"/>
          <w:numId w:val="19"/>
        </w:numPr>
        <w:ind w:left="426"/>
      </w:pPr>
      <w:r>
        <w:t xml:space="preserve">pro trať Hradec Králové – Pardubice jsou určena nástupiště u kolejí č. </w:t>
      </w:r>
      <w:smartTag w:uri="urn:schemas-microsoft-com:office:smarttags" w:element="metricconverter">
        <w:smartTagPr>
          <w:attr w:name="ProductID" w:val="1 a"/>
        </w:smartTagPr>
        <w:r>
          <w:t>1 a</w:t>
        </w:r>
      </w:smartTag>
      <w:r>
        <w:t xml:space="preserve"> 2, to znamená u hlavních průjezdných kolejí</w:t>
      </w:r>
      <w:r w:rsidR="009436F2">
        <w:t>, to mimo jiné sleduje záměr, aby vlaky vjížděly a odjížděly přímým směrem bez omezení rychlosti</w:t>
      </w:r>
      <w:r>
        <w:t>;</w:t>
      </w:r>
    </w:p>
    <w:p w:rsidR="00631EAB" w:rsidRDefault="00F1708A" w:rsidP="00D20948">
      <w:pPr>
        <w:numPr>
          <w:ilvl w:val="0"/>
          <w:numId w:val="19"/>
        </w:numPr>
        <w:ind w:left="426"/>
      </w:pPr>
      <w:r>
        <w:t>pro trať Pardubice – Chrudim (-Havlíčkův Brod) jsou</w:t>
      </w:r>
      <w:r w:rsidR="00293942">
        <w:t xml:space="preserve"> určena nástupiště u kolejí č. 4a a 3</w:t>
      </w:r>
      <w:r w:rsidR="00C75225">
        <w:t>, což umožňuje křižovat dva vlaky tohoto směru, aniž by byly obsazovány hlavní kolej tratě Hradec králové - Pardubice</w:t>
      </w:r>
      <w:r w:rsidR="00293942">
        <w:t>.</w:t>
      </w:r>
    </w:p>
    <w:p w:rsidR="00F1708A" w:rsidRDefault="009436F2" w:rsidP="00293942">
      <w:pPr>
        <w:ind w:left="66"/>
      </w:pPr>
      <w:r>
        <w:t>Doprava může být organizována různě a i podle aktuálního jízdního řádu zde pravidelně křižují vlaky tratě Pardubice – Chrudim i Hradec Králové – Pardubice. Pravidelně se opakují situace, ve kterých se ve stanici současně nacházejí 3 osobní vlaky. Navržené uspořádání nástupišť umožňuje řešit všechny možné provozní situace s minimálním vzájemným rušením.</w:t>
      </w:r>
    </w:p>
    <w:p w:rsidR="00787127" w:rsidRDefault="009436F2" w:rsidP="00293942">
      <w:pPr>
        <w:ind w:left="66"/>
      </w:pPr>
      <w:r>
        <w:t xml:space="preserve">Pro pravidelnou nákladní dopravu jsou určeny koleje č. </w:t>
      </w:r>
      <w:smartTag w:uri="urn:schemas-microsoft-com:office:smarttags" w:element="metricconverter">
        <w:smartTagPr>
          <w:attr w:name="ProductID" w:val="5 a"/>
        </w:smartTagPr>
        <w:r>
          <w:t>5 a</w:t>
        </w:r>
      </w:smartTag>
      <w:r>
        <w:t xml:space="preserve"> 7. Nákladní doprava na trati Hradec Králové / odbočka Plačice – Pardubice není příliš intenzivní, je však nutné počítat i s vlaky, které jsou určeny přímo pro obsluhu Pardubice-Rosice n/L. a s nákladními vlaky směr Chrudim, které zde vykonávají úvrať. Ostatní liché koleje nejsou zabezpečeny pro jízdu vlaků a není důvod do nich zasahovat, proto se ponechávají. Ve stanici je několik aktivních vleček a ve výhledu se počítá s výstavbou Multimodálního logistického centra, které bude situováno při Labi a vlečka bude odbočovat z Pardubic-Rosice nad L. (překládka voda – silnice – železnice). Je proto nezbytné mít připravenou dostatečnou kolejovou kapacitu i pro nákladní dopravu</w:t>
      </w:r>
      <w:r w:rsidR="00787127">
        <w:t>.</w:t>
      </w:r>
    </w:p>
    <w:p w:rsidR="002E5756" w:rsidRDefault="002E5756">
      <w:pPr>
        <w:suppressAutoHyphens w:val="0"/>
        <w:spacing w:before="0" w:after="0" w:line="240" w:lineRule="auto"/>
        <w:jc w:val="left"/>
      </w:pPr>
    </w:p>
    <w:p w:rsidR="00787127" w:rsidRPr="00551B53" w:rsidRDefault="00787127" w:rsidP="00787127">
      <w:r w:rsidRPr="00551B53">
        <w:t xml:space="preserve">Počet kolejí potřebných pro osobní dopravu byl prověřen také výpočtově, shodně jako u železniční stanice Hradec Králové hlavní nádraží bylo uvažováno období </w:t>
      </w:r>
      <w:r w:rsidRPr="00551B53">
        <w:rPr>
          <w:u w:val="single"/>
        </w:rPr>
        <w:t>pětihodinové odpolední špičky</w:t>
      </w:r>
      <w:r w:rsidRPr="00551B53">
        <w:t>, konkrétně pro období 13:00 – 18:00 a pro koleje u nástupišť – tj. pro koleje č. </w:t>
      </w:r>
      <w:r w:rsidR="00EF1183" w:rsidRPr="00551B53">
        <w:t xml:space="preserve">3, </w:t>
      </w:r>
      <w:r w:rsidRPr="00551B53">
        <w:t xml:space="preserve">2, </w:t>
      </w:r>
      <w:smartTag w:uri="urn:schemas-microsoft-com:office:smarttags" w:element="metricconverter">
        <w:smartTagPr>
          <w:attr w:name="ProductID" w:val="1 a"/>
        </w:smartTagPr>
        <w:r w:rsidRPr="00551B53">
          <w:t>1 a</w:t>
        </w:r>
      </w:smartTag>
      <w:r w:rsidRPr="00551B53">
        <w:t xml:space="preserve"> </w:t>
      </w:r>
      <w:r w:rsidR="00EF1183" w:rsidRPr="00551B53">
        <w:t>4a</w:t>
      </w:r>
      <w:r w:rsidRPr="00551B53">
        <w:t xml:space="preserve">. </w:t>
      </w:r>
      <w:r w:rsidRPr="001168D6">
        <w:t>Základem pro výpo</w:t>
      </w:r>
      <w:r w:rsidRPr="001168D6">
        <w:rPr>
          <w:rFonts w:hint="eastAsia"/>
        </w:rPr>
        <w:t>č</w:t>
      </w:r>
      <w:r w:rsidRPr="001168D6">
        <w:t xml:space="preserve">et byl </w:t>
      </w:r>
      <w:r w:rsidR="00EF1183" w:rsidRPr="001168D6">
        <w:t>modelový grafikon vlakové dopravy a pro vlaky sm</w:t>
      </w:r>
      <w:r w:rsidR="00EF1183" w:rsidRPr="001168D6">
        <w:rPr>
          <w:rFonts w:hint="eastAsia"/>
        </w:rPr>
        <w:t>ě</w:t>
      </w:r>
      <w:r w:rsidR="00EF1183" w:rsidRPr="001168D6">
        <w:t xml:space="preserve">r Chrudim aktuální jízdní </w:t>
      </w:r>
      <w:r w:rsidR="00EF1183" w:rsidRPr="001168D6">
        <w:rPr>
          <w:rFonts w:hint="eastAsia"/>
        </w:rPr>
        <w:t>řá</w:t>
      </w:r>
      <w:r w:rsidR="00EF1183" w:rsidRPr="001168D6">
        <w:t>d pro rok 2013</w:t>
      </w:r>
      <w:r w:rsidR="00E523AB" w:rsidRPr="001168D6">
        <w:t xml:space="preserve"> s tou úpravou, že skute</w:t>
      </w:r>
      <w:r w:rsidR="00E523AB" w:rsidRPr="001168D6">
        <w:rPr>
          <w:rFonts w:hint="eastAsia"/>
        </w:rPr>
        <w:t>č</w:t>
      </w:r>
      <w:r w:rsidR="00E523AB" w:rsidRPr="001168D6">
        <w:t>né doby pobyt</w:t>
      </w:r>
      <w:r w:rsidR="00E523AB" w:rsidRPr="001168D6">
        <w:rPr>
          <w:rFonts w:hint="eastAsia"/>
        </w:rPr>
        <w:t>ů</w:t>
      </w:r>
      <w:r w:rsidR="00E523AB" w:rsidRPr="001168D6">
        <w:t xml:space="preserve"> vlak</w:t>
      </w:r>
      <w:r w:rsidR="00E523AB" w:rsidRPr="001168D6">
        <w:rPr>
          <w:rFonts w:hint="eastAsia"/>
        </w:rPr>
        <w:t>ů</w:t>
      </w:r>
      <w:r w:rsidR="00E523AB" w:rsidRPr="001168D6">
        <w:t xml:space="preserve"> sm</w:t>
      </w:r>
      <w:r w:rsidR="00E523AB" w:rsidRPr="001168D6">
        <w:rPr>
          <w:rFonts w:hint="eastAsia"/>
        </w:rPr>
        <w:t>ě</w:t>
      </w:r>
      <w:r w:rsidR="00E523AB" w:rsidRPr="001168D6">
        <w:t>r Chrudim byly zkráceny o 2,5 min v pr</w:t>
      </w:r>
      <w:r w:rsidR="00E523AB" w:rsidRPr="001168D6">
        <w:rPr>
          <w:rFonts w:hint="eastAsia"/>
        </w:rPr>
        <w:t>ů</w:t>
      </w:r>
      <w:r w:rsidR="00E523AB" w:rsidRPr="001168D6">
        <w:t>m</w:t>
      </w:r>
      <w:r w:rsidR="00E523AB" w:rsidRPr="001168D6">
        <w:rPr>
          <w:rFonts w:hint="eastAsia"/>
        </w:rPr>
        <w:t>ě</w:t>
      </w:r>
      <w:r w:rsidR="00E523AB" w:rsidRPr="001168D6">
        <w:t>ru na 1 vlak. D</w:t>
      </w:r>
      <w:r w:rsidR="00E523AB" w:rsidRPr="001168D6">
        <w:rPr>
          <w:rFonts w:hint="eastAsia"/>
        </w:rPr>
        <w:t>ů</w:t>
      </w:r>
      <w:r w:rsidR="00E523AB" w:rsidRPr="001168D6">
        <w:t>vodem je skute</w:t>
      </w:r>
      <w:r w:rsidR="00E523AB" w:rsidRPr="001168D6">
        <w:rPr>
          <w:rFonts w:hint="eastAsia"/>
        </w:rPr>
        <w:t>č</w:t>
      </w:r>
      <w:r w:rsidR="00E523AB" w:rsidRPr="001168D6">
        <w:t>nost, že výpo</w:t>
      </w:r>
      <w:r w:rsidR="00E523AB" w:rsidRPr="001168D6">
        <w:rPr>
          <w:rFonts w:hint="eastAsia"/>
        </w:rPr>
        <w:t>č</w:t>
      </w:r>
      <w:r w:rsidR="00E523AB" w:rsidRPr="001168D6">
        <w:t>et je d</w:t>
      </w:r>
      <w:r w:rsidR="00E523AB" w:rsidRPr="001168D6">
        <w:rPr>
          <w:rFonts w:hint="eastAsia"/>
        </w:rPr>
        <w:t>ě</w:t>
      </w:r>
      <w:r w:rsidR="00E523AB" w:rsidRPr="001168D6">
        <w:t>l</w:t>
      </w:r>
      <w:r w:rsidR="001168D6">
        <w:t>á</w:t>
      </w:r>
      <w:r w:rsidR="00E523AB" w:rsidRPr="001168D6">
        <w:t xml:space="preserve">n pro </w:t>
      </w:r>
      <w:r w:rsidR="001168D6">
        <w:t xml:space="preserve">dvoukolejný </w:t>
      </w:r>
      <w:r w:rsidR="00E523AB" w:rsidRPr="001168D6">
        <w:t>úsek Pardubice – Pardubice-Rosice nad Lab., což odhadem p</w:t>
      </w:r>
      <w:r w:rsidR="00E523AB" w:rsidRPr="001168D6">
        <w:rPr>
          <w:rFonts w:hint="eastAsia"/>
        </w:rPr>
        <w:t>ř</w:t>
      </w:r>
      <w:r w:rsidR="00E523AB" w:rsidRPr="001168D6">
        <w:t xml:space="preserve">inese </w:t>
      </w:r>
      <w:r w:rsidR="00E523AB" w:rsidRPr="001168D6">
        <w:rPr>
          <w:rFonts w:hint="eastAsia"/>
        </w:rPr>
        <w:t>č</w:t>
      </w:r>
      <w:r w:rsidR="00E523AB" w:rsidRPr="001168D6">
        <w:t xml:space="preserve">asovou úsporu 2,5 min / 1 vlak (soulad s kapitolou </w:t>
      </w:r>
      <w:r w:rsidR="00B52A13" w:rsidRPr="001168D6">
        <w:fldChar w:fldCharType="begin"/>
      </w:r>
      <w:r w:rsidR="00B52A13" w:rsidRPr="001168D6">
        <w:instrText xml:space="preserve"> REF _Ref344989378 \r \h  \* MERGEFORMAT </w:instrText>
      </w:r>
      <w:r w:rsidR="00B52A13" w:rsidRPr="001168D6">
        <w:fldChar w:fldCharType="separate"/>
      </w:r>
      <w:r w:rsidR="003843F3">
        <w:t>5.3.3</w:t>
      </w:r>
      <w:r w:rsidR="00B52A13" w:rsidRPr="001168D6">
        <w:fldChar w:fldCharType="end"/>
      </w:r>
      <w:r w:rsidR="00E523AB" w:rsidRPr="001168D6">
        <w:t xml:space="preserve">) </w:t>
      </w:r>
      <w:r w:rsidRPr="001168D6">
        <w:t>Výpo</w:t>
      </w:r>
      <w:r w:rsidRPr="001168D6">
        <w:rPr>
          <w:rFonts w:hint="eastAsia"/>
        </w:rPr>
        <w:t>č</w:t>
      </w:r>
      <w:r w:rsidRPr="001168D6">
        <w:t>et dává tyto výsledky:</w:t>
      </w:r>
    </w:p>
    <w:p w:rsidR="00787127" w:rsidRPr="00551B53" w:rsidRDefault="00787127" w:rsidP="00787127">
      <w:pPr>
        <w:pStyle w:val="Bezmezer"/>
      </w:pPr>
      <w:r w:rsidRPr="00551B53">
        <w:t xml:space="preserve">Výpočetní doba </w:t>
      </w:r>
      <w:r w:rsidRPr="00551B53">
        <w:tab/>
      </w:r>
      <w:r w:rsidRPr="00551B53">
        <w:tab/>
      </w:r>
      <w:r w:rsidRPr="00551B53">
        <w:tab/>
      </w:r>
      <w:r w:rsidRPr="00551B53">
        <w:tab/>
      </w:r>
      <w:r w:rsidRPr="00551B53">
        <w:tab/>
      </w:r>
      <w:r w:rsidR="00940AE8">
        <w:tab/>
      </w:r>
      <w:r w:rsidRPr="00551B53">
        <w:tab/>
        <w:t>300 minut</w:t>
      </w:r>
    </w:p>
    <w:p w:rsidR="00787127" w:rsidRPr="00551B53" w:rsidRDefault="00787127" w:rsidP="00787127">
      <w:pPr>
        <w:pStyle w:val="Bezmezer"/>
      </w:pPr>
      <w:r w:rsidRPr="00551B53">
        <w:t xml:space="preserve">Počet dopravních kolejí, které jsou zahrnuty do výpočtu </w:t>
      </w:r>
      <w:r w:rsidRPr="00551B53">
        <w:tab/>
      </w:r>
      <w:r w:rsidR="00940AE8">
        <w:tab/>
      </w:r>
      <w:r w:rsidRPr="00551B53">
        <w:tab/>
      </w:r>
      <w:r w:rsidR="00E523AB" w:rsidRPr="00551B53">
        <w:t>4</w:t>
      </w:r>
    </w:p>
    <w:p w:rsidR="00787127" w:rsidRPr="00551B53" w:rsidRDefault="00787127" w:rsidP="00787127">
      <w:pPr>
        <w:pStyle w:val="Bezmezer"/>
      </w:pPr>
      <w:r w:rsidRPr="00551B53">
        <w:t>Průměrná doba obsazení jedním vlakem</w:t>
      </w:r>
      <w:r w:rsidRPr="00551B53">
        <w:tab/>
      </w:r>
      <w:r w:rsidRPr="00551B53">
        <w:tab/>
      </w:r>
      <w:r w:rsidRPr="00551B53">
        <w:tab/>
      </w:r>
      <w:r w:rsidR="00940AE8">
        <w:tab/>
      </w:r>
      <w:r w:rsidRPr="00551B53">
        <w:tab/>
        <w:t>5</w:t>
      </w:r>
      <w:r w:rsidR="00E523AB" w:rsidRPr="00551B53">
        <w:t>,05</w:t>
      </w:r>
      <w:r w:rsidRPr="00551B53">
        <w:t xml:space="preserve"> minut</w:t>
      </w:r>
    </w:p>
    <w:p w:rsidR="00787127" w:rsidRPr="00551B53" w:rsidRDefault="00787127" w:rsidP="00787127">
      <w:pPr>
        <w:pStyle w:val="Bezmezer"/>
      </w:pPr>
      <w:r w:rsidRPr="00551B53">
        <w:t>Poměrná doba rušení připadající na jeden vlak</w:t>
      </w:r>
      <w:r w:rsidRPr="00551B53">
        <w:tab/>
      </w:r>
      <w:r w:rsidRPr="00551B53">
        <w:tab/>
      </w:r>
      <w:r w:rsidR="00940AE8">
        <w:tab/>
      </w:r>
      <w:r w:rsidRPr="00551B53">
        <w:tab/>
      </w:r>
      <w:r w:rsidR="00E523AB" w:rsidRPr="00551B53">
        <w:t>0</w:t>
      </w:r>
      <w:r w:rsidRPr="00551B53">
        <w:t>,</w:t>
      </w:r>
      <w:r w:rsidR="00E523AB" w:rsidRPr="00551B53">
        <w:t>58</w:t>
      </w:r>
      <w:r w:rsidRPr="00551B53">
        <w:t xml:space="preserve"> minut</w:t>
      </w:r>
    </w:p>
    <w:p w:rsidR="00787127" w:rsidRPr="00551B53" w:rsidRDefault="00787127" w:rsidP="00787127">
      <w:pPr>
        <w:pStyle w:val="Bezmezer"/>
      </w:pPr>
      <w:r w:rsidRPr="00551B53">
        <w:t>Časová záloha připadající na jeden vlak</w:t>
      </w:r>
      <w:r w:rsidRPr="00551B53">
        <w:tab/>
      </w:r>
      <w:r w:rsidRPr="00551B53">
        <w:tab/>
      </w:r>
      <w:r w:rsidRPr="00551B53">
        <w:tab/>
      </w:r>
      <w:r w:rsidR="00940AE8">
        <w:tab/>
      </w:r>
      <w:r w:rsidRPr="00551B53">
        <w:tab/>
        <w:t>1</w:t>
      </w:r>
      <w:r w:rsidR="00E523AB" w:rsidRPr="00551B53">
        <w:t>0</w:t>
      </w:r>
      <w:r w:rsidRPr="00551B53">
        <w:t>,</w:t>
      </w:r>
      <w:r w:rsidR="00E523AB" w:rsidRPr="00551B53">
        <w:t>14</w:t>
      </w:r>
      <w:r w:rsidRPr="00551B53">
        <w:t xml:space="preserve"> minut</w:t>
      </w:r>
    </w:p>
    <w:p w:rsidR="00787127" w:rsidRPr="00551B53" w:rsidRDefault="00787127" w:rsidP="00787127">
      <w:pPr>
        <w:pStyle w:val="Bezmezer"/>
      </w:pPr>
      <w:r w:rsidRPr="00551B53">
        <w:t>Celkový počet vlaků zahrnutých do výpočtu</w:t>
      </w:r>
      <w:r w:rsidRPr="00551B53">
        <w:tab/>
      </w:r>
      <w:r w:rsidRPr="00551B53">
        <w:tab/>
      </w:r>
      <w:r w:rsidR="00940AE8">
        <w:tab/>
      </w:r>
      <w:r w:rsidRPr="00551B53">
        <w:tab/>
      </w:r>
      <w:r w:rsidR="00E523AB" w:rsidRPr="00551B53">
        <w:t>78</w:t>
      </w:r>
    </w:p>
    <w:p w:rsidR="00787127" w:rsidRPr="00551B53" w:rsidRDefault="00787127" w:rsidP="00787127">
      <w:pPr>
        <w:pStyle w:val="Bezmezer"/>
      </w:pPr>
      <w:r w:rsidRPr="00551B53">
        <w:t>Praktická propustnost (ve vlacích)</w:t>
      </w:r>
      <w:r w:rsidRPr="00551B53">
        <w:tab/>
      </w:r>
      <w:r w:rsidRPr="00551B53">
        <w:tab/>
      </w:r>
      <w:r w:rsidRPr="00551B53">
        <w:tab/>
      </w:r>
      <w:r w:rsidR="00940AE8">
        <w:tab/>
      </w:r>
      <w:r w:rsidRPr="00551B53">
        <w:tab/>
      </w:r>
      <w:r w:rsidR="00E523AB" w:rsidRPr="00551B53">
        <w:rPr>
          <w:b/>
          <w:bCs/>
        </w:rPr>
        <w:t>82</w:t>
      </w:r>
    </w:p>
    <w:p w:rsidR="00787127" w:rsidRPr="00551B53" w:rsidRDefault="00787127" w:rsidP="00787127">
      <w:pPr>
        <w:pStyle w:val="Bezmezer"/>
      </w:pPr>
      <w:r w:rsidRPr="00551B53">
        <w:t>Využití praktické propustnosti</w:t>
      </w:r>
      <w:r w:rsidRPr="00551B53">
        <w:tab/>
      </w:r>
      <w:r w:rsidRPr="00551B53">
        <w:tab/>
      </w:r>
      <w:r w:rsidRPr="00551B53">
        <w:tab/>
      </w:r>
      <w:r w:rsidRPr="00551B53">
        <w:tab/>
      </w:r>
      <w:r w:rsidR="00940AE8">
        <w:tab/>
      </w:r>
      <w:r w:rsidRPr="00551B53">
        <w:tab/>
      </w:r>
      <w:r w:rsidR="00E523AB" w:rsidRPr="00551B53">
        <w:rPr>
          <w:b/>
          <w:bCs/>
        </w:rPr>
        <w:t>95</w:t>
      </w:r>
      <w:r w:rsidRPr="00551B53">
        <w:rPr>
          <w:b/>
          <w:bCs/>
        </w:rPr>
        <w:t>,</w:t>
      </w:r>
      <w:r w:rsidR="00E523AB" w:rsidRPr="00551B53">
        <w:rPr>
          <w:b/>
          <w:bCs/>
        </w:rPr>
        <w:t>1</w:t>
      </w:r>
      <w:r w:rsidRPr="00551B53">
        <w:rPr>
          <w:b/>
          <w:bCs/>
        </w:rPr>
        <w:t xml:space="preserve"> %</w:t>
      </w:r>
    </w:p>
    <w:p w:rsidR="00787127" w:rsidRPr="00551B53" w:rsidRDefault="00787127" w:rsidP="00787127">
      <w:pPr>
        <w:pStyle w:val="Bezmezer"/>
        <w:rPr>
          <w:b/>
          <w:bCs/>
        </w:rPr>
      </w:pPr>
      <w:r w:rsidRPr="00551B53">
        <w:t>Stupeň obsazení</w:t>
      </w:r>
      <w:r w:rsidRPr="00551B53">
        <w:tab/>
      </w:r>
      <w:r w:rsidRPr="00551B53">
        <w:tab/>
      </w:r>
      <w:r w:rsidRPr="00551B53">
        <w:tab/>
      </w:r>
      <w:r w:rsidRPr="00551B53">
        <w:tab/>
      </w:r>
      <w:r w:rsidRPr="00551B53">
        <w:tab/>
      </w:r>
      <w:r w:rsidR="00940AE8">
        <w:tab/>
      </w:r>
      <w:r w:rsidRPr="00551B53">
        <w:tab/>
      </w:r>
      <w:r w:rsidRPr="00551B53">
        <w:rPr>
          <w:b/>
          <w:bCs/>
        </w:rPr>
        <w:t>0,</w:t>
      </w:r>
      <w:r w:rsidR="00E523AB" w:rsidRPr="00551B53">
        <w:rPr>
          <w:b/>
          <w:bCs/>
        </w:rPr>
        <w:t>33</w:t>
      </w:r>
    </w:p>
    <w:p w:rsidR="00E523AB" w:rsidRPr="00551B53" w:rsidRDefault="00E523AB" w:rsidP="00787127">
      <w:pPr>
        <w:pStyle w:val="Bezmezer"/>
        <w:rPr>
          <w:b/>
          <w:bCs/>
        </w:rPr>
      </w:pPr>
    </w:p>
    <w:p w:rsidR="00F1708A" w:rsidRPr="008E1A77" w:rsidRDefault="00287F24" w:rsidP="006A637B">
      <w:r w:rsidRPr="00EA71B7">
        <w:rPr>
          <w:bCs/>
        </w:rPr>
        <w:t>Předpis D 24</w:t>
      </w:r>
      <w:r w:rsidRPr="00EA71B7">
        <w:t xml:space="preserve"> stanoví, že počet kolejí se za každých započatých 10 kolejí snižuje o 1 kolej (v tomto případě ze 4 na 3). Pokud vezmeme v úvahu nesnížený počet kolejí (4), což se v tomto případě zdá oprávněné, pak propustnost vzroste z 82 na 112 vlaků. </w:t>
      </w:r>
    </w:p>
    <w:p w:rsidR="002E5756" w:rsidRDefault="002E5756">
      <w:pPr>
        <w:suppressAutoHyphens w:val="0"/>
        <w:spacing w:before="0" w:after="0" w:line="240" w:lineRule="auto"/>
        <w:jc w:val="left"/>
        <w:rPr>
          <w:rFonts w:cs="Arial"/>
          <w:b/>
          <w:bCs/>
          <w:iCs/>
          <w:sz w:val="28"/>
          <w:szCs w:val="28"/>
        </w:rPr>
      </w:pPr>
      <w:bookmarkStart w:id="170" w:name="_Ref323200912"/>
      <w:bookmarkStart w:id="171" w:name="_Ref323200923"/>
      <w:r>
        <w:br w:type="page"/>
      </w:r>
    </w:p>
    <w:p w:rsidR="00225B27" w:rsidRDefault="00225B27">
      <w:pPr>
        <w:pStyle w:val="Nadpis2"/>
      </w:pPr>
      <w:bookmarkStart w:id="172" w:name="_Toc390958702"/>
      <w:r>
        <w:t>Úspory dopravních zaměstnanců</w:t>
      </w:r>
      <w:bookmarkEnd w:id="170"/>
      <w:bookmarkEnd w:id="171"/>
      <w:bookmarkEnd w:id="172"/>
    </w:p>
    <w:p w:rsidR="0082658E" w:rsidRDefault="00BA51F6" w:rsidP="0082658E">
      <w:r>
        <w:t xml:space="preserve">Rozsah investičních zásahů se promítne do personální potřeby. Předpokládané úspory pracovních sil jsou </w:t>
      </w:r>
      <w:r w:rsidR="00255D75">
        <w:t xml:space="preserve">pro varianty, které jsou předmětem ekonomického hodnocení </w:t>
      </w:r>
      <w:r>
        <w:t>vyčísleny v následující tabulce</w:t>
      </w:r>
      <w:r w:rsidR="00255D75">
        <w:t>:</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8"/>
        <w:gridCol w:w="1843"/>
        <w:gridCol w:w="1134"/>
        <w:gridCol w:w="992"/>
        <w:gridCol w:w="992"/>
        <w:gridCol w:w="992"/>
        <w:gridCol w:w="993"/>
        <w:gridCol w:w="992"/>
      </w:tblGrid>
      <w:tr w:rsidR="00C7770C" w:rsidTr="00940AE8">
        <w:tc>
          <w:tcPr>
            <w:tcW w:w="9356" w:type="dxa"/>
            <w:gridSpan w:val="8"/>
            <w:tcBorders>
              <w:bottom w:val="single" w:sz="4" w:space="0" w:color="000000"/>
            </w:tcBorders>
          </w:tcPr>
          <w:p w:rsidR="00C7770C" w:rsidRPr="00964BCE" w:rsidRDefault="00C7770C" w:rsidP="002E5756">
            <w:pPr>
              <w:pStyle w:val="Titulek"/>
              <w:rPr>
                <w:rFonts w:cs="Tahoma"/>
                <w:lang w:eastAsia="cs-CZ"/>
              </w:rPr>
            </w:pPr>
            <w:bookmarkStart w:id="173" w:name="_Toc390958772"/>
            <w:bookmarkStart w:id="174" w:name="_Toc391034576"/>
            <w:r w:rsidRPr="00964BCE">
              <w:t xml:space="preserve">Tab. </w:t>
            </w:r>
            <w:r w:rsidR="000E79AE">
              <w:fldChar w:fldCharType="begin"/>
            </w:r>
            <w:r w:rsidR="000E79AE">
              <w:instrText xml:space="preserve"> STYLEREF 1 \s </w:instrText>
            </w:r>
            <w:r w:rsidR="000E79AE">
              <w:fldChar w:fldCharType="separate"/>
            </w:r>
            <w:r w:rsidR="003843F3">
              <w:rPr>
                <w:noProof/>
              </w:rPr>
              <w:t>4</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21</w:t>
            </w:r>
            <w:r w:rsidR="000E79AE">
              <w:fldChar w:fldCharType="end"/>
            </w:r>
            <w:r w:rsidRPr="00964BCE">
              <w:t>: Předpokládaný rozsah personálních úspor</w:t>
            </w:r>
            <w:bookmarkEnd w:id="173"/>
            <w:bookmarkEnd w:id="174"/>
          </w:p>
        </w:tc>
      </w:tr>
      <w:tr w:rsidR="00C7770C" w:rsidTr="00940AE8">
        <w:tc>
          <w:tcPr>
            <w:tcW w:w="1418" w:type="dxa"/>
            <w:vMerge w:val="restart"/>
            <w:shd w:val="pct12" w:color="auto" w:fill="auto"/>
          </w:tcPr>
          <w:p w:rsidR="00C7770C" w:rsidRPr="00940AE8" w:rsidRDefault="00C7770C" w:rsidP="006972B9">
            <w:pPr>
              <w:pStyle w:val="Tabulkovtext"/>
              <w:rPr>
                <w:rFonts w:cs="Tahoma"/>
                <w:szCs w:val="18"/>
                <w:lang w:eastAsia="cs-CZ"/>
              </w:rPr>
            </w:pPr>
            <w:r w:rsidRPr="00940AE8">
              <w:rPr>
                <w:rFonts w:cs="Tahoma"/>
                <w:szCs w:val="18"/>
                <w:lang w:eastAsia="cs-CZ"/>
              </w:rPr>
              <w:t>dopravna</w:t>
            </w:r>
          </w:p>
        </w:tc>
        <w:tc>
          <w:tcPr>
            <w:tcW w:w="1843" w:type="dxa"/>
            <w:vMerge w:val="restart"/>
            <w:shd w:val="pct12" w:color="auto" w:fill="auto"/>
          </w:tcPr>
          <w:p w:rsidR="00C7770C" w:rsidRPr="00940AE8" w:rsidRDefault="00C7770C" w:rsidP="006972B9">
            <w:pPr>
              <w:pStyle w:val="Tabulkovtext"/>
              <w:rPr>
                <w:rFonts w:cs="Tahoma"/>
                <w:szCs w:val="18"/>
                <w:lang w:eastAsia="cs-CZ"/>
              </w:rPr>
            </w:pPr>
            <w:r w:rsidRPr="00940AE8">
              <w:rPr>
                <w:rFonts w:cs="Tahoma"/>
                <w:szCs w:val="18"/>
                <w:lang w:eastAsia="cs-CZ"/>
              </w:rPr>
              <w:t>funkce</w:t>
            </w:r>
          </w:p>
        </w:tc>
        <w:tc>
          <w:tcPr>
            <w:tcW w:w="1134" w:type="dxa"/>
            <w:vMerge w:val="restart"/>
            <w:tcBorders>
              <w:right w:val="single" w:sz="12" w:space="0" w:color="auto"/>
            </w:tcBorders>
            <w:shd w:val="pct12" w:color="auto" w:fill="auto"/>
          </w:tcPr>
          <w:p w:rsidR="00C7770C" w:rsidRPr="00940AE8" w:rsidRDefault="002E5756" w:rsidP="002E5756">
            <w:pPr>
              <w:pStyle w:val="Tabulkovtext"/>
              <w:rPr>
                <w:rFonts w:cs="Tahoma"/>
                <w:szCs w:val="18"/>
                <w:lang w:eastAsia="cs-CZ"/>
              </w:rPr>
            </w:pPr>
            <w:r w:rsidRPr="00940AE8">
              <w:rPr>
                <w:rFonts w:cs="Tahoma"/>
                <w:szCs w:val="18"/>
                <w:lang w:eastAsia="cs-CZ"/>
              </w:rPr>
              <w:t>praco</w:t>
            </w:r>
            <w:r w:rsidR="00C7770C" w:rsidRPr="00940AE8">
              <w:rPr>
                <w:rFonts w:cs="Tahoma"/>
                <w:szCs w:val="18"/>
                <w:lang w:eastAsia="cs-CZ"/>
              </w:rPr>
              <w:t>viště</w:t>
            </w:r>
          </w:p>
        </w:tc>
        <w:tc>
          <w:tcPr>
            <w:tcW w:w="4961" w:type="dxa"/>
            <w:gridSpan w:val="5"/>
            <w:tcBorders>
              <w:left w:val="single" w:sz="12" w:space="0" w:color="auto"/>
            </w:tcBorders>
            <w:shd w:val="pct12" w:color="auto" w:fill="auto"/>
          </w:tcPr>
          <w:p w:rsidR="00C7770C" w:rsidRPr="00940AE8" w:rsidRDefault="00C7770C" w:rsidP="006972B9">
            <w:pPr>
              <w:pStyle w:val="Tabulkovtext"/>
              <w:jc w:val="center"/>
              <w:rPr>
                <w:rFonts w:cs="Tahoma"/>
                <w:szCs w:val="18"/>
                <w:lang w:eastAsia="cs-CZ"/>
              </w:rPr>
            </w:pPr>
            <w:r w:rsidRPr="00940AE8">
              <w:rPr>
                <w:rFonts w:cs="Tahoma"/>
                <w:szCs w:val="18"/>
                <w:lang w:eastAsia="cs-CZ"/>
              </w:rPr>
              <w:t>počet pracovních míst</w:t>
            </w:r>
          </w:p>
        </w:tc>
      </w:tr>
      <w:tr w:rsidR="001168D6" w:rsidTr="00940AE8">
        <w:tc>
          <w:tcPr>
            <w:tcW w:w="1418" w:type="dxa"/>
            <w:vMerge/>
            <w:tcBorders>
              <w:bottom w:val="single" w:sz="12" w:space="0" w:color="auto"/>
            </w:tcBorders>
            <w:shd w:val="pct12" w:color="auto" w:fill="auto"/>
          </w:tcPr>
          <w:p w:rsidR="001168D6" w:rsidRPr="00940AE8" w:rsidRDefault="001168D6" w:rsidP="006972B9">
            <w:pPr>
              <w:pStyle w:val="Tabulkovtext"/>
              <w:rPr>
                <w:rFonts w:cs="Tahoma"/>
                <w:szCs w:val="18"/>
                <w:lang w:eastAsia="cs-CZ"/>
              </w:rPr>
            </w:pPr>
          </w:p>
        </w:tc>
        <w:tc>
          <w:tcPr>
            <w:tcW w:w="1843" w:type="dxa"/>
            <w:vMerge/>
            <w:tcBorders>
              <w:bottom w:val="single" w:sz="12" w:space="0" w:color="auto"/>
            </w:tcBorders>
            <w:shd w:val="pct12" w:color="auto" w:fill="auto"/>
          </w:tcPr>
          <w:p w:rsidR="001168D6" w:rsidRPr="00940AE8" w:rsidRDefault="001168D6" w:rsidP="006972B9">
            <w:pPr>
              <w:pStyle w:val="Tabulkovtext"/>
              <w:rPr>
                <w:rFonts w:cs="Tahoma"/>
                <w:szCs w:val="18"/>
                <w:lang w:eastAsia="cs-CZ"/>
              </w:rPr>
            </w:pPr>
          </w:p>
        </w:tc>
        <w:tc>
          <w:tcPr>
            <w:tcW w:w="1134" w:type="dxa"/>
            <w:vMerge/>
            <w:tcBorders>
              <w:bottom w:val="single" w:sz="12" w:space="0" w:color="auto"/>
              <w:right w:val="single" w:sz="12" w:space="0" w:color="auto"/>
            </w:tcBorders>
            <w:shd w:val="pct12" w:color="auto" w:fill="auto"/>
          </w:tcPr>
          <w:p w:rsidR="001168D6" w:rsidRPr="00940AE8" w:rsidRDefault="001168D6" w:rsidP="006972B9">
            <w:pPr>
              <w:pStyle w:val="Tabulkovtext"/>
              <w:rPr>
                <w:rFonts w:cs="Tahoma"/>
                <w:szCs w:val="18"/>
                <w:lang w:eastAsia="cs-CZ"/>
              </w:rPr>
            </w:pPr>
          </w:p>
        </w:tc>
        <w:tc>
          <w:tcPr>
            <w:tcW w:w="992" w:type="dxa"/>
            <w:tcBorders>
              <w:left w:val="single" w:sz="12" w:space="0" w:color="auto"/>
              <w:bottom w:val="single" w:sz="12" w:space="0" w:color="auto"/>
            </w:tcBorders>
            <w:shd w:val="pct12" w:color="auto" w:fill="auto"/>
          </w:tcPr>
          <w:p w:rsidR="001168D6" w:rsidRPr="00940AE8" w:rsidRDefault="001168D6" w:rsidP="006972B9">
            <w:pPr>
              <w:pStyle w:val="Tabulkovtext"/>
              <w:jc w:val="left"/>
              <w:rPr>
                <w:rFonts w:cs="Tahoma"/>
                <w:szCs w:val="18"/>
                <w:lang w:eastAsia="cs-CZ"/>
              </w:rPr>
            </w:pPr>
            <w:r w:rsidRPr="00940AE8">
              <w:rPr>
                <w:rFonts w:cs="Tahoma"/>
                <w:szCs w:val="18"/>
                <w:lang w:eastAsia="cs-CZ"/>
              </w:rPr>
              <w:t>současn.</w:t>
            </w:r>
          </w:p>
        </w:tc>
        <w:tc>
          <w:tcPr>
            <w:tcW w:w="992" w:type="dxa"/>
            <w:tcBorders>
              <w:bottom w:val="single" w:sz="12" w:space="0" w:color="auto"/>
            </w:tcBorders>
            <w:shd w:val="pct12" w:color="auto" w:fill="auto"/>
          </w:tcPr>
          <w:p w:rsidR="001168D6" w:rsidRPr="00940AE8" w:rsidRDefault="001168D6" w:rsidP="006972B9">
            <w:pPr>
              <w:pStyle w:val="Tabulkovtext"/>
              <w:jc w:val="left"/>
              <w:rPr>
                <w:rFonts w:cs="Tahoma"/>
                <w:szCs w:val="18"/>
                <w:lang w:eastAsia="cs-CZ"/>
              </w:rPr>
            </w:pPr>
            <w:r w:rsidRPr="00940AE8">
              <w:rPr>
                <w:rFonts w:cs="Tahoma"/>
                <w:szCs w:val="18"/>
                <w:lang w:eastAsia="cs-CZ"/>
              </w:rPr>
              <w:t>bez proj.</w:t>
            </w:r>
          </w:p>
        </w:tc>
        <w:tc>
          <w:tcPr>
            <w:tcW w:w="992" w:type="dxa"/>
            <w:tcBorders>
              <w:bottom w:val="single" w:sz="12" w:space="0" w:color="auto"/>
            </w:tcBorders>
            <w:shd w:val="pct12" w:color="auto" w:fill="auto"/>
          </w:tcPr>
          <w:p w:rsidR="001168D6" w:rsidRPr="00940AE8" w:rsidRDefault="001168D6" w:rsidP="006972B9">
            <w:pPr>
              <w:pStyle w:val="Tabulkovtext"/>
              <w:jc w:val="left"/>
              <w:rPr>
                <w:rFonts w:cs="Tahoma"/>
                <w:szCs w:val="18"/>
                <w:lang w:eastAsia="cs-CZ"/>
              </w:rPr>
            </w:pPr>
            <w:r w:rsidRPr="00940AE8">
              <w:rPr>
                <w:rFonts w:cs="Tahoma"/>
                <w:szCs w:val="18"/>
                <w:lang w:eastAsia="cs-CZ"/>
              </w:rPr>
              <w:t>Minimální</w:t>
            </w:r>
          </w:p>
        </w:tc>
        <w:tc>
          <w:tcPr>
            <w:tcW w:w="993" w:type="dxa"/>
            <w:tcBorders>
              <w:bottom w:val="single" w:sz="12" w:space="0" w:color="auto"/>
            </w:tcBorders>
            <w:shd w:val="pct12" w:color="auto" w:fill="auto"/>
          </w:tcPr>
          <w:p w:rsidR="001168D6" w:rsidRPr="00940AE8" w:rsidRDefault="001168D6" w:rsidP="001168D6">
            <w:pPr>
              <w:pStyle w:val="Tabulkovtext"/>
              <w:jc w:val="left"/>
              <w:rPr>
                <w:rFonts w:cs="Tahoma"/>
                <w:szCs w:val="18"/>
                <w:lang w:eastAsia="cs-CZ"/>
              </w:rPr>
            </w:pPr>
            <w:r w:rsidRPr="00940AE8">
              <w:rPr>
                <w:rFonts w:cs="Tahoma"/>
                <w:szCs w:val="18"/>
                <w:lang w:eastAsia="cs-CZ"/>
              </w:rPr>
              <w:t>Etapa</w:t>
            </w:r>
          </w:p>
        </w:tc>
        <w:tc>
          <w:tcPr>
            <w:tcW w:w="992" w:type="dxa"/>
            <w:tcBorders>
              <w:bottom w:val="single" w:sz="12" w:space="0" w:color="auto"/>
            </w:tcBorders>
            <w:shd w:val="pct12" w:color="auto" w:fill="auto"/>
          </w:tcPr>
          <w:p w:rsidR="001168D6" w:rsidRPr="00940AE8" w:rsidRDefault="001168D6" w:rsidP="006972B9">
            <w:pPr>
              <w:pStyle w:val="Tabulkovtext"/>
              <w:rPr>
                <w:rFonts w:cs="Tahoma"/>
                <w:szCs w:val="18"/>
                <w:lang w:eastAsia="cs-CZ"/>
              </w:rPr>
            </w:pPr>
            <w:r w:rsidRPr="00940AE8">
              <w:rPr>
                <w:rFonts w:cs="Tahoma"/>
                <w:szCs w:val="18"/>
                <w:lang w:eastAsia="cs-CZ"/>
              </w:rPr>
              <w:t>Maxim.</w:t>
            </w:r>
          </w:p>
        </w:tc>
      </w:tr>
      <w:tr w:rsidR="001168D6" w:rsidTr="00940AE8">
        <w:tc>
          <w:tcPr>
            <w:tcW w:w="1418" w:type="dxa"/>
            <w:vMerge w:val="restart"/>
            <w:tcBorders>
              <w:top w:val="single" w:sz="12" w:space="0" w:color="auto"/>
            </w:tcBorders>
            <w:shd w:val="pct12" w:color="auto" w:fill="auto"/>
            <w:vAlign w:val="center"/>
          </w:tcPr>
          <w:p w:rsidR="001168D6" w:rsidRPr="00940AE8" w:rsidRDefault="001168D6" w:rsidP="002E5756">
            <w:pPr>
              <w:pStyle w:val="Tabulkovtext"/>
              <w:jc w:val="left"/>
              <w:rPr>
                <w:rFonts w:cs="Tahoma"/>
                <w:szCs w:val="18"/>
                <w:lang w:eastAsia="cs-CZ"/>
              </w:rPr>
            </w:pPr>
            <w:r w:rsidRPr="00940AE8">
              <w:rPr>
                <w:rFonts w:cs="Tahoma"/>
                <w:szCs w:val="18"/>
                <w:lang w:eastAsia="cs-CZ"/>
              </w:rPr>
              <w:t>Pardubice-Rosice nad L.</w:t>
            </w:r>
          </w:p>
        </w:tc>
        <w:tc>
          <w:tcPr>
            <w:tcW w:w="1843" w:type="dxa"/>
            <w:tcBorders>
              <w:top w:val="single" w:sz="12" w:space="0" w:color="auto"/>
            </w:tcBorders>
          </w:tcPr>
          <w:p w:rsidR="001168D6" w:rsidRPr="00940AE8" w:rsidRDefault="001168D6" w:rsidP="006972B9">
            <w:pPr>
              <w:pStyle w:val="Tabulkovtext"/>
              <w:jc w:val="left"/>
              <w:rPr>
                <w:rFonts w:cs="Tahoma"/>
                <w:szCs w:val="18"/>
                <w:lang w:eastAsia="cs-CZ"/>
              </w:rPr>
            </w:pPr>
            <w:r w:rsidRPr="00940AE8">
              <w:rPr>
                <w:rFonts w:cs="Tahoma"/>
                <w:szCs w:val="18"/>
                <w:lang w:eastAsia="cs-CZ"/>
              </w:rPr>
              <w:t>výpravčí</w:t>
            </w:r>
          </w:p>
        </w:tc>
        <w:tc>
          <w:tcPr>
            <w:tcW w:w="1134" w:type="dxa"/>
            <w:tcBorders>
              <w:top w:val="single" w:sz="12" w:space="0" w:color="auto"/>
              <w:righ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1,2</w:t>
            </w:r>
          </w:p>
        </w:tc>
        <w:tc>
          <w:tcPr>
            <w:tcW w:w="992" w:type="dxa"/>
            <w:tcBorders>
              <w:top w:val="single" w:sz="12" w:space="0" w:color="auto"/>
              <w:lef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10,30</w:t>
            </w:r>
          </w:p>
        </w:tc>
        <w:tc>
          <w:tcPr>
            <w:tcW w:w="992" w:type="dxa"/>
            <w:tcBorders>
              <w:top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9,36</w:t>
            </w:r>
          </w:p>
        </w:tc>
        <w:tc>
          <w:tcPr>
            <w:tcW w:w="992" w:type="dxa"/>
            <w:tcBorders>
              <w:top w:val="single" w:sz="12" w:space="0" w:color="auto"/>
            </w:tcBorders>
          </w:tcPr>
          <w:p w:rsidR="001168D6" w:rsidRPr="00940AE8" w:rsidDel="00935177" w:rsidRDefault="001168D6" w:rsidP="006972B9">
            <w:pPr>
              <w:pStyle w:val="Tabulkovtext"/>
              <w:rPr>
                <w:rFonts w:cs="Tahoma"/>
                <w:szCs w:val="18"/>
                <w:lang w:eastAsia="cs-CZ"/>
              </w:rPr>
            </w:pPr>
            <w:r w:rsidRPr="00940AE8">
              <w:rPr>
                <w:rFonts w:cs="Tahoma"/>
                <w:szCs w:val="18"/>
                <w:lang w:eastAsia="cs-CZ"/>
              </w:rPr>
              <w:t>5,49</w:t>
            </w:r>
          </w:p>
        </w:tc>
        <w:tc>
          <w:tcPr>
            <w:tcW w:w="993" w:type="dxa"/>
            <w:tcBorders>
              <w:top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9,36</w:t>
            </w:r>
          </w:p>
        </w:tc>
        <w:tc>
          <w:tcPr>
            <w:tcW w:w="992" w:type="dxa"/>
            <w:tcBorders>
              <w:top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0</w:t>
            </w:r>
          </w:p>
        </w:tc>
      </w:tr>
      <w:tr w:rsidR="001168D6" w:rsidTr="00940AE8">
        <w:tc>
          <w:tcPr>
            <w:tcW w:w="1418" w:type="dxa"/>
            <w:vMerge/>
            <w:shd w:val="pct12" w:color="auto" w:fill="auto"/>
            <w:vAlign w:val="center"/>
          </w:tcPr>
          <w:p w:rsidR="001168D6" w:rsidRPr="00940AE8" w:rsidRDefault="001168D6" w:rsidP="002E5756">
            <w:pPr>
              <w:pStyle w:val="Tabulkovtext"/>
              <w:jc w:val="left"/>
              <w:rPr>
                <w:rFonts w:cs="Tahoma"/>
                <w:szCs w:val="18"/>
                <w:lang w:eastAsia="cs-CZ"/>
              </w:rPr>
            </w:pPr>
          </w:p>
        </w:tc>
        <w:tc>
          <w:tcPr>
            <w:tcW w:w="1843" w:type="dxa"/>
          </w:tcPr>
          <w:p w:rsidR="001168D6" w:rsidRPr="00940AE8" w:rsidRDefault="001168D6" w:rsidP="006972B9">
            <w:pPr>
              <w:pStyle w:val="Tabulkovtext"/>
              <w:jc w:val="left"/>
              <w:rPr>
                <w:rFonts w:cs="Tahoma"/>
                <w:szCs w:val="18"/>
                <w:lang w:eastAsia="cs-CZ"/>
              </w:rPr>
            </w:pPr>
            <w:r w:rsidRPr="00940AE8">
              <w:rPr>
                <w:rFonts w:cs="Tahoma"/>
                <w:szCs w:val="18"/>
                <w:lang w:eastAsia="cs-CZ"/>
              </w:rPr>
              <w:t>signalista</w:t>
            </w:r>
          </w:p>
        </w:tc>
        <w:tc>
          <w:tcPr>
            <w:tcW w:w="1134" w:type="dxa"/>
            <w:tcBorders>
              <w:righ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St1, St2</w:t>
            </w:r>
          </w:p>
        </w:tc>
        <w:tc>
          <w:tcPr>
            <w:tcW w:w="992" w:type="dxa"/>
            <w:tcBorders>
              <w:lef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10,98</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2" w:type="dxa"/>
          </w:tcPr>
          <w:p w:rsidR="001168D6" w:rsidRPr="00940AE8" w:rsidDel="00935177" w:rsidRDefault="001168D6" w:rsidP="006972B9">
            <w:pPr>
              <w:pStyle w:val="Tabulkovtext"/>
              <w:rPr>
                <w:rFonts w:cs="Tahoma"/>
                <w:szCs w:val="18"/>
                <w:lang w:eastAsia="cs-CZ"/>
              </w:rPr>
            </w:pPr>
            <w:r w:rsidRPr="00940AE8">
              <w:rPr>
                <w:rFonts w:cs="Tahoma"/>
                <w:szCs w:val="18"/>
                <w:lang w:eastAsia="cs-CZ"/>
              </w:rPr>
              <w:t>0</w:t>
            </w:r>
          </w:p>
        </w:tc>
        <w:tc>
          <w:tcPr>
            <w:tcW w:w="993"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r>
      <w:tr w:rsidR="001168D6" w:rsidTr="00940AE8">
        <w:tc>
          <w:tcPr>
            <w:tcW w:w="1418" w:type="dxa"/>
            <w:shd w:val="pct12" w:color="auto" w:fill="auto"/>
            <w:vAlign w:val="center"/>
          </w:tcPr>
          <w:p w:rsidR="001168D6" w:rsidRPr="00940AE8" w:rsidRDefault="001168D6" w:rsidP="002E5756">
            <w:pPr>
              <w:pStyle w:val="Tabulkovtext"/>
              <w:jc w:val="left"/>
              <w:rPr>
                <w:rFonts w:cs="Tahoma"/>
                <w:szCs w:val="18"/>
                <w:lang w:eastAsia="cs-CZ"/>
              </w:rPr>
            </w:pPr>
            <w:r w:rsidRPr="00940AE8">
              <w:rPr>
                <w:rFonts w:cs="Tahoma"/>
                <w:szCs w:val="18"/>
                <w:lang w:eastAsia="cs-CZ"/>
              </w:rPr>
              <w:t>Stéblová</w:t>
            </w:r>
          </w:p>
        </w:tc>
        <w:tc>
          <w:tcPr>
            <w:tcW w:w="1843" w:type="dxa"/>
          </w:tcPr>
          <w:p w:rsidR="001168D6" w:rsidRPr="00940AE8" w:rsidRDefault="001168D6" w:rsidP="006972B9">
            <w:pPr>
              <w:pStyle w:val="Tabulkovtext"/>
              <w:jc w:val="left"/>
              <w:rPr>
                <w:rFonts w:cs="Tahoma"/>
                <w:szCs w:val="18"/>
                <w:lang w:eastAsia="cs-CZ"/>
              </w:rPr>
            </w:pPr>
            <w:r w:rsidRPr="00940AE8">
              <w:rPr>
                <w:rFonts w:cs="Tahoma"/>
                <w:szCs w:val="18"/>
                <w:lang w:eastAsia="cs-CZ"/>
              </w:rPr>
              <w:t>výpravčí</w:t>
            </w:r>
          </w:p>
        </w:tc>
        <w:tc>
          <w:tcPr>
            <w:tcW w:w="1134" w:type="dxa"/>
            <w:tcBorders>
              <w:right w:val="single" w:sz="12" w:space="0" w:color="auto"/>
            </w:tcBorders>
          </w:tcPr>
          <w:p w:rsidR="001168D6" w:rsidRPr="00940AE8" w:rsidRDefault="001168D6" w:rsidP="006972B9">
            <w:pPr>
              <w:pStyle w:val="Tabulkovtext"/>
              <w:rPr>
                <w:rFonts w:cs="Tahoma"/>
                <w:szCs w:val="18"/>
                <w:lang w:eastAsia="cs-CZ"/>
              </w:rPr>
            </w:pPr>
          </w:p>
        </w:tc>
        <w:tc>
          <w:tcPr>
            <w:tcW w:w="992" w:type="dxa"/>
            <w:tcBorders>
              <w:lef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5,00</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5,0</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5,0</w:t>
            </w:r>
          </w:p>
        </w:tc>
        <w:tc>
          <w:tcPr>
            <w:tcW w:w="993"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r>
      <w:tr w:rsidR="001168D6" w:rsidTr="00940AE8">
        <w:tc>
          <w:tcPr>
            <w:tcW w:w="1418" w:type="dxa"/>
            <w:shd w:val="pct12" w:color="auto" w:fill="auto"/>
            <w:vAlign w:val="center"/>
          </w:tcPr>
          <w:p w:rsidR="001168D6" w:rsidRPr="00940AE8" w:rsidRDefault="001168D6" w:rsidP="002E5756">
            <w:pPr>
              <w:pStyle w:val="Tabulkovtext"/>
              <w:jc w:val="left"/>
              <w:rPr>
                <w:rFonts w:cs="Tahoma"/>
                <w:szCs w:val="18"/>
                <w:lang w:eastAsia="cs-CZ"/>
              </w:rPr>
            </w:pPr>
            <w:r w:rsidRPr="00940AE8">
              <w:rPr>
                <w:rFonts w:cs="Tahoma"/>
                <w:szCs w:val="18"/>
                <w:lang w:eastAsia="cs-CZ"/>
              </w:rPr>
              <w:t>Čeperka</w:t>
            </w:r>
          </w:p>
        </w:tc>
        <w:tc>
          <w:tcPr>
            <w:tcW w:w="1843" w:type="dxa"/>
          </w:tcPr>
          <w:p w:rsidR="001168D6" w:rsidRPr="00940AE8" w:rsidRDefault="001168D6" w:rsidP="006972B9">
            <w:pPr>
              <w:pStyle w:val="Tabulkovtext"/>
              <w:jc w:val="left"/>
              <w:rPr>
                <w:rFonts w:cs="Tahoma"/>
                <w:szCs w:val="18"/>
                <w:lang w:eastAsia="cs-CZ"/>
              </w:rPr>
            </w:pPr>
            <w:r w:rsidRPr="00940AE8">
              <w:rPr>
                <w:rFonts w:cs="Tahoma"/>
                <w:szCs w:val="18"/>
                <w:lang w:eastAsia="cs-CZ"/>
              </w:rPr>
              <w:t>hradlář-hláskař s prodejem jízdenek</w:t>
            </w:r>
          </w:p>
        </w:tc>
        <w:tc>
          <w:tcPr>
            <w:tcW w:w="1134" w:type="dxa"/>
            <w:tcBorders>
              <w:righ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 xml:space="preserve">hláska </w:t>
            </w:r>
          </w:p>
        </w:tc>
        <w:tc>
          <w:tcPr>
            <w:tcW w:w="992" w:type="dxa"/>
            <w:tcBorders>
              <w:lef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4,80</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3"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r>
      <w:tr w:rsidR="001168D6" w:rsidTr="00940AE8">
        <w:tc>
          <w:tcPr>
            <w:tcW w:w="1418" w:type="dxa"/>
            <w:shd w:val="pct12" w:color="auto" w:fill="auto"/>
            <w:vAlign w:val="center"/>
          </w:tcPr>
          <w:p w:rsidR="001168D6" w:rsidRPr="00940AE8" w:rsidRDefault="001168D6" w:rsidP="002E5756">
            <w:pPr>
              <w:pStyle w:val="Tabulkovtext"/>
              <w:jc w:val="left"/>
              <w:rPr>
                <w:rFonts w:cs="Tahoma"/>
                <w:szCs w:val="18"/>
                <w:lang w:eastAsia="cs-CZ"/>
              </w:rPr>
            </w:pPr>
            <w:r w:rsidRPr="00940AE8">
              <w:rPr>
                <w:rFonts w:cs="Tahoma"/>
                <w:szCs w:val="18"/>
                <w:lang w:eastAsia="cs-CZ"/>
              </w:rPr>
              <w:t>Opatovice nad Lab.</w:t>
            </w:r>
          </w:p>
        </w:tc>
        <w:tc>
          <w:tcPr>
            <w:tcW w:w="1843" w:type="dxa"/>
          </w:tcPr>
          <w:p w:rsidR="001168D6" w:rsidRPr="00940AE8" w:rsidRDefault="001168D6" w:rsidP="006972B9">
            <w:pPr>
              <w:pStyle w:val="Tabulkovtext"/>
              <w:jc w:val="left"/>
              <w:rPr>
                <w:rFonts w:cs="Tahoma"/>
                <w:szCs w:val="18"/>
                <w:lang w:eastAsia="cs-CZ"/>
              </w:rPr>
            </w:pPr>
            <w:r w:rsidRPr="00940AE8">
              <w:rPr>
                <w:rFonts w:cs="Tahoma"/>
                <w:szCs w:val="18"/>
                <w:lang w:eastAsia="cs-CZ"/>
              </w:rPr>
              <w:t>výpravčí</w:t>
            </w:r>
          </w:p>
        </w:tc>
        <w:tc>
          <w:tcPr>
            <w:tcW w:w="1134" w:type="dxa"/>
            <w:tcBorders>
              <w:right w:val="single" w:sz="12" w:space="0" w:color="auto"/>
            </w:tcBorders>
          </w:tcPr>
          <w:p w:rsidR="001168D6" w:rsidRPr="00940AE8" w:rsidRDefault="001168D6" w:rsidP="006972B9">
            <w:pPr>
              <w:pStyle w:val="Tabulkovtext"/>
              <w:rPr>
                <w:rFonts w:cs="Tahoma"/>
                <w:szCs w:val="18"/>
                <w:lang w:eastAsia="cs-CZ"/>
              </w:rPr>
            </w:pPr>
          </w:p>
        </w:tc>
        <w:tc>
          <w:tcPr>
            <w:tcW w:w="992" w:type="dxa"/>
            <w:tcBorders>
              <w:lef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5,00</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5,0</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5,0</w:t>
            </w:r>
          </w:p>
        </w:tc>
        <w:tc>
          <w:tcPr>
            <w:tcW w:w="993" w:type="dxa"/>
          </w:tcPr>
          <w:p w:rsidR="001168D6" w:rsidRPr="00940AE8" w:rsidRDefault="001168D6" w:rsidP="006972B9">
            <w:pPr>
              <w:pStyle w:val="Tabulkovtext"/>
              <w:rPr>
                <w:rFonts w:cs="Tahoma"/>
                <w:szCs w:val="18"/>
                <w:lang w:eastAsia="cs-CZ"/>
              </w:rPr>
            </w:pPr>
            <w:r w:rsidRPr="00940AE8">
              <w:rPr>
                <w:rFonts w:cs="Tahoma"/>
                <w:szCs w:val="18"/>
                <w:lang w:eastAsia="cs-CZ"/>
              </w:rPr>
              <w:t>8,72</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r>
      <w:tr w:rsidR="001168D6" w:rsidTr="00940AE8">
        <w:tc>
          <w:tcPr>
            <w:tcW w:w="1418" w:type="dxa"/>
            <w:vMerge w:val="restart"/>
            <w:shd w:val="pct12" w:color="auto" w:fill="auto"/>
            <w:vAlign w:val="center"/>
          </w:tcPr>
          <w:p w:rsidR="002E5756" w:rsidRPr="00940AE8" w:rsidRDefault="001168D6" w:rsidP="002E5756">
            <w:pPr>
              <w:pStyle w:val="Tabulkovtext"/>
              <w:jc w:val="left"/>
              <w:rPr>
                <w:rFonts w:cs="Tahoma"/>
                <w:szCs w:val="18"/>
                <w:lang w:eastAsia="cs-CZ"/>
              </w:rPr>
            </w:pPr>
            <w:r w:rsidRPr="00940AE8">
              <w:rPr>
                <w:rFonts w:cs="Tahoma"/>
                <w:szCs w:val="18"/>
                <w:lang w:eastAsia="cs-CZ"/>
              </w:rPr>
              <w:t>Hradec Králové</w:t>
            </w:r>
          </w:p>
          <w:p w:rsidR="001168D6" w:rsidRPr="00940AE8" w:rsidRDefault="001168D6" w:rsidP="002E5756">
            <w:pPr>
              <w:pStyle w:val="Tabulkovtext"/>
              <w:jc w:val="left"/>
              <w:rPr>
                <w:rFonts w:cs="Tahoma"/>
                <w:szCs w:val="18"/>
                <w:lang w:eastAsia="cs-CZ"/>
              </w:rPr>
            </w:pPr>
            <w:r w:rsidRPr="00940AE8">
              <w:rPr>
                <w:rFonts w:cs="Tahoma"/>
                <w:szCs w:val="18"/>
                <w:lang w:eastAsia="cs-CZ"/>
              </w:rPr>
              <w:t>hl. nádr.</w:t>
            </w:r>
          </w:p>
        </w:tc>
        <w:tc>
          <w:tcPr>
            <w:tcW w:w="1843" w:type="dxa"/>
          </w:tcPr>
          <w:p w:rsidR="001168D6" w:rsidRPr="00940AE8" w:rsidRDefault="001168D6" w:rsidP="006972B9">
            <w:pPr>
              <w:pStyle w:val="Tabulkovtext"/>
              <w:jc w:val="left"/>
              <w:rPr>
                <w:rFonts w:cs="Tahoma"/>
                <w:szCs w:val="18"/>
                <w:lang w:eastAsia="cs-CZ"/>
              </w:rPr>
            </w:pPr>
            <w:r w:rsidRPr="00940AE8">
              <w:rPr>
                <w:rFonts w:cs="Tahoma"/>
                <w:szCs w:val="18"/>
                <w:lang w:eastAsia="cs-CZ"/>
              </w:rPr>
              <w:t>výpravčí</w:t>
            </w:r>
          </w:p>
        </w:tc>
        <w:tc>
          <w:tcPr>
            <w:tcW w:w="1134" w:type="dxa"/>
            <w:tcBorders>
              <w:righ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staniční</w:t>
            </w:r>
          </w:p>
        </w:tc>
        <w:tc>
          <w:tcPr>
            <w:tcW w:w="992" w:type="dxa"/>
            <w:tcBorders>
              <w:lef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5,53</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5,53</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5,53</w:t>
            </w:r>
          </w:p>
        </w:tc>
        <w:tc>
          <w:tcPr>
            <w:tcW w:w="993" w:type="dxa"/>
          </w:tcPr>
          <w:p w:rsidR="001168D6" w:rsidRPr="00940AE8" w:rsidRDefault="001168D6" w:rsidP="006972B9">
            <w:pPr>
              <w:pStyle w:val="Tabulkovtext"/>
              <w:rPr>
                <w:rFonts w:cs="Tahoma"/>
                <w:szCs w:val="18"/>
                <w:lang w:eastAsia="cs-CZ"/>
              </w:rPr>
            </w:pPr>
            <w:r w:rsidRPr="00940AE8">
              <w:rPr>
                <w:rFonts w:cs="Tahoma"/>
                <w:szCs w:val="18"/>
                <w:lang w:eastAsia="cs-CZ"/>
              </w:rPr>
              <w:t>5,53</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5,53</w:t>
            </w:r>
          </w:p>
        </w:tc>
      </w:tr>
      <w:tr w:rsidR="001168D6" w:rsidTr="00940AE8">
        <w:tc>
          <w:tcPr>
            <w:tcW w:w="1418" w:type="dxa"/>
            <w:vMerge/>
            <w:shd w:val="pct12" w:color="auto" w:fill="auto"/>
          </w:tcPr>
          <w:p w:rsidR="001168D6" w:rsidRPr="00940AE8" w:rsidRDefault="001168D6" w:rsidP="006972B9">
            <w:pPr>
              <w:pStyle w:val="Tabulkovtext"/>
              <w:rPr>
                <w:rFonts w:cs="Tahoma"/>
                <w:szCs w:val="18"/>
                <w:lang w:eastAsia="cs-CZ"/>
              </w:rPr>
            </w:pPr>
          </w:p>
        </w:tc>
        <w:tc>
          <w:tcPr>
            <w:tcW w:w="1843" w:type="dxa"/>
          </w:tcPr>
          <w:p w:rsidR="001168D6" w:rsidRPr="00940AE8" w:rsidRDefault="001168D6" w:rsidP="006972B9">
            <w:pPr>
              <w:pStyle w:val="Tabulkovtext"/>
              <w:jc w:val="left"/>
              <w:rPr>
                <w:rFonts w:cs="Tahoma"/>
                <w:szCs w:val="18"/>
                <w:lang w:eastAsia="cs-CZ"/>
              </w:rPr>
            </w:pPr>
            <w:r w:rsidRPr="00940AE8">
              <w:rPr>
                <w:rFonts w:cs="Tahoma"/>
                <w:szCs w:val="18"/>
                <w:lang w:eastAsia="cs-CZ"/>
              </w:rPr>
              <w:t>výpravčí</w:t>
            </w:r>
          </w:p>
        </w:tc>
        <w:tc>
          <w:tcPr>
            <w:tcW w:w="1134" w:type="dxa"/>
            <w:tcBorders>
              <w:righ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traťový</w:t>
            </w:r>
          </w:p>
        </w:tc>
        <w:tc>
          <w:tcPr>
            <w:tcW w:w="992" w:type="dxa"/>
            <w:tcBorders>
              <w:lef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5,53</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5,53</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5,53</w:t>
            </w:r>
          </w:p>
        </w:tc>
        <w:tc>
          <w:tcPr>
            <w:tcW w:w="993" w:type="dxa"/>
          </w:tcPr>
          <w:p w:rsidR="001168D6" w:rsidRPr="00940AE8" w:rsidRDefault="001168D6" w:rsidP="006972B9">
            <w:pPr>
              <w:pStyle w:val="Tabulkovtext"/>
              <w:rPr>
                <w:rFonts w:cs="Tahoma"/>
                <w:szCs w:val="18"/>
                <w:lang w:eastAsia="cs-CZ"/>
              </w:rPr>
            </w:pPr>
            <w:r w:rsidRPr="00940AE8">
              <w:rPr>
                <w:rFonts w:cs="Tahoma"/>
                <w:szCs w:val="18"/>
                <w:lang w:eastAsia="cs-CZ"/>
              </w:rPr>
              <w:t>5,53</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5,53</w:t>
            </w:r>
          </w:p>
        </w:tc>
      </w:tr>
      <w:tr w:rsidR="001168D6" w:rsidTr="00940AE8">
        <w:tc>
          <w:tcPr>
            <w:tcW w:w="1418" w:type="dxa"/>
            <w:vMerge/>
            <w:shd w:val="pct12" w:color="auto" w:fill="auto"/>
          </w:tcPr>
          <w:p w:rsidR="001168D6" w:rsidRPr="00940AE8" w:rsidRDefault="001168D6" w:rsidP="006972B9">
            <w:pPr>
              <w:pStyle w:val="Tabulkovtext"/>
              <w:rPr>
                <w:rFonts w:cs="Tahoma"/>
                <w:szCs w:val="18"/>
                <w:lang w:eastAsia="cs-CZ"/>
              </w:rPr>
            </w:pPr>
          </w:p>
        </w:tc>
        <w:tc>
          <w:tcPr>
            <w:tcW w:w="1843" w:type="dxa"/>
          </w:tcPr>
          <w:p w:rsidR="001168D6" w:rsidRPr="00940AE8" w:rsidRDefault="001168D6" w:rsidP="006972B9">
            <w:pPr>
              <w:pStyle w:val="Tabulkovtext"/>
              <w:jc w:val="left"/>
              <w:rPr>
                <w:rFonts w:cs="Tahoma"/>
                <w:szCs w:val="18"/>
                <w:lang w:eastAsia="cs-CZ"/>
              </w:rPr>
            </w:pPr>
            <w:r w:rsidRPr="00940AE8">
              <w:rPr>
                <w:rFonts w:cs="Tahoma"/>
                <w:szCs w:val="18"/>
                <w:lang w:eastAsia="cs-CZ"/>
              </w:rPr>
              <w:t>výpravčí – trať 505</w:t>
            </w:r>
          </w:p>
        </w:tc>
        <w:tc>
          <w:tcPr>
            <w:tcW w:w="1134" w:type="dxa"/>
            <w:tcBorders>
              <w:righ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traťový</w:t>
            </w:r>
          </w:p>
        </w:tc>
        <w:tc>
          <w:tcPr>
            <w:tcW w:w="992" w:type="dxa"/>
            <w:tcBorders>
              <w:lef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3"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5,53</w:t>
            </w:r>
          </w:p>
        </w:tc>
      </w:tr>
      <w:tr w:rsidR="001168D6" w:rsidTr="00940AE8">
        <w:tc>
          <w:tcPr>
            <w:tcW w:w="1418" w:type="dxa"/>
            <w:vMerge/>
            <w:shd w:val="pct12" w:color="auto" w:fill="auto"/>
          </w:tcPr>
          <w:p w:rsidR="001168D6" w:rsidRPr="00940AE8" w:rsidRDefault="001168D6" w:rsidP="006972B9">
            <w:pPr>
              <w:pStyle w:val="Tabulkovtext"/>
              <w:rPr>
                <w:rFonts w:cs="Tahoma"/>
                <w:szCs w:val="18"/>
                <w:lang w:eastAsia="cs-CZ"/>
              </w:rPr>
            </w:pPr>
          </w:p>
        </w:tc>
        <w:tc>
          <w:tcPr>
            <w:tcW w:w="1843" w:type="dxa"/>
          </w:tcPr>
          <w:p w:rsidR="001168D6" w:rsidRPr="00940AE8" w:rsidRDefault="001168D6" w:rsidP="006972B9">
            <w:pPr>
              <w:pStyle w:val="Tabulkovtext"/>
              <w:jc w:val="left"/>
              <w:rPr>
                <w:rFonts w:cs="Tahoma"/>
                <w:szCs w:val="18"/>
                <w:lang w:eastAsia="cs-CZ"/>
              </w:rPr>
            </w:pPr>
            <w:r w:rsidRPr="00940AE8">
              <w:rPr>
                <w:rFonts w:cs="Tahoma"/>
                <w:szCs w:val="18"/>
                <w:lang w:eastAsia="cs-CZ"/>
              </w:rPr>
              <w:t>operátor žel. dopr.</w:t>
            </w:r>
          </w:p>
        </w:tc>
        <w:tc>
          <w:tcPr>
            <w:tcW w:w="1134" w:type="dxa"/>
            <w:tcBorders>
              <w:right w:val="single" w:sz="12" w:space="0" w:color="auto"/>
            </w:tcBorders>
          </w:tcPr>
          <w:p w:rsidR="001168D6" w:rsidRPr="00940AE8" w:rsidRDefault="001168D6" w:rsidP="006972B9">
            <w:pPr>
              <w:pStyle w:val="Tabulkovtext"/>
              <w:rPr>
                <w:rFonts w:cs="Tahoma"/>
                <w:szCs w:val="18"/>
                <w:lang w:eastAsia="cs-CZ"/>
              </w:rPr>
            </w:pPr>
          </w:p>
        </w:tc>
        <w:tc>
          <w:tcPr>
            <w:tcW w:w="992" w:type="dxa"/>
            <w:tcBorders>
              <w:lef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3,61</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3,61</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3,61</w:t>
            </w:r>
          </w:p>
        </w:tc>
        <w:tc>
          <w:tcPr>
            <w:tcW w:w="993" w:type="dxa"/>
          </w:tcPr>
          <w:p w:rsidR="001168D6" w:rsidRPr="00940AE8" w:rsidRDefault="001168D6" w:rsidP="006972B9">
            <w:pPr>
              <w:pStyle w:val="Tabulkovtext"/>
              <w:rPr>
                <w:rFonts w:cs="Tahoma"/>
                <w:szCs w:val="18"/>
                <w:lang w:eastAsia="cs-CZ"/>
              </w:rPr>
            </w:pPr>
            <w:r w:rsidRPr="00940AE8">
              <w:rPr>
                <w:rFonts w:cs="Tahoma"/>
                <w:szCs w:val="18"/>
                <w:lang w:eastAsia="cs-CZ"/>
              </w:rPr>
              <w:t>3,61</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3,61</w:t>
            </w:r>
          </w:p>
        </w:tc>
      </w:tr>
      <w:tr w:rsidR="001168D6" w:rsidTr="00940AE8">
        <w:tc>
          <w:tcPr>
            <w:tcW w:w="1418" w:type="dxa"/>
            <w:vMerge/>
            <w:shd w:val="pct12" w:color="auto" w:fill="auto"/>
          </w:tcPr>
          <w:p w:rsidR="001168D6" w:rsidRPr="00940AE8" w:rsidRDefault="001168D6" w:rsidP="006972B9">
            <w:pPr>
              <w:pStyle w:val="Tabulkovtext"/>
              <w:rPr>
                <w:rFonts w:cs="Tahoma"/>
                <w:szCs w:val="18"/>
                <w:lang w:eastAsia="cs-CZ"/>
              </w:rPr>
            </w:pPr>
          </w:p>
        </w:tc>
        <w:tc>
          <w:tcPr>
            <w:tcW w:w="1843" w:type="dxa"/>
          </w:tcPr>
          <w:p w:rsidR="001168D6" w:rsidRPr="00940AE8" w:rsidRDefault="001168D6" w:rsidP="006972B9">
            <w:pPr>
              <w:pStyle w:val="Tabulkovtext"/>
              <w:jc w:val="left"/>
              <w:rPr>
                <w:rFonts w:cs="Tahoma"/>
                <w:szCs w:val="18"/>
                <w:lang w:eastAsia="cs-CZ"/>
              </w:rPr>
            </w:pPr>
            <w:r w:rsidRPr="00940AE8">
              <w:rPr>
                <w:rFonts w:cs="Tahoma"/>
                <w:szCs w:val="18"/>
                <w:lang w:eastAsia="cs-CZ"/>
              </w:rPr>
              <w:t>signalista</w:t>
            </w:r>
          </w:p>
        </w:tc>
        <w:tc>
          <w:tcPr>
            <w:tcW w:w="1134" w:type="dxa"/>
            <w:tcBorders>
              <w:righ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St 1</w:t>
            </w:r>
          </w:p>
        </w:tc>
        <w:tc>
          <w:tcPr>
            <w:tcW w:w="992" w:type="dxa"/>
            <w:tcBorders>
              <w:lef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5,49</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3"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r>
      <w:tr w:rsidR="001168D6" w:rsidTr="00940AE8">
        <w:tc>
          <w:tcPr>
            <w:tcW w:w="1418" w:type="dxa"/>
            <w:vMerge/>
            <w:shd w:val="pct12" w:color="auto" w:fill="auto"/>
          </w:tcPr>
          <w:p w:rsidR="001168D6" w:rsidRPr="00940AE8" w:rsidRDefault="001168D6" w:rsidP="006972B9">
            <w:pPr>
              <w:pStyle w:val="Tabulkovtext"/>
              <w:rPr>
                <w:rFonts w:cs="Tahoma"/>
                <w:szCs w:val="18"/>
                <w:lang w:eastAsia="cs-CZ"/>
              </w:rPr>
            </w:pPr>
          </w:p>
        </w:tc>
        <w:tc>
          <w:tcPr>
            <w:tcW w:w="1843" w:type="dxa"/>
          </w:tcPr>
          <w:p w:rsidR="001168D6" w:rsidRPr="00940AE8" w:rsidRDefault="001168D6" w:rsidP="006972B9">
            <w:pPr>
              <w:pStyle w:val="Tabulkovtext"/>
              <w:jc w:val="left"/>
              <w:rPr>
                <w:rFonts w:cs="Tahoma"/>
                <w:szCs w:val="18"/>
                <w:lang w:eastAsia="cs-CZ"/>
              </w:rPr>
            </w:pPr>
            <w:r w:rsidRPr="00940AE8">
              <w:rPr>
                <w:rFonts w:cs="Tahoma"/>
                <w:szCs w:val="18"/>
                <w:lang w:eastAsia="cs-CZ"/>
              </w:rPr>
              <w:t>signalista posila</w:t>
            </w:r>
          </w:p>
        </w:tc>
        <w:tc>
          <w:tcPr>
            <w:tcW w:w="1134" w:type="dxa"/>
            <w:tcBorders>
              <w:righ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St 1</w:t>
            </w:r>
          </w:p>
        </w:tc>
        <w:tc>
          <w:tcPr>
            <w:tcW w:w="992" w:type="dxa"/>
            <w:tcBorders>
              <w:lef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1,84</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3"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2" w:type="dxa"/>
          </w:tcPr>
          <w:p w:rsidR="001168D6" w:rsidRPr="00940AE8" w:rsidRDefault="001168D6" w:rsidP="006972B9">
            <w:pPr>
              <w:pStyle w:val="Tabulkovtext"/>
              <w:rPr>
                <w:rFonts w:cs="Tahoma"/>
                <w:szCs w:val="18"/>
                <w:lang w:eastAsia="cs-CZ"/>
              </w:rPr>
            </w:pPr>
            <w:r w:rsidRPr="00940AE8">
              <w:rPr>
                <w:rFonts w:cs="Tahoma"/>
                <w:szCs w:val="18"/>
                <w:lang w:eastAsia="cs-CZ"/>
              </w:rPr>
              <w:t>0</w:t>
            </w:r>
          </w:p>
        </w:tc>
      </w:tr>
      <w:tr w:rsidR="001168D6" w:rsidTr="00940AE8">
        <w:tc>
          <w:tcPr>
            <w:tcW w:w="1418" w:type="dxa"/>
            <w:vMerge/>
            <w:shd w:val="pct12" w:color="auto" w:fill="auto"/>
          </w:tcPr>
          <w:p w:rsidR="001168D6" w:rsidRPr="00940AE8" w:rsidRDefault="001168D6" w:rsidP="006972B9">
            <w:pPr>
              <w:pStyle w:val="Tabulkovtext"/>
              <w:rPr>
                <w:rFonts w:cs="Tahoma"/>
                <w:szCs w:val="18"/>
                <w:lang w:eastAsia="cs-CZ"/>
              </w:rPr>
            </w:pPr>
          </w:p>
        </w:tc>
        <w:tc>
          <w:tcPr>
            <w:tcW w:w="1843" w:type="dxa"/>
            <w:tcBorders>
              <w:bottom w:val="single" w:sz="4" w:space="0" w:color="000000"/>
            </w:tcBorders>
          </w:tcPr>
          <w:p w:rsidR="001168D6" w:rsidRPr="00940AE8" w:rsidRDefault="001168D6" w:rsidP="006972B9">
            <w:pPr>
              <w:pStyle w:val="Tabulkovtext"/>
              <w:jc w:val="left"/>
              <w:rPr>
                <w:rFonts w:cs="Tahoma"/>
                <w:szCs w:val="18"/>
                <w:lang w:eastAsia="cs-CZ"/>
              </w:rPr>
            </w:pPr>
            <w:r w:rsidRPr="00940AE8">
              <w:rPr>
                <w:rFonts w:cs="Tahoma"/>
                <w:szCs w:val="18"/>
                <w:lang w:eastAsia="cs-CZ"/>
              </w:rPr>
              <w:t>signalista</w:t>
            </w:r>
          </w:p>
        </w:tc>
        <w:tc>
          <w:tcPr>
            <w:tcW w:w="1134" w:type="dxa"/>
            <w:tcBorders>
              <w:bottom w:val="single" w:sz="4" w:space="0" w:color="000000"/>
              <w:righ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St 2</w:t>
            </w:r>
          </w:p>
        </w:tc>
        <w:tc>
          <w:tcPr>
            <w:tcW w:w="992" w:type="dxa"/>
            <w:tcBorders>
              <w:left w:val="single" w:sz="12" w:space="0" w:color="auto"/>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5,49</w:t>
            </w:r>
          </w:p>
        </w:tc>
        <w:tc>
          <w:tcPr>
            <w:tcW w:w="992" w:type="dxa"/>
            <w:tcBorders>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5,49</w:t>
            </w:r>
          </w:p>
        </w:tc>
        <w:tc>
          <w:tcPr>
            <w:tcW w:w="992" w:type="dxa"/>
            <w:tcBorders>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3" w:type="dxa"/>
            <w:tcBorders>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2" w:type="dxa"/>
            <w:tcBorders>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0</w:t>
            </w:r>
          </w:p>
        </w:tc>
      </w:tr>
      <w:tr w:rsidR="001168D6" w:rsidTr="00940AE8">
        <w:tc>
          <w:tcPr>
            <w:tcW w:w="1418" w:type="dxa"/>
            <w:vMerge/>
            <w:shd w:val="pct12" w:color="auto" w:fill="auto"/>
          </w:tcPr>
          <w:p w:rsidR="001168D6" w:rsidRPr="00940AE8" w:rsidRDefault="001168D6" w:rsidP="006972B9">
            <w:pPr>
              <w:pStyle w:val="Tabulkovtext"/>
              <w:rPr>
                <w:rFonts w:cs="Tahoma"/>
                <w:szCs w:val="18"/>
                <w:lang w:eastAsia="cs-CZ"/>
              </w:rPr>
            </w:pPr>
          </w:p>
        </w:tc>
        <w:tc>
          <w:tcPr>
            <w:tcW w:w="1843" w:type="dxa"/>
            <w:tcBorders>
              <w:bottom w:val="single" w:sz="4" w:space="0" w:color="000000"/>
            </w:tcBorders>
          </w:tcPr>
          <w:p w:rsidR="001168D6" w:rsidRPr="00940AE8" w:rsidRDefault="001168D6" w:rsidP="006972B9">
            <w:pPr>
              <w:pStyle w:val="Tabulkovtext"/>
              <w:jc w:val="left"/>
              <w:rPr>
                <w:rFonts w:cs="Tahoma"/>
                <w:szCs w:val="18"/>
                <w:lang w:eastAsia="cs-CZ"/>
              </w:rPr>
            </w:pPr>
            <w:r w:rsidRPr="00940AE8">
              <w:rPr>
                <w:rFonts w:cs="Tahoma"/>
                <w:szCs w:val="18"/>
                <w:lang w:eastAsia="cs-CZ"/>
              </w:rPr>
              <w:t>signalista posila</w:t>
            </w:r>
          </w:p>
        </w:tc>
        <w:tc>
          <w:tcPr>
            <w:tcW w:w="1134" w:type="dxa"/>
            <w:tcBorders>
              <w:bottom w:val="single" w:sz="4" w:space="0" w:color="000000"/>
              <w:righ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St 2</w:t>
            </w:r>
          </w:p>
        </w:tc>
        <w:tc>
          <w:tcPr>
            <w:tcW w:w="992" w:type="dxa"/>
            <w:tcBorders>
              <w:left w:val="single" w:sz="12" w:space="0" w:color="auto"/>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1,45</w:t>
            </w:r>
          </w:p>
        </w:tc>
        <w:tc>
          <w:tcPr>
            <w:tcW w:w="992" w:type="dxa"/>
            <w:tcBorders>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2" w:type="dxa"/>
            <w:tcBorders>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3" w:type="dxa"/>
            <w:tcBorders>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0</w:t>
            </w:r>
          </w:p>
        </w:tc>
        <w:tc>
          <w:tcPr>
            <w:tcW w:w="992" w:type="dxa"/>
            <w:tcBorders>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0</w:t>
            </w:r>
          </w:p>
        </w:tc>
      </w:tr>
      <w:tr w:rsidR="001168D6" w:rsidTr="00940AE8">
        <w:tc>
          <w:tcPr>
            <w:tcW w:w="1418" w:type="dxa"/>
            <w:vMerge/>
            <w:shd w:val="pct12" w:color="auto" w:fill="auto"/>
          </w:tcPr>
          <w:p w:rsidR="001168D6" w:rsidRPr="00940AE8" w:rsidRDefault="001168D6" w:rsidP="006972B9">
            <w:pPr>
              <w:pStyle w:val="Tabulkovtext"/>
              <w:rPr>
                <w:rFonts w:cs="Tahoma"/>
                <w:szCs w:val="18"/>
                <w:lang w:eastAsia="cs-CZ"/>
              </w:rPr>
            </w:pPr>
          </w:p>
        </w:tc>
        <w:tc>
          <w:tcPr>
            <w:tcW w:w="1843" w:type="dxa"/>
            <w:tcBorders>
              <w:bottom w:val="single" w:sz="4" w:space="0" w:color="000000"/>
            </w:tcBorders>
          </w:tcPr>
          <w:p w:rsidR="001168D6" w:rsidRPr="00940AE8" w:rsidRDefault="001168D6" w:rsidP="006972B9">
            <w:pPr>
              <w:pStyle w:val="Tabulkovtext"/>
              <w:jc w:val="left"/>
              <w:rPr>
                <w:rFonts w:cs="Tahoma"/>
                <w:szCs w:val="18"/>
                <w:lang w:eastAsia="cs-CZ"/>
              </w:rPr>
            </w:pPr>
            <w:r w:rsidRPr="00940AE8">
              <w:rPr>
                <w:rFonts w:cs="Tahoma"/>
                <w:szCs w:val="18"/>
                <w:lang w:eastAsia="cs-CZ"/>
              </w:rPr>
              <w:t>ved. posunu 1.pos.z.</w:t>
            </w:r>
          </w:p>
        </w:tc>
        <w:tc>
          <w:tcPr>
            <w:tcW w:w="1134" w:type="dxa"/>
            <w:tcBorders>
              <w:bottom w:val="single" w:sz="4" w:space="0" w:color="000000"/>
              <w:right w:val="single" w:sz="12" w:space="0" w:color="auto"/>
            </w:tcBorders>
          </w:tcPr>
          <w:p w:rsidR="001168D6" w:rsidRPr="00940AE8" w:rsidRDefault="001168D6" w:rsidP="006972B9">
            <w:pPr>
              <w:pStyle w:val="Tabulkovtext"/>
              <w:rPr>
                <w:rFonts w:cs="Tahoma"/>
                <w:szCs w:val="18"/>
                <w:lang w:eastAsia="cs-CZ"/>
              </w:rPr>
            </w:pPr>
          </w:p>
        </w:tc>
        <w:tc>
          <w:tcPr>
            <w:tcW w:w="992" w:type="dxa"/>
            <w:tcBorders>
              <w:left w:val="single" w:sz="12" w:space="0" w:color="auto"/>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4,25</w:t>
            </w:r>
          </w:p>
        </w:tc>
        <w:tc>
          <w:tcPr>
            <w:tcW w:w="992" w:type="dxa"/>
            <w:tcBorders>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4,25</w:t>
            </w:r>
          </w:p>
        </w:tc>
        <w:tc>
          <w:tcPr>
            <w:tcW w:w="992" w:type="dxa"/>
            <w:tcBorders>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4,25</w:t>
            </w:r>
          </w:p>
        </w:tc>
        <w:tc>
          <w:tcPr>
            <w:tcW w:w="993" w:type="dxa"/>
            <w:tcBorders>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4,25</w:t>
            </w:r>
          </w:p>
        </w:tc>
        <w:tc>
          <w:tcPr>
            <w:tcW w:w="992" w:type="dxa"/>
            <w:tcBorders>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4,25</w:t>
            </w:r>
          </w:p>
        </w:tc>
      </w:tr>
      <w:tr w:rsidR="001168D6" w:rsidTr="00940AE8">
        <w:tc>
          <w:tcPr>
            <w:tcW w:w="1418" w:type="dxa"/>
            <w:vMerge/>
            <w:shd w:val="pct12" w:color="auto" w:fill="auto"/>
          </w:tcPr>
          <w:p w:rsidR="001168D6" w:rsidRPr="00940AE8" w:rsidRDefault="001168D6" w:rsidP="006972B9">
            <w:pPr>
              <w:pStyle w:val="Tabulkovtext"/>
              <w:rPr>
                <w:rFonts w:cs="Tahoma"/>
                <w:szCs w:val="18"/>
                <w:lang w:eastAsia="cs-CZ"/>
              </w:rPr>
            </w:pPr>
          </w:p>
        </w:tc>
        <w:tc>
          <w:tcPr>
            <w:tcW w:w="1843" w:type="dxa"/>
            <w:tcBorders>
              <w:bottom w:val="single" w:sz="4" w:space="0" w:color="000000"/>
            </w:tcBorders>
          </w:tcPr>
          <w:p w:rsidR="001168D6" w:rsidRPr="00940AE8" w:rsidRDefault="001168D6" w:rsidP="006972B9">
            <w:pPr>
              <w:pStyle w:val="Tabulkovtext"/>
              <w:jc w:val="left"/>
              <w:rPr>
                <w:rFonts w:cs="Tahoma"/>
                <w:szCs w:val="18"/>
                <w:lang w:eastAsia="cs-CZ"/>
              </w:rPr>
            </w:pPr>
            <w:r w:rsidRPr="00940AE8">
              <w:rPr>
                <w:rFonts w:cs="Tahoma"/>
                <w:szCs w:val="18"/>
                <w:lang w:eastAsia="cs-CZ"/>
              </w:rPr>
              <w:t>posunovač 1.zálohy</w:t>
            </w:r>
          </w:p>
        </w:tc>
        <w:tc>
          <w:tcPr>
            <w:tcW w:w="1134" w:type="dxa"/>
            <w:tcBorders>
              <w:bottom w:val="single" w:sz="4" w:space="0" w:color="000000"/>
              <w:right w:val="single" w:sz="12" w:space="0" w:color="auto"/>
            </w:tcBorders>
          </w:tcPr>
          <w:p w:rsidR="001168D6" w:rsidRPr="00940AE8" w:rsidRDefault="001168D6" w:rsidP="006972B9">
            <w:pPr>
              <w:pStyle w:val="Tabulkovtext"/>
              <w:rPr>
                <w:rFonts w:cs="Tahoma"/>
                <w:szCs w:val="18"/>
                <w:lang w:eastAsia="cs-CZ"/>
              </w:rPr>
            </w:pPr>
          </w:p>
        </w:tc>
        <w:tc>
          <w:tcPr>
            <w:tcW w:w="992" w:type="dxa"/>
            <w:tcBorders>
              <w:left w:val="single" w:sz="12" w:space="0" w:color="auto"/>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16,14</w:t>
            </w:r>
          </w:p>
        </w:tc>
        <w:tc>
          <w:tcPr>
            <w:tcW w:w="992" w:type="dxa"/>
            <w:tcBorders>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20,18</w:t>
            </w:r>
          </w:p>
        </w:tc>
        <w:tc>
          <w:tcPr>
            <w:tcW w:w="992" w:type="dxa"/>
            <w:tcBorders>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20,18</w:t>
            </w:r>
          </w:p>
        </w:tc>
        <w:tc>
          <w:tcPr>
            <w:tcW w:w="993" w:type="dxa"/>
            <w:tcBorders>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20,18</w:t>
            </w:r>
          </w:p>
        </w:tc>
        <w:tc>
          <w:tcPr>
            <w:tcW w:w="992" w:type="dxa"/>
            <w:tcBorders>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20,18</w:t>
            </w:r>
          </w:p>
        </w:tc>
      </w:tr>
      <w:tr w:rsidR="001168D6" w:rsidTr="00940AE8">
        <w:tc>
          <w:tcPr>
            <w:tcW w:w="1418" w:type="dxa"/>
            <w:vMerge/>
            <w:tcBorders>
              <w:bottom w:val="single" w:sz="12" w:space="0" w:color="000000"/>
            </w:tcBorders>
            <w:shd w:val="pct12" w:color="auto" w:fill="auto"/>
          </w:tcPr>
          <w:p w:rsidR="001168D6" w:rsidRPr="00940AE8" w:rsidRDefault="001168D6" w:rsidP="006972B9">
            <w:pPr>
              <w:pStyle w:val="Tabulkovtext"/>
              <w:rPr>
                <w:rFonts w:cs="Tahoma"/>
                <w:szCs w:val="18"/>
                <w:lang w:eastAsia="cs-CZ"/>
              </w:rPr>
            </w:pPr>
          </w:p>
        </w:tc>
        <w:tc>
          <w:tcPr>
            <w:tcW w:w="1843" w:type="dxa"/>
            <w:tcBorders>
              <w:bottom w:val="single" w:sz="12" w:space="0" w:color="000000"/>
            </w:tcBorders>
          </w:tcPr>
          <w:p w:rsidR="001168D6" w:rsidRPr="00940AE8" w:rsidRDefault="001168D6" w:rsidP="006972B9">
            <w:pPr>
              <w:pStyle w:val="Tabulkovtext"/>
              <w:jc w:val="left"/>
              <w:rPr>
                <w:rFonts w:cs="Tahoma"/>
                <w:szCs w:val="18"/>
                <w:lang w:eastAsia="cs-CZ"/>
              </w:rPr>
            </w:pPr>
            <w:r w:rsidRPr="00940AE8">
              <w:rPr>
                <w:rFonts w:cs="Tahoma"/>
                <w:szCs w:val="18"/>
                <w:lang w:eastAsia="cs-CZ"/>
              </w:rPr>
              <w:t xml:space="preserve">stan.dozorce </w:t>
            </w:r>
          </w:p>
        </w:tc>
        <w:tc>
          <w:tcPr>
            <w:tcW w:w="1134" w:type="dxa"/>
            <w:tcBorders>
              <w:bottom w:val="single" w:sz="12" w:space="0" w:color="000000"/>
              <w:right w:val="single" w:sz="12" w:space="0" w:color="auto"/>
            </w:tcBorders>
          </w:tcPr>
          <w:p w:rsidR="001168D6" w:rsidRPr="00940AE8" w:rsidRDefault="001168D6" w:rsidP="006972B9">
            <w:pPr>
              <w:pStyle w:val="Tabulkovtext"/>
              <w:rPr>
                <w:rFonts w:cs="Tahoma"/>
                <w:szCs w:val="18"/>
                <w:lang w:eastAsia="cs-CZ"/>
              </w:rPr>
            </w:pPr>
            <w:r w:rsidRPr="00940AE8">
              <w:rPr>
                <w:rFonts w:cs="Tahoma"/>
                <w:szCs w:val="18"/>
                <w:lang w:eastAsia="cs-CZ"/>
              </w:rPr>
              <w:t>pom.st.</w:t>
            </w:r>
          </w:p>
        </w:tc>
        <w:tc>
          <w:tcPr>
            <w:tcW w:w="992" w:type="dxa"/>
            <w:tcBorders>
              <w:left w:val="single" w:sz="12" w:space="0" w:color="auto"/>
              <w:bottom w:val="single" w:sz="12"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0,00</w:t>
            </w:r>
          </w:p>
        </w:tc>
        <w:tc>
          <w:tcPr>
            <w:tcW w:w="992" w:type="dxa"/>
            <w:tcBorders>
              <w:bottom w:val="single" w:sz="12"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4,25</w:t>
            </w:r>
          </w:p>
        </w:tc>
        <w:tc>
          <w:tcPr>
            <w:tcW w:w="992" w:type="dxa"/>
            <w:tcBorders>
              <w:bottom w:val="single" w:sz="12"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4,25</w:t>
            </w:r>
          </w:p>
        </w:tc>
        <w:tc>
          <w:tcPr>
            <w:tcW w:w="993" w:type="dxa"/>
            <w:tcBorders>
              <w:bottom w:val="single" w:sz="12"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4,25</w:t>
            </w:r>
          </w:p>
        </w:tc>
        <w:tc>
          <w:tcPr>
            <w:tcW w:w="992" w:type="dxa"/>
            <w:tcBorders>
              <w:bottom w:val="single" w:sz="12"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4,25</w:t>
            </w:r>
          </w:p>
        </w:tc>
      </w:tr>
      <w:tr w:rsidR="001168D6" w:rsidTr="00940AE8">
        <w:tc>
          <w:tcPr>
            <w:tcW w:w="1418" w:type="dxa"/>
            <w:tcBorders>
              <w:top w:val="single" w:sz="12" w:space="0" w:color="000000"/>
              <w:bottom w:val="single" w:sz="4" w:space="0" w:color="000000"/>
            </w:tcBorders>
            <w:shd w:val="pct12" w:color="auto" w:fill="auto"/>
          </w:tcPr>
          <w:p w:rsidR="001168D6" w:rsidRPr="00940AE8" w:rsidRDefault="001168D6" w:rsidP="006972B9">
            <w:pPr>
              <w:pStyle w:val="Tabulkovtext"/>
              <w:rPr>
                <w:rFonts w:cs="Tahoma"/>
                <w:szCs w:val="18"/>
                <w:lang w:eastAsia="cs-CZ"/>
              </w:rPr>
            </w:pPr>
            <w:r w:rsidRPr="00940AE8">
              <w:rPr>
                <w:rFonts w:cs="Tahoma"/>
                <w:szCs w:val="18"/>
                <w:lang w:eastAsia="cs-CZ"/>
              </w:rPr>
              <w:t>celkem</w:t>
            </w:r>
          </w:p>
        </w:tc>
        <w:tc>
          <w:tcPr>
            <w:tcW w:w="1843" w:type="dxa"/>
            <w:tcBorders>
              <w:top w:val="single" w:sz="12" w:space="0" w:color="000000"/>
              <w:bottom w:val="single" w:sz="4" w:space="0" w:color="000000"/>
            </w:tcBorders>
          </w:tcPr>
          <w:p w:rsidR="001168D6" w:rsidRPr="00940AE8" w:rsidRDefault="001168D6" w:rsidP="006972B9">
            <w:pPr>
              <w:pStyle w:val="Tabulkovtext"/>
              <w:rPr>
                <w:rFonts w:cs="Tahoma"/>
                <w:szCs w:val="18"/>
                <w:lang w:eastAsia="cs-CZ"/>
              </w:rPr>
            </w:pPr>
          </w:p>
        </w:tc>
        <w:tc>
          <w:tcPr>
            <w:tcW w:w="1134" w:type="dxa"/>
            <w:tcBorders>
              <w:top w:val="single" w:sz="12" w:space="0" w:color="000000"/>
              <w:bottom w:val="single" w:sz="4" w:space="0" w:color="000000"/>
              <w:right w:val="single" w:sz="12" w:space="0" w:color="auto"/>
            </w:tcBorders>
          </w:tcPr>
          <w:p w:rsidR="001168D6" w:rsidRPr="00940AE8" w:rsidRDefault="001168D6" w:rsidP="006972B9">
            <w:pPr>
              <w:pStyle w:val="Tabulkovtext"/>
              <w:rPr>
                <w:rFonts w:cs="Tahoma"/>
                <w:szCs w:val="18"/>
                <w:lang w:eastAsia="cs-CZ"/>
              </w:rPr>
            </w:pPr>
          </w:p>
        </w:tc>
        <w:tc>
          <w:tcPr>
            <w:tcW w:w="992" w:type="dxa"/>
            <w:tcBorders>
              <w:top w:val="single" w:sz="12" w:space="0" w:color="000000"/>
              <w:left w:val="single" w:sz="12" w:space="0" w:color="auto"/>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85,41</w:t>
            </w:r>
          </w:p>
        </w:tc>
        <w:tc>
          <w:tcPr>
            <w:tcW w:w="992" w:type="dxa"/>
            <w:tcBorders>
              <w:top w:val="single" w:sz="12" w:space="0" w:color="000000"/>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68,20</w:t>
            </w:r>
          </w:p>
        </w:tc>
        <w:tc>
          <w:tcPr>
            <w:tcW w:w="992" w:type="dxa"/>
            <w:tcBorders>
              <w:top w:val="single" w:sz="12" w:space="0" w:color="000000"/>
              <w:bottom w:val="single" w:sz="4" w:space="0" w:color="000000"/>
            </w:tcBorders>
          </w:tcPr>
          <w:p w:rsidR="001168D6" w:rsidRPr="00940AE8" w:rsidRDefault="001168D6" w:rsidP="006972B9">
            <w:pPr>
              <w:pStyle w:val="Tabulkovtext"/>
              <w:rPr>
                <w:rFonts w:cs="Tahoma"/>
                <w:b/>
                <w:bCs/>
                <w:kern w:val="28"/>
                <w:szCs w:val="18"/>
                <w:lang w:eastAsia="cs-CZ"/>
              </w:rPr>
            </w:pPr>
            <w:r w:rsidRPr="00940AE8">
              <w:rPr>
                <w:rFonts w:cs="Tahoma"/>
                <w:szCs w:val="18"/>
                <w:lang w:eastAsia="cs-CZ"/>
              </w:rPr>
              <w:t>58,84</w:t>
            </w:r>
          </w:p>
        </w:tc>
        <w:tc>
          <w:tcPr>
            <w:tcW w:w="993" w:type="dxa"/>
            <w:tcBorders>
              <w:top w:val="single" w:sz="12" w:space="0" w:color="000000"/>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61,43</w:t>
            </w:r>
          </w:p>
        </w:tc>
        <w:tc>
          <w:tcPr>
            <w:tcW w:w="992" w:type="dxa"/>
            <w:tcBorders>
              <w:top w:val="single" w:sz="12" w:space="0" w:color="000000"/>
              <w:bottom w:val="single" w:sz="4"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48,88</w:t>
            </w:r>
          </w:p>
        </w:tc>
      </w:tr>
      <w:tr w:rsidR="001168D6" w:rsidTr="00940AE8">
        <w:tc>
          <w:tcPr>
            <w:tcW w:w="3261" w:type="dxa"/>
            <w:gridSpan w:val="2"/>
            <w:tcBorders>
              <w:bottom w:val="single" w:sz="12" w:space="0" w:color="000000"/>
            </w:tcBorders>
            <w:shd w:val="pct12" w:color="auto" w:fill="auto"/>
          </w:tcPr>
          <w:p w:rsidR="001168D6" w:rsidRPr="00940AE8" w:rsidRDefault="001168D6" w:rsidP="006972B9">
            <w:pPr>
              <w:pStyle w:val="Tabulkovtext"/>
              <w:rPr>
                <w:rFonts w:cs="Tahoma"/>
                <w:szCs w:val="18"/>
                <w:lang w:eastAsia="cs-CZ"/>
              </w:rPr>
            </w:pPr>
            <w:r w:rsidRPr="00940AE8">
              <w:rPr>
                <w:rFonts w:cs="Tahoma"/>
                <w:szCs w:val="18"/>
                <w:lang w:eastAsia="cs-CZ"/>
              </w:rPr>
              <w:t>úspora oproti stávajícímu stavu</w:t>
            </w:r>
          </w:p>
        </w:tc>
        <w:tc>
          <w:tcPr>
            <w:tcW w:w="1134" w:type="dxa"/>
            <w:tcBorders>
              <w:bottom w:val="single" w:sz="12" w:space="0" w:color="000000"/>
              <w:right w:val="single" w:sz="12" w:space="0" w:color="auto"/>
            </w:tcBorders>
          </w:tcPr>
          <w:p w:rsidR="001168D6" w:rsidRPr="00940AE8" w:rsidRDefault="001168D6" w:rsidP="006972B9">
            <w:pPr>
              <w:pStyle w:val="Tabulkovtext"/>
              <w:rPr>
                <w:rFonts w:cs="Tahoma"/>
                <w:szCs w:val="18"/>
                <w:lang w:eastAsia="cs-CZ"/>
              </w:rPr>
            </w:pPr>
          </w:p>
        </w:tc>
        <w:tc>
          <w:tcPr>
            <w:tcW w:w="992" w:type="dxa"/>
            <w:tcBorders>
              <w:left w:val="single" w:sz="12" w:space="0" w:color="auto"/>
              <w:bottom w:val="single" w:sz="12"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w:t>
            </w:r>
          </w:p>
        </w:tc>
        <w:tc>
          <w:tcPr>
            <w:tcW w:w="992" w:type="dxa"/>
            <w:tcBorders>
              <w:bottom w:val="single" w:sz="12"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17,21</w:t>
            </w:r>
          </w:p>
        </w:tc>
        <w:tc>
          <w:tcPr>
            <w:tcW w:w="992" w:type="dxa"/>
            <w:tcBorders>
              <w:bottom w:val="single" w:sz="12" w:space="0" w:color="000000"/>
            </w:tcBorders>
          </w:tcPr>
          <w:p w:rsidR="001168D6" w:rsidRPr="00940AE8" w:rsidRDefault="001168D6" w:rsidP="006972B9">
            <w:pPr>
              <w:pStyle w:val="Tabulkovtext"/>
              <w:rPr>
                <w:rFonts w:cs="Tahoma"/>
                <w:bCs/>
                <w:kern w:val="28"/>
                <w:szCs w:val="18"/>
                <w:lang w:eastAsia="cs-CZ"/>
              </w:rPr>
            </w:pPr>
            <w:r w:rsidRPr="00940AE8">
              <w:rPr>
                <w:rFonts w:cs="Tahoma"/>
                <w:szCs w:val="18"/>
                <w:lang w:eastAsia="cs-CZ"/>
              </w:rPr>
              <w:t>26,57</w:t>
            </w:r>
          </w:p>
        </w:tc>
        <w:tc>
          <w:tcPr>
            <w:tcW w:w="993" w:type="dxa"/>
            <w:tcBorders>
              <w:bottom w:val="single" w:sz="12"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23,98</w:t>
            </w:r>
          </w:p>
        </w:tc>
        <w:tc>
          <w:tcPr>
            <w:tcW w:w="992" w:type="dxa"/>
            <w:tcBorders>
              <w:bottom w:val="single" w:sz="12" w:space="0" w:color="000000"/>
            </w:tcBorders>
          </w:tcPr>
          <w:p w:rsidR="001168D6" w:rsidRPr="00940AE8" w:rsidRDefault="001168D6" w:rsidP="006972B9">
            <w:pPr>
              <w:pStyle w:val="Tabulkovtext"/>
              <w:rPr>
                <w:rFonts w:cs="Tahoma"/>
                <w:szCs w:val="18"/>
                <w:lang w:eastAsia="cs-CZ"/>
              </w:rPr>
            </w:pPr>
            <w:r w:rsidRPr="00940AE8">
              <w:rPr>
                <w:rFonts w:cs="Tahoma"/>
                <w:szCs w:val="18"/>
                <w:lang w:eastAsia="cs-CZ"/>
              </w:rPr>
              <w:t>36,53</w:t>
            </w:r>
          </w:p>
        </w:tc>
      </w:tr>
      <w:tr w:rsidR="001168D6" w:rsidTr="00940AE8">
        <w:tc>
          <w:tcPr>
            <w:tcW w:w="3261" w:type="dxa"/>
            <w:gridSpan w:val="2"/>
            <w:tcBorders>
              <w:top w:val="single" w:sz="12" w:space="0" w:color="000000"/>
            </w:tcBorders>
            <w:shd w:val="pct12" w:color="auto" w:fill="auto"/>
          </w:tcPr>
          <w:p w:rsidR="001168D6" w:rsidRPr="00940AE8" w:rsidRDefault="001168D6" w:rsidP="006972B9">
            <w:pPr>
              <w:pStyle w:val="Tabulkovtext"/>
              <w:rPr>
                <w:rFonts w:cs="Tahoma"/>
                <w:szCs w:val="18"/>
                <w:lang w:eastAsia="cs-CZ"/>
              </w:rPr>
            </w:pPr>
            <w:r w:rsidRPr="00940AE8">
              <w:rPr>
                <w:rFonts w:cs="Tahoma"/>
                <w:szCs w:val="18"/>
                <w:lang w:eastAsia="cs-CZ"/>
              </w:rPr>
              <w:t>úspora oproti stavu bez projektu</w:t>
            </w:r>
          </w:p>
        </w:tc>
        <w:tc>
          <w:tcPr>
            <w:tcW w:w="1134" w:type="dxa"/>
            <w:tcBorders>
              <w:top w:val="single" w:sz="12" w:space="0" w:color="000000"/>
              <w:right w:val="single" w:sz="12" w:space="0" w:color="auto"/>
            </w:tcBorders>
          </w:tcPr>
          <w:p w:rsidR="001168D6" w:rsidRPr="00940AE8" w:rsidRDefault="001168D6" w:rsidP="006972B9">
            <w:pPr>
              <w:pStyle w:val="Tabulkovtext"/>
              <w:rPr>
                <w:rFonts w:cs="Tahoma"/>
                <w:szCs w:val="18"/>
                <w:lang w:eastAsia="cs-CZ"/>
              </w:rPr>
            </w:pPr>
          </w:p>
        </w:tc>
        <w:tc>
          <w:tcPr>
            <w:tcW w:w="992" w:type="dxa"/>
            <w:tcBorders>
              <w:top w:val="single" w:sz="12" w:space="0" w:color="000000"/>
              <w:left w:val="single" w:sz="12" w:space="0" w:color="auto"/>
            </w:tcBorders>
          </w:tcPr>
          <w:p w:rsidR="001168D6" w:rsidRPr="00940AE8" w:rsidRDefault="001168D6" w:rsidP="006972B9">
            <w:pPr>
              <w:pStyle w:val="Tabulkovtext"/>
              <w:rPr>
                <w:rFonts w:cs="Tahoma"/>
                <w:b/>
                <w:szCs w:val="18"/>
                <w:lang w:eastAsia="cs-CZ"/>
              </w:rPr>
            </w:pPr>
            <w:r w:rsidRPr="00940AE8">
              <w:rPr>
                <w:rFonts w:cs="Tahoma"/>
                <w:b/>
                <w:szCs w:val="18"/>
                <w:lang w:eastAsia="cs-CZ"/>
              </w:rPr>
              <w:t>---</w:t>
            </w:r>
          </w:p>
        </w:tc>
        <w:tc>
          <w:tcPr>
            <w:tcW w:w="992" w:type="dxa"/>
            <w:tcBorders>
              <w:top w:val="single" w:sz="12" w:space="0" w:color="000000"/>
            </w:tcBorders>
          </w:tcPr>
          <w:p w:rsidR="001168D6" w:rsidRPr="00940AE8" w:rsidRDefault="001168D6" w:rsidP="006972B9">
            <w:pPr>
              <w:pStyle w:val="Tabulkovtext"/>
              <w:rPr>
                <w:rFonts w:cs="Tahoma"/>
                <w:b/>
                <w:szCs w:val="18"/>
                <w:lang w:eastAsia="cs-CZ"/>
              </w:rPr>
            </w:pPr>
            <w:r w:rsidRPr="00940AE8">
              <w:rPr>
                <w:rFonts w:cs="Tahoma"/>
                <w:b/>
                <w:szCs w:val="18"/>
                <w:lang w:eastAsia="cs-CZ"/>
              </w:rPr>
              <w:t>---</w:t>
            </w:r>
          </w:p>
        </w:tc>
        <w:tc>
          <w:tcPr>
            <w:tcW w:w="992" w:type="dxa"/>
            <w:tcBorders>
              <w:top w:val="single" w:sz="12" w:space="0" w:color="000000"/>
            </w:tcBorders>
          </w:tcPr>
          <w:p w:rsidR="001168D6" w:rsidRPr="00940AE8" w:rsidRDefault="001168D6" w:rsidP="006972B9">
            <w:pPr>
              <w:pStyle w:val="Tabulkovtext"/>
              <w:rPr>
                <w:rFonts w:cs="Tahoma"/>
                <w:b/>
                <w:szCs w:val="18"/>
                <w:lang w:eastAsia="cs-CZ"/>
              </w:rPr>
            </w:pPr>
            <w:r w:rsidRPr="00940AE8">
              <w:rPr>
                <w:rFonts w:cs="Tahoma"/>
                <w:b/>
                <w:szCs w:val="18"/>
                <w:lang w:eastAsia="cs-CZ"/>
              </w:rPr>
              <w:t>9,36</w:t>
            </w:r>
          </w:p>
        </w:tc>
        <w:tc>
          <w:tcPr>
            <w:tcW w:w="993" w:type="dxa"/>
            <w:tcBorders>
              <w:top w:val="single" w:sz="12" w:space="0" w:color="000000"/>
            </w:tcBorders>
          </w:tcPr>
          <w:p w:rsidR="001168D6" w:rsidRPr="00940AE8" w:rsidRDefault="001168D6" w:rsidP="006972B9">
            <w:pPr>
              <w:pStyle w:val="Tabulkovtext"/>
              <w:rPr>
                <w:rFonts w:cs="Tahoma"/>
                <w:b/>
                <w:szCs w:val="18"/>
                <w:lang w:eastAsia="cs-CZ"/>
              </w:rPr>
            </w:pPr>
            <w:r w:rsidRPr="00940AE8">
              <w:rPr>
                <w:rFonts w:cs="Tahoma"/>
                <w:b/>
                <w:szCs w:val="18"/>
                <w:lang w:eastAsia="cs-CZ"/>
              </w:rPr>
              <w:t>6,77</w:t>
            </w:r>
          </w:p>
        </w:tc>
        <w:tc>
          <w:tcPr>
            <w:tcW w:w="992" w:type="dxa"/>
            <w:tcBorders>
              <w:top w:val="single" w:sz="12" w:space="0" w:color="000000"/>
            </w:tcBorders>
          </w:tcPr>
          <w:p w:rsidR="001168D6" w:rsidRPr="00940AE8" w:rsidRDefault="001168D6" w:rsidP="006972B9">
            <w:pPr>
              <w:pStyle w:val="Tabulkovtext"/>
              <w:rPr>
                <w:rFonts w:cs="Tahoma"/>
                <w:b/>
                <w:szCs w:val="18"/>
                <w:lang w:eastAsia="cs-CZ"/>
              </w:rPr>
            </w:pPr>
            <w:r w:rsidRPr="00940AE8">
              <w:rPr>
                <w:rFonts w:cs="Tahoma"/>
                <w:b/>
                <w:szCs w:val="18"/>
                <w:lang w:eastAsia="cs-CZ"/>
              </w:rPr>
              <w:t>19,32</w:t>
            </w:r>
          </w:p>
        </w:tc>
      </w:tr>
    </w:tbl>
    <w:p w:rsidR="002340FD" w:rsidRDefault="00C7770C" w:rsidP="0082658E">
      <w:r>
        <w:t xml:space="preserve">V železniční stanici Pardubice-Rosice nad Labem se nové SZZ 3. kategorie instaluje ve všech projektových variantách i ve stavu bez projektu. Ve stavu bez projektu se náhrada a tomu odpovídající zvýšené náklady předpokládá v roce 2034 (rekonstrukce provedena v roce 2004). Nové TZZ směr Medlešice (AH) se předpokládá ve všech projektových variantách. </w:t>
      </w:r>
      <w:r w:rsidRPr="001168D6">
        <w:t xml:space="preserve">Ve stavu bez projektu a </w:t>
      </w:r>
      <w:r w:rsidR="001168D6">
        <w:t>Etap</w:t>
      </w:r>
      <w:r w:rsidR="001075CA">
        <w:t>ě</w:t>
      </w:r>
      <w:r w:rsidR="001168D6">
        <w:t xml:space="preserve"> </w:t>
      </w:r>
      <w:r w:rsidRPr="001168D6">
        <w:t>se</w:t>
      </w:r>
      <w:r>
        <w:t xml:space="preserve"> nemění kolejové uspořádání a zůstává úrovňový přístup k vlakům. Pro bezpečnost cestujících a organizaci dopravy ve vlakových skupinách se proto předpokládá přítomnost výpravčího vnější služby v době 05-22 hod. Zjišťování konců vlaku vjíždějících od Chrudimi ve variantě bez projektu se předpokládá v součinnosti s výpravčím vnější služby a vlakovým personálem, podrobnosti stanoví základní dokumentace.</w:t>
      </w:r>
      <w:r w:rsidR="001168D6">
        <w:t xml:space="preserve"> </w:t>
      </w:r>
      <w:r w:rsidR="002340FD" w:rsidRPr="001168D6">
        <w:t>V železni</w:t>
      </w:r>
      <w:r w:rsidR="002340FD" w:rsidRPr="001168D6">
        <w:rPr>
          <w:rFonts w:hint="eastAsia"/>
        </w:rPr>
        <w:t>č</w:t>
      </w:r>
      <w:r w:rsidR="002340FD" w:rsidRPr="001168D6">
        <w:t>ní stanici Stéblová se po</w:t>
      </w:r>
      <w:r w:rsidR="002340FD" w:rsidRPr="001168D6">
        <w:rPr>
          <w:rFonts w:hint="eastAsia"/>
        </w:rPr>
        <w:t>čí</w:t>
      </w:r>
      <w:r w:rsidR="002340FD" w:rsidRPr="001168D6">
        <w:t>tá s úsporou výprav</w:t>
      </w:r>
      <w:r w:rsidR="002340FD" w:rsidRPr="001168D6">
        <w:rPr>
          <w:rFonts w:hint="eastAsia"/>
        </w:rPr>
        <w:t>čí</w:t>
      </w:r>
      <w:r w:rsidR="002340FD" w:rsidRPr="001168D6">
        <w:t xml:space="preserve">ho v </w:t>
      </w:r>
      <w:r w:rsidR="001168D6">
        <w:t>Etap</w:t>
      </w:r>
      <w:r w:rsidR="001075CA">
        <w:t>ě</w:t>
      </w:r>
      <w:r w:rsidR="001168D6">
        <w:t xml:space="preserve"> a </w:t>
      </w:r>
      <w:r w:rsidR="002340FD" w:rsidRPr="001168D6">
        <w:t>variant</w:t>
      </w:r>
      <w:r w:rsidR="002340FD" w:rsidRPr="001168D6">
        <w:rPr>
          <w:rFonts w:hint="eastAsia"/>
        </w:rPr>
        <w:t>ě</w:t>
      </w:r>
      <w:r w:rsidR="002340FD" w:rsidRPr="001168D6">
        <w:t xml:space="preserve"> Maximální,</w:t>
      </w:r>
      <w:r w:rsidR="002340FD">
        <w:t xml:space="preserve"> činnost hláskaře Čeperka bude nahrazena TZZ ve všech projektových variantách</w:t>
      </w:r>
      <w:r>
        <w:t xml:space="preserve"> i ve stavu bez projektu (v roce 2016)</w:t>
      </w:r>
      <w:r w:rsidR="00A975B5">
        <w:t>.</w:t>
      </w:r>
    </w:p>
    <w:p w:rsidR="001619E7" w:rsidRDefault="001619E7" w:rsidP="0082658E">
      <w:r>
        <w:t>V železniční stanic</w:t>
      </w:r>
      <w:r w:rsidR="00434004">
        <w:t>i</w:t>
      </w:r>
      <w:r>
        <w:t xml:space="preserve"> Opatovice nad Labem výpravčí zůstává, s jeho zrušením se počítá ve variantě Maximální, kdy bude provoz na celé trati řízen dálkově. </w:t>
      </w:r>
      <w:r w:rsidR="00434004">
        <w:t>Z</w:t>
      </w:r>
      <w:r>
        <w:t xml:space="preserve"> toho důvodu je personální potřeba navýšena o jednoho výpravčího</w:t>
      </w:r>
      <w:r w:rsidR="00C7770C">
        <w:t xml:space="preserve"> v řídícím centru Hradec Králové</w:t>
      </w:r>
      <w:r>
        <w:t>.</w:t>
      </w:r>
      <w:r w:rsidR="00C7770C">
        <w:t xml:space="preserve"> </w:t>
      </w:r>
      <w:r w:rsidR="00C7770C" w:rsidRPr="00A975B5">
        <w:t xml:space="preserve">V </w:t>
      </w:r>
      <w:r w:rsidR="00A975B5">
        <w:t>Etap</w:t>
      </w:r>
      <w:r w:rsidR="001075CA">
        <w:t>ě</w:t>
      </w:r>
      <w:r w:rsidR="00C7770C">
        <w:t xml:space="preserve"> vzniká samostatné ovládací pracoviště pro odbočku Pohřebačka, předpokládá se jeho obsazení výpravčím v denních směnách.</w:t>
      </w:r>
    </w:p>
    <w:p w:rsidR="001619E7" w:rsidRDefault="00C7770C" w:rsidP="001619E7">
      <w:r>
        <w:t>V železniční stanici Hradec Králové hlavní nádraží se počítá s instalací nového elektronického stavědla nejen v projektových variantách, ale i ve variantě bez projektu. Ve variantě bez projektu se s těmito zvýšenými náklady počítá zkraje hodnotícího období (2015-2018). To znamená nejenom úbytek signalistů, ale jsou uvedeny i změny ve funkcích zdánlivě nesouvisejících. Návaznost je ovšem logická. Instalace nového SZZ má dopad i do obvodu „spádoviště“, které ovšem v současném stavu podmínky plnohodnotného spádoviště nesplňuje, a proto je navržena změna technologie rozřazování souprav. Signalista, který nyní přestavuje výhybky v rozpouštěcí oblasti, nebude, naopak je třeba posílit posunovací četu a počítat se samostatným pracovníkem na obsluhu pomocného stavědla. V projektových variantách se uvažuje s instalací TZZ 3. kategorie na zaústěných tratích, ve stavu bez projektu se na stavědle 2 ponechává 1 signalista ve směně kvůli kontrole celistvosti vjíždějících vlaků.</w:t>
      </w:r>
    </w:p>
    <w:p w:rsidR="00F1001A" w:rsidRDefault="00ED34F8" w:rsidP="00462FC4">
      <w:pPr>
        <w:pStyle w:val="Nadpis2"/>
      </w:pPr>
      <w:bookmarkStart w:id="175" w:name="_Toc390958703"/>
      <w:r>
        <w:t>Vliv variant na organizaci výluk</w:t>
      </w:r>
      <w:bookmarkEnd w:id="175"/>
    </w:p>
    <w:p w:rsidR="00ED34F8" w:rsidRDefault="00ED34F8">
      <w:r>
        <w:t>Přínosem Maximální varianty není pouze dostatek kapacity, která umožní realizaci prakticky jakéhokoliv provozního scénáře. Dalším přínosem je</w:t>
      </w:r>
      <w:r w:rsidR="00956D87">
        <w:t xml:space="preserve"> úspora prostředků, které by jinak musel dopravce vynakládat na náhradní autobusovou dopravu při výlukové činnosti</w:t>
      </w:r>
      <w:r w:rsidR="00C40552">
        <w:t>.</w:t>
      </w:r>
      <w:r w:rsidR="00956D87">
        <w:t xml:space="preserve"> Pro vyčíslení tohoto efektu</w:t>
      </w:r>
      <w:r w:rsidR="009E4E12">
        <w:t xml:space="preserve"> </w:t>
      </w:r>
      <w:r w:rsidR="00C40552">
        <w:t xml:space="preserve">vycházel zpracovatel z rozboru skutečně vykonané výlukové činnosti za léta 2003, 2011, 2012 a 1.Q 2013. </w:t>
      </w:r>
      <w:r w:rsidR="00C40552" w:rsidRPr="00A975B5">
        <w:t xml:space="preserve">Pro </w:t>
      </w:r>
      <w:r w:rsidR="00A975B5">
        <w:t>Etap</w:t>
      </w:r>
      <w:r w:rsidR="001075CA">
        <w:t>u</w:t>
      </w:r>
      <w:r w:rsidR="00A975B5">
        <w:t xml:space="preserve"> </w:t>
      </w:r>
      <w:r w:rsidR="00BE551F" w:rsidRPr="00A975B5">
        <w:t>byly uvažovány výluky na jednokolejných úsecích Pardubic</w:t>
      </w:r>
      <w:r w:rsidR="00BE551F">
        <w:t>e-Rosice nad Labem – Stéblová a Opatovice nad Labem – Hradec Králové hlavní nádraží. Ve variantě Maximální se předpokládá, že při případné výluce některého z těchto úseků</w:t>
      </w:r>
      <w:r w:rsidR="005725F0">
        <w:t xml:space="preserve"> bude možné osobní dopravu zvládnout na nevyloučené traťové koleji (předpoklad konání výluky v dopoledním sedle). </w:t>
      </w:r>
      <w:r w:rsidR="00CA34D8">
        <w:t>Jako průměrný rozsah výluk lze uvažovat 1x 5,5 hod výluka Pardubice-Rosice nad Labem – Stéblová a 2x 5,5 hod výluka Opatovice nad Labe</w:t>
      </w:r>
      <w:r w:rsidR="00C25E9A">
        <w:t>m</w:t>
      </w:r>
      <w:r w:rsidR="00CA34D8">
        <w:t xml:space="preserve"> – Hradec Králové hlavní nádr. </w:t>
      </w:r>
      <w:r w:rsidR="00C25E9A">
        <w:t xml:space="preserve">Na základě modelových grafikonů a sestavených oběhů autobusů lze vyčíslit celkvý rozsah náhradní autobusové dopravy na 3061 buskm a 68,5 bushodin za úsek Pardubice-Rosice nad Labem – Stéblová a 2183 buskm a 91,0 bushodin za úsek Opatovice nad Labem – Hradec Králové hlavní nádr. Celkem </w:t>
      </w:r>
      <w:r w:rsidR="00F1001A" w:rsidRPr="00462FC4">
        <w:rPr>
          <w:b/>
        </w:rPr>
        <w:t>5244 buskm</w:t>
      </w:r>
      <w:r w:rsidR="00C25E9A">
        <w:t xml:space="preserve"> a </w:t>
      </w:r>
      <w:r w:rsidR="00F1001A" w:rsidRPr="00462FC4">
        <w:rPr>
          <w:b/>
        </w:rPr>
        <w:t>159,5 bushodin</w:t>
      </w:r>
      <w:r w:rsidR="00C25E9A">
        <w:t>.</w:t>
      </w:r>
      <w:r w:rsidR="00563C49">
        <w:t xml:space="preserve"> Kromě těchto výluk se pravděpodobně budou konat i další výluky, ty budou ovšem v noční době a nebudou nárokovat náhradní autobusovou dopravu.</w:t>
      </w:r>
    </w:p>
    <w:p w:rsidR="00C25E9A" w:rsidRDefault="00C25E9A">
      <w:r>
        <w:t>Další předpoklady: náhradní autobusová doprava je organizována buď v úseku Pardubicí hlavní náddr. – Opatovice nad Labem nebo Opatovice nad Labem – Hradec Králové hlavní nádr. Místo 1 vlaku jsou v sedle nasazeny 3 autobusy, v období končící a začínající špičky 4 autobusy. V praxi bývá při výluce Opatovice nad Labem – Hradec Králové hlavní nádr. osobní doprava odkloněna přes odbočku Plačice. Tato možnost zůstává i do budoucna, nicméně tak, jak jsou zpracovány výhledové grafikony, by při předpokládaném zpoždění při jízdě po delší trase nešla osobní doprava vyjezdit</w:t>
      </w:r>
      <w:r w:rsidR="0095162B">
        <w:t>, proto se počítá s náhradní autobusovou dopravou</w:t>
      </w:r>
      <w:r>
        <w:t xml:space="preserve">. </w:t>
      </w:r>
      <w:r w:rsidR="0095162B">
        <w:t>Jinak s</w:t>
      </w:r>
      <w:r>
        <w:t xml:space="preserve">oučasný vozový park používaný v regionální dopravě by umožnil </w:t>
      </w:r>
      <w:r w:rsidR="002951E0">
        <w:t>úvrať s minimálním zdržením</w:t>
      </w:r>
      <w:r w:rsidR="0095162B">
        <w:t>, bez nutnosti objíždění hnacího vozidla, u současné rychlíkové vozby by se muselo objíždět nebo přidat na konec soupravy další motorový vůz.</w:t>
      </w:r>
      <w:r w:rsidR="00563C49">
        <w:t xml:space="preserve"> </w:t>
      </w:r>
    </w:p>
    <w:p w:rsidR="005716FE" w:rsidRDefault="003A5D22" w:rsidP="0082658E">
      <w:pPr>
        <w:sectPr w:rsidR="005716FE" w:rsidSect="00C90180">
          <w:footerReference w:type="default" r:id="rId53"/>
          <w:footnotePr>
            <w:pos w:val="beneathText"/>
          </w:footnotePr>
          <w:pgSz w:w="11905" w:h="16837" w:code="9"/>
          <w:pgMar w:top="1492" w:right="1134" w:bottom="1134" w:left="1418" w:header="709" w:footer="96" w:gutter="0"/>
          <w:cols w:space="708"/>
          <w:docGrid w:linePitch="360"/>
        </w:sectPr>
      </w:pPr>
      <w:r>
        <w:t xml:space="preserve">Výše uvedené platí v přiměřeném rozsahu i pro varianty bez projektu a Minimální s tím, že náhradní autobusová doprava by byla i v ostatních mezistaničních úsecích, celkový rozsah nahrazované vlakové dopravy by však byl nižší (viz kapitola </w:t>
      </w:r>
      <w:r w:rsidR="00AC5CDF">
        <w:fldChar w:fldCharType="begin"/>
      </w:r>
      <w:r>
        <w:instrText xml:space="preserve"> REF _Ref358984562 \r \h </w:instrText>
      </w:r>
      <w:r w:rsidR="00AC5CDF">
        <w:fldChar w:fldCharType="separate"/>
      </w:r>
      <w:r w:rsidR="003843F3">
        <w:t>4.1.2</w:t>
      </w:r>
      <w:r w:rsidR="00AC5CDF">
        <w:fldChar w:fldCharType="end"/>
      </w:r>
      <w:r>
        <w:t xml:space="preserve">). </w:t>
      </w:r>
      <w:r w:rsidR="00563C49">
        <w:t>Je však třeba předpokládat, že v projektových variantách rozsah výlukové činnosti nebude v průběhu hodnotícího období konstantní. V letech následujících po dokončení rekonstrukce by rozsah výlukové činnosti byl relativně malý a ve druhé a třetí dekádě hodnotícího období by naopak narůstal.</w:t>
      </w:r>
    </w:p>
    <w:p w:rsidR="00225B27" w:rsidRDefault="00225B27" w:rsidP="006A637B">
      <w:pPr>
        <w:pStyle w:val="Nadpis1"/>
        <w:tabs>
          <w:tab w:val="clear" w:pos="716"/>
          <w:tab w:val="num" w:pos="567"/>
        </w:tabs>
        <w:ind w:hanging="716"/>
      </w:pPr>
      <w:bookmarkStart w:id="176" w:name="_Toc390958704"/>
      <w:r>
        <w:t>Přepravní prognóza</w:t>
      </w:r>
      <w:bookmarkEnd w:id="176"/>
    </w:p>
    <w:p w:rsidR="00225B27" w:rsidRDefault="00225B27">
      <w:r>
        <w:t>Přepravní prognóza popisuje stávající a modeluje výhledové p</w:t>
      </w:r>
      <w:r w:rsidR="00F57FE0">
        <w:t>řepravní vztahy v řešeném území během hodnotícího období studie (2014 – 2043).</w:t>
      </w:r>
      <w:r>
        <w:t xml:space="preserve"> Výsledky jsou vstupem pro ekonomické hodnocení projektu.</w:t>
      </w:r>
    </w:p>
    <w:p w:rsidR="00225B27" w:rsidRDefault="002F2103" w:rsidP="002F2103">
      <w:pPr>
        <w:pStyle w:val="Nadpis2"/>
      </w:pPr>
      <w:bookmarkStart w:id="177" w:name="_Toc390958705"/>
      <w:r>
        <w:t>O</w:t>
      </w:r>
      <w:r w:rsidR="00225B27">
        <w:t>vlivněná oblast</w:t>
      </w:r>
      <w:bookmarkEnd w:id="177"/>
    </w:p>
    <w:p w:rsidR="002F2103" w:rsidRDefault="002F2103" w:rsidP="002F2103">
      <w:r>
        <w:t xml:space="preserve">Sledovaná oblast, ve které se nachází posuzované projekty, je součástí severojižní urbanizační osy Náchod/Trutnov - Jaroměř - </w:t>
      </w:r>
      <w:r w:rsidRPr="00FE461D">
        <w:rPr>
          <w:b/>
        </w:rPr>
        <w:t xml:space="preserve">Hradec Králové – Pardubice – </w:t>
      </w:r>
      <w:r w:rsidRPr="002F2103">
        <w:t>Chrudim</w:t>
      </w:r>
      <w:r>
        <w:t xml:space="preserve"> – Slatiňany - Chrast. V severní části je do této osy možné zahrnout také Dvůr Králové n. L a Českou Skalici, z jihu jsou pak na tuto osu napojeny další významnější sídla Skuteč a Hlinsko. Skupina posuzovaných projektů se bude realizovat v samotném jádru této urbanizační osy – na spojnici měst Hradec Králové – Pardubice.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61"/>
      </w:tblGrid>
      <w:tr w:rsidR="002F2103" w:rsidRPr="00DE106B" w:rsidTr="00940AE8">
        <w:tc>
          <w:tcPr>
            <w:tcW w:w="9461" w:type="dxa"/>
          </w:tcPr>
          <w:p w:rsidR="002F2103" w:rsidRPr="00714409" w:rsidRDefault="00D275C9" w:rsidP="002E5756">
            <w:pPr>
              <w:pStyle w:val="Titulek"/>
            </w:pPr>
            <w:bookmarkStart w:id="178" w:name="_Toc390958827"/>
            <w:r w:rsidRPr="00D275C9">
              <w:t xml:space="preserve">Obr. </w:t>
            </w:r>
            <w:r w:rsidR="00AC5CDF" w:rsidRPr="00D275C9">
              <w:fldChar w:fldCharType="begin"/>
            </w:r>
            <w:r w:rsidRPr="00D275C9">
              <w:instrText xml:space="preserve"> STYLEREF 1 \s </w:instrText>
            </w:r>
            <w:r w:rsidR="00AC5CDF" w:rsidRPr="00D275C9">
              <w:fldChar w:fldCharType="separate"/>
            </w:r>
            <w:r w:rsidR="003843F3">
              <w:rPr>
                <w:noProof/>
              </w:rPr>
              <w:t>5</w:t>
            </w:r>
            <w:r w:rsidR="00AC5CDF" w:rsidRPr="00D275C9">
              <w:fldChar w:fldCharType="end"/>
            </w:r>
            <w:r w:rsidRPr="00D275C9">
              <w:noBreakHyphen/>
            </w:r>
            <w:r w:rsidR="00AC5CDF" w:rsidRPr="00D275C9">
              <w:fldChar w:fldCharType="begin"/>
            </w:r>
            <w:r w:rsidRPr="00D275C9">
              <w:instrText xml:space="preserve"> SEQ Obr. \* ARABIC \s 1 </w:instrText>
            </w:r>
            <w:r w:rsidR="00AC5CDF" w:rsidRPr="00D275C9">
              <w:fldChar w:fldCharType="separate"/>
            </w:r>
            <w:r w:rsidR="003843F3">
              <w:rPr>
                <w:noProof/>
              </w:rPr>
              <w:t>1</w:t>
            </w:r>
            <w:r w:rsidR="00AC5CDF" w:rsidRPr="00D275C9">
              <w:fldChar w:fldCharType="end"/>
            </w:r>
            <w:r w:rsidRPr="00D275C9">
              <w:t>:</w:t>
            </w:r>
            <w:r w:rsidRPr="0061341E">
              <w:t xml:space="preserve"> </w:t>
            </w:r>
            <w:r w:rsidR="002F2103" w:rsidRPr="00714409">
              <w:t>Dopravní síť ve sledované oblasti</w:t>
            </w:r>
            <w:bookmarkEnd w:id="178"/>
          </w:p>
        </w:tc>
      </w:tr>
      <w:tr w:rsidR="002F2103" w:rsidTr="00873466">
        <w:trPr>
          <w:trHeight w:val="9213"/>
        </w:trPr>
        <w:tc>
          <w:tcPr>
            <w:tcW w:w="9461" w:type="dxa"/>
            <w:tcBorders>
              <w:bottom w:val="nil"/>
            </w:tcBorders>
          </w:tcPr>
          <w:p w:rsidR="002F2103" w:rsidRPr="00714409" w:rsidRDefault="000E79AE" w:rsidP="00725854">
            <w:pPr>
              <w:pStyle w:val="Nadpis5"/>
              <w:rPr>
                <w:highlight w:val="yellow"/>
              </w:rPr>
            </w:pPr>
            <w:r>
              <w:rPr>
                <w:b w:val="0"/>
                <w:i/>
                <w:noProof/>
                <w:sz w:val="16"/>
                <w:szCs w:val="16"/>
                <w:highlight w:val="yellow"/>
                <w:lang w:eastAsia="cs-CZ"/>
              </w:rPr>
              <w:pict>
                <v:shape id="_x0000_s1105" type="#_x0000_t75" style="position:absolute;left:0;text-align:left;margin-left:371.6pt;margin-top:272.65pt;width:60.55pt;height:19.45pt;z-index:251654656;mso-position-horizontal-relative:text;mso-position-vertical-relative:text">
                  <v:imagedata r:id="rId20" o:title=""/>
                </v:shape>
                <o:OLEObject Type="Embed" ProgID="CorelDRAW.Graphic.12" ShapeID="_x0000_s1105" DrawAspect="Content" ObjectID="_1464784065" r:id="rId54"/>
              </w:pict>
            </w:r>
            <w:r w:rsidR="006819BA">
              <w:rPr>
                <w:noProof/>
                <w:lang w:eastAsia="cs-CZ"/>
              </w:rPr>
              <w:drawing>
                <wp:inline distT="0" distB="0" distL="0" distR="0" wp14:anchorId="4A296E8A" wp14:editId="328274FB">
                  <wp:extent cx="5796501" cy="5716987"/>
                  <wp:effectExtent l="0" t="0" r="0" b="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stretch>
                            <a:fillRect/>
                          </a:stretch>
                        </pic:blipFill>
                        <pic:spPr>
                          <a:xfrm>
                            <a:off x="0" y="0"/>
                            <a:ext cx="5802212" cy="5722620"/>
                          </a:xfrm>
                          <a:prstGeom prst="rect">
                            <a:avLst/>
                          </a:prstGeom>
                        </pic:spPr>
                      </pic:pic>
                    </a:graphicData>
                  </a:graphic>
                </wp:inline>
              </w:drawing>
            </w:r>
          </w:p>
        </w:tc>
      </w:tr>
      <w:tr w:rsidR="002F2103" w:rsidTr="00873466">
        <w:tc>
          <w:tcPr>
            <w:tcW w:w="9461" w:type="dxa"/>
            <w:tcBorders>
              <w:top w:val="nil"/>
            </w:tcBorders>
          </w:tcPr>
          <w:p w:rsidR="002F2103" w:rsidRPr="00714409" w:rsidRDefault="002F2103" w:rsidP="00725854">
            <w:pPr>
              <w:pStyle w:val="Nadpis5"/>
              <w:rPr>
                <w:b w:val="0"/>
                <w:i/>
                <w:sz w:val="16"/>
                <w:szCs w:val="16"/>
              </w:rPr>
            </w:pPr>
            <w:r w:rsidRPr="00714409">
              <w:rPr>
                <w:b w:val="0"/>
                <w:i/>
                <w:sz w:val="16"/>
                <w:szCs w:val="16"/>
              </w:rPr>
              <w:t>Mapový podklad: www.openstreetmap.org</w:t>
            </w:r>
          </w:p>
        </w:tc>
      </w:tr>
    </w:tbl>
    <w:p w:rsidR="00F57FE0" w:rsidRPr="00F57FE0" w:rsidRDefault="00F57FE0" w:rsidP="00F57FE0">
      <w:pPr>
        <w:spacing w:before="0" w:after="0"/>
        <w:rPr>
          <w:sz w:val="4"/>
          <w:szCs w:val="4"/>
        </w:rPr>
      </w:pPr>
    </w:p>
    <w:p w:rsidR="002F2103" w:rsidRDefault="002F2103" w:rsidP="002F2103">
      <w:r>
        <w:t xml:space="preserve">Vzhledem k blízkosti těchto měst a jejich velikosti existují mezi nimi silné vazby, které se projevují velkou přepravní poptávkou. Pro uspokojení takovýchto silných přepravních proudů je dimenzována zejména silniční infrastruktura, která je v současné době již v provozu, případně ve výstavbě s brzkým datem svého dokončení. </w:t>
      </w:r>
    </w:p>
    <w:p w:rsidR="00377828" w:rsidRDefault="00377828" w:rsidP="00887E61">
      <w:pPr>
        <w:pStyle w:val="Nadpis3"/>
        <w:ind w:hanging="8234"/>
      </w:pPr>
      <w:r>
        <w:t>Silniční síť</w:t>
      </w:r>
    </w:p>
    <w:p w:rsidR="006819BA" w:rsidRDefault="002F2103" w:rsidP="00E92B29">
      <w:pPr>
        <w:spacing w:beforeLines="40" w:before="96" w:afterLines="40" w:after="96"/>
      </w:pPr>
      <w:r>
        <w:t xml:space="preserve">V severojižním směru prochází sledovanou oblastí silnice I. třídy I/37, která tvoří zároveň nejdůležitější silniční osu celé urbanizační osy, neboť propojuje všechna její důležitá sídla. Tato silnice byla v posledních letech výrazně modernizována a téměř v celém úseku Chrudim – Pardubice – Hradec Králové je vedena v nové stopě. Mezi Pardubicemi a Hradcem Králové je navíc </w:t>
      </w:r>
      <w:r w:rsidR="001376C4">
        <w:t xml:space="preserve">od roku 2013 kompletně </w:t>
      </w:r>
      <w:r>
        <w:t>ve čtyřpruhovém uspořádání</w:t>
      </w:r>
      <w:r w:rsidR="001376C4">
        <w:t>, přičemž k</w:t>
      </w:r>
      <w:r>
        <w:t xml:space="preserve">vůli jejím parametrům blízkým rychlostním komunikacím se </w:t>
      </w:r>
      <w:r w:rsidR="001376C4">
        <w:t>zde uvažuje o zvýšení maximální povolené rychlosti až na 110 km/h, k čemuž jsou však nutné zmeny legislativy.</w:t>
      </w:r>
      <w:r>
        <w:t xml:space="preserve">  Všechny tyto změny v silniční síti výrazně zvýšily její kapacitu, rychlost a v důsledku atraktivitu pro uživatele. </w:t>
      </w:r>
    </w:p>
    <w:p w:rsidR="00631EAB" w:rsidRDefault="005E4A74" w:rsidP="00D20948">
      <w:pPr>
        <w:spacing w:beforeLines="40" w:before="96" w:afterLines="40" w:after="96"/>
      </w:pPr>
      <w:r>
        <w:t>Nejdůležitější relace Hradec Králové – Pardubice má při použití osobního automobilu ve stávajícím stavu přibližně následující parametry:</w:t>
      </w:r>
    </w:p>
    <w:p w:rsidR="00631EAB" w:rsidRDefault="005E4A74" w:rsidP="00D20948">
      <w:pPr>
        <w:numPr>
          <w:ilvl w:val="0"/>
          <w:numId w:val="28"/>
        </w:numPr>
        <w:spacing w:before="40" w:after="40"/>
      </w:pPr>
      <w:r>
        <w:t xml:space="preserve">centrum Pardubic – centrum HK: cca </w:t>
      </w:r>
      <w:r w:rsidR="001376C4">
        <w:t xml:space="preserve">25 </w:t>
      </w:r>
      <w:r>
        <w:t>min, 2</w:t>
      </w:r>
      <w:r w:rsidR="001376C4">
        <w:t>6</w:t>
      </w:r>
      <w:r>
        <w:t xml:space="preserve"> km</w:t>
      </w:r>
    </w:p>
    <w:p w:rsidR="00631EAB" w:rsidRDefault="005E4A74" w:rsidP="00D20948">
      <w:pPr>
        <w:numPr>
          <w:ilvl w:val="0"/>
          <w:numId w:val="28"/>
        </w:numPr>
        <w:spacing w:before="40" w:after="40"/>
      </w:pPr>
      <w:r>
        <w:t xml:space="preserve">žst. Pardubice hl. n. – žst. Hradec Králové hl. n.: </w:t>
      </w:r>
      <w:r w:rsidR="001376C4">
        <w:t xml:space="preserve">22 </w:t>
      </w:r>
      <w:r>
        <w:t xml:space="preserve">min, </w:t>
      </w:r>
      <w:r w:rsidR="001376C4">
        <w:t xml:space="preserve">23 </w:t>
      </w:r>
      <w:r>
        <w:t>km</w:t>
      </w:r>
    </w:p>
    <w:p w:rsidR="005E4A74" w:rsidRDefault="005E4A74" w:rsidP="005E4A74">
      <w:pPr>
        <w:spacing w:before="120" w:after="120"/>
      </w:pPr>
      <w:r>
        <w:t xml:space="preserve">Po zvýšení max. rychlosti na silnici I/37 na </w:t>
      </w:r>
      <w:smartTag w:uri="urn:schemas-microsoft-com:office:smarttags" w:element="metricconverter">
        <w:smartTagPr>
          <w:attr w:name="ProductID" w:val="110 km/h"/>
        </w:smartTagPr>
        <w:r>
          <w:t>110 km/h</w:t>
        </w:r>
      </w:smartTag>
      <w:r>
        <w:t xml:space="preserve"> by se cestovní doba zkrátila přibližně o 2 min.</w:t>
      </w:r>
    </w:p>
    <w:tbl>
      <w:tblPr>
        <w:tblW w:w="936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68"/>
      </w:tblGrid>
      <w:tr w:rsidR="002F2103" w:rsidTr="008E65C6">
        <w:trPr>
          <w:trHeight w:hRule="exact" w:val="286"/>
        </w:trPr>
        <w:tc>
          <w:tcPr>
            <w:tcW w:w="9368" w:type="dxa"/>
            <w:vAlign w:val="center"/>
          </w:tcPr>
          <w:p w:rsidR="002F2103" w:rsidRPr="00714409" w:rsidRDefault="00D275C9" w:rsidP="002E5756">
            <w:pPr>
              <w:pStyle w:val="Titulek"/>
            </w:pPr>
            <w:bookmarkStart w:id="179" w:name="_Toc289345647"/>
            <w:bookmarkStart w:id="180" w:name="_Toc390958828"/>
            <w:r w:rsidRPr="00D275C9">
              <w:t xml:space="preserve">Obr. </w:t>
            </w:r>
            <w:r w:rsidR="00AC5CDF" w:rsidRPr="00D275C9">
              <w:fldChar w:fldCharType="begin"/>
            </w:r>
            <w:r w:rsidRPr="00D275C9">
              <w:instrText xml:space="preserve"> STYLEREF 1 \s </w:instrText>
            </w:r>
            <w:r w:rsidR="00AC5CDF" w:rsidRPr="00D275C9">
              <w:fldChar w:fldCharType="separate"/>
            </w:r>
            <w:r w:rsidR="003843F3">
              <w:rPr>
                <w:noProof/>
              </w:rPr>
              <w:t>5</w:t>
            </w:r>
            <w:r w:rsidR="00AC5CDF" w:rsidRPr="00D275C9">
              <w:fldChar w:fldCharType="end"/>
            </w:r>
            <w:r w:rsidRPr="00D275C9">
              <w:noBreakHyphen/>
            </w:r>
            <w:r w:rsidR="00AC5CDF" w:rsidRPr="00D275C9">
              <w:fldChar w:fldCharType="begin"/>
            </w:r>
            <w:r w:rsidRPr="00D275C9">
              <w:instrText xml:space="preserve"> SEQ Obr. \* ARABIC \s 1 </w:instrText>
            </w:r>
            <w:r w:rsidR="00AC5CDF" w:rsidRPr="00D275C9">
              <w:fldChar w:fldCharType="separate"/>
            </w:r>
            <w:r w:rsidR="003843F3">
              <w:rPr>
                <w:noProof/>
              </w:rPr>
              <w:t>2</w:t>
            </w:r>
            <w:r w:rsidR="00AC5CDF" w:rsidRPr="00D275C9">
              <w:fldChar w:fldCharType="end"/>
            </w:r>
            <w:r w:rsidRPr="00D275C9">
              <w:t>:</w:t>
            </w:r>
            <w:r w:rsidRPr="0061341E">
              <w:t xml:space="preserve"> </w:t>
            </w:r>
            <w:r w:rsidR="002F2103" w:rsidRPr="00714409">
              <w:t xml:space="preserve">Zásadní stavby silniční sítě dle přípravy ŘSD, stav k roku </w:t>
            </w:r>
            <w:bookmarkEnd w:id="179"/>
            <w:r w:rsidR="001376C4" w:rsidRPr="00714409">
              <w:t>201</w:t>
            </w:r>
            <w:r w:rsidR="001376C4">
              <w:t>3</w:t>
            </w:r>
            <w:bookmarkEnd w:id="180"/>
          </w:p>
        </w:tc>
      </w:tr>
      <w:tr w:rsidR="002F2103" w:rsidTr="008E65C6">
        <w:trPr>
          <w:trHeight w:val="7145"/>
        </w:trPr>
        <w:tc>
          <w:tcPr>
            <w:tcW w:w="9368" w:type="dxa"/>
            <w:tcBorders>
              <w:bottom w:val="nil"/>
            </w:tcBorders>
            <w:vAlign w:val="center"/>
          </w:tcPr>
          <w:p w:rsidR="002F2103" w:rsidRDefault="006819BA" w:rsidP="00F57FE0">
            <w:pPr>
              <w:keepNext/>
              <w:tabs>
                <w:tab w:val="left" w:pos="497"/>
              </w:tabs>
              <w:spacing w:before="20" w:after="20" w:line="240" w:lineRule="auto"/>
              <w:jc w:val="center"/>
              <w:rPr>
                <w:i/>
                <w:iCs/>
                <w:sz w:val="16"/>
              </w:rPr>
            </w:pPr>
            <w:r>
              <w:rPr>
                <w:noProof/>
                <w:lang w:eastAsia="cs-CZ"/>
              </w:rPr>
              <w:drawing>
                <wp:inline distT="0" distB="0" distL="0" distR="0" wp14:anchorId="51CE9AA6" wp14:editId="7E0FA77F">
                  <wp:extent cx="5860112" cy="4724349"/>
                  <wp:effectExtent l="0" t="0" r="0"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stretch>
                            <a:fillRect/>
                          </a:stretch>
                        </pic:blipFill>
                        <pic:spPr>
                          <a:xfrm>
                            <a:off x="0" y="0"/>
                            <a:ext cx="5865795" cy="4728930"/>
                          </a:xfrm>
                          <a:prstGeom prst="rect">
                            <a:avLst/>
                          </a:prstGeom>
                        </pic:spPr>
                      </pic:pic>
                    </a:graphicData>
                  </a:graphic>
                </wp:inline>
              </w:drawing>
            </w:r>
          </w:p>
        </w:tc>
      </w:tr>
      <w:tr w:rsidR="002F2103" w:rsidRPr="00F57FE0" w:rsidTr="008E65C6">
        <w:trPr>
          <w:trHeight w:val="203"/>
        </w:trPr>
        <w:tc>
          <w:tcPr>
            <w:tcW w:w="9368" w:type="dxa"/>
            <w:tcBorders>
              <w:top w:val="nil"/>
            </w:tcBorders>
            <w:vAlign w:val="center"/>
          </w:tcPr>
          <w:p w:rsidR="002F2103" w:rsidRPr="00714409" w:rsidRDefault="002F2103" w:rsidP="00F57FE0">
            <w:pPr>
              <w:pStyle w:val="Nadpis5"/>
              <w:rPr>
                <w:b w:val="0"/>
                <w:i/>
                <w:sz w:val="16"/>
                <w:szCs w:val="16"/>
              </w:rPr>
            </w:pPr>
            <w:r w:rsidRPr="00714409">
              <w:rPr>
                <w:b w:val="0"/>
                <w:i/>
                <w:sz w:val="16"/>
                <w:szCs w:val="16"/>
              </w:rPr>
              <w:t>Zdroj: ŘSD</w:t>
            </w:r>
          </w:p>
        </w:tc>
      </w:tr>
    </w:tbl>
    <w:p w:rsidR="00F57FE0" w:rsidRPr="00F57FE0" w:rsidRDefault="00F57FE0" w:rsidP="00F57FE0">
      <w:pPr>
        <w:spacing w:before="0" w:after="0"/>
        <w:rPr>
          <w:sz w:val="4"/>
          <w:szCs w:val="4"/>
        </w:rPr>
      </w:pPr>
    </w:p>
    <w:p w:rsidR="0024305E" w:rsidRDefault="00377828" w:rsidP="0024305E">
      <w:r w:rsidRPr="0024305E">
        <w:t xml:space="preserve">Další důležitou spojnicí s ostatními regiony je dálnice D11 (Praha – Sedlice), která spolu s krátkým úsekem R35 (Sedlice – Opatovice) tvoří rychlé a kapacitní propojení s hlavním městem Prahou. Silnice I/35 pak propojuje Hradec Králové s Jičínem, Turnovem a Libercem, stejně jako s Olomoucí a severní Moravou. Silnice I/33 napojuje Náchod a dále pokračuje do Polska na Wroclaw. </w:t>
      </w:r>
      <w:r w:rsidR="001376C4">
        <w:t>Zprovozněné</w:t>
      </w:r>
      <w:r w:rsidR="001376C4" w:rsidRPr="0024305E">
        <w:t xml:space="preserve"> </w:t>
      </w:r>
      <w:r w:rsidRPr="0024305E">
        <w:t>zkapacitnění komunikace I/37 a další plánovaná výstavba komunikací D11/R11 a R35 může ve výhledu negativním způsobem ovlivnit poptávku po železniční dopravě. I tento předpoklad je zahrnut ve zpracované prognóze. Silniční síť v posledních letech prošla mohutným rozvojem a atraktivita použití automobilu se jak pro krátké cesty (dojížďka do zaměstnání - např. mezi oběma krajskými městy), tak pro dálkové relace (např. Praha) prudce narostla.</w:t>
      </w:r>
    </w:p>
    <w:p w:rsidR="00377828" w:rsidRDefault="00377828" w:rsidP="0024305E">
      <w:pPr>
        <w:pStyle w:val="Nadpis3"/>
        <w:ind w:hanging="8234"/>
      </w:pPr>
      <w:r>
        <w:t>Železniční  síť</w:t>
      </w:r>
    </w:p>
    <w:p w:rsidR="002F2103" w:rsidRDefault="00377828" w:rsidP="002F2103">
      <w:r>
        <w:t>Na</w:t>
      </w:r>
      <w:r w:rsidR="00063186">
        <w:t xml:space="preserve"> </w:t>
      </w:r>
      <w:r>
        <w:t xml:space="preserve">rozdíl od silnice rozvoj železniční sítě </w:t>
      </w:r>
      <w:r w:rsidR="002F2103">
        <w:t>poslední dobou spíše zaostával a v posledních desetiletích se na podobě její infrastruktury nezměnilo prakticky nic, což ostře kontrastuje s mohutnou výstavbou silniční sítě. Na druhou stranu ve prospěch železnice hraje fakt, že se jedná o hustě osídlenou oblast v okolí velkých měst, kde má železniční doprava už ze své podstaty určitou kvalitativní výhodu (krátké intervaly, rychlá doprava až do center měst, odpadají problémy s dopravními kongescemi, parkováním atp.). Železnice má v této oblasti zřejmě vyšší potenciál, než odpovídá dnešním přepravním výkonům, avšak pokud bude chtít svůj podíl na přepravním trhu posílit, bude nutné přikročit k investičním opatřením, která její atraktivitu oproti stávajícímu stavu zvýší.</w:t>
      </w:r>
    </w:p>
    <w:tbl>
      <w:tblPr>
        <w:tblW w:w="936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66"/>
      </w:tblGrid>
      <w:tr w:rsidR="002F2103" w:rsidTr="00725854">
        <w:trPr>
          <w:trHeight w:hRule="exact" w:val="286"/>
        </w:trPr>
        <w:tc>
          <w:tcPr>
            <w:tcW w:w="9366" w:type="dxa"/>
            <w:vAlign w:val="center"/>
          </w:tcPr>
          <w:p w:rsidR="002F2103" w:rsidRPr="00714409" w:rsidRDefault="002F2103" w:rsidP="002E5756">
            <w:pPr>
              <w:pStyle w:val="Titulek"/>
            </w:pPr>
            <w:bookmarkStart w:id="181" w:name="_Toc289345648"/>
            <w:bookmarkStart w:id="182" w:name="_Toc390958829"/>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3</w:t>
            </w:r>
            <w:r w:rsidR="00AC5CDF" w:rsidRPr="00714409">
              <w:fldChar w:fldCharType="end"/>
            </w:r>
            <w:r w:rsidRPr="00714409">
              <w:t>: Schéma železniční sítě ve sledované oblasti</w:t>
            </w:r>
            <w:bookmarkEnd w:id="181"/>
            <w:bookmarkEnd w:id="182"/>
          </w:p>
        </w:tc>
      </w:tr>
      <w:tr w:rsidR="002F2103" w:rsidTr="00F57FE0">
        <w:trPr>
          <w:trHeight w:val="4835"/>
        </w:trPr>
        <w:tc>
          <w:tcPr>
            <w:tcW w:w="9366" w:type="dxa"/>
            <w:vAlign w:val="center"/>
          </w:tcPr>
          <w:p w:rsidR="002F2103" w:rsidRDefault="002F2103" w:rsidP="002F2103">
            <w:pPr>
              <w:keepNext/>
              <w:tabs>
                <w:tab w:val="left" w:pos="497"/>
              </w:tabs>
              <w:spacing w:before="20" w:after="20" w:line="240" w:lineRule="auto"/>
              <w:jc w:val="center"/>
              <w:rPr>
                <w:i/>
                <w:iCs/>
                <w:sz w:val="16"/>
              </w:rPr>
            </w:pPr>
            <w:r>
              <w:rPr>
                <w:i/>
                <w:iCs/>
                <w:sz w:val="16"/>
              </w:rPr>
              <w:t xml:space="preserve"> </w:t>
            </w:r>
            <w:r w:rsidR="004E4D1F">
              <w:rPr>
                <w:i/>
                <w:iCs/>
                <w:noProof/>
                <w:sz w:val="16"/>
                <w:lang w:eastAsia="cs-CZ"/>
              </w:rPr>
              <w:drawing>
                <wp:inline distT="0" distB="0" distL="0" distR="0" wp14:anchorId="3999A122" wp14:editId="55C761B4">
                  <wp:extent cx="3217545" cy="3079750"/>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217545" cy="3079750"/>
                          </a:xfrm>
                          <a:prstGeom prst="rect">
                            <a:avLst/>
                          </a:prstGeom>
                          <a:noFill/>
                          <a:ln>
                            <a:noFill/>
                          </a:ln>
                        </pic:spPr>
                      </pic:pic>
                    </a:graphicData>
                  </a:graphic>
                </wp:inline>
              </w:drawing>
            </w:r>
          </w:p>
        </w:tc>
      </w:tr>
    </w:tbl>
    <w:p w:rsidR="002F2103" w:rsidRDefault="002F2103" w:rsidP="002F2103">
      <w:r>
        <w:t>Stávající stav železniční infrastruktury je v mnoha ohledech pro rozvoj železnice velmi omezující. Jednokolejná trať č. 031 v úseku Pardubice - Hradec Králové znamená nutnost křižování (někdy i dvojího), což má vliv na prodlužování cestovních dob a při zpožděních i na stabilitu grafikonu, což samozřejmě cestující odrazuje.</w:t>
      </w:r>
    </w:p>
    <w:p w:rsidR="002F2103" w:rsidRDefault="002F2103" w:rsidP="002F2103">
      <w:r>
        <w:t>Velkou nevýhodou je zaústění tratě č. 238 Pardubice – Chrudim s nutností úvratě v žst. Pardubice-Rosice n. L. a následně společně s tratí č. 031 pomocí jednokolejného úseku Pardubice hl. n. – Pardubice-Rosice n. L., který je silně omezujícím úzkým hrdlem.</w:t>
      </w:r>
    </w:p>
    <w:p w:rsidR="002F2103" w:rsidRDefault="002F2103" w:rsidP="002F2103">
      <w:r>
        <w:t>Všechny ve studii hodnocené stavby nějakým způsobem tyto provozní nedostatky více či méně odstraňují a jejich kombinací lze dosáhnout různé úrovně atraktivity železniční dopravy. Určení změny této atraktivity a následně i přepravní poptávky v jednotlivých variantách je úkolem právě této kapitoly.</w:t>
      </w:r>
    </w:p>
    <w:p w:rsidR="00377828" w:rsidRDefault="00377828" w:rsidP="00887E61">
      <w:pPr>
        <w:pStyle w:val="Nadpis3"/>
        <w:ind w:hanging="8234"/>
      </w:pPr>
      <w:bookmarkStart w:id="183" w:name="_Ref346634939"/>
      <w:r>
        <w:t>Městská hromadná doprava</w:t>
      </w:r>
      <w:bookmarkEnd w:id="183"/>
    </w:p>
    <w:p w:rsidR="00377828" w:rsidRDefault="00377828" w:rsidP="002F2103">
      <w:r>
        <w:t>Pro dobrou funkčnost železničního spojení mezi oběma krajskými městy je nutnou podmínkou kvalitní návazná městská hromadná doprava, případně systém parkovišť P+R pro kombinaci s osobním automobilem. Obě města disponují hustou sítí linek městské hromadné dopravy založené na autobusech a trolejbusech. Hlavní železniční stanice, které jsou v obou městech umístěné poněkud excentricky vzhledem k centrům (což je dáno historickým vývojem) jsou pomocí linek MHD dobře napojeny na hlavní centra osídlení</w:t>
      </w:r>
      <w:r w:rsidR="00731A0D">
        <w:t xml:space="preserve"> i samotné centrum města</w:t>
      </w:r>
      <w:r>
        <w:t xml:space="preserve">. </w:t>
      </w:r>
      <w:r w:rsidR="00731A0D">
        <w:t>Schéma linek MHD v Pardubicích je znázorněno na následujícím obrázku</w:t>
      </w:r>
      <w:r w:rsidR="009F038E">
        <w:t>, p</w:t>
      </w:r>
      <w:r w:rsidR="00731A0D">
        <w:t xml:space="preserve">olohu </w:t>
      </w:r>
      <w:r w:rsidR="009F038E">
        <w:t>H</w:t>
      </w:r>
      <w:r w:rsidR="00731A0D">
        <w:t>lavního nádraží vyznačuje zelený ovál.</w:t>
      </w:r>
      <w:r w:rsidR="00694716">
        <w:t xml:space="preserve"> Podle počtu linek zde končících je patrné, že </w:t>
      </w:r>
      <w:r w:rsidR="009F038E">
        <w:t>H</w:t>
      </w:r>
      <w:r w:rsidR="00694716">
        <w:t>lavní nádraží je ústředním bodem dopravního systému, kam se sjíždí většina linek z celého města.</w:t>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731A0D" w:rsidTr="008E65C6">
        <w:trPr>
          <w:trHeight w:hRule="exact" w:val="286"/>
        </w:trPr>
        <w:tc>
          <w:tcPr>
            <w:tcW w:w="9356" w:type="dxa"/>
            <w:vAlign w:val="center"/>
          </w:tcPr>
          <w:p w:rsidR="00731A0D" w:rsidRPr="00714409" w:rsidRDefault="00731A0D" w:rsidP="002E5756">
            <w:pPr>
              <w:pStyle w:val="Titulek"/>
            </w:pPr>
            <w:bookmarkStart w:id="184" w:name="_Toc390958830"/>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4</w:t>
            </w:r>
            <w:r w:rsidR="00AC5CDF" w:rsidRPr="00714409">
              <w:fldChar w:fldCharType="end"/>
            </w:r>
            <w:r w:rsidRPr="00714409">
              <w:t>: Schéma linkového vedení MHD v Pardubicích</w:t>
            </w:r>
            <w:bookmarkEnd w:id="184"/>
          </w:p>
        </w:tc>
      </w:tr>
      <w:tr w:rsidR="00731A0D" w:rsidTr="008E65C6">
        <w:trPr>
          <w:trHeight w:val="4835"/>
        </w:trPr>
        <w:tc>
          <w:tcPr>
            <w:tcW w:w="9356" w:type="dxa"/>
            <w:tcBorders>
              <w:bottom w:val="nil"/>
            </w:tcBorders>
            <w:vAlign w:val="center"/>
          </w:tcPr>
          <w:p w:rsidR="00731A0D" w:rsidRDefault="00CF2E45" w:rsidP="00731A0D">
            <w:pPr>
              <w:keepNext/>
              <w:tabs>
                <w:tab w:val="left" w:pos="497"/>
              </w:tabs>
              <w:spacing w:before="20" w:after="20" w:line="240" w:lineRule="auto"/>
              <w:jc w:val="center"/>
              <w:rPr>
                <w:i/>
                <w:iCs/>
                <w:sz w:val="16"/>
              </w:rPr>
            </w:pPr>
            <w:r>
              <w:rPr>
                <w:i/>
                <w:iCs/>
                <w:noProof/>
                <w:sz w:val="16"/>
                <w:lang w:eastAsia="cs-CZ"/>
              </w:rPr>
              <mc:AlternateContent>
                <mc:Choice Requires="wps">
                  <w:drawing>
                    <wp:anchor distT="0" distB="0" distL="114300" distR="114300" simplePos="0" relativeHeight="251649536" behindDoc="0" locked="0" layoutInCell="1" allowOverlap="1" wp14:anchorId="5CFC13C0" wp14:editId="4D8E9307">
                      <wp:simplePos x="0" y="0"/>
                      <wp:positionH relativeFrom="column">
                        <wp:posOffset>1374140</wp:posOffset>
                      </wp:positionH>
                      <wp:positionV relativeFrom="paragraph">
                        <wp:posOffset>2931795</wp:posOffset>
                      </wp:positionV>
                      <wp:extent cx="857250" cy="447675"/>
                      <wp:effectExtent l="0" t="0" r="19050" b="28575"/>
                      <wp:wrapNone/>
                      <wp:docPr id="18" name="Oval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0" cy="447675"/>
                              </a:xfrm>
                              <a:prstGeom prst="ellipse">
                                <a:avLst/>
                              </a:prstGeom>
                              <a:solidFill>
                                <a:srgbClr val="92D050">
                                  <a:alpha val="28000"/>
                                </a:srgbClr>
                              </a:solidFill>
                              <a:ln w="25400">
                                <a:solidFill>
                                  <a:srgbClr val="00B05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24" o:spid="_x0000_s1026" style="position:absolute;margin-left:108.2pt;margin-top:230.85pt;width:67.5pt;height:35.2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" fillcolor="#92d050" strokecolor="#00b050" strokeweight="2pt">
                      <v:fill opacity="18247f"/>
                    </v:oval>
                  </w:pict>
                </mc:Fallback>
              </mc:AlternateContent>
            </w:r>
            <w:r w:rsidR="00731A0D">
              <w:rPr>
                <w:i/>
                <w:iCs/>
                <w:sz w:val="16"/>
              </w:rPr>
              <w:t xml:space="preserve"> </w:t>
            </w:r>
            <w:r w:rsidR="006819BA">
              <w:rPr>
                <w:noProof/>
                <w:lang w:eastAsia="cs-CZ"/>
              </w:rPr>
              <w:drawing>
                <wp:inline distT="0" distB="0" distL="0" distR="0" wp14:anchorId="71AB4B0E" wp14:editId="536B5E48">
                  <wp:extent cx="5653378" cy="4786078"/>
                  <wp:effectExtent l="0" t="0" r="0" b="0"/>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5656006" cy="4788303"/>
                          </a:xfrm>
                          <a:prstGeom prst="rect">
                            <a:avLst/>
                          </a:prstGeom>
                        </pic:spPr>
                      </pic:pic>
                    </a:graphicData>
                  </a:graphic>
                </wp:inline>
              </w:drawing>
            </w:r>
          </w:p>
        </w:tc>
      </w:tr>
      <w:tr w:rsidR="00731A0D" w:rsidRPr="00F57FE0" w:rsidTr="008E65C6">
        <w:trPr>
          <w:trHeight w:val="203"/>
        </w:trPr>
        <w:tc>
          <w:tcPr>
            <w:tcW w:w="9356" w:type="dxa"/>
            <w:tcBorders>
              <w:top w:val="nil"/>
            </w:tcBorders>
            <w:vAlign w:val="center"/>
          </w:tcPr>
          <w:p w:rsidR="00731A0D" w:rsidRPr="008E65C6" w:rsidRDefault="00731A0D" w:rsidP="008E65C6">
            <w:pPr>
              <w:spacing w:before="0" w:after="0" w:line="240" w:lineRule="auto"/>
              <w:rPr>
                <w:i/>
              </w:rPr>
            </w:pPr>
            <w:r w:rsidRPr="008E65C6">
              <w:rPr>
                <w:i/>
                <w:sz w:val="16"/>
              </w:rPr>
              <w:t>Zdroj: Dopravní podnik města Pardubic a. s.</w:t>
            </w:r>
          </w:p>
        </w:tc>
      </w:tr>
    </w:tbl>
    <w:p w:rsidR="00694716" w:rsidRDefault="00694716" w:rsidP="002F2103">
      <w:r>
        <w:t>V blízké budoucnosti je v plánu vybudování nového autobusového terminálu vedle žst. Pardubice-Rosice n. Labem, který by usnadnil přestup mezi MHD a vlaky v této stanici. Tím by se zlepšila dostupnost některých částí Pardubic a usnadnilo cestování lidem ve směru od Chrudimi, neboť právě v Rosicích jsou chrudimské vlaky nuceny pokračovat úvratí do žst. Pardubice hl. n,</w:t>
      </w:r>
    </w:p>
    <w:p w:rsidR="00694716" w:rsidRDefault="00694716" w:rsidP="002F2103">
      <w:r>
        <w:t xml:space="preserve">Revitalizace přednádražního prostoru i přilehlého terminálu MHD je v plánu i v případě samotné žst. Pardubice hl. n. Cílem tohoto projektu je kromě celkové rekonstrukce a oživení dnes zanedbaného a nevyhovujícího přednádražního prostoru také zkvalitnění přestupních vazeb mezi MHD a železnicí. </w:t>
      </w:r>
      <w:r w:rsidR="001376C4">
        <w:t xml:space="preserve">Příprava původního projektu, který již téměř vstoupil do fáze realizace, však byla pozastavena a vrátila se de facto na samý začátek - momentálně se zpracovávají varianty nové podoby přednádražního prostoru. Termín realizace je v současné době neznámý. </w:t>
      </w:r>
      <w:r>
        <w:t xml:space="preserve">Bližší informace o tomto záměru lze dohledat na adrese </w:t>
      </w:r>
      <w:hyperlink r:id="rId59" w:history="1">
        <w:r w:rsidRPr="003F0176">
          <w:rPr>
            <w:rStyle w:val="Hypertextovodkaz"/>
          </w:rPr>
          <w:t>http://prednadrazi.pardubice.eu</w:t>
        </w:r>
      </w:hyperlink>
      <w:r>
        <w:t>.</w:t>
      </w:r>
    </w:p>
    <w:p w:rsidR="00731A0D" w:rsidRDefault="00694716" w:rsidP="002F2103">
      <w:r>
        <w:t xml:space="preserve">Schéma městské hromadné dopravy v Hradci Králové je znázorněno na následujícím obrázku. Poloha </w:t>
      </w:r>
      <w:r w:rsidR="009F038E">
        <w:t>H</w:t>
      </w:r>
      <w:r>
        <w:t>lavního nádraží je opět vyznačena zeleným oválem.</w:t>
      </w:r>
      <w:r w:rsidR="009F038E">
        <w:t xml:space="preserve"> Stejně jako v Pardubicích je ze schématu zřejmé, že Hlavní nádraží je ústředním bodem dopravního systému, kam se sjíždí většina linek z celého města.</w:t>
      </w:r>
    </w:p>
    <w:tbl>
      <w:tblPr>
        <w:tblW w:w="949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560"/>
      </w:tblGrid>
      <w:tr w:rsidR="00694716" w:rsidTr="005E51FD">
        <w:trPr>
          <w:trHeight w:hRule="exact" w:val="286"/>
        </w:trPr>
        <w:tc>
          <w:tcPr>
            <w:tcW w:w="9467" w:type="dxa"/>
            <w:vAlign w:val="center"/>
          </w:tcPr>
          <w:p w:rsidR="00694716" w:rsidRPr="00714409" w:rsidRDefault="00694716" w:rsidP="002E5756">
            <w:pPr>
              <w:pStyle w:val="Titulek"/>
            </w:pPr>
            <w:bookmarkStart w:id="185" w:name="_Toc390958831"/>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5</w:t>
            </w:r>
            <w:r w:rsidR="00AC5CDF" w:rsidRPr="00714409">
              <w:fldChar w:fldCharType="end"/>
            </w:r>
            <w:r w:rsidRPr="00714409">
              <w:t>: Schéma linkového vedení MHD v Hradci Králové</w:t>
            </w:r>
            <w:bookmarkEnd w:id="185"/>
          </w:p>
        </w:tc>
      </w:tr>
      <w:tr w:rsidR="00694716" w:rsidTr="008E65C6">
        <w:trPr>
          <w:trHeight w:val="4835"/>
        </w:trPr>
        <w:tc>
          <w:tcPr>
            <w:tcW w:w="9467" w:type="dxa"/>
            <w:tcBorders>
              <w:bottom w:val="nil"/>
            </w:tcBorders>
            <w:vAlign w:val="center"/>
          </w:tcPr>
          <w:p w:rsidR="00694716" w:rsidRDefault="00CF2E45" w:rsidP="001376C4">
            <w:pPr>
              <w:keepNext/>
              <w:tabs>
                <w:tab w:val="left" w:pos="497"/>
              </w:tabs>
              <w:spacing w:before="20" w:after="20" w:line="240" w:lineRule="auto"/>
              <w:jc w:val="center"/>
              <w:rPr>
                <w:i/>
                <w:iCs/>
                <w:sz w:val="16"/>
              </w:rPr>
            </w:pPr>
            <w:r>
              <w:rPr>
                <w:i/>
                <w:iCs/>
                <w:noProof/>
                <w:sz w:val="16"/>
                <w:lang w:eastAsia="cs-CZ"/>
              </w:rPr>
              <mc:AlternateContent>
                <mc:Choice Requires="wps">
                  <w:drawing>
                    <wp:anchor distT="0" distB="0" distL="114300" distR="114300" simplePos="0" relativeHeight="251650560" behindDoc="0" locked="0" layoutInCell="1" allowOverlap="1" wp14:anchorId="590CD648" wp14:editId="5C857819">
                      <wp:simplePos x="0" y="0"/>
                      <wp:positionH relativeFrom="column">
                        <wp:posOffset>1145540</wp:posOffset>
                      </wp:positionH>
                      <wp:positionV relativeFrom="paragraph">
                        <wp:posOffset>1286510</wp:posOffset>
                      </wp:positionV>
                      <wp:extent cx="857250" cy="518160"/>
                      <wp:effectExtent l="0" t="0" r="19050" b="15240"/>
                      <wp:wrapNone/>
                      <wp:docPr id="13" name="Oval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0" cy="518160"/>
                              </a:xfrm>
                              <a:prstGeom prst="ellipse">
                                <a:avLst/>
                              </a:prstGeom>
                              <a:solidFill>
                                <a:srgbClr val="92D050">
                                  <a:alpha val="28000"/>
                                </a:srgbClr>
                              </a:solidFill>
                              <a:ln w="25400">
                                <a:solidFill>
                                  <a:srgbClr val="00B05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25" o:spid="_x0000_s1026" style="position:absolute;margin-left:90.2pt;margin-top:101.3pt;width:67.5pt;height:40.8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" fillcolor="#92d050" strokecolor="#00b050" strokeweight="2pt">
                      <v:fill opacity="18247f"/>
                    </v:oval>
                  </w:pict>
                </mc:Fallback>
              </mc:AlternateContent>
            </w:r>
            <w:r w:rsidR="006819BA">
              <w:rPr>
                <w:noProof/>
                <w:lang w:eastAsia="cs-CZ"/>
              </w:rPr>
              <w:drawing>
                <wp:inline distT="0" distB="0" distL="0" distR="0" wp14:anchorId="075D3F29" wp14:editId="1F4CC6D6">
                  <wp:extent cx="5972810" cy="4052570"/>
                  <wp:effectExtent l="0" t="0" r="8890" b="508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5972810" cy="4052570"/>
                          </a:xfrm>
                          <a:prstGeom prst="rect">
                            <a:avLst/>
                          </a:prstGeom>
                        </pic:spPr>
                      </pic:pic>
                    </a:graphicData>
                  </a:graphic>
                </wp:inline>
              </w:drawing>
            </w:r>
          </w:p>
        </w:tc>
      </w:tr>
      <w:tr w:rsidR="00694716" w:rsidRPr="00F57FE0" w:rsidTr="008E65C6">
        <w:trPr>
          <w:trHeight w:val="203"/>
        </w:trPr>
        <w:tc>
          <w:tcPr>
            <w:tcW w:w="9490" w:type="dxa"/>
            <w:tcBorders>
              <w:top w:val="nil"/>
            </w:tcBorders>
            <w:vAlign w:val="center"/>
          </w:tcPr>
          <w:p w:rsidR="00694716" w:rsidRPr="008E65C6" w:rsidRDefault="00694716" w:rsidP="008E65C6">
            <w:pPr>
              <w:spacing w:before="0" w:after="0" w:line="240" w:lineRule="auto"/>
              <w:rPr>
                <w:i/>
              </w:rPr>
            </w:pPr>
            <w:r w:rsidRPr="008E65C6">
              <w:rPr>
                <w:i/>
                <w:sz w:val="16"/>
              </w:rPr>
              <w:t>Zdroj: Dopravní podnik města Hradce Králové, a. s.</w:t>
            </w:r>
          </w:p>
        </w:tc>
      </w:tr>
    </w:tbl>
    <w:p w:rsidR="00694716" w:rsidRDefault="00694716" w:rsidP="00694716">
      <w:r>
        <w:t xml:space="preserve">V blízkosti </w:t>
      </w:r>
      <w:r w:rsidR="009F038E">
        <w:t>H</w:t>
      </w:r>
      <w:r>
        <w:t>lavního nádraží byl v roce 2008 zprovozněn nový terminál hromadné dopravy, který spolu s rekonstrukcí Riegrova náměstí definitivně vyřešil neuspokojivou situaci, kdy linková autobusová doprava byla odbavována na dvou oddělených místech. Výstavbou terminálu byla autobusová doprava v Hradci Králové (MHD, linková, regionální i dálková)</w:t>
      </w:r>
      <w:r w:rsidRPr="00694716">
        <w:t xml:space="preserve"> </w:t>
      </w:r>
      <w:r>
        <w:t>centralizována do jednoho místa, čímž je zajištěn pohodlný a rychlý přestup mezi jednotlivými druhy dopravy</w:t>
      </w:r>
      <w:r w:rsidR="009F038E">
        <w:t xml:space="preserve"> jak autobusové, tak železniční</w:t>
      </w:r>
      <w:r>
        <w:t xml:space="preserve">. Nový terminál získal za své provozní i estetické kvality v roce 2009 ocenění </w:t>
      </w:r>
      <w:r w:rsidRPr="00694716">
        <w:t>titul Stavba roku Královéhradeckého kraje v kategorii dopravních staveb</w:t>
      </w:r>
      <w:r>
        <w:t>.</w:t>
      </w:r>
    </w:p>
    <w:p w:rsidR="002E5756" w:rsidRDefault="002E5756">
      <w:r>
        <w:rPr>
          <w:b/>
        </w:rPr>
        <w:br w:type="page"/>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694716" w:rsidTr="008E65C6">
        <w:trPr>
          <w:trHeight w:hRule="exact" w:val="286"/>
        </w:trPr>
        <w:tc>
          <w:tcPr>
            <w:tcW w:w="9356" w:type="dxa"/>
            <w:vAlign w:val="center"/>
          </w:tcPr>
          <w:p w:rsidR="00694716" w:rsidRPr="00714409" w:rsidRDefault="00694716" w:rsidP="002E5756">
            <w:pPr>
              <w:pStyle w:val="Titulek"/>
            </w:pPr>
            <w:bookmarkStart w:id="186" w:name="_Toc390958832"/>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6</w:t>
            </w:r>
            <w:r w:rsidR="00AC5CDF" w:rsidRPr="00714409">
              <w:fldChar w:fldCharType="end"/>
            </w:r>
            <w:r w:rsidRPr="00714409">
              <w:t>: Terminál hromadné dopravy v Hradci Králové</w:t>
            </w:r>
            <w:bookmarkEnd w:id="186"/>
          </w:p>
        </w:tc>
      </w:tr>
      <w:tr w:rsidR="00694716" w:rsidTr="008E65C6">
        <w:trPr>
          <w:trHeight w:val="4835"/>
        </w:trPr>
        <w:tc>
          <w:tcPr>
            <w:tcW w:w="9356" w:type="dxa"/>
            <w:tcBorders>
              <w:bottom w:val="nil"/>
            </w:tcBorders>
            <w:vAlign w:val="center"/>
          </w:tcPr>
          <w:p w:rsidR="00694716" w:rsidRDefault="004E4D1F" w:rsidP="00694716">
            <w:pPr>
              <w:keepNext/>
              <w:tabs>
                <w:tab w:val="left" w:pos="497"/>
              </w:tabs>
              <w:spacing w:before="20" w:after="20" w:line="240" w:lineRule="auto"/>
              <w:jc w:val="center"/>
              <w:rPr>
                <w:i/>
                <w:iCs/>
                <w:sz w:val="16"/>
              </w:rPr>
            </w:pPr>
            <w:r>
              <w:rPr>
                <w:i/>
                <w:iCs/>
                <w:noProof/>
                <w:sz w:val="16"/>
                <w:lang w:eastAsia="cs-CZ"/>
              </w:rPr>
              <w:drawing>
                <wp:inline distT="0" distB="0" distL="0" distR="0" wp14:anchorId="5F74C965" wp14:editId="1E5F16BD">
                  <wp:extent cx="5798738" cy="4349364"/>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01707" cy="4351591"/>
                          </a:xfrm>
                          <a:prstGeom prst="rect">
                            <a:avLst/>
                          </a:prstGeom>
                          <a:noFill/>
                          <a:ln>
                            <a:noFill/>
                          </a:ln>
                        </pic:spPr>
                      </pic:pic>
                    </a:graphicData>
                  </a:graphic>
                </wp:inline>
              </w:drawing>
            </w:r>
            <w:r w:rsidR="00694716">
              <w:rPr>
                <w:i/>
                <w:iCs/>
                <w:sz w:val="16"/>
              </w:rPr>
              <w:t xml:space="preserve"> </w:t>
            </w:r>
          </w:p>
        </w:tc>
      </w:tr>
      <w:tr w:rsidR="00694716" w:rsidRPr="00F57FE0" w:rsidTr="008E65C6">
        <w:trPr>
          <w:trHeight w:val="203"/>
        </w:trPr>
        <w:tc>
          <w:tcPr>
            <w:tcW w:w="9356" w:type="dxa"/>
            <w:tcBorders>
              <w:top w:val="nil"/>
            </w:tcBorders>
            <w:vAlign w:val="center"/>
          </w:tcPr>
          <w:p w:rsidR="00694716" w:rsidRPr="008E65C6" w:rsidRDefault="00694716" w:rsidP="008E65C6">
            <w:pPr>
              <w:spacing w:before="0" w:after="0" w:line="240" w:lineRule="auto"/>
              <w:rPr>
                <w:i/>
              </w:rPr>
            </w:pPr>
            <w:r w:rsidRPr="008E65C6">
              <w:rPr>
                <w:i/>
                <w:sz w:val="16"/>
              </w:rPr>
              <w:t>Zdroj: Wikipedia</w:t>
            </w:r>
          </w:p>
        </w:tc>
      </w:tr>
    </w:tbl>
    <w:p w:rsidR="00377828" w:rsidRDefault="00377828" w:rsidP="00887E61">
      <w:pPr>
        <w:pStyle w:val="Nadpis3"/>
        <w:ind w:hanging="8234"/>
      </w:pPr>
      <w:r>
        <w:t>Integrovaný dopravní systém</w:t>
      </w:r>
    </w:p>
    <w:p w:rsidR="00377828" w:rsidRDefault="00377828" w:rsidP="002F2103">
      <w:r>
        <w:t>Na celém území jak Pa</w:t>
      </w:r>
      <w:r w:rsidR="001376C4">
        <w:t>r</w:t>
      </w:r>
      <w:r>
        <w:t>dubického, tak Královéhradeckého kraje se nachází integrovaný dopravní systém IREDO, jeho</w:t>
      </w:r>
      <w:r w:rsidR="009F038E">
        <w:t>ž</w:t>
      </w:r>
      <w:r>
        <w:t xml:space="preserve"> organizátorem je společnost OREDO. Integrovaný dopravní systém umožňuje cestovat na jeden jízdní doklad různými prostředky hromadné dopravy na území obou dvou krajů. Díky tomuto opatření je možné využít železnici jako kapacitní páteřní systém a návazné autobusové linky jako systém doplňkový, aniž by cestující byl nucen si kupovat více jízdních dokladů, nebo byl tarifně znevýhodněn, pokud jede po kilometrově delší, časově však rychlejší trase. Tuto skutečnost v praxi zajišťují pevně stanovené ceny jízdného mezi jednotlivými tarifními zónami, které umožňují i cesty „oklikou“. Pro ukázku toho, jak funguje systém IREDO, je na následujícím obrázku zobrazena mapa tarifních zón pro cesty z Pardubic. Žlutě je vyznačen výchozí bod, čísla v modrých polích vyjadřují cenu jízdného do jednotlivých tarifních zón.</w:t>
      </w:r>
    </w:p>
    <w:p w:rsidR="002E5756" w:rsidRDefault="002E5756">
      <w:r>
        <w:rPr>
          <w:b/>
        </w:rPr>
        <w:br w:type="page"/>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377828" w:rsidTr="008E65C6">
        <w:trPr>
          <w:trHeight w:hRule="exact" w:val="286"/>
        </w:trPr>
        <w:tc>
          <w:tcPr>
            <w:tcW w:w="9356" w:type="dxa"/>
            <w:vAlign w:val="center"/>
          </w:tcPr>
          <w:p w:rsidR="00377828" w:rsidRPr="00714409" w:rsidRDefault="00377828" w:rsidP="002E5756">
            <w:pPr>
              <w:pStyle w:val="Titulek"/>
            </w:pPr>
            <w:bookmarkStart w:id="187" w:name="_Toc390958833"/>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7</w:t>
            </w:r>
            <w:r w:rsidR="00AC5CDF" w:rsidRPr="00714409">
              <w:fldChar w:fldCharType="end"/>
            </w:r>
            <w:r w:rsidRPr="00714409">
              <w:t>: Mapa tarifních zón IREDO pro cesty z Pardubic</w:t>
            </w:r>
            <w:bookmarkEnd w:id="187"/>
          </w:p>
        </w:tc>
      </w:tr>
      <w:tr w:rsidR="00377828" w:rsidTr="008E65C6">
        <w:trPr>
          <w:trHeight w:val="4835"/>
        </w:trPr>
        <w:tc>
          <w:tcPr>
            <w:tcW w:w="9356" w:type="dxa"/>
            <w:tcBorders>
              <w:bottom w:val="nil"/>
            </w:tcBorders>
            <w:vAlign w:val="center"/>
          </w:tcPr>
          <w:p w:rsidR="00377828" w:rsidRDefault="00377828" w:rsidP="00377828">
            <w:pPr>
              <w:keepNext/>
              <w:tabs>
                <w:tab w:val="left" w:pos="497"/>
              </w:tabs>
              <w:spacing w:before="20" w:after="20" w:line="240" w:lineRule="auto"/>
              <w:jc w:val="center"/>
              <w:rPr>
                <w:i/>
                <w:iCs/>
                <w:sz w:val="16"/>
              </w:rPr>
            </w:pPr>
            <w:r>
              <w:rPr>
                <w:i/>
                <w:iCs/>
                <w:sz w:val="16"/>
              </w:rPr>
              <w:t xml:space="preserve"> </w:t>
            </w:r>
            <w:r w:rsidR="006819BA">
              <w:rPr>
                <w:noProof/>
                <w:lang w:eastAsia="cs-CZ"/>
              </w:rPr>
              <w:drawing>
                <wp:inline distT="0" distB="0" distL="0" distR="0" wp14:anchorId="40F80B7B" wp14:editId="06DD37B7">
                  <wp:extent cx="5716988" cy="3982321"/>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stretch>
                            <a:fillRect/>
                          </a:stretch>
                        </pic:blipFill>
                        <pic:spPr>
                          <a:xfrm>
                            <a:off x="0" y="0"/>
                            <a:ext cx="5720908" cy="3985052"/>
                          </a:xfrm>
                          <a:prstGeom prst="rect">
                            <a:avLst/>
                          </a:prstGeom>
                        </pic:spPr>
                      </pic:pic>
                    </a:graphicData>
                  </a:graphic>
                </wp:inline>
              </w:drawing>
            </w:r>
          </w:p>
        </w:tc>
      </w:tr>
      <w:tr w:rsidR="00377828" w:rsidRPr="00F57FE0" w:rsidTr="008E65C6">
        <w:trPr>
          <w:trHeight w:val="203"/>
        </w:trPr>
        <w:tc>
          <w:tcPr>
            <w:tcW w:w="9356" w:type="dxa"/>
            <w:tcBorders>
              <w:top w:val="nil"/>
            </w:tcBorders>
            <w:vAlign w:val="center"/>
          </w:tcPr>
          <w:p w:rsidR="00377828" w:rsidRPr="008E65C6" w:rsidRDefault="00377828" w:rsidP="008E65C6">
            <w:pPr>
              <w:spacing w:before="0" w:after="0" w:line="240" w:lineRule="auto"/>
              <w:rPr>
                <w:i/>
              </w:rPr>
            </w:pPr>
            <w:r w:rsidRPr="008E65C6">
              <w:rPr>
                <w:i/>
                <w:sz w:val="16"/>
              </w:rPr>
              <w:t>Zdroj: OREDO</w:t>
            </w:r>
          </w:p>
        </w:tc>
      </w:tr>
    </w:tbl>
    <w:p w:rsidR="002F2103" w:rsidRDefault="00377828" w:rsidP="002F2103">
      <w:r>
        <w:t xml:space="preserve">V blízkosti obou hlavních železničních stanic se zároveň nacházejí terminály autobusové dopravy, kam se sjíždějí jak regionální, tak dálkové autobusové linky. Rychlý přestup mezi různými druhy dopravy je tak v případě obou měst zajištěn. </w:t>
      </w:r>
    </w:p>
    <w:p w:rsidR="001376C4" w:rsidRPr="002F2103" w:rsidRDefault="001376C4" w:rsidP="002F2103">
      <w:r>
        <w:t>Po posledních krajských volbách oznámili noví političtí představitelé Pardubického kraje postupné ukončení spolupráce Pardubického kraje se společností OREDO s tím, že si organizaci veřejné dopravy bude Pardubický kraj řídit sám. Otázkou tedy je v jaké podobě, a zda vůbec tento ojedinělý projekt integrace veřejné dopravy dvou krajů bude pokračovat do budoucna.</w:t>
      </w:r>
    </w:p>
    <w:p w:rsidR="00225B27" w:rsidRDefault="00225B27">
      <w:pPr>
        <w:pStyle w:val="Nadpis2"/>
      </w:pPr>
      <w:bookmarkStart w:id="188" w:name="_Toc390958706"/>
      <w:r>
        <w:t>Vstupní data prognózy</w:t>
      </w:r>
      <w:bookmarkEnd w:id="188"/>
    </w:p>
    <w:p w:rsidR="00F57FE0" w:rsidRPr="00F57FE0" w:rsidRDefault="00F57FE0" w:rsidP="00F57FE0">
      <w:r w:rsidRPr="00F57FE0">
        <w:t xml:space="preserve">Poptávka po </w:t>
      </w:r>
      <w:r>
        <w:t>pře</w:t>
      </w:r>
      <w:r w:rsidRPr="00F57FE0">
        <w:t>pravě je určována především demografickým a socioekonomickým vývojem, které mají vliv na rozsah mobility obyvatelstva. Mobilita je přirozenou součástí života, kdy se osoby přemisťují účelově z jednoho místa na druhé (do zaměstnání, za vzděláním, kulturou, na úřady, atd.). Dále je uveden stručný přehled faktorů ovlivňujících přepravní poptávku v řešené oblasti.</w:t>
      </w:r>
    </w:p>
    <w:p w:rsidR="00F57FE0" w:rsidRDefault="00F57FE0" w:rsidP="00887E61">
      <w:pPr>
        <w:pStyle w:val="Nadpis3"/>
        <w:ind w:hanging="8234"/>
      </w:pPr>
      <w:bookmarkStart w:id="189" w:name="_Toc289338096"/>
      <w:r w:rsidRPr="00F83CC7">
        <w:t>Socioekonomické a demografické charakteristiky</w:t>
      </w:r>
      <w:bookmarkEnd w:id="189"/>
      <w:r w:rsidRPr="00F57FE0">
        <w:t xml:space="preserve"> </w:t>
      </w:r>
      <w:r>
        <w:t>dotčených krajů</w:t>
      </w:r>
    </w:p>
    <w:p w:rsidR="00F57FE0" w:rsidRDefault="00F57FE0" w:rsidP="00F57FE0">
      <w:r>
        <w:t xml:space="preserve">Posuzovaná oblast se nachází na pomezí Královéhradeckého a Pardubického kraje. Vzhledem k tomu, že záměr přímo propojuje obě krajská města, bude mít jeho realizace v širších dopravních souvislostech dopad na významnou část území obou krajů. </w:t>
      </w:r>
    </w:p>
    <w:p w:rsidR="00E92B29" w:rsidRDefault="00E92B29">
      <w:pPr>
        <w:suppressAutoHyphens w:val="0"/>
        <w:spacing w:before="0" w:after="0" w:line="240" w:lineRule="auto"/>
        <w:jc w:val="left"/>
        <w:rPr>
          <w:b/>
        </w:rPr>
      </w:pPr>
      <w:r>
        <w:rPr>
          <w:b/>
        </w:rPr>
        <w:br w:type="page"/>
      </w:r>
    </w:p>
    <w:p w:rsidR="00F57FE0" w:rsidRPr="00E709A5" w:rsidRDefault="00F57FE0" w:rsidP="00F57FE0">
      <w:pPr>
        <w:rPr>
          <w:b/>
        </w:rPr>
      </w:pPr>
      <w:r w:rsidRPr="00E709A5">
        <w:rPr>
          <w:b/>
        </w:rPr>
        <w:t xml:space="preserve">Královéhradecký kraj </w:t>
      </w:r>
    </w:p>
    <w:p w:rsidR="00F57FE0" w:rsidRPr="00E709A5" w:rsidRDefault="00F57FE0" w:rsidP="00F57FE0">
      <w:r w:rsidRPr="00E709A5">
        <w:t>Královéhradecký kraj se svou rozlohou 4 758 km</w:t>
      </w:r>
      <w:r w:rsidRPr="00E709A5">
        <w:rPr>
          <w:vertAlign w:val="superscript"/>
        </w:rPr>
        <w:t>2</w:t>
      </w:r>
      <w:r w:rsidRPr="00E709A5">
        <w:t xml:space="preserve"> a 55</w:t>
      </w:r>
      <w:r>
        <w:t>3</w:t>
      </w:r>
      <w:r w:rsidRPr="00E709A5">
        <w:t> </w:t>
      </w:r>
      <w:r>
        <w:t>805</w:t>
      </w:r>
      <w:r w:rsidRPr="00E709A5">
        <w:t xml:space="preserve"> obyvateli řadí ke krajům střední velikosti. Oproti celostátnímu průměru však vykazuje nižší hustotu osídlení, která činí 116 os./ km</w:t>
      </w:r>
      <w:r w:rsidRPr="00E709A5">
        <w:rPr>
          <w:vertAlign w:val="superscript"/>
        </w:rPr>
        <w:t>2</w:t>
      </w:r>
      <w:r w:rsidRPr="00E709A5">
        <w:t xml:space="preserve">. Ekonomicky je kraj mezi ostatními (vyjma Prahy) rovněž průměrným, HDP na obyvatele dosahuje 85% celostátního průměru, na HDP celé ČR se kraj podílí 5%. Ekonomicky aktivních obyvatel nad 15 let je zde 58%, nezaměstnanost zde dosahuje úrovně </w:t>
      </w:r>
      <w:r>
        <w:t>8,16</w:t>
      </w:r>
      <w:r w:rsidRPr="00E709A5">
        <w:t>%. Průměrná hrubá mzda dosahuje výše 2</w:t>
      </w:r>
      <w:r>
        <w:t>2</w:t>
      </w:r>
      <w:r w:rsidRPr="00E709A5">
        <w:t xml:space="preserve"> </w:t>
      </w:r>
      <w:r>
        <w:t>282</w:t>
      </w:r>
      <w:r w:rsidRPr="00E709A5">
        <w:t xml:space="preserve"> Kč. </w:t>
      </w:r>
      <w:r>
        <w:t>Všechny uvedené údaje jsou platné přibližně ke konci roku 2011.</w:t>
      </w:r>
    </w:p>
    <w:p w:rsidR="00F57FE0" w:rsidRPr="00E709A5" w:rsidRDefault="00F57FE0" w:rsidP="00F57FE0">
      <w:r w:rsidRPr="00E709A5">
        <w:t xml:space="preserve">Území kraje má charakter převážně rovinatý, tvoří ho nížiny a roviny kolem řek Labe, Cidliny a Orlice. Severní a východní hranice kraje jsou tvořeny horskými pásmy Krkonoš a Orlických hor. Tyto oblasti jsou také vyhledávaným cílem pro turisty jak v letní, tak zimní sezóně. Rovinaté oblasti jsou naopak doménou zemědělské výroby. Ve městech je rozvinutá průmyslová výroba. </w:t>
      </w:r>
    </w:p>
    <w:p w:rsidR="00F57FE0" w:rsidRPr="00E709A5" w:rsidRDefault="00F57FE0" w:rsidP="00F57FE0">
      <w:r w:rsidRPr="00E709A5">
        <w:t>Největším sídlem je krajské město Hradec Králové s 94 000 obyvateli, dalšími významnými sídly jsou okresní města Jičín (16 000 obyv.), Náchod (21 000 obyv.), Trutnov (31 000 obyv.) a Rychnov nad Kněžnou (12 000 obyv.). Mimo okresní města je v kraji mnoho dalších významných sídel, např. Dvůr Králové n.L. (16 000 obyv.), Jaroměř (13 000 obyv.), nebo Nové Město n.Met. (10 000 obyv.).</w:t>
      </w:r>
    </w:p>
    <w:p w:rsidR="00F57FE0" w:rsidRPr="00E709A5" w:rsidRDefault="00F57FE0" w:rsidP="00F57FE0">
      <w:r w:rsidRPr="00E709A5">
        <w:t>Dojížďka za prací, resp. vzděláním do krajského města činí</w:t>
      </w:r>
      <w:r>
        <w:t xml:space="preserve"> </w:t>
      </w:r>
      <w:r w:rsidR="00E92B29">
        <w:t>14 500</w:t>
      </w:r>
      <w:r>
        <w:t xml:space="preserve">, resp. </w:t>
      </w:r>
      <w:r w:rsidR="00E92B29">
        <w:t xml:space="preserve">9 300 </w:t>
      </w:r>
      <w:r>
        <w:t>lidí denně (na základě Sčítání lidí, domů a bytů 20</w:t>
      </w:r>
      <w:r w:rsidR="006E61CA">
        <w:t>1</w:t>
      </w:r>
      <w:r>
        <w:t>1).</w:t>
      </w:r>
    </w:p>
    <w:p w:rsidR="00F57FE0" w:rsidRPr="00E709A5" w:rsidRDefault="00F57FE0" w:rsidP="00F57FE0">
      <w:pPr>
        <w:rPr>
          <w:b/>
        </w:rPr>
      </w:pPr>
      <w:r w:rsidRPr="00E709A5">
        <w:rPr>
          <w:b/>
        </w:rPr>
        <w:t>Pardubický kraj</w:t>
      </w:r>
    </w:p>
    <w:p w:rsidR="00F57FE0" w:rsidRPr="00E709A5" w:rsidRDefault="00F57FE0" w:rsidP="00F57FE0">
      <w:r w:rsidRPr="00E709A5">
        <w:t>Pardubický kraj má rozlohu 4 519 km</w:t>
      </w:r>
      <w:r w:rsidRPr="00E709A5">
        <w:rPr>
          <w:vertAlign w:val="superscript"/>
        </w:rPr>
        <w:t>2</w:t>
      </w:r>
      <w:r w:rsidRPr="00E709A5">
        <w:t xml:space="preserve"> a počet obyvatel ve výši 51</w:t>
      </w:r>
      <w:r>
        <w:t>6</w:t>
      </w:r>
      <w:r w:rsidRPr="00E709A5">
        <w:t xml:space="preserve"> </w:t>
      </w:r>
      <w:r>
        <w:t>378</w:t>
      </w:r>
      <w:r w:rsidRPr="00E709A5">
        <w:t>, těmito hodnotami se také řadí mezi kraje střední velikosti. Má podprůměrnou hustotu osídlení 11</w:t>
      </w:r>
      <w:r>
        <w:t>4</w:t>
      </w:r>
      <w:r w:rsidRPr="00E709A5">
        <w:t xml:space="preserve"> obyv./ km</w:t>
      </w:r>
      <w:r w:rsidRPr="00E709A5">
        <w:rPr>
          <w:vertAlign w:val="superscript"/>
        </w:rPr>
        <w:t>2</w:t>
      </w:r>
      <w:r w:rsidRPr="00E709A5">
        <w:t xml:space="preserve">. HDP na obyvatele kraje dosahuje hodnoty 85% průměru ČR, na tvorbě HDP celé republiky se kraj podílí přibližně 4%. Ekonomicky aktivních obyvatel nad 15 let je zde 58%, nezaměstnanost zde </w:t>
      </w:r>
      <w:r>
        <w:t>dosahuje 9,06</w:t>
      </w:r>
      <w:r w:rsidRPr="00E709A5">
        <w:t>%. Průměrná hrubá mzda v kraji má hodnotu 2</w:t>
      </w:r>
      <w:r>
        <w:t>1</w:t>
      </w:r>
      <w:r w:rsidRPr="00E709A5">
        <w:t xml:space="preserve"> </w:t>
      </w:r>
      <w:r>
        <w:t>454</w:t>
      </w:r>
      <w:r w:rsidRPr="00E709A5">
        <w:t xml:space="preserve"> Kč. </w:t>
      </w:r>
      <w:r>
        <w:t>Všechny uvedené údaje jsou platné přibližně ke konci roku 2011.</w:t>
      </w:r>
    </w:p>
    <w:p w:rsidR="00F57FE0" w:rsidRPr="00E709A5" w:rsidRDefault="00F57FE0" w:rsidP="00F57FE0">
      <w:r w:rsidRPr="00E709A5">
        <w:t xml:space="preserve">Průmyslová výroba má pestrou strukturu. Nejsilnější je všeobecné strojírenství, dále pak průmysl textilní, oděvní, kožedělný. Nejvyšší podíl na celostátní produkci má průmysl chemický. Významný je také zemědělský sektor, který má v nížinách velmi příhodné podmínky. Ekonomickou prosperitu výrazně ovlivňuje fakt, že kraj protíná evropský železniční koridor. </w:t>
      </w:r>
    </w:p>
    <w:p w:rsidR="00F57FE0" w:rsidRPr="00E709A5" w:rsidRDefault="00F57FE0" w:rsidP="00F57FE0">
      <w:r w:rsidRPr="00E709A5">
        <w:t xml:space="preserve">Území kraje se vyznačuje ve své severní a západní části nížinami a rovinami podél řek Labe,  Chrudimka a Orlice, ve východní a jižní části dominují vrchoviny, zejména z jihu zasahující Českomoravská vrchovina. </w:t>
      </w:r>
    </w:p>
    <w:p w:rsidR="00F57FE0" w:rsidRPr="00E709A5" w:rsidRDefault="00F57FE0" w:rsidP="00F57FE0">
      <w:r w:rsidRPr="00E709A5">
        <w:t>Největším sídlem je krajské město Pardubice s 89 000 obyvateli. Ostatní krajská města jsou Chrudim (23</w:t>
      </w:r>
      <w:r>
        <w:t> </w:t>
      </w:r>
      <w:r w:rsidRPr="00E709A5">
        <w:t xml:space="preserve">000 obyv.), Ústí n. Orlicí (15 000 obyv.) a Svitavy (17 000 obyv.). </w:t>
      </w:r>
    </w:p>
    <w:p w:rsidR="00F57FE0" w:rsidRDefault="00F57FE0" w:rsidP="00F57FE0">
      <w:r w:rsidRPr="00E709A5">
        <w:t xml:space="preserve">Denní dojížďka za prací, resp. vzděláním do krajského města Pardubice činí </w:t>
      </w:r>
      <w:r w:rsidR="00E92B29" w:rsidRPr="00E709A5">
        <w:t>1</w:t>
      </w:r>
      <w:r w:rsidR="00E92B29">
        <w:t>2</w:t>
      </w:r>
      <w:r w:rsidR="00E92B29" w:rsidRPr="00E709A5">
        <w:t xml:space="preserve"> </w:t>
      </w:r>
      <w:r w:rsidR="00E92B29">
        <w:t>8</w:t>
      </w:r>
      <w:r w:rsidR="00E92B29" w:rsidRPr="00E709A5">
        <w:t>00</w:t>
      </w:r>
      <w:r w:rsidRPr="00E709A5">
        <w:t xml:space="preserve">, resp. </w:t>
      </w:r>
      <w:r w:rsidR="00E92B29">
        <w:t>7</w:t>
      </w:r>
      <w:r w:rsidR="00E92B29" w:rsidRPr="00E709A5">
        <w:t xml:space="preserve"> </w:t>
      </w:r>
      <w:r w:rsidR="00E92B29">
        <w:t>8</w:t>
      </w:r>
      <w:r w:rsidR="00E92B29" w:rsidRPr="00E709A5">
        <w:t xml:space="preserve">00 </w:t>
      </w:r>
      <w:r w:rsidRPr="00E709A5">
        <w:t>lidí</w:t>
      </w:r>
      <w:r>
        <w:t xml:space="preserve"> (na základě Sčítání lidí, domů a bytů 20</w:t>
      </w:r>
      <w:r w:rsidR="006E61CA">
        <w:t>1</w:t>
      </w:r>
      <w:r>
        <w:t>1).</w:t>
      </w:r>
    </w:p>
    <w:p w:rsidR="00F57FE0" w:rsidRPr="004F3020" w:rsidRDefault="00F57FE0" w:rsidP="00887E61">
      <w:pPr>
        <w:pStyle w:val="Nadpis3"/>
        <w:ind w:hanging="8234"/>
      </w:pPr>
      <w:bookmarkStart w:id="190" w:name="_Ref289179099"/>
      <w:r w:rsidRPr="004F3020">
        <w:t>Vývoj obyvatelstva ve sledované oblasti</w:t>
      </w:r>
      <w:bookmarkEnd w:id="190"/>
    </w:p>
    <w:p w:rsidR="00F57FE0" w:rsidRDefault="00F57FE0" w:rsidP="00F57FE0">
      <w:r>
        <w:t xml:space="preserve">Hradec Králové a Pardubice jsou dvě nejblíže položená krajská města v ČR, obě mají přibližně stejnou velikost - necelých sto tisíc obyvatel a vzdálenost jejich center je pouhých </w:t>
      </w:r>
      <w:smartTag w:uri="urn:schemas-microsoft-com:office:smarttags" w:element="metricconverter">
        <w:smartTagPr>
          <w:attr w:name="ProductID" w:val="20 km"/>
        </w:smartTagPr>
        <w:r>
          <w:t>20 km</w:t>
        </w:r>
      </w:smartTag>
      <w:r>
        <w:t xml:space="preserve">. </w:t>
      </w:r>
    </w:p>
    <w:p w:rsidR="00F57FE0" w:rsidRDefault="00F57FE0" w:rsidP="00F57FE0">
      <w:r>
        <w:t xml:space="preserve">Následující obrázek graficky vyjadřuje počty obyvatel významnějších sídel ve sledované oblasti, údaje jsou z roku 2008. </w:t>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F57FE0" w:rsidTr="008E65C6">
        <w:trPr>
          <w:trHeight w:hRule="exact" w:val="286"/>
        </w:trPr>
        <w:tc>
          <w:tcPr>
            <w:tcW w:w="9356" w:type="dxa"/>
            <w:vAlign w:val="center"/>
          </w:tcPr>
          <w:p w:rsidR="00F57FE0" w:rsidRPr="00714409" w:rsidRDefault="00F57FE0" w:rsidP="002E5756">
            <w:pPr>
              <w:pStyle w:val="Titulek"/>
            </w:pPr>
            <w:bookmarkStart w:id="191" w:name="_Toc289345649"/>
            <w:bookmarkStart w:id="192" w:name="_Toc390958834"/>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8</w:t>
            </w:r>
            <w:r w:rsidR="00AC5CDF" w:rsidRPr="00714409">
              <w:fldChar w:fldCharType="end"/>
            </w:r>
            <w:r w:rsidRPr="00714409">
              <w:t>: Počty obyvatel v sídlech sledované oblasti</w:t>
            </w:r>
            <w:bookmarkEnd w:id="191"/>
            <w:bookmarkEnd w:id="192"/>
          </w:p>
        </w:tc>
      </w:tr>
      <w:tr w:rsidR="00F57FE0" w:rsidTr="008E65C6">
        <w:trPr>
          <w:trHeight w:val="5160"/>
        </w:trPr>
        <w:tc>
          <w:tcPr>
            <w:tcW w:w="9356" w:type="dxa"/>
            <w:vAlign w:val="center"/>
          </w:tcPr>
          <w:p w:rsidR="00F57FE0" w:rsidRDefault="000E79AE" w:rsidP="00725854">
            <w:pPr>
              <w:keepNext/>
              <w:tabs>
                <w:tab w:val="left" w:pos="497"/>
              </w:tabs>
              <w:spacing w:before="20" w:after="20" w:line="240" w:lineRule="auto"/>
              <w:jc w:val="center"/>
              <w:rPr>
                <w:i/>
                <w:iCs/>
                <w:sz w:val="16"/>
              </w:rPr>
            </w:pPr>
            <w:r>
              <w:rPr>
                <w:noProof/>
                <w:lang w:eastAsia="cs-CZ"/>
              </w:rPr>
              <w:pict>
                <v:shape id="_x0000_s1113" type="#_x0000_t75" style="position:absolute;left:0;text-align:left;margin-left:8.85pt;margin-top:8.95pt;width:60.55pt;height:19.45pt;z-index:251655680;mso-position-horizontal-relative:text;mso-position-vertical-relative:text" filled="t">
                  <v:imagedata r:id="rId20" o:title=""/>
                </v:shape>
                <o:OLEObject Type="Embed" ProgID="CorelDRAW.Graphic.12" ShapeID="_x0000_s1113" DrawAspect="Content" ObjectID="_1464784066" r:id="rId63"/>
              </w:pict>
            </w:r>
            <w:r w:rsidR="004E4D1F">
              <w:rPr>
                <w:i/>
                <w:iCs/>
                <w:noProof/>
                <w:sz w:val="16"/>
                <w:lang w:eastAsia="cs-CZ"/>
              </w:rPr>
              <w:drawing>
                <wp:inline distT="0" distB="0" distL="0" distR="0" wp14:anchorId="6FAF2CA3" wp14:editId="2E505C28">
                  <wp:extent cx="5793011" cy="4913907"/>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99756" cy="4919628"/>
                          </a:xfrm>
                          <a:prstGeom prst="rect">
                            <a:avLst/>
                          </a:prstGeom>
                          <a:noFill/>
                          <a:ln>
                            <a:noFill/>
                          </a:ln>
                        </pic:spPr>
                      </pic:pic>
                    </a:graphicData>
                  </a:graphic>
                </wp:inline>
              </w:drawing>
            </w:r>
          </w:p>
        </w:tc>
      </w:tr>
    </w:tbl>
    <w:p w:rsidR="00F57FE0" w:rsidRDefault="00F57FE0" w:rsidP="00F57FE0">
      <w:r>
        <w:t xml:space="preserve">Tak jako v jiných příměstských oblastech ČR i zde dochází k procesu suburbanizace - postupnému vysídlování velkých měst a naopak nárůstu obyvatel v okolních obcích. Dobře je to vidět na následujícím obrázku, kde je zmapována změna počtu obyvatel jednotlivých sídel mezi roky </w:t>
      </w:r>
      <w:smartTag w:uri="urn:schemas-microsoft-com:office:smarttags" w:element="metricconverter">
        <w:smartTagPr>
          <w:attr w:name="ProductID" w:val="1991 a"/>
        </w:smartTagPr>
        <w:r>
          <w:t>1991 a</w:t>
        </w:r>
      </w:smartTag>
      <w:r>
        <w:t xml:space="preserve"> 2008. Zatímco ve velkých městech (oranžová barva) ubylo obyvatel, v okolních obcích došlo k jejich nárůstu (modrá barva). Tento trend suburbanizace zvyšuje nároky na denní dojíždění do zaměstnání a do škol, což se odráží ve vyšších intenzitách jak veřejné dopravy, tak IAD. Vzhledem k atraktivitě území a kvalitní dopravní infrastruktuře mezi Hradcem Králové a Pardubicemi lze do budoucna uvažovat nejen s dalším nárůstem počtu obyvatel, ale také s větším využitím tohoto prostoru pro komerční aktivity (obchodní centra, logistické parky, sklady atd.) spojené s vytvořením nových pracovních příležitostí. Všechny tyto aspekty povedou k vyšší přepravní poptávce v tomto prostoru. </w:t>
      </w:r>
    </w:p>
    <w:p w:rsidR="002E5756" w:rsidRDefault="002E5756">
      <w:bookmarkStart w:id="193" w:name="_Toc289345650"/>
      <w:r>
        <w:rPr>
          <w:b/>
        </w:rPr>
        <w:br w:type="page"/>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F57FE0" w:rsidTr="008E65C6">
        <w:trPr>
          <w:trHeight w:hRule="exact" w:val="286"/>
        </w:trPr>
        <w:tc>
          <w:tcPr>
            <w:tcW w:w="9356" w:type="dxa"/>
            <w:vAlign w:val="center"/>
          </w:tcPr>
          <w:p w:rsidR="00F57FE0" w:rsidRPr="00714409" w:rsidRDefault="00F57FE0" w:rsidP="002E5756">
            <w:pPr>
              <w:pStyle w:val="Titulek"/>
            </w:pPr>
            <w:bookmarkStart w:id="194" w:name="_Toc390958835"/>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9</w:t>
            </w:r>
            <w:r w:rsidR="00AC5CDF" w:rsidRPr="00714409">
              <w:fldChar w:fldCharType="end"/>
            </w:r>
            <w:r w:rsidRPr="00714409">
              <w:t xml:space="preserve">: Suburbanizace - změny počtu obyvatel v sídlech mezi roky </w:t>
            </w:r>
            <w:smartTag w:uri="urn:schemas-microsoft-com:office:smarttags" w:element="metricconverter">
              <w:smartTagPr>
                <w:attr w:name="ProductID" w:val="1991 a"/>
              </w:smartTagPr>
              <w:r w:rsidRPr="00714409">
                <w:t>1991 a</w:t>
              </w:r>
            </w:smartTag>
            <w:r w:rsidRPr="00714409">
              <w:t xml:space="preserve"> 2008</w:t>
            </w:r>
            <w:bookmarkEnd w:id="193"/>
            <w:bookmarkEnd w:id="194"/>
          </w:p>
        </w:tc>
      </w:tr>
      <w:tr w:rsidR="00F57FE0" w:rsidTr="008E65C6">
        <w:trPr>
          <w:trHeight w:val="5160"/>
        </w:trPr>
        <w:tc>
          <w:tcPr>
            <w:tcW w:w="9356" w:type="dxa"/>
            <w:vAlign w:val="center"/>
          </w:tcPr>
          <w:p w:rsidR="00F57FE0" w:rsidRDefault="000E79AE" w:rsidP="00725854">
            <w:pPr>
              <w:keepNext/>
              <w:tabs>
                <w:tab w:val="left" w:pos="497"/>
              </w:tabs>
              <w:spacing w:before="20" w:after="20" w:line="240" w:lineRule="auto"/>
              <w:jc w:val="center"/>
              <w:rPr>
                <w:i/>
                <w:iCs/>
                <w:sz w:val="16"/>
              </w:rPr>
            </w:pPr>
            <w:r>
              <w:rPr>
                <w:noProof/>
                <w:lang w:eastAsia="cs-CZ"/>
              </w:rPr>
              <w:pict>
                <v:shape id="_x0000_s1115" type="#_x0000_t75" style="position:absolute;left:0;text-align:left;margin-left:9.35pt;margin-top:7.35pt;width:60.55pt;height:19.45pt;z-index:251657728;mso-position-horizontal-relative:text;mso-position-vertical-relative:text" filled="t">
                  <v:imagedata r:id="rId20" o:title=""/>
                </v:shape>
                <o:OLEObject Type="Embed" ProgID="CorelDRAW.Graphic.12" ShapeID="_x0000_s1115" DrawAspect="Content" ObjectID="_1464784067" r:id="rId65"/>
              </w:pict>
            </w:r>
            <w:r w:rsidR="00CF2E45">
              <w:rPr>
                <w:noProof/>
                <w:lang w:eastAsia="cs-CZ"/>
              </w:rPr>
              <mc:AlternateContent>
                <mc:Choice Requires="wps">
                  <w:drawing>
                    <wp:anchor distT="0" distB="0" distL="114300" distR="114300" simplePos="0" relativeHeight="251648512" behindDoc="0" locked="0" layoutInCell="1" allowOverlap="1" wp14:anchorId="5BEC366F" wp14:editId="0FF11A3E">
                      <wp:simplePos x="0" y="0"/>
                      <wp:positionH relativeFrom="column">
                        <wp:posOffset>3973195</wp:posOffset>
                      </wp:positionH>
                      <wp:positionV relativeFrom="paragraph">
                        <wp:posOffset>2659380</wp:posOffset>
                      </wp:positionV>
                      <wp:extent cx="1778000" cy="464185"/>
                      <wp:effectExtent l="0" t="0" r="0" b="0"/>
                      <wp:wrapNone/>
                      <wp:docPr id="11"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0" cy="464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843F3" w:rsidRPr="00F83CC7" w:rsidRDefault="003843F3" w:rsidP="00F57FE0">
                                  <w:pPr>
                                    <w:rPr>
                                      <w:b/>
                                      <w:sz w:val="22"/>
                                      <w:szCs w:val="22"/>
                                    </w:rPr>
                                  </w:pPr>
                                  <w:r w:rsidRPr="00F83CC7">
                                    <w:rPr>
                                      <w:b/>
                                      <w:sz w:val="22"/>
                                      <w:szCs w:val="22"/>
                                    </w:rPr>
                                    <w:t>Změna počtu obyvatel v obcích</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5" o:spid="_x0000_s1026" type="#_x0000_t202" style="position:absolute;left:0;text-align:left;margin-left:312.85pt;margin-top:209.4pt;width:140pt;height:36.5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" stroked="f">
                      <v:textbox inset="0,0,0,0">
                        <w:txbxContent>
                          <w:p w:rsidR="003843F3" w:rsidRPr="00F83CC7" w:rsidRDefault="003843F3" w:rsidP="00F57FE0">
                            <w:pPr>
                              <w:rPr>
                                <w:b/>
                                <w:sz w:val="22"/>
                                <w:szCs w:val="22"/>
                              </w:rPr>
                            </w:pPr>
                            <w:r w:rsidRPr="00F83CC7">
                              <w:rPr>
                                <w:b/>
                                <w:sz w:val="22"/>
                                <w:szCs w:val="22"/>
                              </w:rPr>
                              <w:t>Změna počtu obyvatel v obcích</w:t>
                            </w:r>
                          </w:p>
                        </w:txbxContent>
                      </v:textbox>
                    </v:shape>
                  </w:pict>
                </mc:Fallback>
              </mc:AlternateContent>
            </w:r>
            <w:r w:rsidR="004E4D1F">
              <w:rPr>
                <w:i/>
                <w:iCs/>
                <w:noProof/>
                <w:sz w:val="16"/>
                <w:lang w:eastAsia="cs-CZ"/>
              </w:rPr>
              <w:drawing>
                <wp:inline distT="0" distB="0" distL="0" distR="0" wp14:anchorId="2F886ECD" wp14:editId="200F83BE">
                  <wp:extent cx="5844209" cy="5552772"/>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47201" cy="5555615"/>
                          </a:xfrm>
                          <a:prstGeom prst="rect">
                            <a:avLst/>
                          </a:prstGeom>
                          <a:noFill/>
                          <a:ln>
                            <a:noFill/>
                          </a:ln>
                        </pic:spPr>
                      </pic:pic>
                    </a:graphicData>
                  </a:graphic>
                </wp:inline>
              </w:drawing>
            </w:r>
          </w:p>
        </w:tc>
      </w:tr>
    </w:tbl>
    <w:p w:rsidR="00F57FE0" w:rsidRDefault="00F57FE0" w:rsidP="00F57FE0">
      <w:r>
        <w:t>Je pravděpodobné, že mezi Hradcem Králové a Pardubicemi dojde k určitému nárůstu rezidenčních i komerčních ploch. Vzhledem k pravděpodobnému vývoji počtu obyvatel i předpokladu snižujícího se růstu HDP však zřejmě nepůjde o rozvoj příliš dynamický. V následujícím grafu je uveden vývoj počtu obyvatel v okresech Pardubice a Hradec Králové</w:t>
      </w:r>
      <w:r w:rsidR="00A04251">
        <w:t xml:space="preserve"> od roku 2000</w:t>
      </w:r>
      <w:r>
        <w:t xml:space="preserve">. Jak je patrné </w:t>
      </w:r>
      <w:r w:rsidR="00A04251">
        <w:t xml:space="preserve">téměř v celém období </w:t>
      </w:r>
      <w:r>
        <w:t xml:space="preserve">populace </w:t>
      </w:r>
      <w:r w:rsidR="00A04251">
        <w:t>v okresech</w:t>
      </w:r>
      <w:r>
        <w:t xml:space="preserve"> spíše rostla, </w:t>
      </w:r>
      <w:r w:rsidR="00A04251">
        <w:t>poslední vývoj naznačuje určitý úbytek.</w:t>
      </w:r>
      <w:r>
        <w:t xml:space="preserve"> </w:t>
      </w:r>
    </w:p>
    <w:p w:rsidR="002E5756" w:rsidRDefault="002E5756">
      <w:bookmarkStart w:id="195" w:name="_Toc289345651"/>
      <w:r>
        <w:rPr>
          <w:b/>
        </w:rPr>
        <w:br w:type="page"/>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F57FE0" w:rsidTr="00C66E3F">
        <w:trPr>
          <w:trHeight w:hRule="exact" w:val="386"/>
        </w:trPr>
        <w:tc>
          <w:tcPr>
            <w:tcW w:w="9356" w:type="dxa"/>
            <w:vAlign w:val="center"/>
          </w:tcPr>
          <w:p w:rsidR="00F57FE0" w:rsidRPr="00714409" w:rsidRDefault="00F57FE0" w:rsidP="00C66E3F">
            <w:pPr>
              <w:pStyle w:val="Titulek"/>
              <w:ind w:right="390" w:hanging="920"/>
            </w:pPr>
            <w:bookmarkStart w:id="196" w:name="_Toc390958836"/>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10</w:t>
            </w:r>
            <w:r w:rsidR="00AC5CDF" w:rsidRPr="00714409">
              <w:fldChar w:fldCharType="end"/>
            </w:r>
            <w:r w:rsidRPr="00714409">
              <w:t>: Vývoj počtu obyvatel v okresech dle ČSÚ</w:t>
            </w:r>
            <w:bookmarkEnd w:id="195"/>
            <w:bookmarkEnd w:id="196"/>
          </w:p>
        </w:tc>
      </w:tr>
      <w:tr w:rsidR="00F57FE0" w:rsidTr="00C66E3F">
        <w:trPr>
          <w:trHeight w:val="4083"/>
        </w:trPr>
        <w:tc>
          <w:tcPr>
            <w:tcW w:w="9356" w:type="dxa"/>
            <w:vAlign w:val="center"/>
          </w:tcPr>
          <w:p w:rsidR="00F57FE0" w:rsidRDefault="004E4D1F" w:rsidP="00725854">
            <w:pPr>
              <w:keepNext/>
              <w:tabs>
                <w:tab w:val="left" w:pos="497"/>
              </w:tabs>
              <w:spacing w:before="20" w:after="20" w:line="240" w:lineRule="auto"/>
              <w:jc w:val="center"/>
              <w:rPr>
                <w:i/>
                <w:iCs/>
                <w:sz w:val="16"/>
              </w:rPr>
            </w:pPr>
            <w:r>
              <w:rPr>
                <w:i/>
                <w:iCs/>
                <w:noProof/>
                <w:sz w:val="16"/>
                <w:lang w:eastAsia="cs-CZ"/>
              </w:rPr>
              <w:drawing>
                <wp:inline distT="0" distB="0" distL="0" distR="0" wp14:anchorId="0E3DDEA0" wp14:editId="7692685A">
                  <wp:extent cx="5724939" cy="2520291"/>
                  <wp:effectExtent l="0" t="0" r="0" b="0"/>
                  <wp:docPr id="231"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24993" cy="2520315"/>
                          </a:xfrm>
                          <a:prstGeom prst="rect">
                            <a:avLst/>
                          </a:prstGeom>
                          <a:noFill/>
                        </pic:spPr>
                      </pic:pic>
                    </a:graphicData>
                  </a:graphic>
                </wp:inline>
              </w:drawing>
            </w:r>
          </w:p>
        </w:tc>
      </w:tr>
    </w:tbl>
    <w:p w:rsidR="00225B27" w:rsidRDefault="00225B27">
      <w:pPr>
        <w:pStyle w:val="Nadpis2"/>
      </w:pPr>
      <w:bookmarkStart w:id="197" w:name="_Ref323219687"/>
      <w:bookmarkStart w:id="198" w:name="_Ref323219689"/>
      <w:bookmarkStart w:id="199" w:name="_Toc390958707"/>
      <w:r>
        <w:t>Prognóza osobní dopravy</w:t>
      </w:r>
      <w:bookmarkEnd w:id="197"/>
      <w:bookmarkEnd w:id="198"/>
      <w:bookmarkEnd w:id="199"/>
    </w:p>
    <w:p w:rsidR="00225B27" w:rsidRDefault="00225B27" w:rsidP="00887E61">
      <w:pPr>
        <w:pStyle w:val="Nadpis3"/>
        <w:ind w:hanging="8234"/>
      </w:pPr>
      <w:bookmarkStart w:id="200" w:name="_Ref323220345"/>
      <w:r>
        <w:t>Metodika prognózy OD</w:t>
      </w:r>
      <w:bookmarkEnd w:id="200"/>
    </w:p>
    <w:p w:rsidR="00F57FE0" w:rsidRDefault="00F57FE0" w:rsidP="00F57FE0">
      <w:r>
        <w:t xml:space="preserve">Pro zpracování prognózy osobní dopravy byl hlavním nástrojem </w:t>
      </w:r>
      <w:r w:rsidR="00B664EA">
        <w:t xml:space="preserve">multimodální </w:t>
      </w:r>
      <w:r>
        <w:t>dopravní model řešeného území</w:t>
      </w:r>
      <w:r w:rsidR="00B664EA">
        <w:t xml:space="preserve">, vytvořený původně pro </w:t>
      </w:r>
      <w:r w:rsidR="00B664EA" w:rsidRPr="0049588A">
        <w:t>potřebu studie „ÚTS Chrudim – Hradec Králové</w:t>
      </w:r>
      <w:r w:rsidR="00B664EA">
        <w:t xml:space="preserve">“ v roce </w:t>
      </w:r>
      <w:r w:rsidR="00B664EA" w:rsidRPr="0049588A">
        <w:t>2003</w:t>
      </w:r>
      <w:r w:rsidR="00887E61">
        <w:t>.</w:t>
      </w:r>
      <w:r>
        <w:t xml:space="preserve"> Vytvořený dopravní model slouží k detailnímu popsání současné dopravní poptávky a nabídky a k následnému zhodnocení vlivu navržených dopravních opatření na přepravní poptávku. Dopravní model sleduje několik dopravních módů: individuální automobilovou dopravu (IAD), železniční dopravu a autobusovou dopravu. Součástí matic veřejné dopravy jsou rovněž systémy městské hromadné dopravy ve velkých městech (Hradec Králové, Pardubice) zahrnující jak autobusovou, tak trolejbusovou dopravu.</w:t>
      </w:r>
    </w:p>
    <w:p w:rsidR="00F57FE0" w:rsidRDefault="00F57FE0" w:rsidP="00F57FE0">
      <w:r w:rsidRPr="00CF2B1F">
        <w:t>Jedná se o klasický čtyřstupňový dezagregovaný typ dopravního modelu, což znamená, že při jeho konstrukci je obyvatelstvo rozděleno do demografických a ekonomických skupin, jejichž příslušníci mají podobné dopravní chování a jejich cesty jsou přiřazeny různým základním cílům cest s různým stupněm důležitosti.</w:t>
      </w:r>
      <w:r>
        <w:t xml:space="preserve"> Do dopravního modelu vstupují data týkající se demografie, ekonomických poměrů, stupně automobilizace, dále atraktivity v regionu z hlediska velikosti sídel, pracovních míst, nemocnic, školních zařízení atd. Dále je zde definována relevantní dopravní síť a její parametry (kapacita, rychlost, jízdní doby, atd.) a nabídka veřejné dopravy (četnost spojení, cestovní doby, možnosti přestupů, atd.)</w:t>
      </w:r>
    </w:p>
    <w:p w:rsidR="00FE257E" w:rsidRDefault="00FE257E" w:rsidP="00FE257E">
      <w:r>
        <w:t>V době vypracování modelu (rok 2003) použitý software využíval pro výpočet poptávkových matic modul VISEM, který však již s novějšími verzemi tohoto softwaru není kompatibilní. Z důvodu této nekompatibility i jisté zastaralosti původních výpočtů modulu VISEM byl při tvorbě prognózy přepravní poptávky využit jen 4. stupeň modelu, tedy přiřazení přepravních proudů na dopravní síť.</w:t>
      </w:r>
    </w:p>
    <w:p w:rsidR="00F57FE0" w:rsidRDefault="00F57FE0" w:rsidP="00F57FE0">
      <w:r>
        <w:t>Pro úplnou představu o stavbě a struktuře tohoto dopravního modelu a o vstupních a výstupních datech v různých fázích výpočtu je přiloženo blokové schéma dopravního modelu v prostředí PTV VISION).</w:t>
      </w:r>
    </w:p>
    <w:p w:rsidR="002E5756" w:rsidRDefault="002E5756">
      <w:bookmarkStart w:id="201" w:name="_Toc289345652"/>
      <w:r>
        <w:rPr>
          <w:b/>
        </w:rPr>
        <w:br w:type="page"/>
      </w:r>
    </w:p>
    <w:tbl>
      <w:tblPr>
        <w:tblW w:w="936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66"/>
      </w:tblGrid>
      <w:tr w:rsidR="00F57FE0" w:rsidTr="00725854">
        <w:trPr>
          <w:trHeight w:hRule="exact" w:val="286"/>
        </w:trPr>
        <w:tc>
          <w:tcPr>
            <w:tcW w:w="9366" w:type="dxa"/>
            <w:vAlign w:val="center"/>
          </w:tcPr>
          <w:p w:rsidR="00F57FE0" w:rsidRPr="00714409" w:rsidRDefault="00F57FE0" w:rsidP="002E5756">
            <w:pPr>
              <w:pStyle w:val="Titulek"/>
            </w:pPr>
            <w:bookmarkStart w:id="202" w:name="_Toc390958837"/>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11</w:t>
            </w:r>
            <w:r w:rsidR="00AC5CDF" w:rsidRPr="00714409">
              <w:fldChar w:fldCharType="end"/>
            </w:r>
            <w:r w:rsidRPr="00714409">
              <w:t>: Blokové schéma dopravního modelu</w:t>
            </w:r>
            <w:bookmarkEnd w:id="201"/>
            <w:bookmarkEnd w:id="202"/>
          </w:p>
        </w:tc>
      </w:tr>
      <w:tr w:rsidR="00F57FE0" w:rsidTr="00725854">
        <w:trPr>
          <w:trHeight w:val="5160"/>
        </w:trPr>
        <w:tc>
          <w:tcPr>
            <w:tcW w:w="9366" w:type="dxa"/>
            <w:vAlign w:val="center"/>
          </w:tcPr>
          <w:p w:rsidR="00F57FE0" w:rsidRDefault="000E79AE" w:rsidP="00725854">
            <w:pPr>
              <w:keepNext/>
              <w:tabs>
                <w:tab w:val="left" w:pos="497"/>
              </w:tabs>
              <w:spacing w:before="20" w:after="20" w:line="240" w:lineRule="auto"/>
              <w:jc w:val="center"/>
              <w:rPr>
                <w:i/>
                <w:iCs/>
                <w:sz w:val="16"/>
              </w:rPr>
            </w:pPr>
            <w:r>
              <w:rPr>
                <w:noProof/>
                <w:szCs w:val="20"/>
                <w:lang w:eastAsia="cs-CZ"/>
              </w:rPr>
              <w:pict>
                <v:shape id="_x0000_s1114" type="#_x0000_t75" style="position:absolute;left:0;text-align:left;margin-left:393.6pt;margin-top:281.4pt;width:60.55pt;height:19.45pt;z-index:251656704;mso-position-horizontal-relative:text;mso-position-vertical-relative:text">
                  <v:imagedata r:id="rId20" o:title=""/>
                </v:shape>
                <o:OLEObject Type="Embed" ProgID="CorelDRAW.Graphic.12" ShapeID="_x0000_s1114" DrawAspect="Content" ObjectID="_1464784068" r:id="rId68"/>
              </w:pict>
            </w:r>
            <w:r w:rsidR="004E4D1F">
              <w:rPr>
                <w:noProof/>
                <w:szCs w:val="20"/>
                <w:lang w:eastAsia="cs-CZ"/>
              </w:rPr>
              <w:drawing>
                <wp:inline distT="0" distB="0" distL="0" distR="0" wp14:anchorId="69BA48CB" wp14:editId="2A877694">
                  <wp:extent cx="3700780" cy="3924935"/>
                  <wp:effectExtent l="0" t="0" r="0" b="0"/>
                  <wp:docPr id="48" name="obrázek 48" descr="schema vi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chema vision"/>
                          <pic:cNvPicPr>
                            <a:picLocks noChangeAspect="1" noChangeArrowheads="1"/>
                          </pic:cNvPicPr>
                        </pic:nvPicPr>
                        <pic:blipFill>
                          <a:blip r:embed="rId69" cstate="print">
                            <a:extLst>
                              <a:ext uri="{28A0092B-C50C-407E-A947-70E740481C1C}">
                                <a14:useLocalDpi xmlns:a14="http://schemas.microsoft.com/office/drawing/2010/main" val="0"/>
                              </a:ext>
                            </a:extLst>
                          </a:blip>
                          <a:srcRect r="-14" b="4317"/>
                          <a:stretch>
                            <a:fillRect/>
                          </a:stretch>
                        </pic:blipFill>
                        <pic:spPr bwMode="auto">
                          <a:xfrm>
                            <a:off x="0" y="0"/>
                            <a:ext cx="3700780" cy="3924935"/>
                          </a:xfrm>
                          <a:prstGeom prst="rect">
                            <a:avLst/>
                          </a:prstGeom>
                          <a:noFill/>
                          <a:ln>
                            <a:noFill/>
                          </a:ln>
                        </pic:spPr>
                      </pic:pic>
                    </a:graphicData>
                  </a:graphic>
                </wp:inline>
              </w:drawing>
            </w:r>
          </w:p>
        </w:tc>
      </w:tr>
    </w:tbl>
    <w:p w:rsidR="00F57FE0" w:rsidRDefault="00F57FE0" w:rsidP="00F57FE0">
      <w:r w:rsidRPr="00CF2B1F">
        <w:t>Výpočet přepravní poptávky je založen na principu gravitačního modelu. V</w:t>
      </w:r>
      <w:r>
        <w:t> </w:t>
      </w:r>
      <w:r w:rsidRPr="00CF2B1F">
        <w:t>řešeném území jsou definovány tzv. zóny, což jsou oblasti, které mohou fungovat jako významnější zdroje nebo cíle cest. Sílu zóny jako zdroje cest definuje počet obyvatel, její přitažlivost definuje význam zóny z hlediska vykonání cesty za prací, školou, nákupy a ostatními aktivitami.</w:t>
      </w:r>
      <w:r>
        <w:t xml:space="preserve"> </w:t>
      </w:r>
    </w:p>
    <w:p w:rsidR="00F57FE0" w:rsidRPr="00CF2B1F" w:rsidRDefault="00F57FE0" w:rsidP="00F57FE0">
      <w:r>
        <w:t xml:space="preserve">Hlavním výstupem modelu jsou pak přepravní proudy mezi jednotlivými zónami, které jsou následně přiřazeny na dopravní síť – výpočet je proveden zvlášť pro IAD a zvlášť pro veřejnou dopravu. </w:t>
      </w:r>
    </w:p>
    <w:p w:rsidR="00F57FE0" w:rsidRDefault="00F57FE0" w:rsidP="00F57FE0">
      <w:r>
        <w:t xml:space="preserve">Pro každou variantu byly vypočteny příslušné přepravní proudy na základě dopravní nabídky té které varianty. </w:t>
      </w:r>
    </w:p>
    <w:p w:rsidR="00225B27" w:rsidRDefault="00225B27" w:rsidP="00887E61">
      <w:pPr>
        <w:pStyle w:val="Nadpis3"/>
        <w:ind w:hanging="8234"/>
      </w:pPr>
      <w:r>
        <w:t>Stávající poptávka</w:t>
      </w:r>
    </w:p>
    <w:p w:rsidR="00F57FE0" w:rsidRDefault="00F57FE0" w:rsidP="00F57FE0">
      <w:r>
        <w:t xml:space="preserve">Stávající přepravní poptávka </w:t>
      </w:r>
      <w:r w:rsidR="00FE257E">
        <w:t>po</w:t>
      </w:r>
      <w:r w:rsidR="00063186">
        <w:t> </w:t>
      </w:r>
      <w:r w:rsidR="00063186" w:rsidRPr="00063186">
        <w:rPr>
          <w:b/>
        </w:rPr>
        <w:t>železniční</w:t>
      </w:r>
      <w:r w:rsidR="00063186">
        <w:t xml:space="preserve"> </w:t>
      </w:r>
      <w:r>
        <w:t xml:space="preserve">osobní dopravě (a její vývoj v posledních letech) byla východiskem pro </w:t>
      </w:r>
      <w:r w:rsidR="00FE257E">
        <w:t xml:space="preserve">tvorbu prognózy ve všech projektových variantách </w:t>
      </w:r>
      <w:r>
        <w:t xml:space="preserve">i variantu </w:t>
      </w:r>
      <w:r w:rsidR="00FE257E">
        <w:t xml:space="preserve">Bez </w:t>
      </w:r>
      <w:r>
        <w:t>projektu. Údaje o současném zatížení železniční i silniční sítě byly rozhodující pro co nejpřesnější kalibraci dopravního modelu tak, aby co nejvíce odpovídal reálným přepravním vztahům. Použita byla zejména tato data:</w:t>
      </w:r>
    </w:p>
    <w:p w:rsidR="00631EAB" w:rsidRDefault="00F57FE0" w:rsidP="00D20948">
      <w:pPr>
        <w:numPr>
          <w:ilvl w:val="0"/>
          <w:numId w:val="9"/>
        </w:numPr>
      </w:pPr>
      <w:r>
        <w:t>sčítání ČD na úseku Pardubice – Hradec Králové v letech 2006 – 2010 (údaje o počtu cestujících na jednotlivých úsecích). Sčítání ČD pro rok 2008 je graficky znázorněno na následujícím obrázku.</w:t>
      </w:r>
      <w:r w:rsidRPr="00F57FE0">
        <w:t xml:space="preserve"> </w:t>
      </w:r>
    </w:p>
    <w:p w:rsidR="00631EAB" w:rsidRDefault="00F57FE0" w:rsidP="00D20948">
      <w:pPr>
        <w:numPr>
          <w:ilvl w:val="0"/>
          <w:numId w:val="9"/>
        </w:numPr>
      </w:pPr>
      <w:r>
        <w:t>zdrojové a cílové matice ČD pro železniční stanice Pardubice hl.n. a Hradec Králové hl.n. (údaje o počtu cestujících na jednotlivých relacích)</w:t>
      </w:r>
    </w:p>
    <w:p w:rsidR="002451F1" w:rsidRDefault="00F57FE0" w:rsidP="00FB2425">
      <w:pPr>
        <w:numPr>
          <w:ilvl w:val="0"/>
          <w:numId w:val="9"/>
        </w:numPr>
        <w:suppressAutoHyphens w:val="0"/>
        <w:spacing w:before="0" w:after="0" w:line="240" w:lineRule="auto"/>
        <w:jc w:val="left"/>
      </w:pPr>
      <w:r>
        <w:t>sčítání dopravy ŘSD z roku 2010 (pro kalibraci intenzit silniční dopravy).</w:t>
      </w:r>
    </w:p>
    <w:p w:rsidR="002E5756" w:rsidRDefault="002E5756">
      <w:bookmarkStart w:id="203" w:name="_Toc289345653"/>
      <w:bookmarkStart w:id="204" w:name="_Ref235527922"/>
      <w:r>
        <w:rPr>
          <w:b/>
        </w:rPr>
        <w:br w:type="page"/>
      </w:r>
    </w:p>
    <w:tbl>
      <w:tblPr>
        <w:tblpPr w:leftFromText="141" w:rightFromText="141" w:vertAnchor="text" w:horzAnchor="margin" w:tblpX="70" w:tblpY="201"/>
        <w:tblW w:w="9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296"/>
      </w:tblGrid>
      <w:tr w:rsidR="00C66E3F" w:rsidTr="00C66E3F">
        <w:trPr>
          <w:trHeight w:hRule="exact" w:val="288"/>
        </w:trPr>
        <w:tc>
          <w:tcPr>
            <w:tcW w:w="9296" w:type="dxa"/>
            <w:vAlign w:val="center"/>
          </w:tcPr>
          <w:bookmarkStart w:id="205" w:name="_Toc390958838"/>
          <w:bookmarkEnd w:id="203"/>
          <w:p w:rsidR="00C66E3F" w:rsidRPr="00714409" w:rsidRDefault="00CF2E45" w:rsidP="00C66E3F">
            <w:pPr>
              <w:pStyle w:val="Titulek"/>
              <w:ind w:right="225"/>
            </w:pPr>
            <w:r>
              <w:rPr>
                <w:noProof/>
                <w:lang w:val="cs-CZ" w:eastAsia="cs-CZ"/>
              </w:rPr>
              <mc:AlternateContent>
                <mc:Choice Requires="wps">
                  <w:drawing>
                    <wp:anchor distT="0" distB="0" distL="114300" distR="114300" simplePos="0" relativeHeight="251652608" behindDoc="0" locked="0" layoutInCell="1" allowOverlap="1" wp14:anchorId="29DCD5A6" wp14:editId="17FCF888">
                      <wp:simplePos x="0" y="0"/>
                      <wp:positionH relativeFrom="column">
                        <wp:posOffset>1978660</wp:posOffset>
                      </wp:positionH>
                      <wp:positionV relativeFrom="paragraph">
                        <wp:posOffset>170815</wp:posOffset>
                      </wp:positionV>
                      <wp:extent cx="1183005" cy="3971925"/>
                      <wp:effectExtent l="304800" t="0" r="302895" b="0"/>
                      <wp:wrapNone/>
                      <wp:docPr id="10" name="Oval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03859">
                                <a:off x="0" y="0"/>
                                <a:ext cx="1183005" cy="3971925"/>
                              </a:xfrm>
                              <a:prstGeom prst="ellipse">
                                <a:avLst/>
                              </a:prstGeom>
                              <a:noFill/>
                              <a:ln w="12700">
                                <a:solidFill>
                                  <a:srgbClr val="FF0000"/>
                                </a:solidFill>
                                <a:round/>
                                <a:headEnd/>
                                <a:tailEnd/>
                              </a:ln>
                              <a:effectLst/>
                              <a:extLst>
                                <a:ext uri="{909E8E84-426E-40DD-AFC4-6F175D3DCCD1}">
                                  <a14:hiddenFill xmlns:a14="http://schemas.microsoft.com/office/drawing/2010/main">
                                    <a:solidFill>
                                      <a:srgbClr val="C0504D"/>
                                    </a:solid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13" o:spid="_x0000_s1026" style="position:absolute;margin-left:155.8pt;margin-top:13.45pt;width:93.15pt;height:312.75pt;rotation:1314935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" filled="f" fillcolor="#c0504d" strokecolor="red" strokeweight="1pt">
                      <v:shadow color="#622423" opacity=".5" offset="1pt"/>
                    </v:oval>
                  </w:pict>
                </mc:Fallback>
              </mc:AlternateContent>
            </w:r>
            <w:r w:rsidR="00C66E3F" w:rsidRPr="00714409">
              <w:t xml:space="preserve">Obr. </w:t>
            </w:r>
            <w:r w:rsidR="00C66E3F" w:rsidRPr="00714409">
              <w:fldChar w:fldCharType="begin"/>
            </w:r>
            <w:r w:rsidR="00C66E3F" w:rsidRPr="00714409">
              <w:instrText xml:space="preserve"> STYLEREF 1 \s </w:instrText>
            </w:r>
            <w:r w:rsidR="00C66E3F" w:rsidRPr="00714409">
              <w:fldChar w:fldCharType="separate"/>
            </w:r>
            <w:r w:rsidR="003843F3">
              <w:rPr>
                <w:noProof/>
              </w:rPr>
              <w:t>5</w:t>
            </w:r>
            <w:r w:rsidR="00C66E3F" w:rsidRPr="00714409">
              <w:fldChar w:fldCharType="end"/>
            </w:r>
            <w:r w:rsidR="00C66E3F" w:rsidRPr="00714409">
              <w:noBreakHyphen/>
            </w:r>
            <w:r w:rsidR="00C66E3F" w:rsidRPr="00714409">
              <w:fldChar w:fldCharType="begin"/>
            </w:r>
            <w:r w:rsidR="00C66E3F" w:rsidRPr="00714409">
              <w:instrText xml:space="preserve"> SEQ Obr. \* ARABIC \s 1 </w:instrText>
            </w:r>
            <w:r w:rsidR="00C66E3F" w:rsidRPr="00714409">
              <w:fldChar w:fldCharType="separate"/>
            </w:r>
            <w:r w:rsidR="003843F3">
              <w:rPr>
                <w:noProof/>
              </w:rPr>
              <w:t>12</w:t>
            </w:r>
            <w:r w:rsidR="00C66E3F" w:rsidRPr="00714409">
              <w:fldChar w:fldCharType="end"/>
            </w:r>
            <w:r w:rsidR="00C66E3F" w:rsidRPr="00714409">
              <w:t>: Denní počty cestujících za železnici (rok 2008)</w:t>
            </w:r>
            <w:bookmarkEnd w:id="205"/>
          </w:p>
        </w:tc>
      </w:tr>
      <w:tr w:rsidR="00C66E3F" w:rsidTr="00C66E3F">
        <w:trPr>
          <w:trHeight w:val="6352"/>
        </w:trPr>
        <w:tc>
          <w:tcPr>
            <w:tcW w:w="9296" w:type="dxa"/>
            <w:tcBorders>
              <w:bottom w:val="nil"/>
            </w:tcBorders>
            <w:vAlign w:val="center"/>
          </w:tcPr>
          <w:p w:rsidR="00C66E3F" w:rsidRDefault="000E79AE" w:rsidP="00C66E3F">
            <w:pPr>
              <w:keepNext/>
              <w:tabs>
                <w:tab w:val="left" w:pos="497"/>
              </w:tabs>
              <w:spacing w:before="20" w:after="20" w:line="240" w:lineRule="auto"/>
              <w:ind w:right="225"/>
              <w:jc w:val="center"/>
              <w:rPr>
                <w:i/>
                <w:iCs/>
                <w:sz w:val="16"/>
              </w:rPr>
            </w:pPr>
            <w:r>
              <w:rPr>
                <w:noProof/>
                <w:lang w:eastAsia="cs-CZ"/>
              </w:rPr>
              <w:pict>
                <v:shape id="_x0000_s1242" type="#_x0000_t75" style="position:absolute;left:0;text-align:left;margin-left:338.95pt;margin-top:105.6pt;width:60.55pt;height:19.45pt;z-index:251666944;mso-position-horizontal-relative:text;mso-position-vertical-relative:text" filled="t">
                  <v:imagedata r:id="rId20" o:title=""/>
                </v:shape>
                <o:OLEObject Type="Embed" ProgID="CorelDRAW.Graphic.12" ShapeID="_x0000_s1242" DrawAspect="Content" ObjectID="_1464784069" r:id="rId70"/>
              </w:pict>
            </w:r>
            <w:r w:rsidR="00C66E3F">
              <w:rPr>
                <w:i/>
                <w:iCs/>
                <w:sz w:val="16"/>
              </w:rPr>
              <w:t xml:space="preserve">   </w:t>
            </w:r>
            <w:r w:rsidR="00C66E3F">
              <w:rPr>
                <w:i/>
                <w:iCs/>
                <w:noProof/>
                <w:sz w:val="16"/>
                <w:lang w:eastAsia="cs-CZ"/>
              </w:rPr>
              <w:drawing>
                <wp:inline distT="0" distB="0" distL="0" distR="0" wp14:anchorId="5ED727DC" wp14:editId="7F21146F">
                  <wp:extent cx="5193030" cy="4968875"/>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1" cstate="print">
                            <a:extLst>
                              <a:ext uri="{28A0092B-C50C-407E-A947-70E740481C1C}">
                                <a14:useLocalDpi xmlns:a14="http://schemas.microsoft.com/office/drawing/2010/main" val="0"/>
                              </a:ext>
                            </a:extLst>
                          </a:blip>
                          <a:srcRect t="-117" b="-9"/>
                          <a:stretch>
                            <a:fillRect/>
                          </a:stretch>
                        </pic:blipFill>
                        <pic:spPr bwMode="auto">
                          <a:xfrm>
                            <a:off x="0" y="0"/>
                            <a:ext cx="5193030" cy="4968875"/>
                          </a:xfrm>
                          <a:prstGeom prst="rect">
                            <a:avLst/>
                          </a:prstGeom>
                          <a:noFill/>
                          <a:ln>
                            <a:noFill/>
                          </a:ln>
                        </pic:spPr>
                      </pic:pic>
                    </a:graphicData>
                  </a:graphic>
                </wp:inline>
              </w:drawing>
            </w:r>
          </w:p>
        </w:tc>
      </w:tr>
      <w:tr w:rsidR="00C66E3F" w:rsidTr="00C66E3F">
        <w:trPr>
          <w:trHeight w:val="266"/>
        </w:trPr>
        <w:tc>
          <w:tcPr>
            <w:tcW w:w="9296" w:type="dxa"/>
            <w:tcBorders>
              <w:top w:val="nil"/>
            </w:tcBorders>
            <w:vAlign w:val="center"/>
          </w:tcPr>
          <w:p w:rsidR="00C66E3F" w:rsidRPr="00C66E3F" w:rsidRDefault="00C66E3F" w:rsidP="00C66E3F">
            <w:pPr>
              <w:spacing w:before="0" w:after="0" w:line="240" w:lineRule="auto"/>
              <w:rPr>
                <w:i/>
                <w:noProof/>
                <w:szCs w:val="20"/>
                <w:lang w:eastAsia="cs-CZ"/>
              </w:rPr>
            </w:pPr>
            <w:r w:rsidRPr="00C66E3F">
              <w:rPr>
                <w:i/>
                <w:sz w:val="16"/>
              </w:rPr>
              <w:t>Zdroj: ČD</w:t>
            </w:r>
          </w:p>
        </w:tc>
      </w:tr>
    </w:tbl>
    <w:p w:rsidR="002451F1" w:rsidRDefault="002451F1" w:rsidP="002451F1">
      <w:r>
        <w:t>Při projednávání studie vzešel od hodnotitelů z JASPERS požadavek na doložení aktuálního počtu nastupujících a vystupujících cestujících z vlaku v Hradci Králové, Opatovicích, Stéblové, Pardubicích-Rosicích n. L. a Pardubicích hl. n. Tyto údaje se podařilo získat od organizátora dopravy OREDO, který poskytl ú</w:t>
      </w:r>
      <w:r w:rsidRPr="002451F1">
        <w:t>daje jsou ze sčítacích kampaní v průběhu platnosti jízdního řádu 2011/2012</w:t>
      </w:r>
      <w:r>
        <w:t>. Obraty v jednotlivých stanicích a zastávkách jsou znázorněny v následujícím grafu. Ve stanicích Hradec Králové a Pardubice se zobrazené hodnoty obratů týkají pouze tratě 031.</w:t>
      </w:r>
    </w:p>
    <w:p w:rsidR="002E5756" w:rsidRDefault="002E5756">
      <w:r>
        <w:rPr>
          <w:b/>
        </w:rPr>
        <w:br w:type="page"/>
      </w:r>
    </w:p>
    <w:tbl>
      <w:tblPr>
        <w:tblW w:w="936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66"/>
      </w:tblGrid>
      <w:tr w:rsidR="002451F1" w:rsidTr="00031785">
        <w:trPr>
          <w:trHeight w:hRule="exact" w:val="286"/>
        </w:trPr>
        <w:tc>
          <w:tcPr>
            <w:tcW w:w="9366" w:type="dxa"/>
            <w:vAlign w:val="center"/>
          </w:tcPr>
          <w:p w:rsidR="002451F1" w:rsidRPr="00714409" w:rsidRDefault="002451F1" w:rsidP="002E5756">
            <w:pPr>
              <w:pStyle w:val="Titulek"/>
            </w:pPr>
            <w:bookmarkStart w:id="206" w:name="_Toc390958839"/>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13</w:t>
            </w:r>
            <w:r w:rsidR="00AC5CDF" w:rsidRPr="00714409">
              <w:fldChar w:fldCharType="end"/>
            </w:r>
            <w:r w:rsidRPr="00714409">
              <w:t>: Obraty v</w:t>
            </w:r>
            <w:r w:rsidR="008450FB" w:rsidRPr="00714409">
              <w:t xml:space="preserve"> </w:t>
            </w:r>
            <w:r w:rsidRPr="00714409">
              <w:t>jednotlivých stanicích a zastávkách</w:t>
            </w:r>
            <w:bookmarkEnd w:id="206"/>
          </w:p>
        </w:tc>
      </w:tr>
      <w:tr w:rsidR="002451F1" w:rsidTr="00C66E3F">
        <w:trPr>
          <w:trHeight w:val="4368"/>
        </w:trPr>
        <w:tc>
          <w:tcPr>
            <w:tcW w:w="9366" w:type="dxa"/>
            <w:tcBorders>
              <w:bottom w:val="nil"/>
            </w:tcBorders>
            <w:vAlign w:val="center"/>
          </w:tcPr>
          <w:p w:rsidR="002451F1" w:rsidRDefault="004E4D1F" w:rsidP="00594EA0">
            <w:pPr>
              <w:keepNext/>
              <w:tabs>
                <w:tab w:val="left" w:pos="497"/>
              </w:tabs>
              <w:spacing w:before="20" w:after="20" w:line="240" w:lineRule="auto"/>
              <w:jc w:val="center"/>
              <w:rPr>
                <w:i/>
                <w:iCs/>
                <w:sz w:val="16"/>
              </w:rPr>
            </w:pPr>
            <w:r>
              <w:rPr>
                <w:i/>
                <w:iCs/>
                <w:noProof/>
                <w:sz w:val="16"/>
                <w:lang w:eastAsia="cs-CZ"/>
              </w:rPr>
              <w:drawing>
                <wp:inline distT="0" distB="0" distL="0" distR="0" wp14:anchorId="3319EDA5" wp14:editId="04BEAE6F">
                  <wp:extent cx="4034155" cy="2720975"/>
                  <wp:effectExtent l="0" t="0" r="0" b="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034155" cy="2720975"/>
                          </a:xfrm>
                          <a:prstGeom prst="rect">
                            <a:avLst/>
                          </a:prstGeom>
                          <a:noFill/>
                        </pic:spPr>
                      </pic:pic>
                    </a:graphicData>
                  </a:graphic>
                </wp:inline>
              </w:drawing>
            </w:r>
          </w:p>
        </w:tc>
      </w:tr>
      <w:tr w:rsidR="002451F1" w:rsidTr="00C66E3F">
        <w:trPr>
          <w:trHeight w:val="341"/>
        </w:trPr>
        <w:tc>
          <w:tcPr>
            <w:tcW w:w="9366" w:type="dxa"/>
            <w:tcBorders>
              <w:top w:val="nil"/>
            </w:tcBorders>
            <w:vAlign w:val="center"/>
          </w:tcPr>
          <w:p w:rsidR="002451F1" w:rsidRPr="00C66E3F" w:rsidRDefault="002451F1" w:rsidP="00C66E3F">
            <w:pPr>
              <w:spacing w:before="0" w:after="0" w:line="240" w:lineRule="auto"/>
              <w:rPr>
                <w:i/>
                <w:iCs/>
                <w:sz w:val="16"/>
              </w:rPr>
            </w:pPr>
            <w:r w:rsidRPr="00C66E3F">
              <w:rPr>
                <w:i/>
                <w:sz w:val="16"/>
              </w:rPr>
              <w:t>Zdroj: OREDO</w:t>
            </w:r>
          </w:p>
        </w:tc>
      </w:tr>
    </w:tbl>
    <w:p w:rsidR="002451F1" w:rsidRDefault="002451F1" w:rsidP="002451F1">
      <w:r>
        <w:t xml:space="preserve">Z grafu je patrné, že mezilehlé stanice a zastávky generují v porovnání s krajskými městy jen minimální obraty. </w:t>
      </w:r>
      <w:r w:rsidR="00DC5E72">
        <w:t xml:space="preserve">Naprostá většina cestujících tedy tímto úsekem pouze projíždí z jednoho krajského města do druhého. </w:t>
      </w:r>
      <w:r>
        <w:t xml:space="preserve">Nejnižší obraty jsou v žst. Stéblová, kde nastupuje </w:t>
      </w:r>
      <w:r w:rsidR="00594EA0">
        <w:t>nebo</w:t>
      </w:r>
      <w:r>
        <w:t xml:space="preserve"> vystupuje jen cca 35 lidí denně. Ve stávajícím stavu (a var. Bez projektu a Minimální) je však v této stanici pobyt nutný z technologických důvodů (křižování).</w:t>
      </w:r>
      <w:r w:rsidR="00594EA0">
        <w:t xml:space="preserve"> Nízké obraty v žst. Opatovice n. L. jsou způsobeny neatraktivní polohou této stanice, daleko od center okolních obcí Opatovice, Pohřebačka a Březhrad</w:t>
      </w:r>
      <w:r w:rsidR="00594EA0" w:rsidRPr="008166C7">
        <w:t>. Ve var. Maximální</w:t>
      </w:r>
      <w:r w:rsidR="00594EA0">
        <w:t xml:space="preserve"> </w:t>
      </w:r>
      <w:r w:rsidR="008166C7">
        <w:t xml:space="preserve">i její Etapě </w:t>
      </w:r>
      <w:r w:rsidR="00594EA0">
        <w:t>je plánován</w:t>
      </w:r>
      <w:r w:rsidR="00B064EE">
        <w:t xml:space="preserve"> vznik nové zastávky Opatovice n. L. zast.</w:t>
      </w:r>
      <w:r w:rsidR="00594EA0">
        <w:t xml:space="preserve"> přibližně </w:t>
      </w:r>
      <w:smartTag w:uri="urn:schemas-microsoft-com:office:smarttags" w:element="metricconverter">
        <w:smartTagPr>
          <w:attr w:name="ProductID" w:val="1 km"/>
        </w:smartTagPr>
        <w:r w:rsidR="00594EA0">
          <w:t>1 km</w:t>
        </w:r>
      </w:smartTag>
      <w:r w:rsidR="00594EA0">
        <w:t xml:space="preserve"> jižním směrem </w:t>
      </w:r>
      <w:r w:rsidR="00A94555">
        <w:t xml:space="preserve">od stávající žst. Opatovice n. L. </w:t>
      </w:r>
      <w:r w:rsidR="00594EA0">
        <w:t>do prostoru mezi obcemi Opatovice a Pohřebačka. Docházková vzdálenost k železnici se tak z obou obcí zkrátí přibližně na polovinu.</w:t>
      </w:r>
      <w:r w:rsidR="00B064EE">
        <w:t xml:space="preserve"> </w:t>
      </w:r>
      <w:r w:rsidR="00B064EE" w:rsidRPr="008166C7">
        <w:t xml:space="preserve">Ve var. </w:t>
      </w:r>
      <w:r w:rsidR="00B064EE">
        <w:t>Maximální pak vznikne nová zast. Březhrad v blízkosti stejnojmenné městské části (patřící pod Hradec Králové), která stávající zastavování v žst. Opatovice n. L. nahradí.</w:t>
      </w:r>
    </w:p>
    <w:p w:rsidR="00063186" w:rsidRDefault="00063186" w:rsidP="002451F1">
      <w:r>
        <w:t xml:space="preserve">Stávající poptávka v konkurenčních přepravních módech byla rovněž využita pro kalibraci dopravního modelu. V případě </w:t>
      </w:r>
      <w:r w:rsidRPr="00063186">
        <w:rPr>
          <w:b/>
        </w:rPr>
        <w:t>individuální automobilové dopravy</w:t>
      </w:r>
      <w:r>
        <w:t xml:space="preserve"> zpracovatel vycházel z výsledků sčítání silničních vozidel provedeného ŘSD v roce 2010. Hodnoty pro klíčovou silnici I/37 v úseku Pardubice (křižovatka s I/36 u Ohrazenic) – Hradec Králové (křižovatka s I/31, Sokolská ul.) </w:t>
      </w:r>
      <w:r w:rsidR="007360CE">
        <w:t xml:space="preserve">a „starou“ silnici II/324 </w:t>
      </w:r>
      <w:r>
        <w:t>jsou zobrazeny v následujícím grafu. Jedná se o průměrné hodnoty za celý týden.</w:t>
      </w:r>
    </w:p>
    <w:p w:rsidR="002E5756" w:rsidRDefault="002E5756">
      <w:r>
        <w:rPr>
          <w:b/>
        </w:rPr>
        <w:br w:type="page"/>
      </w:r>
    </w:p>
    <w:tbl>
      <w:tblPr>
        <w:tblW w:w="936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66"/>
      </w:tblGrid>
      <w:tr w:rsidR="00063186" w:rsidTr="0041186A">
        <w:trPr>
          <w:trHeight w:hRule="exact" w:val="286"/>
        </w:trPr>
        <w:tc>
          <w:tcPr>
            <w:tcW w:w="9366" w:type="dxa"/>
            <w:vAlign w:val="center"/>
          </w:tcPr>
          <w:p w:rsidR="00063186" w:rsidRPr="00714409" w:rsidRDefault="00063186" w:rsidP="002E5756">
            <w:pPr>
              <w:pStyle w:val="Titulek"/>
            </w:pPr>
            <w:bookmarkStart w:id="207" w:name="_Toc390958840"/>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14</w:t>
            </w:r>
            <w:r w:rsidR="00AC5CDF" w:rsidRPr="00714409">
              <w:fldChar w:fldCharType="end"/>
            </w:r>
            <w:r w:rsidRPr="00714409">
              <w:t>: Sčítání ŘSD 2010 na silnici I/37</w:t>
            </w:r>
            <w:r w:rsidR="007360CE" w:rsidRPr="00714409">
              <w:t xml:space="preserve"> a II/324</w:t>
            </w:r>
            <w:bookmarkEnd w:id="207"/>
          </w:p>
        </w:tc>
      </w:tr>
      <w:tr w:rsidR="00063186" w:rsidTr="00295848">
        <w:trPr>
          <w:trHeight w:val="4368"/>
        </w:trPr>
        <w:tc>
          <w:tcPr>
            <w:tcW w:w="9366" w:type="dxa"/>
            <w:tcBorders>
              <w:bottom w:val="nil"/>
            </w:tcBorders>
            <w:vAlign w:val="center"/>
          </w:tcPr>
          <w:p w:rsidR="00063186" w:rsidRDefault="004E4D1F" w:rsidP="00B664EA">
            <w:pPr>
              <w:keepNext/>
              <w:tabs>
                <w:tab w:val="left" w:pos="497"/>
              </w:tabs>
              <w:spacing w:before="20" w:after="20" w:line="240" w:lineRule="auto"/>
              <w:jc w:val="center"/>
              <w:rPr>
                <w:i/>
                <w:iCs/>
                <w:sz w:val="16"/>
              </w:rPr>
            </w:pPr>
            <w:r>
              <w:rPr>
                <w:i/>
                <w:iCs/>
                <w:noProof/>
                <w:sz w:val="16"/>
                <w:lang w:eastAsia="cs-CZ"/>
              </w:rPr>
              <w:drawing>
                <wp:inline distT="0" distB="0" distL="0" distR="0" wp14:anchorId="2236837C" wp14:editId="205EF780">
                  <wp:extent cx="5008245" cy="3195955"/>
                  <wp:effectExtent l="0" t="0" r="0" b="0"/>
                  <wp:docPr id="191" name="obráze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008245" cy="3195955"/>
                          </a:xfrm>
                          <a:prstGeom prst="rect">
                            <a:avLst/>
                          </a:prstGeom>
                          <a:noFill/>
                        </pic:spPr>
                      </pic:pic>
                    </a:graphicData>
                  </a:graphic>
                </wp:inline>
              </w:drawing>
            </w:r>
          </w:p>
        </w:tc>
      </w:tr>
      <w:tr w:rsidR="00063186" w:rsidTr="00295848">
        <w:trPr>
          <w:trHeight w:val="253"/>
        </w:trPr>
        <w:tc>
          <w:tcPr>
            <w:tcW w:w="9366" w:type="dxa"/>
            <w:tcBorders>
              <w:top w:val="nil"/>
            </w:tcBorders>
            <w:vAlign w:val="center"/>
          </w:tcPr>
          <w:p w:rsidR="00063186" w:rsidRDefault="00063186" w:rsidP="00295848">
            <w:pPr>
              <w:spacing w:before="0" w:after="0" w:line="240" w:lineRule="auto"/>
              <w:rPr>
                <w:i/>
                <w:iCs/>
                <w:sz w:val="16"/>
              </w:rPr>
            </w:pPr>
            <w:r w:rsidRPr="00295848">
              <w:rPr>
                <w:i/>
                <w:sz w:val="16"/>
              </w:rPr>
              <w:t>Zdroj: ŘSD</w:t>
            </w:r>
          </w:p>
        </w:tc>
      </w:tr>
    </w:tbl>
    <w:p w:rsidR="00063186" w:rsidRDefault="00063186" w:rsidP="002451F1">
      <w:r>
        <w:t>Z uvedených počtů osobních automobilů a autobusů byly vy</w:t>
      </w:r>
      <w:r w:rsidR="00FE257E">
        <w:t>jádřeny</w:t>
      </w:r>
      <w:r>
        <w:t xml:space="preserve"> přibližné počty cestujících pomocí průměrné hodnoty obsazenosti 1,7 cestujícího/automobil</w:t>
      </w:r>
      <w:r w:rsidR="007360CE">
        <w:t xml:space="preserve"> a 25 cestujících/bus</w:t>
      </w:r>
      <w:r>
        <w:t xml:space="preserve">. </w:t>
      </w:r>
      <w:r w:rsidR="00306D05">
        <w:t xml:space="preserve">Počty cestujících v autobusech jsou vyjádřeny za všechny autobusy dohromady – jak linkové, tak zájezdní. </w:t>
      </w:r>
      <w:r>
        <w:t>Výsledn</w:t>
      </w:r>
      <w:r w:rsidR="00000C62">
        <w:t>é počty</w:t>
      </w:r>
      <w:r>
        <w:t xml:space="preserve"> cestujících </w:t>
      </w:r>
      <w:r w:rsidR="00306D05">
        <w:t xml:space="preserve">v silniční dopravě </w:t>
      </w:r>
      <w:r w:rsidR="00000C62">
        <w:t xml:space="preserve">na jednotlivých úsecích </w:t>
      </w:r>
      <w:r>
        <w:t xml:space="preserve">mezi oběma městy </w:t>
      </w:r>
      <w:r w:rsidR="00306D05">
        <w:t>znázor</w:t>
      </w:r>
      <w:r w:rsidR="00000C62">
        <w:t>ňuje</w:t>
      </w:r>
      <w:r w:rsidR="00306D05">
        <w:t xml:space="preserve"> následující graf.</w:t>
      </w:r>
    </w:p>
    <w:tbl>
      <w:tblPr>
        <w:tblW w:w="936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66"/>
      </w:tblGrid>
      <w:tr w:rsidR="00FC6C4F" w:rsidTr="0041186A">
        <w:trPr>
          <w:trHeight w:hRule="exact" w:val="286"/>
        </w:trPr>
        <w:tc>
          <w:tcPr>
            <w:tcW w:w="9366" w:type="dxa"/>
            <w:vAlign w:val="center"/>
          </w:tcPr>
          <w:p w:rsidR="00FC6C4F" w:rsidRPr="00714409" w:rsidRDefault="00FC6C4F" w:rsidP="002E5756">
            <w:pPr>
              <w:pStyle w:val="Titulek"/>
            </w:pPr>
            <w:bookmarkStart w:id="208" w:name="_Toc390958841"/>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15</w:t>
            </w:r>
            <w:r w:rsidR="00AC5CDF" w:rsidRPr="00714409">
              <w:fldChar w:fldCharType="end"/>
            </w:r>
            <w:r w:rsidRPr="00714409">
              <w:t>: Počty cestujících v silniční dopravě</w:t>
            </w:r>
            <w:bookmarkEnd w:id="208"/>
          </w:p>
        </w:tc>
      </w:tr>
      <w:tr w:rsidR="00FC6C4F" w:rsidTr="0041186A">
        <w:trPr>
          <w:trHeight w:val="4368"/>
        </w:trPr>
        <w:tc>
          <w:tcPr>
            <w:tcW w:w="9366" w:type="dxa"/>
            <w:vAlign w:val="center"/>
          </w:tcPr>
          <w:p w:rsidR="00FC6C4F" w:rsidRDefault="004E4D1F" w:rsidP="0041186A">
            <w:pPr>
              <w:keepNext/>
              <w:tabs>
                <w:tab w:val="left" w:pos="497"/>
              </w:tabs>
              <w:spacing w:before="20" w:after="20" w:line="240" w:lineRule="auto"/>
              <w:jc w:val="center"/>
              <w:rPr>
                <w:i/>
                <w:iCs/>
                <w:sz w:val="16"/>
              </w:rPr>
            </w:pPr>
            <w:r>
              <w:rPr>
                <w:i/>
                <w:iCs/>
                <w:noProof/>
                <w:sz w:val="16"/>
                <w:lang w:eastAsia="cs-CZ"/>
              </w:rPr>
              <w:drawing>
                <wp:inline distT="0" distB="0" distL="0" distR="0" wp14:anchorId="7649BFF7" wp14:editId="0656581A">
                  <wp:extent cx="4991735" cy="3339465"/>
                  <wp:effectExtent l="0" t="0" r="0"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991735" cy="3339465"/>
                          </a:xfrm>
                          <a:prstGeom prst="rect">
                            <a:avLst/>
                          </a:prstGeom>
                          <a:noFill/>
                        </pic:spPr>
                      </pic:pic>
                    </a:graphicData>
                  </a:graphic>
                </wp:inline>
              </w:drawing>
            </w:r>
          </w:p>
        </w:tc>
      </w:tr>
    </w:tbl>
    <w:p w:rsidR="003B3235" w:rsidRDefault="007360CE" w:rsidP="002451F1">
      <w:r w:rsidRPr="007360CE">
        <w:rPr>
          <w:b/>
        </w:rPr>
        <w:t>Autobusová doprava</w:t>
      </w:r>
      <w:r>
        <w:t xml:space="preserve"> mezi oběma </w:t>
      </w:r>
      <w:r w:rsidR="00306D05">
        <w:t xml:space="preserve">krajskými </w:t>
      </w:r>
      <w:r>
        <w:t>městy je poměrně silná a je provozována několika linkami s různými trasami. Jejich popis a základní údaje jsou na následujícím nákresném přehledu.</w:t>
      </w:r>
      <w:r w:rsidR="00DF4920">
        <w:t xml:space="preserve"> Kolečka u vyznačených tras představují jednotlivá místa zastavení.</w:t>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812"/>
        <w:gridCol w:w="567"/>
        <w:gridCol w:w="851"/>
        <w:gridCol w:w="1275"/>
        <w:gridCol w:w="851"/>
      </w:tblGrid>
      <w:tr w:rsidR="008F5E00" w:rsidTr="008F5E00">
        <w:trPr>
          <w:trHeight w:val="366"/>
        </w:trPr>
        <w:tc>
          <w:tcPr>
            <w:tcW w:w="9356" w:type="dxa"/>
            <w:gridSpan w:val="5"/>
            <w:vAlign w:val="center"/>
          </w:tcPr>
          <w:p w:rsidR="008F5E00" w:rsidRPr="00714409" w:rsidRDefault="003B3235" w:rsidP="002E5756">
            <w:pPr>
              <w:pStyle w:val="Titulek"/>
              <w:rPr>
                <w:i/>
                <w:iCs/>
                <w:sz w:val="16"/>
              </w:rPr>
            </w:pPr>
            <w:r w:rsidRPr="00714409">
              <w:br w:type="page"/>
            </w:r>
            <w:bookmarkStart w:id="209" w:name="_Toc390958842"/>
            <w:r w:rsidR="008F5E00" w:rsidRPr="00714409">
              <w:t xml:space="preserve">Obr. </w:t>
            </w:r>
            <w:r w:rsidR="00AC5CDF" w:rsidRPr="00714409">
              <w:fldChar w:fldCharType="begin"/>
            </w:r>
            <w:r w:rsidR="008F5E00" w:rsidRPr="00714409">
              <w:instrText xml:space="preserve"> STYLEREF 1 \s </w:instrText>
            </w:r>
            <w:r w:rsidR="00AC5CDF" w:rsidRPr="00714409">
              <w:fldChar w:fldCharType="separate"/>
            </w:r>
            <w:r w:rsidR="003843F3">
              <w:rPr>
                <w:noProof/>
              </w:rPr>
              <w:t>5</w:t>
            </w:r>
            <w:r w:rsidR="00AC5CDF" w:rsidRPr="00714409">
              <w:fldChar w:fldCharType="end"/>
            </w:r>
            <w:r w:rsidR="008F5E00" w:rsidRPr="00714409">
              <w:noBreakHyphen/>
            </w:r>
            <w:r w:rsidR="00AC5CDF" w:rsidRPr="00714409">
              <w:fldChar w:fldCharType="begin"/>
            </w:r>
            <w:r w:rsidR="008F5E00" w:rsidRPr="00714409">
              <w:instrText xml:space="preserve"> SEQ Obr. \* ARABIC \s 1 </w:instrText>
            </w:r>
            <w:r w:rsidR="00AC5CDF" w:rsidRPr="00714409">
              <w:fldChar w:fldCharType="separate"/>
            </w:r>
            <w:r w:rsidR="003843F3">
              <w:rPr>
                <w:noProof/>
              </w:rPr>
              <w:t>16</w:t>
            </w:r>
            <w:r w:rsidR="00AC5CDF" w:rsidRPr="00714409">
              <w:fldChar w:fldCharType="end"/>
            </w:r>
            <w:r w:rsidR="008F5E00" w:rsidRPr="00714409">
              <w:t xml:space="preserve">: </w:t>
            </w:r>
            <w:r w:rsidR="007360CE" w:rsidRPr="00714409">
              <w:t>A</w:t>
            </w:r>
            <w:r w:rsidR="008F5E00" w:rsidRPr="00714409">
              <w:t>utobusov</w:t>
            </w:r>
            <w:r w:rsidR="00D019B1" w:rsidRPr="00714409">
              <w:t>é</w:t>
            </w:r>
            <w:r w:rsidR="008F5E00" w:rsidRPr="00714409">
              <w:t xml:space="preserve"> lin</w:t>
            </w:r>
            <w:r w:rsidR="007360CE" w:rsidRPr="00714409">
              <w:t>ky mezi Hradcem Králové a Pardubicemi</w:t>
            </w:r>
            <w:bookmarkEnd w:id="209"/>
          </w:p>
        </w:tc>
      </w:tr>
      <w:tr w:rsidR="008F5E00" w:rsidTr="008F5E00">
        <w:trPr>
          <w:cantSplit/>
          <w:trHeight w:val="1134"/>
        </w:trPr>
        <w:tc>
          <w:tcPr>
            <w:tcW w:w="5812" w:type="dxa"/>
            <w:vAlign w:val="center"/>
          </w:tcPr>
          <w:p w:rsidR="008F5E00" w:rsidRPr="00295848" w:rsidRDefault="004E4D1F" w:rsidP="0041186A">
            <w:pPr>
              <w:keepNext/>
              <w:tabs>
                <w:tab w:val="left" w:pos="497"/>
              </w:tabs>
              <w:spacing w:before="20" w:after="20" w:line="240" w:lineRule="auto"/>
              <w:jc w:val="left"/>
              <w:rPr>
                <w:i/>
                <w:iCs/>
                <w:sz w:val="18"/>
                <w:szCs w:val="18"/>
              </w:rPr>
            </w:pPr>
            <w:r w:rsidRPr="00295848">
              <w:rPr>
                <w:i/>
                <w:iCs/>
                <w:noProof/>
                <w:sz w:val="18"/>
                <w:szCs w:val="18"/>
                <w:lang w:eastAsia="cs-CZ"/>
              </w:rPr>
              <w:drawing>
                <wp:inline distT="0" distB="0" distL="0" distR="0" wp14:anchorId="397E8A2E" wp14:editId="4687CB0C">
                  <wp:extent cx="3605530" cy="2233930"/>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605530" cy="2233930"/>
                          </a:xfrm>
                          <a:prstGeom prst="rect">
                            <a:avLst/>
                          </a:prstGeom>
                          <a:noFill/>
                          <a:ln>
                            <a:noFill/>
                          </a:ln>
                        </pic:spPr>
                      </pic:pic>
                    </a:graphicData>
                  </a:graphic>
                </wp:inline>
              </w:drawing>
            </w:r>
          </w:p>
        </w:tc>
        <w:tc>
          <w:tcPr>
            <w:tcW w:w="567" w:type="dxa"/>
            <w:textDirection w:val="btLr"/>
            <w:vAlign w:val="center"/>
          </w:tcPr>
          <w:p w:rsidR="008F5E00" w:rsidRPr="00295848" w:rsidRDefault="008F5E00" w:rsidP="008F5E00">
            <w:pPr>
              <w:keepNext/>
              <w:tabs>
                <w:tab w:val="left" w:pos="497"/>
              </w:tabs>
              <w:spacing w:before="20" w:after="20" w:line="240" w:lineRule="auto"/>
              <w:ind w:left="113" w:right="113"/>
              <w:jc w:val="center"/>
              <w:rPr>
                <w:b/>
                <w:iCs/>
                <w:sz w:val="18"/>
                <w:szCs w:val="18"/>
              </w:rPr>
            </w:pPr>
            <w:r w:rsidRPr="00295848">
              <w:rPr>
                <w:b/>
                <w:iCs/>
                <w:sz w:val="18"/>
                <w:szCs w:val="18"/>
              </w:rPr>
              <w:t>4</w:t>
            </w:r>
          </w:p>
        </w:tc>
        <w:tc>
          <w:tcPr>
            <w:tcW w:w="851" w:type="dxa"/>
            <w:textDirection w:val="btLr"/>
            <w:vAlign w:val="center"/>
          </w:tcPr>
          <w:p w:rsidR="008F5E00" w:rsidRPr="00295848" w:rsidRDefault="008F5E00" w:rsidP="008F5E00">
            <w:pPr>
              <w:keepNext/>
              <w:tabs>
                <w:tab w:val="left" w:pos="497"/>
              </w:tabs>
              <w:spacing w:before="20" w:after="20" w:line="240" w:lineRule="auto"/>
              <w:ind w:left="113" w:right="113"/>
              <w:jc w:val="center"/>
              <w:rPr>
                <w:iCs/>
                <w:sz w:val="18"/>
                <w:szCs w:val="18"/>
              </w:rPr>
            </w:pPr>
            <w:r w:rsidRPr="00295848">
              <w:rPr>
                <w:iCs/>
                <w:sz w:val="18"/>
                <w:szCs w:val="18"/>
              </w:rPr>
              <w:t>2</w:t>
            </w:r>
          </w:p>
        </w:tc>
        <w:tc>
          <w:tcPr>
            <w:tcW w:w="1275" w:type="dxa"/>
            <w:textDirection w:val="btLr"/>
            <w:vAlign w:val="center"/>
          </w:tcPr>
          <w:p w:rsidR="008F5E00" w:rsidRPr="00295848" w:rsidRDefault="008F5E00" w:rsidP="008F5E00">
            <w:pPr>
              <w:keepNext/>
              <w:tabs>
                <w:tab w:val="left" w:pos="497"/>
              </w:tabs>
              <w:spacing w:before="20" w:after="20" w:line="240" w:lineRule="auto"/>
              <w:ind w:left="113" w:right="113"/>
              <w:jc w:val="center"/>
              <w:rPr>
                <w:iCs/>
                <w:sz w:val="18"/>
                <w:szCs w:val="18"/>
              </w:rPr>
            </w:pPr>
            <w:r w:rsidRPr="00295848">
              <w:rPr>
                <w:iCs/>
                <w:sz w:val="18"/>
                <w:szCs w:val="18"/>
              </w:rPr>
              <w:t>70</w:t>
            </w:r>
            <w:r w:rsidR="003B3235" w:rsidRPr="00295848">
              <w:rPr>
                <w:iCs/>
                <w:sz w:val="18"/>
                <w:szCs w:val="18"/>
              </w:rPr>
              <w:t xml:space="preserve"> min</w:t>
            </w:r>
          </w:p>
        </w:tc>
        <w:tc>
          <w:tcPr>
            <w:tcW w:w="851" w:type="dxa"/>
            <w:textDirection w:val="btLr"/>
            <w:vAlign w:val="center"/>
          </w:tcPr>
          <w:p w:rsidR="008F5E00" w:rsidRPr="00295848" w:rsidRDefault="008F5E00" w:rsidP="008F5E00">
            <w:pPr>
              <w:keepNext/>
              <w:tabs>
                <w:tab w:val="left" w:pos="497"/>
              </w:tabs>
              <w:spacing w:before="20" w:after="20" w:line="240" w:lineRule="auto"/>
              <w:ind w:left="113" w:right="113"/>
              <w:jc w:val="center"/>
              <w:rPr>
                <w:iCs/>
                <w:sz w:val="18"/>
                <w:szCs w:val="18"/>
              </w:rPr>
            </w:pPr>
            <w:smartTag w:uri="urn:schemas-microsoft-com:office:smarttags" w:element="metricconverter">
              <w:smartTagPr>
                <w:attr w:name="ProductID" w:val="38 km"/>
              </w:smartTagPr>
              <w:r w:rsidRPr="00295848">
                <w:rPr>
                  <w:iCs/>
                  <w:sz w:val="18"/>
                  <w:szCs w:val="18"/>
                </w:rPr>
                <w:t>38</w:t>
              </w:r>
              <w:r w:rsidR="003B3235" w:rsidRPr="00295848">
                <w:rPr>
                  <w:iCs/>
                  <w:sz w:val="18"/>
                  <w:szCs w:val="18"/>
                </w:rPr>
                <w:t xml:space="preserve"> km</w:t>
              </w:r>
            </w:smartTag>
          </w:p>
        </w:tc>
      </w:tr>
      <w:tr w:rsidR="008F5E00" w:rsidTr="008F5E00">
        <w:trPr>
          <w:cantSplit/>
          <w:trHeight w:val="1134"/>
        </w:trPr>
        <w:tc>
          <w:tcPr>
            <w:tcW w:w="5812" w:type="dxa"/>
            <w:vAlign w:val="center"/>
          </w:tcPr>
          <w:p w:rsidR="008F5E00" w:rsidRPr="00295848" w:rsidRDefault="004E4D1F" w:rsidP="00063186">
            <w:pPr>
              <w:keepNext/>
              <w:tabs>
                <w:tab w:val="left" w:pos="497"/>
              </w:tabs>
              <w:spacing w:before="20" w:after="20" w:line="240" w:lineRule="auto"/>
              <w:jc w:val="left"/>
              <w:rPr>
                <w:i/>
                <w:iCs/>
                <w:sz w:val="18"/>
                <w:szCs w:val="18"/>
              </w:rPr>
            </w:pPr>
            <w:r w:rsidRPr="00295848">
              <w:rPr>
                <w:i/>
                <w:iCs/>
                <w:noProof/>
                <w:sz w:val="18"/>
                <w:szCs w:val="18"/>
                <w:lang w:eastAsia="cs-CZ"/>
              </w:rPr>
              <w:drawing>
                <wp:inline distT="0" distB="0" distL="0" distR="0" wp14:anchorId="62855802" wp14:editId="308E3DF6">
                  <wp:extent cx="3599815" cy="1498600"/>
                  <wp:effectExtent l="0" t="0" r="0" b="0"/>
                  <wp:docPr id="176" name="obrázek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599815" cy="1498600"/>
                          </a:xfrm>
                          <a:prstGeom prst="rect">
                            <a:avLst/>
                          </a:prstGeom>
                          <a:noFill/>
                          <a:ln>
                            <a:noFill/>
                          </a:ln>
                        </pic:spPr>
                      </pic:pic>
                    </a:graphicData>
                  </a:graphic>
                </wp:inline>
              </w:drawing>
            </w:r>
          </w:p>
        </w:tc>
        <w:tc>
          <w:tcPr>
            <w:tcW w:w="567" w:type="dxa"/>
            <w:textDirection w:val="btLr"/>
            <w:vAlign w:val="center"/>
          </w:tcPr>
          <w:p w:rsidR="008F5E00" w:rsidRPr="00295848" w:rsidRDefault="008F5E00" w:rsidP="008F5E00">
            <w:pPr>
              <w:keepNext/>
              <w:tabs>
                <w:tab w:val="left" w:pos="497"/>
              </w:tabs>
              <w:spacing w:before="20" w:after="20" w:line="240" w:lineRule="auto"/>
              <w:ind w:left="113" w:right="113"/>
              <w:jc w:val="center"/>
              <w:rPr>
                <w:b/>
                <w:iCs/>
                <w:sz w:val="18"/>
                <w:szCs w:val="18"/>
              </w:rPr>
            </w:pPr>
            <w:r w:rsidRPr="00295848">
              <w:rPr>
                <w:b/>
                <w:iCs/>
                <w:sz w:val="18"/>
                <w:szCs w:val="18"/>
              </w:rPr>
              <w:t>3</w:t>
            </w:r>
          </w:p>
        </w:tc>
        <w:tc>
          <w:tcPr>
            <w:tcW w:w="851" w:type="dxa"/>
            <w:textDirection w:val="btLr"/>
            <w:vAlign w:val="center"/>
          </w:tcPr>
          <w:p w:rsidR="008F5E00" w:rsidRPr="00295848" w:rsidRDefault="008F5E00" w:rsidP="008F5E00">
            <w:pPr>
              <w:keepNext/>
              <w:tabs>
                <w:tab w:val="left" w:pos="497"/>
              </w:tabs>
              <w:spacing w:before="20" w:after="20" w:line="240" w:lineRule="auto"/>
              <w:ind w:left="113" w:right="113"/>
              <w:jc w:val="center"/>
              <w:rPr>
                <w:iCs/>
                <w:sz w:val="18"/>
                <w:szCs w:val="18"/>
              </w:rPr>
            </w:pPr>
            <w:r w:rsidRPr="00295848">
              <w:rPr>
                <w:iCs/>
                <w:sz w:val="18"/>
                <w:szCs w:val="18"/>
              </w:rPr>
              <w:t>10</w:t>
            </w:r>
          </w:p>
        </w:tc>
        <w:tc>
          <w:tcPr>
            <w:tcW w:w="1275" w:type="dxa"/>
            <w:textDirection w:val="btLr"/>
            <w:vAlign w:val="center"/>
          </w:tcPr>
          <w:p w:rsidR="008F5E00" w:rsidRPr="00295848" w:rsidRDefault="008F5E00" w:rsidP="008F5E00">
            <w:pPr>
              <w:keepNext/>
              <w:tabs>
                <w:tab w:val="left" w:pos="497"/>
              </w:tabs>
              <w:spacing w:before="20" w:after="20" w:line="240" w:lineRule="auto"/>
              <w:ind w:left="113" w:right="113"/>
              <w:jc w:val="center"/>
              <w:rPr>
                <w:iCs/>
                <w:sz w:val="18"/>
                <w:szCs w:val="18"/>
              </w:rPr>
            </w:pPr>
            <w:r w:rsidRPr="00295848">
              <w:rPr>
                <w:iCs/>
                <w:sz w:val="18"/>
                <w:szCs w:val="18"/>
              </w:rPr>
              <w:t>60</w:t>
            </w:r>
            <w:r w:rsidR="003B3235" w:rsidRPr="00295848">
              <w:rPr>
                <w:iCs/>
                <w:sz w:val="18"/>
                <w:szCs w:val="18"/>
              </w:rPr>
              <w:t xml:space="preserve"> min</w:t>
            </w:r>
          </w:p>
        </w:tc>
        <w:tc>
          <w:tcPr>
            <w:tcW w:w="851" w:type="dxa"/>
            <w:textDirection w:val="btLr"/>
            <w:vAlign w:val="center"/>
          </w:tcPr>
          <w:p w:rsidR="008F5E00" w:rsidRPr="00295848" w:rsidRDefault="008F5E00" w:rsidP="008F5E00">
            <w:pPr>
              <w:keepNext/>
              <w:tabs>
                <w:tab w:val="left" w:pos="497"/>
              </w:tabs>
              <w:spacing w:before="20" w:after="20" w:line="240" w:lineRule="auto"/>
              <w:ind w:left="113" w:right="113"/>
              <w:jc w:val="center"/>
              <w:rPr>
                <w:iCs/>
                <w:sz w:val="18"/>
                <w:szCs w:val="18"/>
              </w:rPr>
            </w:pPr>
            <w:smartTag w:uri="urn:schemas-microsoft-com:office:smarttags" w:element="metricconverter">
              <w:smartTagPr>
                <w:attr w:name="ProductID" w:val="35 km"/>
              </w:smartTagPr>
              <w:r w:rsidRPr="00295848">
                <w:rPr>
                  <w:iCs/>
                  <w:sz w:val="18"/>
                  <w:szCs w:val="18"/>
                </w:rPr>
                <w:t>35</w:t>
              </w:r>
              <w:r w:rsidR="003B3235" w:rsidRPr="00295848">
                <w:rPr>
                  <w:iCs/>
                  <w:sz w:val="18"/>
                  <w:szCs w:val="18"/>
                </w:rPr>
                <w:t xml:space="preserve"> km</w:t>
              </w:r>
            </w:smartTag>
          </w:p>
        </w:tc>
      </w:tr>
      <w:tr w:rsidR="008F5E00" w:rsidTr="008F5E00">
        <w:trPr>
          <w:cantSplit/>
          <w:trHeight w:val="1134"/>
        </w:trPr>
        <w:tc>
          <w:tcPr>
            <w:tcW w:w="5812" w:type="dxa"/>
            <w:vAlign w:val="center"/>
          </w:tcPr>
          <w:p w:rsidR="008F5E00" w:rsidRPr="00295848" w:rsidRDefault="004E4D1F" w:rsidP="00063186">
            <w:pPr>
              <w:keepNext/>
              <w:tabs>
                <w:tab w:val="left" w:pos="497"/>
              </w:tabs>
              <w:spacing w:before="20" w:after="20" w:line="240" w:lineRule="auto"/>
              <w:jc w:val="left"/>
              <w:rPr>
                <w:i/>
                <w:iCs/>
                <w:sz w:val="18"/>
                <w:szCs w:val="18"/>
              </w:rPr>
            </w:pPr>
            <w:r w:rsidRPr="00295848">
              <w:rPr>
                <w:i/>
                <w:iCs/>
                <w:noProof/>
                <w:sz w:val="18"/>
                <w:szCs w:val="18"/>
                <w:lang w:eastAsia="cs-CZ"/>
              </w:rPr>
              <w:drawing>
                <wp:inline distT="0" distB="0" distL="0" distR="0" wp14:anchorId="5BEBDC29" wp14:editId="0269E9EA">
                  <wp:extent cx="3599815" cy="1019810"/>
                  <wp:effectExtent l="0" t="0" r="0" b="0"/>
                  <wp:docPr id="177" name="obrázek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599815" cy="1019810"/>
                          </a:xfrm>
                          <a:prstGeom prst="rect">
                            <a:avLst/>
                          </a:prstGeom>
                          <a:noFill/>
                          <a:ln>
                            <a:noFill/>
                          </a:ln>
                        </pic:spPr>
                      </pic:pic>
                    </a:graphicData>
                  </a:graphic>
                </wp:inline>
              </w:drawing>
            </w:r>
          </w:p>
        </w:tc>
        <w:tc>
          <w:tcPr>
            <w:tcW w:w="567" w:type="dxa"/>
            <w:textDirection w:val="btLr"/>
            <w:vAlign w:val="center"/>
          </w:tcPr>
          <w:p w:rsidR="008F5E00" w:rsidRPr="00295848" w:rsidRDefault="008F5E00" w:rsidP="008F5E00">
            <w:pPr>
              <w:keepNext/>
              <w:tabs>
                <w:tab w:val="left" w:pos="497"/>
              </w:tabs>
              <w:spacing w:before="20" w:after="20" w:line="240" w:lineRule="auto"/>
              <w:ind w:left="113" w:right="113"/>
              <w:jc w:val="center"/>
              <w:rPr>
                <w:b/>
                <w:iCs/>
                <w:sz w:val="18"/>
                <w:szCs w:val="18"/>
              </w:rPr>
            </w:pPr>
            <w:r w:rsidRPr="00295848">
              <w:rPr>
                <w:b/>
                <w:iCs/>
                <w:sz w:val="18"/>
                <w:szCs w:val="18"/>
              </w:rPr>
              <w:t>2b</w:t>
            </w:r>
          </w:p>
        </w:tc>
        <w:tc>
          <w:tcPr>
            <w:tcW w:w="851" w:type="dxa"/>
            <w:textDirection w:val="btLr"/>
            <w:vAlign w:val="center"/>
          </w:tcPr>
          <w:p w:rsidR="008F5E00" w:rsidRPr="00295848" w:rsidRDefault="008F5E00" w:rsidP="008F5E00">
            <w:pPr>
              <w:keepNext/>
              <w:tabs>
                <w:tab w:val="left" w:pos="497"/>
              </w:tabs>
              <w:spacing w:before="20" w:after="20" w:line="240" w:lineRule="auto"/>
              <w:ind w:left="113" w:right="113"/>
              <w:jc w:val="center"/>
              <w:rPr>
                <w:iCs/>
                <w:sz w:val="18"/>
                <w:szCs w:val="18"/>
              </w:rPr>
            </w:pPr>
            <w:r w:rsidRPr="00295848">
              <w:rPr>
                <w:iCs/>
                <w:sz w:val="18"/>
                <w:szCs w:val="18"/>
              </w:rPr>
              <w:t>12</w:t>
            </w:r>
          </w:p>
        </w:tc>
        <w:tc>
          <w:tcPr>
            <w:tcW w:w="1275" w:type="dxa"/>
            <w:textDirection w:val="btLr"/>
            <w:vAlign w:val="center"/>
          </w:tcPr>
          <w:p w:rsidR="008F5E00" w:rsidRPr="00295848" w:rsidRDefault="008F5E00" w:rsidP="008F5E00">
            <w:pPr>
              <w:keepNext/>
              <w:tabs>
                <w:tab w:val="left" w:pos="497"/>
              </w:tabs>
              <w:spacing w:before="20" w:after="20" w:line="240" w:lineRule="auto"/>
              <w:ind w:left="113" w:right="113"/>
              <w:jc w:val="center"/>
              <w:rPr>
                <w:iCs/>
                <w:sz w:val="18"/>
                <w:szCs w:val="18"/>
              </w:rPr>
            </w:pPr>
            <w:r w:rsidRPr="00295848">
              <w:rPr>
                <w:iCs/>
                <w:sz w:val="18"/>
                <w:szCs w:val="18"/>
              </w:rPr>
              <w:t>45</w:t>
            </w:r>
            <w:r w:rsidR="003B3235" w:rsidRPr="00295848">
              <w:rPr>
                <w:iCs/>
                <w:sz w:val="18"/>
                <w:szCs w:val="18"/>
              </w:rPr>
              <w:t xml:space="preserve"> min</w:t>
            </w:r>
          </w:p>
        </w:tc>
        <w:tc>
          <w:tcPr>
            <w:tcW w:w="851" w:type="dxa"/>
            <w:textDirection w:val="btLr"/>
            <w:vAlign w:val="center"/>
          </w:tcPr>
          <w:p w:rsidR="008F5E00" w:rsidRPr="00295848" w:rsidRDefault="008F5E00" w:rsidP="008F5E00">
            <w:pPr>
              <w:keepNext/>
              <w:tabs>
                <w:tab w:val="left" w:pos="497"/>
              </w:tabs>
              <w:spacing w:before="20" w:after="20" w:line="240" w:lineRule="auto"/>
              <w:ind w:left="113" w:right="113"/>
              <w:jc w:val="center"/>
              <w:rPr>
                <w:iCs/>
                <w:sz w:val="18"/>
                <w:szCs w:val="18"/>
              </w:rPr>
            </w:pPr>
            <w:smartTag w:uri="urn:schemas-microsoft-com:office:smarttags" w:element="metricconverter">
              <w:smartTagPr>
                <w:attr w:name="ProductID" w:val="25 km"/>
              </w:smartTagPr>
              <w:r w:rsidRPr="00295848">
                <w:rPr>
                  <w:iCs/>
                  <w:sz w:val="18"/>
                  <w:szCs w:val="18"/>
                </w:rPr>
                <w:t>25</w:t>
              </w:r>
              <w:r w:rsidR="003B3235" w:rsidRPr="00295848">
                <w:rPr>
                  <w:iCs/>
                  <w:sz w:val="18"/>
                  <w:szCs w:val="18"/>
                </w:rPr>
                <w:t xml:space="preserve"> km</w:t>
              </w:r>
            </w:smartTag>
          </w:p>
        </w:tc>
      </w:tr>
      <w:tr w:rsidR="008F5E00" w:rsidTr="008F5E00">
        <w:trPr>
          <w:cantSplit/>
          <w:trHeight w:val="1599"/>
        </w:trPr>
        <w:tc>
          <w:tcPr>
            <w:tcW w:w="5812" w:type="dxa"/>
            <w:vAlign w:val="center"/>
          </w:tcPr>
          <w:p w:rsidR="008F5E00" w:rsidRPr="00295848" w:rsidRDefault="004E4D1F" w:rsidP="00063186">
            <w:pPr>
              <w:keepNext/>
              <w:tabs>
                <w:tab w:val="left" w:pos="497"/>
              </w:tabs>
              <w:spacing w:before="20" w:after="20" w:line="240" w:lineRule="auto"/>
              <w:jc w:val="left"/>
              <w:rPr>
                <w:i/>
                <w:iCs/>
                <w:sz w:val="18"/>
                <w:szCs w:val="18"/>
              </w:rPr>
            </w:pPr>
            <w:r w:rsidRPr="00295848">
              <w:rPr>
                <w:i/>
                <w:iCs/>
                <w:noProof/>
                <w:sz w:val="18"/>
                <w:szCs w:val="18"/>
                <w:lang w:eastAsia="cs-CZ"/>
              </w:rPr>
              <w:drawing>
                <wp:inline distT="0" distB="0" distL="0" distR="0" wp14:anchorId="343F6164" wp14:editId="7E8819AF">
                  <wp:extent cx="3597275" cy="1087120"/>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597275" cy="1087120"/>
                          </a:xfrm>
                          <a:prstGeom prst="rect">
                            <a:avLst/>
                          </a:prstGeom>
                          <a:noFill/>
                          <a:ln>
                            <a:noFill/>
                          </a:ln>
                        </pic:spPr>
                      </pic:pic>
                    </a:graphicData>
                  </a:graphic>
                </wp:inline>
              </w:drawing>
            </w:r>
          </w:p>
        </w:tc>
        <w:tc>
          <w:tcPr>
            <w:tcW w:w="567" w:type="dxa"/>
            <w:textDirection w:val="btLr"/>
            <w:vAlign w:val="center"/>
          </w:tcPr>
          <w:p w:rsidR="008F5E00" w:rsidRPr="00295848" w:rsidRDefault="008F5E00" w:rsidP="008F5E00">
            <w:pPr>
              <w:keepNext/>
              <w:tabs>
                <w:tab w:val="left" w:pos="497"/>
              </w:tabs>
              <w:spacing w:before="20" w:after="20" w:line="240" w:lineRule="auto"/>
              <w:ind w:left="113" w:right="113"/>
              <w:jc w:val="center"/>
              <w:rPr>
                <w:b/>
                <w:iCs/>
                <w:sz w:val="18"/>
                <w:szCs w:val="18"/>
              </w:rPr>
            </w:pPr>
            <w:r w:rsidRPr="00295848">
              <w:rPr>
                <w:b/>
                <w:iCs/>
                <w:sz w:val="18"/>
                <w:szCs w:val="18"/>
              </w:rPr>
              <w:t>2a</w:t>
            </w:r>
          </w:p>
        </w:tc>
        <w:tc>
          <w:tcPr>
            <w:tcW w:w="851" w:type="dxa"/>
            <w:textDirection w:val="btLr"/>
            <w:vAlign w:val="center"/>
          </w:tcPr>
          <w:p w:rsidR="008F5E00" w:rsidRPr="00295848" w:rsidRDefault="008F5E00" w:rsidP="008F5E00">
            <w:pPr>
              <w:keepNext/>
              <w:tabs>
                <w:tab w:val="left" w:pos="497"/>
              </w:tabs>
              <w:spacing w:before="20" w:after="20" w:line="240" w:lineRule="auto"/>
              <w:ind w:left="113" w:right="113"/>
              <w:jc w:val="center"/>
              <w:rPr>
                <w:iCs/>
                <w:sz w:val="18"/>
                <w:szCs w:val="18"/>
              </w:rPr>
            </w:pPr>
            <w:r w:rsidRPr="00295848">
              <w:rPr>
                <w:iCs/>
                <w:sz w:val="18"/>
                <w:szCs w:val="18"/>
              </w:rPr>
              <w:t>16</w:t>
            </w:r>
          </w:p>
        </w:tc>
        <w:tc>
          <w:tcPr>
            <w:tcW w:w="1275" w:type="dxa"/>
            <w:textDirection w:val="btLr"/>
            <w:vAlign w:val="center"/>
          </w:tcPr>
          <w:p w:rsidR="008F5E00" w:rsidRPr="00295848" w:rsidRDefault="008F5E00" w:rsidP="008F5E00">
            <w:pPr>
              <w:keepNext/>
              <w:tabs>
                <w:tab w:val="left" w:pos="497"/>
              </w:tabs>
              <w:spacing w:before="20" w:after="20" w:line="240" w:lineRule="auto"/>
              <w:ind w:left="113" w:right="113"/>
              <w:jc w:val="center"/>
              <w:rPr>
                <w:iCs/>
                <w:sz w:val="18"/>
                <w:szCs w:val="18"/>
              </w:rPr>
            </w:pPr>
            <w:r w:rsidRPr="00295848">
              <w:rPr>
                <w:iCs/>
                <w:sz w:val="18"/>
                <w:szCs w:val="18"/>
              </w:rPr>
              <w:t>35</w:t>
            </w:r>
            <w:r w:rsidR="003B3235" w:rsidRPr="00295848">
              <w:rPr>
                <w:iCs/>
                <w:sz w:val="18"/>
                <w:szCs w:val="18"/>
              </w:rPr>
              <w:t xml:space="preserve"> min</w:t>
            </w:r>
          </w:p>
        </w:tc>
        <w:tc>
          <w:tcPr>
            <w:tcW w:w="851" w:type="dxa"/>
            <w:textDirection w:val="btLr"/>
            <w:vAlign w:val="center"/>
          </w:tcPr>
          <w:p w:rsidR="008F5E00" w:rsidRPr="00295848" w:rsidRDefault="008F5E00" w:rsidP="008F5E00">
            <w:pPr>
              <w:keepNext/>
              <w:tabs>
                <w:tab w:val="left" w:pos="497"/>
              </w:tabs>
              <w:spacing w:before="20" w:after="20" w:line="240" w:lineRule="auto"/>
              <w:ind w:left="113" w:right="113"/>
              <w:jc w:val="center"/>
              <w:rPr>
                <w:iCs/>
                <w:sz w:val="18"/>
                <w:szCs w:val="18"/>
              </w:rPr>
            </w:pPr>
            <w:smartTag w:uri="urn:schemas-microsoft-com:office:smarttags" w:element="metricconverter">
              <w:smartTagPr>
                <w:attr w:name="ProductID" w:val="23 km"/>
              </w:smartTagPr>
              <w:r w:rsidRPr="00295848">
                <w:rPr>
                  <w:iCs/>
                  <w:sz w:val="18"/>
                  <w:szCs w:val="18"/>
                </w:rPr>
                <w:t>23</w:t>
              </w:r>
              <w:r w:rsidR="003B3235" w:rsidRPr="00295848">
                <w:rPr>
                  <w:iCs/>
                  <w:sz w:val="18"/>
                  <w:szCs w:val="18"/>
                </w:rPr>
                <w:t xml:space="preserve"> km</w:t>
              </w:r>
            </w:smartTag>
          </w:p>
        </w:tc>
      </w:tr>
      <w:tr w:rsidR="008F5E00" w:rsidTr="008F5E00">
        <w:trPr>
          <w:cantSplit/>
          <w:trHeight w:val="1599"/>
        </w:trPr>
        <w:tc>
          <w:tcPr>
            <w:tcW w:w="5812" w:type="dxa"/>
            <w:vAlign w:val="center"/>
          </w:tcPr>
          <w:p w:rsidR="008F5E00" w:rsidRPr="00295848" w:rsidRDefault="004E4D1F" w:rsidP="00063186">
            <w:pPr>
              <w:keepNext/>
              <w:tabs>
                <w:tab w:val="left" w:pos="497"/>
              </w:tabs>
              <w:spacing w:before="20" w:after="20" w:line="240" w:lineRule="auto"/>
              <w:jc w:val="left"/>
              <w:rPr>
                <w:i/>
                <w:iCs/>
                <w:sz w:val="18"/>
                <w:szCs w:val="18"/>
              </w:rPr>
            </w:pPr>
            <w:r w:rsidRPr="00295848">
              <w:rPr>
                <w:i/>
                <w:iCs/>
                <w:noProof/>
                <w:sz w:val="18"/>
                <w:szCs w:val="18"/>
                <w:lang w:eastAsia="cs-CZ"/>
              </w:rPr>
              <w:drawing>
                <wp:inline distT="0" distB="0" distL="0" distR="0" wp14:anchorId="464E560B" wp14:editId="4647CD6C">
                  <wp:extent cx="3599815" cy="1301750"/>
                  <wp:effectExtent l="0" t="0" r="0" b="0"/>
                  <wp:docPr id="178" name="obrázek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599815" cy="1301750"/>
                          </a:xfrm>
                          <a:prstGeom prst="rect">
                            <a:avLst/>
                          </a:prstGeom>
                          <a:noFill/>
                          <a:ln>
                            <a:noFill/>
                          </a:ln>
                        </pic:spPr>
                      </pic:pic>
                    </a:graphicData>
                  </a:graphic>
                </wp:inline>
              </w:drawing>
            </w:r>
          </w:p>
        </w:tc>
        <w:tc>
          <w:tcPr>
            <w:tcW w:w="567" w:type="dxa"/>
            <w:textDirection w:val="btLr"/>
            <w:vAlign w:val="center"/>
          </w:tcPr>
          <w:p w:rsidR="008F5E00" w:rsidRPr="00295848" w:rsidRDefault="008F5E00" w:rsidP="008F5E00">
            <w:pPr>
              <w:keepNext/>
              <w:tabs>
                <w:tab w:val="left" w:pos="497"/>
              </w:tabs>
              <w:spacing w:before="20" w:after="20" w:line="240" w:lineRule="auto"/>
              <w:ind w:left="113" w:right="113"/>
              <w:jc w:val="center"/>
              <w:rPr>
                <w:b/>
                <w:iCs/>
                <w:sz w:val="18"/>
                <w:szCs w:val="18"/>
              </w:rPr>
            </w:pPr>
            <w:r w:rsidRPr="00295848">
              <w:rPr>
                <w:b/>
                <w:iCs/>
                <w:sz w:val="18"/>
                <w:szCs w:val="18"/>
              </w:rPr>
              <w:t>1</w:t>
            </w:r>
          </w:p>
        </w:tc>
        <w:tc>
          <w:tcPr>
            <w:tcW w:w="851" w:type="dxa"/>
            <w:textDirection w:val="btLr"/>
            <w:vAlign w:val="center"/>
          </w:tcPr>
          <w:p w:rsidR="008F5E00" w:rsidRPr="00295848" w:rsidRDefault="008F5E00" w:rsidP="008F5E00">
            <w:pPr>
              <w:keepNext/>
              <w:tabs>
                <w:tab w:val="left" w:pos="497"/>
              </w:tabs>
              <w:spacing w:before="20" w:after="20" w:line="240" w:lineRule="auto"/>
              <w:ind w:left="113" w:right="113"/>
              <w:jc w:val="center"/>
              <w:rPr>
                <w:iCs/>
                <w:sz w:val="18"/>
                <w:szCs w:val="18"/>
              </w:rPr>
            </w:pPr>
            <w:r w:rsidRPr="00295848">
              <w:rPr>
                <w:iCs/>
                <w:sz w:val="18"/>
                <w:szCs w:val="18"/>
              </w:rPr>
              <w:t>12</w:t>
            </w:r>
          </w:p>
        </w:tc>
        <w:tc>
          <w:tcPr>
            <w:tcW w:w="1275" w:type="dxa"/>
            <w:textDirection w:val="btLr"/>
            <w:vAlign w:val="center"/>
          </w:tcPr>
          <w:p w:rsidR="008F5E00" w:rsidRPr="00295848" w:rsidRDefault="008F5E00" w:rsidP="008F5E00">
            <w:pPr>
              <w:keepNext/>
              <w:tabs>
                <w:tab w:val="left" w:pos="497"/>
              </w:tabs>
              <w:spacing w:before="20" w:after="20" w:line="240" w:lineRule="auto"/>
              <w:ind w:left="113" w:right="113"/>
              <w:jc w:val="center"/>
              <w:rPr>
                <w:iCs/>
                <w:sz w:val="18"/>
                <w:szCs w:val="18"/>
              </w:rPr>
            </w:pPr>
            <w:r w:rsidRPr="00295848">
              <w:rPr>
                <w:iCs/>
                <w:sz w:val="18"/>
                <w:szCs w:val="18"/>
              </w:rPr>
              <w:t>27</w:t>
            </w:r>
            <w:r w:rsidR="003B3235" w:rsidRPr="00295848">
              <w:rPr>
                <w:iCs/>
                <w:sz w:val="18"/>
                <w:szCs w:val="18"/>
              </w:rPr>
              <w:t xml:space="preserve"> min</w:t>
            </w:r>
          </w:p>
        </w:tc>
        <w:tc>
          <w:tcPr>
            <w:tcW w:w="851" w:type="dxa"/>
            <w:textDirection w:val="btLr"/>
            <w:vAlign w:val="center"/>
          </w:tcPr>
          <w:p w:rsidR="008F5E00" w:rsidRPr="00295848" w:rsidRDefault="008F5E00" w:rsidP="008F5E00">
            <w:pPr>
              <w:keepNext/>
              <w:tabs>
                <w:tab w:val="left" w:pos="497"/>
              </w:tabs>
              <w:spacing w:before="20" w:after="20" w:line="240" w:lineRule="auto"/>
              <w:ind w:left="113" w:right="113"/>
              <w:jc w:val="center"/>
              <w:rPr>
                <w:iCs/>
                <w:sz w:val="18"/>
                <w:szCs w:val="18"/>
              </w:rPr>
            </w:pPr>
            <w:smartTag w:uri="urn:schemas-microsoft-com:office:smarttags" w:element="metricconverter">
              <w:smartTagPr>
                <w:attr w:name="ProductID" w:val="24 km"/>
              </w:smartTagPr>
              <w:r w:rsidRPr="00295848">
                <w:rPr>
                  <w:iCs/>
                  <w:sz w:val="18"/>
                  <w:szCs w:val="18"/>
                </w:rPr>
                <w:t>24</w:t>
              </w:r>
              <w:r w:rsidR="003B3235" w:rsidRPr="00295848">
                <w:rPr>
                  <w:iCs/>
                  <w:sz w:val="18"/>
                  <w:szCs w:val="18"/>
                </w:rPr>
                <w:t xml:space="preserve"> km</w:t>
              </w:r>
            </w:smartTag>
          </w:p>
        </w:tc>
      </w:tr>
      <w:tr w:rsidR="008F5E00" w:rsidTr="00295848">
        <w:trPr>
          <w:cantSplit/>
          <w:trHeight w:val="1599"/>
        </w:trPr>
        <w:tc>
          <w:tcPr>
            <w:tcW w:w="5812" w:type="dxa"/>
            <w:vAlign w:val="bottom"/>
          </w:tcPr>
          <w:p w:rsidR="008F5E00" w:rsidRPr="00295848" w:rsidRDefault="008F5E00" w:rsidP="00295848">
            <w:pPr>
              <w:spacing w:before="0" w:after="0" w:line="240" w:lineRule="auto"/>
              <w:jc w:val="left"/>
              <w:rPr>
                <w:i/>
                <w:iCs/>
                <w:sz w:val="18"/>
                <w:szCs w:val="18"/>
              </w:rPr>
            </w:pPr>
            <w:r w:rsidRPr="00295848">
              <w:rPr>
                <w:i/>
                <w:sz w:val="18"/>
                <w:szCs w:val="18"/>
              </w:rPr>
              <w:t>Zdroj: IDOS</w:t>
            </w:r>
          </w:p>
        </w:tc>
        <w:tc>
          <w:tcPr>
            <w:tcW w:w="567" w:type="dxa"/>
            <w:textDirection w:val="btLr"/>
            <w:vAlign w:val="center"/>
          </w:tcPr>
          <w:p w:rsidR="008F5E00" w:rsidRPr="00295848" w:rsidRDefault="008F5E00" w:rsidP="008F5E00">
            <w:pPr>
              <w:keepNext/>
              <w:tabs>
                <w:tab w:val="left" w:pos="497"/>
              </w:tabs>
              <w:spacing w:before="20" w:after="20" w:line="240" w:lineRule="auto"/>
              <w:ind w:left="113" w:right="113"/>
              <w:jc w:val="left"/>
              <w:rPr>
                <w:b/>
                <w:iCs/>
                <w:sz w:val="18"/>
                <w:szCs w:val="18"/>
              </w:rPr>
            </w:pPr>
            <w:r w:rsidRPr="00295848">
              <w:rPr>
                <w:b/>
                <w:iCs/>
                <w:sz w:val="18"/>
                <w:szCs w:val="18"/>
              </w:rPr>
              <w:t>číslo trasy</w:t>
            </w:r>
          </w:p>
        </w:tc>
        <w:tc>
          <w:tcPr>
            <w:tcW w:w="851" w:type="dxa"/>
            <w:textDirection w:val="btLr"/>
            <w:vAlign w:val="center"/>
          </w:tcPr>
          <w:p w:rsidR="008F5E00" w:rsidRPr="00295848" w:rsidRDefault="008F5E00" w:rsidP="008F5E00">
            <w:pPr>
              <w:keepNext/>
              <w:tabs>
                <w:tab w:val="left" w:pos="497"/>
              </w:tabs>
              <w:spacing w:before="20" w:after="20" w:line="240" w:lineRule="auto"/>
              <w:ind w:left="113" w:right="113"/>
              <w:jc w:val="left"/>
              <w:rPr>
                <w:b/>
                <w:iCs/>
                <w:sz w:val="18"/>
                <w:szCs w:val="18"/>
              </w:rPr>
            </w:pPr>
            <w:r w:rsidRPr="00295848">
              <w:rPr>
                <w:b/>
                <w:iCs/>
                <w:sz w:val="18"/>
                <w:szCs w:val="18"/>
              </w:rPr>
              <w:t>počet párů spojů</w:t>
            </w:r>
          </w:p>
        </w:tc>
        <w:tc>
          <w:tcPr>
            <w:tcW w:w="1275" w:type="dxa"/>
            <w:textDirection w:val="btLr"/>
            <w:vAlign w:val="center"/>
          </w:tcPr>
          <w:p w:rsidR="008F5E00" w:rsidRPr="00295848" w:rsidRDefault="008F5E00" w:rsidP="003B3235">
            <w:pPr>
              <w:keepNext/>
              <w:tabs>
                <w:tab w:val="left" w:pos="497"/>
              </w:tabs>
              <w:spacing w:before="20" w:after="20" w:line="240" w:lineRule="auto"/>
              <w:ind w:left="113" w:right="113"/>
              <w:jc w:val="left"/>
              <w:rPr>
                <w:b/>
                <w:iCs/>
                <w:sz w:val="18"/>
                <w:szCs w:val="18"/>
              </w:rPr>
            </w:pPr>
            <w:r w:rsidRPr="00295848">
              <w:rPr>
                <w:b/>
                <w:iCs/>
                <w:sz w:val="18"/>
                <w:szCs w:val="18"/>
              </w:rPr>
              <w:t>průměrná cestovní doba</w:t>
            </w:r>
          </w:p>
        </w:tc>
        <w:tc>
          <w:tcPr>
            <w:tcW w:w="851" w:type="dxa"/>
            <w:textDirection w:val="btLr"/>
            <w:vAlign w:val="center"/>
          </w:tcPr>
          <w:p w:rsidR="008F5E00" w:rsidRPr="00295848" w:rsidRDefault="008F5E00" w:rsidP="003B3235">
            <w:pPr>
              <w:keepNext/>
              <w:tabs>
                <w:tab w:val="left" w:pos="497"/>
              </w:tabs>
              <w:spacing w:before="20" w:after="20" w:line="240" w:lineRule="auto"/>
              <w:ind w:left="113" w:right="113"/>
              <w:jc w:val="left"/>
              <w:rPr>
                <w:b/>
                <w:iCs/>
                <w:sz w:val="18"/>
                <w:szCs w:val="18"/>
              </w:rPr>
            </w:pPr>
            <w:r w:rsidRPr="00295848">
              <w:rPr>
                <w:b/>
                <w:iCs/>
                <w:sz w:val="18"/>
                <w:szCs w:val="18"/>
              </w:rPr>
              <w:t>průměrná délka</w:t>
            </w:r>
          </w:p>
        </w:tc>
      </w:tr>
    </w:tbl>
    <w:p w:rsidR="008F5E00" w:rsidRDefault="008F5E00" w:rsidP="008F5E00">
      <w:bookmarkStart w:id="210" w:name="_Ref334447099"/>
      <w:r>
        <w:t>V JŘ 2011/2012 je mezi Hradcem Králové a Pardubicemi v pracovní dny v provozu celkem 52 párů autobusových spojů</w:t>
      </w:r>
      <w:r w:rsidR="003B3235">
        <w:t>, které jezdí v době od 4:30 do 19:30. Průměrný interval mezi jednotlivými spoji za celý den vychází na 17 min, v nejzatíženější špičkové hodině (mezi 7 – 8 hodinou ranní) je to přibližně 9 min. V provozovaném rozsahu l</w:t>
      </w:r>
      <w:r>
        <w:t>ze vypozorovat přibližně 5 základních tras jednotlivých linek:</w:t>
      </w:r>
    </w:p>
    <w:p w:rsidR="00631EAB" w:rsidRDefault="008F5E00" w:rsidP="00D20948">
      <w:pPr>
        <w:numPr>
          <w:ilvl w:val="0"/>
          <w:numId w:val="27"/>
        </w:numPr>
      </w:pPr>
      <w:r w:rsidRPr="008F5E00">
        <w:rPr>
          <w:b/>
        </w:rPr>
        <w:t>trasa č. 1</w:t>
      </w:r>
      <w:r>
        <w:t>: je vedena mezi oběma městy po nejkratší trase (silnici I/37) bez zastavení. Operují zde výhradně dálkové linky.</w:t>
      </w:r>
    </w:p>
    <w:p w:rsidR="00631EAB" w:rsidRDefault="008F5E00" w:rsidP="00D20948">
      <w:pPr>
        <w:numPr>
          <w:ilvl w:val="0"/>
          <w:numId w:val="27"/>
        </w:numPr>
      </w:pPr>
      <w:r w:rsidRPr="008F5E00">
        <w:rPr>
          <w:b/>
        </w:rPr>
        <w:t>trasa č. 2</w:t>
      </w:r>
      <w:r>
        <w:rPr>
          <w:b/>
        </w:rPr>
        <w:t>a</w:t>
      </w:r>
      <w:r>
        <w:t>: z Pardubic je vedena po silnici II/324 přes Staré Hradiště a Hrobice a dále po silnici I/37 přes Opatovice n. L. do Hradce Králové. Jedná se o poměrně rychlou linku obsluhující i nejdůležitější sídla na trase, operují zde jak dálkové, tak regionální autobusy, rozsahem dopravy je nejfrekventovanější.</w:t>
      </w:r>
    </w:p>
    <w:p w:rsidR="00631EAB" w:rsidRDefault="008F5E00" w:rsidP="00D20948">
      <w:pPr>
        <w:numPr>
          <w:ilvl w:val="0"/>
          <w:numId w:val="27"/>
        </w:numPr>
      </w:pPr>
      <w:r w:rsidRPr="008F5E00">
        <w:rPr>
          <w:b/>
        </w:rPr>
        <w:t>trasa č. 2</w:t>
      </w:r>
      <w:r>
        <w:rPr>
          <w:b/>
        </w:rPr>
        <w:t>b</w:t>
      </w:r>
      <w:r w:rsidRPr="008F5E00">
        <w:t>:</w:t>
      </w:r>
      <w:r>
        <w:t xml:space="preserve"> má velmi podobnou trasu jako linka 2a, obsluhuje však navíc obce Pohřebačka a Březhrad. Má více zastávek, čímž je logicky časově delší, operují zde výhradně regionální autobusy.</w:t>
      </w:r>
    </w:p>
    <w:p w:rsidR="00631EAB" w:rsidRDefault="008F5E00" w:rsidP="00D20948">
      <w:pPr>
        <w:numPr>
          <w:ilvl w:val="0"/>
          <w:numId w:val="27"/>
        </w:numPr>
      </w:pPr>
      <w:r w:rsidRPr="008F5E00">
        <w:rPr>
          <w:b/>
        </w:rPr>
        <w:t xml:space="preserve">trasa č. </w:t>
      </w:r>
      <w:r>
        <w:rPr>
          <w:b/>
        </w:rPr>
        <w:t>3</w:t>
      </w:r>
      <w:r>
        <w:t>: z Pardubic je vedena po silnici II/324 do Starého Hradiště a dále po silnicích III. tříd přes obce Ráby a Němčice a dále po levém břehu Labe přes obce Dříteč a Vysoká n. L. do Hradce Králové. Tato linka kvůli své dlouhé cestovní době není určena pro přepravu cestujících mezi oběma krajskými městy, slouží pro dopravní obsluhu mezilehlých obcí. Operují zde výhradně regionální autobusy.</w:t>
      </w:r>
    </w:p>
    <w:p w:rsidR="00631EAB" w:rsidRDefault="008F5E00" w:rsidP="00D20948">
      <w:pPr>
        <w:numPr>
          <w:ilvl w:val="0"/>
          <w:numId w:val="27"/>
        </w:numPr>
        <w:rPr>
          <w:b/>
        </w:rPr>
      </w:pPr>
      <w:r w:rsidRPr="008F5E00">
        <w:rPr>
          <w:b/>
        </w:rPr>
        <w:t>trasa č. 4</w:t>
      </w:r>
      <w:r w:rsidRPr="00620A25">
        <w:t>: z Pardubic je vedena po silnici I/36 přes Lázně Bohdaneč a dále přes obce Křičeň, Lhota pod Libčany a Praskačka do Hradce Králové. Stejně jako předchozí linka není určena pro přepravu cestujících mezi oběma krajskými městy, slouží pro dopravní obsluhu mezilehlých obcí. Operují zde výhradně regionální autobusy.</w:t>
      </w:r>
    </w:p>
    <w:p w:rsidR="007360CE" w:rsidRPr="007360CE" w:rsidRDefault="007360CE" w:rsidP="007360CE">
      <w:r>
        <w:t xml:space="preserve">Na následujícím grafu je znázorněna četnost všech </w:t>
      </w:r>
      <w:r w:rsidRPr="007360CE">
        <w:t xml:space="preserve">autobusových linek </w:t>
      </w:r>
      <w:r>
        <w:t xml:space="preserve">vypravovaných </w:t>
      </w:r>
      <w:r w:rsidRPr="007360CE">
        <w:t>mezi Pardubicemi a Hradcem Králové v jednotlivých hodinách pracovního dne</w:t>
      </w:r>
      <w:r>
        <w:t xml:space="preserve">. Jednotlivé linky (trasy) jsou odlišeny barevně. </w:t>
      </w:r>
    </w:p>
    <w:tbl>
      <w:tblPr>
        <w:tblW w:w="936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66"/>
      </w:tblGrid>
      <w:tr w:rsidR="007360CE" w:rsidTr="007360CE">
        <w:trPr>
          <w:trHeight w:hRule="exact" w:val="690"/>
        </w:trPr>
        <w:tc>
          <w:tcPr>
            <w:tcW w:w="9366" w:type="dxa"/>
            <w:vAlign w:val="center"/>
          </w:tcPr>
          <w:p w:rsidR="007360CE" w:rsidRPr="00714409" w:rsidRDefault="007360CE" w:rsidP="002E5756">
            <w:pPr>
              <w:pStyle w:val="Titulek"/>
              <w:tabs>
                <w:tab w:val="clear" w:pos="993"/>
                <w:tab w:val="left" w:pos="1206"/>
              </w:tabs>
              <w:ind w:left="1206" w:hanging="1206"/>
            </w:pPr>
            <w:bookmarkStart w:id="211" w:name="_Toc390958843"/>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17</w:t>
            </w:r>
            <w:r w:rsidR="00AC5CDF" w:rsidRPr="00714409">
              <w:fldChar w:fldCharType="end"/>
            </w:r>
            <w:r w:rsidRPr="00714409">
              <w:t xml:space="preserve">: </w:t>
            </w:r>
            <w:r w:rsidR="00556E9B" w:rsidRPr="00714409">
              <w:t>Počty párů spojů na jednotlivých trasách autobusových linek mezi Pardubicemi a HK v jednotlivých hodinách pracovního dne</w:t>
            </w:r>
            <w:bookmarkEnd w:id="211"/>
          </w:p>
        </w:tc>
      </w:tr>
      <w:tr w:rsidR="007360CE" w:rsidTr="00295848">
        <w:trPr>
          <w:trHeight w:val="3938"/>
        </w:trPr>
        <w:tc>
          <w:tcPr>
            <w:tcW w:w="9366" w:type="dxa"/>
            <w:tcBorders>
              <w:bottom w:val="nil"/>
            </w:tcBorders>
            <w:vAlign w:val="center"/>
          </w:tcPr>
          <w:p w:rsidR="007360CE" w:rsidRDefault="004E4D1F" w:rsidP="007360CE">
            <w:pPr>
              <w:keepNext/>
              <w:tabs>
                <w:tab w:val="left" w:pos="497"/>
              </w:tabs>
              <w:spacing w:before="20" w:after="20" w:line="240" w:lineRule="auto"/>
              <w:jc w:val="center"/>
              <w:rPr>
                <w:i/>
                <w:iCs/>
                <w:sz w:val="16"/>
              </w:rPr>
            </w:pPr>
            <w:r>
              <w:rPr>
                <w:i/>
                <w:iCs/>
                <w:noProof/>
                <w:sz w:val="16"/>
                <w:lang w:eastAsia="cs-CZ"/>
              </w:rPr>
              <w:drawing>
                <wp:inline distT="0" distB="0" distL="0" distR="0" wp14:anchorId="4BA07184" wp14:editId="652FA127">
                  <wp:extent cx="5575300" cy="2402840"/>
                  <wp:effectExtent l="0" t="0" r="0" b="0"/>
                  <wp:docPr id="229" name="obráze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575300" cy="2402840"/>
                          </a:xfrm>
                          <a:prstGeom prst="rect">
                            <a:avLst/>
                          </a:prstGeom>
                          <a:noFill/>
                        </pic:spPr>
                      </pic:pic>
                    </a:graphicData>
                  </a:graphic>
                </wp:inline>
              </w:drawing>
            </w:r>
          </w:p>
        </w:tc>
      </w:tr>
      <w:tr w:rsidR="007360CE" w:rsidTr="00295848">
        <w:trPr>
          <w:trHeight w:val="265"/>
        </w:trPr>
        <w:tc>
          <w:tcPr>
            <w:tcW w:w="9366" w:type="dxa"/>
            <w:tcBorders>
              <w:top w:val="nil"/>
            </w:tcBorders>
            <w:vAlign w:val="center"/>
          </w:tcPr>
          <w:p w:rsidR="007360CE" w:rsidRDefault="007360CE" w:rsidP="00295848">
            <w:pPr>
              <w:spacing w:before="0" w:after="0" w:line="240" w:lineRule="auto"/>
              <w:jc w:val="left"/>
              <w:rPr>
                <w:i/>
                <w:iCs/>
                <w:sz w:val="16"/>
              </w:rPr>
            </w:pPr>
            <w:r w:rsidRPr="00295848">
              <w:rPr>
                <w:i/>
                <w:sz w:val="18"/>
                <w:szCs w:val="18"/>
              </w:rPr>
              <w:t>Zdroj: IDOS</w:t>
            </w:r>
          </w:p>
        </w:tc>
      </w:tr>
    </w:tbl>
    <w:p w:rsidR="008450FB" w:rsidRDefault="008450FB" w:rsidP="007360CE"/>
    <w:p w:rsidR="007360CE" w:rsidRDefault="007360CE" w:rsidP="007360CE">
      <w:r>
        <w:t xml:space="preserve">Pomocí uvažované průměrné obsazenosti všech autobusových spojů 25 cestujících/bus je možné vyjádřit i přibližný počet cestujících v závislosti na denní době </w:t>
      </w:r>
      <w:r w:rsidR="00B664EA">
        <w:t xml:space="preserve">během </w:t>
      </w:r>
      <w:r>
        <w:t xml:space="preserve">pracovního dne, což je zobrazeno na následujícím grafu. Tato hodnota obsazenosti byla zvolena s ohledem na to, že se </w:t>
      </w:r>
      <w:r w:rsidR="00B664EA">
        <w:t xml:space="preserve">v případě relace Pardubice – Hradec Králové </w:t>
      </w:r>
      <w:r>
        <w:t>jedná o regionální relaci a v naprosté většině o regionální linky, které zajišťují dopravní obsluhu mezilehlých obcí. Průměrná obsazenost u takovýchto linek je nižší, většinou mezi 20 – 25 cestujícími/bus. U dálkových relací a dálkových linek obecně se průměrná obsazenost spojů pohybuje ve vyšších číslech, mezi 30 – 40 cestujícími/bus. Dálkové linky však na hodnocené relaci mají spíše vedlejší roli.</w:t>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7360CE" w:rsidTr="00295848">
        <w:trPr>
          <w:trHeight w:hRule="exact" w:val="600"/>
        </w:trPr>
        <w:tc>
          <w:tcPr>
            <w:tcW w:w="9356" w:type="dxa"/>
            <w:vAlign w:val="center"/>
          </w:tcPr>
          <w:p w:rsidR="007360CE" w:rsidRPr="00714409" w:rsidRDefault="007360CE" w:rsidP="002E5756">
            <w:pPr>
              <w:pStyle w:val="Titulek"/>
              <w:tabs>
                <w:tab w:val="clear" w:pos="993"/>
                <w:tab w:val="left" w:pos="1206"/>
              </w:tabs>
              <w:ind w:left="1206" w:hanging="1206"/>
            </w:pPr>
            <w:bookmarkStart w:id="212" w:name="_Toc390958844"/>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18</w:t>
            </w:r>
            <w:r w:rsidR="00AC5CDF" w:rsidRPr="00714409">
              <w:fldChar w:fldCharType="end"/>
            </w:r>
            <w:r w:rsidRPr="00714409">
              <w:t>: Přibližné počty cestujících na autobusových linkách mezi Pardubicemi a HK v jednotlivých hodinách pracovního dne</w:t>
            </w:r>
            <w:bookmarkEnd w:id="212"/>
          </w:p>
        </w:tc>
      </w:tr>
      <w:tr w:rsidR="007360CE" w:rsidTr="00295848">
        <w:trPr>
          <w:trHeight w:val="4368"/>
        </w:trPr>
        <w:tc>
          <w:tcPr>
            <w:tcW w:w="9356" w:type="dxa"/>
            <w:vAlign w:val="center"/>
          </w:tcPr>
          <w:p w:rsidR="007360CE" w:rsidRDefault="004E4D1F" w:rsidP="00295848">
            <w:pPr>
              <w:keepNext/>
              <w:tabs>
                <w:tab w:val="left" w:pos="497"/>
              </w:tabs>
              <w:spacing w:before="20" w:after="20" w:line="240" w:lineRule="auto"/>
              <w:ind w:right="116"/>
              <w:jc w:val="center"/>
              <w:rPr>
                <w:i/>
                <w:iCs/>
                <w:sz w:val="16"/>
              </w:rPr>
            </w:pPr>
            <w:r>
              <w:rPr>
                <w:i/>
                <w:iCs/>
                <w:noProof/>
                <w:sz w:val="16"/>
                <w:lang w:eastAsia="cs-CZ"/>
              </w:rPr>
              <w:drawing>
                <wp:inline distT="0" distB="0" distL="0" distR="0" wp14:anchorId="6F464AF4" wp14:editId="76B66128">
                  <wp:extent cx="5557962" cy="3312824"/>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561110" cy="3314700"/>
                          </a:xfrm>
                          <a:prstGeom prst="rect">
                            <a:avLst/>
                          </a:prstGeom>
                          <a:noFill/>
                        </pic:spPr>
                      </pic:pic>
                    </a:graphicData>
                  </a:graphic>
                </wp:inline>
              </w:drawing>
            </w:r>
          </w:p>
        </w:tc>
      </w:tr>
    </w:tbl>
    <w:p w:rsidR="007360CE" w:rsidRDefault="003B3235" w:rsidP="007360CE">
      <w:r>
        <w:t xml:space="preserve">Dle těchto přibližných výpočtu přepraví autobusy mezi oběma městy odhadem 2600 cestujících </w:t>
      </w:r>
      <w:r w:rsidR="00B664EA">
        <w:t>denně, v nejzatíženější</w:t>
      </w:r>
      <w:r w:rsidR="005E4A74">
        <w:t xml:space="preserve"> špičkové hodině (mezi 7 – 8 hodinou ranní) je </w:t>
      </w:r>
      <w:r w:rsidR="00B664EA">
        <w:t xml:space="preserve">to </w:t>
      </w:r>
      <w:r w:rsidR="005E4A74">
        <w:t>přibližně 350 cestujících, což tvoří cca 13,5 % z celodenní intenzity.</w:t>
      </w:r>
    </w:p>
    <w:p w:rsidR="00225B27" w:rsidRDefault="00225B27" w:rsidP="00887E61">
      <w:pPr>
        <w:pStyle w:val="Nadpis3"/>
        <w:ind w:hanging="8234"/>
      </w:pPr>
      <w:bookmarkStart w:id="213" w:name="_Ref344989378"/>
      <w:r>
        <w:t>Výhledová poptávka</w:t>
      </w:r>
      <w:bookmarkEnd w:id="204"/>
      <w:r w:rsidR="00A04251">
        <w:t xml:space="preserve"> osobní dopravy</w:t>
      </w:r>
      <w:bookmarkEnd w:id="210"/>
      <w:bookmarkEnd w:id="213"/>
    </w:p>
    <w:p w:rsidR="00A04251" w:rsidRDefault="00A04251" w:rsidP="00A04251">
      <w:bookmarkStart w:id="214" w:name="_Ref236733945"/>
      <w:r>
        <w:t xml:space="preserve">Prognóza přepravní poptávky byla zpracována pro každou variantu zvlášť. Délka hodnotícího období je v souladu s ekonomickým hodnocením stanovena na 30 let od prvního roku výstavby - počátečním rokem prognózy je rok 2014, posledním pak rok 2043. V roce 2014 se zahajuje první hodnocená stavba – Zdvoukolejnění úseku Stéblová – Opatovice n. L, která by měla být uvedena do provozu od roku 2016. </w:t>
      </w:r>
      <w:r w:rsidR="00EF430C" w:rsidRPr="008166C7">
        <w:t xml:space="preserve">Realizace této stavby </w:t>
      </w:r>
      <w:r w:rsidR="008166C7" w:rsidRPr="00F5279A">
        <w:t>p</w:t>
      </w:r>
      <w:r w:rsidR="008166C7" w:rsidRPr="00F5279A">
        <w:rPr>
          <w:rFonts w:hint="eastAsia"/>
        </w:rPr>
        <w:t>ř</w:t>
      </w:r>
      <w:r w:rsidR="008166C7" w:rsidRPr="00F5279A">
        <w:t>edstavuje Etapu (var. Maximální)</w:t>
      </w:r>
      <w:r w:rsidR="00EF430C" w:rsidRPr="008166C7">
        <w:t xml:space="preserve">, </w:t>
      </w:r>
      <w:r w:rsidR="008166C7" w:rsidRPr="00F5279A">
        <w:t>která je v této studii rovn</w:t>
      </w:r>
      <w:r w:rsidR="008166C7" w:rsidRPr="00F5279A">
        <w:rPr>
          <w:rFonts w:hint="eastAsia"/>
        </w:rPr>
        <w:t>ěž</w:t>
      </w:r>
      <w:r w:rsidR="008166C7" w:rsidRPr="00F5279A">
        <w:t xml:space="preserve"> posouzena. Zbylé </w:t>
      </w:r>
      <w:r w:rsidR="00EF430C" w:rsidRPr="008166C7">
        <w:t>úseky</w:t>
      </w:r>
      <w:r w:rsidR="008166C7" w:rsidRPr="00F5279A">
        <w:t xml:space="preserve"> Pardubice – Stéblová a Opatovice n. L. – Hradec Králové</w:t>
      </w:r>
      <w:r w:rsidR="00EF430C" w:rsidRPr="008166C7">
        <w:t xml:space="preserve"> jsou </w:t>
      </w:r>
      <w:r w:rsidR="008166C7" w:rsidRPr="00F5279A">
        <w:t>v Etap</w:t>
      </w:r>
      <w:r w:rsidR="008166C7" w:rsidRPr="00F5279A">
        <w:rPr>
          <w:rFonts w:hint="eastAsia"/>
        </w:rPr>
        <w:t>ě</w:t>
      </w:r>
      <w:r w:rsidR="008166C7" w:rsidRPr="00F5279A">
        <w:t xml:space="preserve"> </w:t>
      </w:r>
      <w:r w:rsidR="00EF430C" w:rsidRPr="008166C7">
        <w:t>uvažovány stejn</w:t>
      </w:r>
      <w:r w:rsidR="00EF430C" w:rsidRPr="008166C7">
        <w:rPr>
          <w:rFonts w:hint="eastAsia"/>
        </w:rPr>
        <w:t>ě</w:t>
      </w:r>
      <w:r w:rsidR="00EF430C" w:rsidRPr="008166C7">
        <w:t xml:space="preserve"> jako ve var. Bez projektu. </w:t>
      </w:r>
      <w:r>
        <w:t xml:space="preserve"> </w:t>
      </w:r>
      <w:r w:rsidR="00F14B7A">
        <w:t xml:space="preserve">Ve </w:t>
      </w:r>
      <w:r>
        <w:t xml:space="preserve">variantě Maximální (kompletní zdvoukolejnění úseku H. Králové – Pardubice) </w:t>
      </w:r>
      <w:r w:rsidR="008166C7">
        <w:t>se předpokládá, že</w:t>
      </w:r>
      <w:r w:rsidR="00F14B7A">
        <w:t xml:space="preserve"> veškeré její stavby</w:t>
      </w:r>
      <w:r w:rsidR="008166C7">
        <w:t xml:space="preserve"> </w:t>
      </w:r>
      <w:r>
        <w:t>bud</w:t>
      </w:r>
      <w:r w:rsidR="008166C7">
        <w:t>ou</w:t>
      </w:r>
      <w:r>
        <w:t xml:space="preserve"> uveden</w:t>
      </w:r>
      <w:r w:rsidR="008166C7">
        <w:t>y</w:t>
      </w:r>
      <w:r>
        <w:t xml:space="preserve"> do provozu </w:t>
      </w:r>
      <w:r w:rsidR="00F14B7A">
        <w:t xml:space="preserve">nejpozději </w:t>
      </w:r>
      <w:r>
        <w:t>od roku 2022</w:t>
      </w:r>
      <w:r w:rsidR="00F14B7A">
        <w:t xml:space="preserve">, přičemž stavby týkající se zdvoukolejnění úseku Pardubice hl. n. – Pardubice-Rosice n. L. a rekonstrukce jižního zhlaví žst. Hradec Králové hl. n. budou uvedeny do provozu dříve </w:t>
      </w:r>
      <w:r w:rsidR="0032570E">
        <w:t>–</w:t>
      </w:r>
      <w:r w:rsidR="00F14B7A">
        <w:t xml:space="preserve"> </w:t>
      </w:r>
      <w:r w:rsidR="0032570E">
        <w:t>již od roku 2020</w:t>
      </w:r>
      <w:r>
        <w:t>.</w:t>
      </w:r>
    </w:p>
    <w:p w:rsidR="00A04251" w:rsidRDefault="00A04251" w:rsidP="00A04251">
      <w:r>
        <w:t xml:space="preserve">Pro výhledovou poptávku byly použity také další prognózy týkající se ekonomického a demografického vývoje sledované oblasti během hodnotícího období. Zásadní byla zejména prognóza Českého statistického úřadu (ČSÚ) týkající se vývoje počtu obyvatel ČR a příslušných krajů až do roku 2060. Pro potřeby této studie bylo počítáno se středovým scénářem této prognózy. Dalším předpokladem bylo postupné prorůstání Hradecké a Pardubické aglomerace ve vzdálenějším výhledu (viz. kap. </w:t>
      </w:r>
      <w:r w:rsidR="00AC5CDF">
        <w:fldChar w:fldCharType="begin"/>
      </w:r>
      <w:r>
        <w:instrText xml:space="preserve"> REF _Ref289179099 \r \h </w:instrText>
      </w:r>
      <w:r w:rsidR="00AC5CDF">
        <w:fldChar w:fldCharType="separate"/>
      </w:r>
      <w:r w:rsidR="003843F3">
        <w:t>5.2.2</w:t>
      </w:r>
      <w:r w:rsidR="00AC5CDF">
        <w:fldChar w:fldCharType="end"/>
      </w:r>
      <w:r>
        <w:t>).</w:t>
      </w:r>
    </w:p>
    <w:p w:rsidR="00A04251" w:rsidRDefault="00A04251" w:rsidP="00A04251">
      <w:r>
        <w:t xml:space="preserve">Výhledová poptávka po železniční dopravě ve </w:t>
      </w:r>
      <w:r w:rsidRPr="00F14B7A">
        <w:t>všech sledovaných</w:t>
      </w:r>
      <w:r>
        <w:t xml:space="preserve"> variantách</w:t>
      </w:r>
      <w:r w:rsidR="008166C7">
        <w:t xml:space="preserve"> i jejich etapách</w:t>
      </w:r>
      <w:r>
        <w:t xml:space="preserve"> bude určitým způsobem ovlivněna i rozvojem silniční infrastruktury v řešené oblasti. Jedná se zejména o navýšení kapacity komunikace I/37 a další výstavba komunikace D11/R11, které zvýší atraktivitu silniční dopravy.</w:t>
      </w:r>
    </w:p>
    <w:p w:rsidR="00463A64" w:rsidRDefault="00A04251" w:rsidP="00A04251">
      <w:r w:rsidRPr="00F14B7A">
        <w:t xml:space="preserve">Všechny projektové varianty </w:t>
      </w:r>
      <w:r w:rsidR="008166C7" w:rsidRPr="00F5279A">
        <w:t xml:space="preserve">i jejich etapy </w:t>
      </w:r>
      <w:r w:rsidRPr="00F14B7A">
        <w:t>(vyjma varianty Minimální)</w:t>
      </w:r>
      <w:r>
        <w:t xml:space="preserve"> předpokládají určité zkrácení cestovních dob mezi oběma krajskými městy (</w:t>
      </w:r>
      <w:r w:rsidRPr="00F14B7A">
        <w:t>dle varianty a druhu vlaku v rozmezí 3 – 5 min</w:t>
      </w:r>
      <w:r>
        <w:t xml:space="preserve">). Nicméně jako rozhodující faktor pro nárůst přepravních proudů se ukázalo navýšení dopravní nabídky na základě požadavků společnosti OREDO, </w:t>
      </w:r>
      <w:r w:rsidRPr="00F14B7A">
        <w:t>a to</w:t>
      </w:r>
      <w:r w:rsidR="00E514ED" w:rsidRPr="00F14B7A">
        <w:t xml:space="preserve"> o 29% v</w:t>
      </w:r>
      <w:r w:rsidR="008166C7" w:rsidRPr="00F5279A">
        <w:t> Etap</w:t>
      </w:r>
      <w:r w:rsidR="008166C7" w:rsidRPr="00F5279A">
        <w:rPr>
          <w:rFonts w:hint="eastAsia"/>
        </w:rPr>
        <w:t>ě</w:t>
      </w:r>
      <w:r w:rsidR="008166C7" w:rsidRPr="00F5279A">
        <w:t xml:space="preserve"> </w:t>
      </w:r>
      <w:r w:rsidR="00E514ED" w:rsidRPr="008166C7">
        <w:t>(nár</w:t>
      </w:r>
      <w:r w:rsidR="00E514ED" w:rsidRPr="008166C7">
        <w:rPr>
          <w:rFonts w:hint="eastAsia"/>
        </w:rPr>
        <w:t>ů</w:t>
      </w:r>
      <w:r w:rsidR="00E514ED" w:rsidRPr="008166C7">
        <w:t xml:space="preserve">st z dnešních </w:t>
      </w:r>
      <w:r w:rsidR="008166C7">
        <w:t>81</w:t>
      </w:r>
      <w:r w:rsidR="008166C7" w:rsidRPr="00F14B7A">
        <w:t xml:space="preserve"> </w:t>
      </w:r>
      <w:r w:rsidR="00E514ED" w:rsidRPr="00F14B7A">
        <w:t xml:space="preserve">na </w:t>
      </w:r>
      <w:r w:rsidR="008166C7">
        <w:t>98</w:t>
      </w:r>
      <w:r w:rsidR="008166C7" w:rsidRPr="00F14B7A">
        <w:t xml:space="preserve"> </w:t>
      </w:r>
      <w:r w:rsidR="00E514ED" w:rsidRPr="00F14B7A">
        <w:t>vlak</w:t>
      </w:r>
      <w:r w:rsidR="00E514ED" w:rsidRPr="00F14B7A">
        <w:rPr>
          <w:rFonts w:hint="eastAsia"/>
        </w:rPr>
        <w:t>ů</w:t>
      </w:r>
      <w:r w:rsidR="00E514ED" w:rsidRPr="0032570E">
        <w:t xml:space="preserve"> za den),</w:t>
      </w:r>
      <w:r w:rsidR="00E514ED">
        <w:t xml:space="preserve"> resp. až</w:t>
      </w:r>
      <w:r>
        <w:t xml:space="preserve"> </w:t>
      </w:r>
      <w:r w:rsidR="000053B8">
        <w:t xml:space="preserve">o </w:t>
      </w:r>
      <w:r>
        <w:t>70%</w:t>
      </w:r>
      <w:r w:rsidR="00E514ED">
        <w:t xml:space="preserve"> ve var. Maximální</w:t>
      </w:r>
      <w:r>
        <w:t xml:space="preserve"> (</w:t>
      </w:r>
      <w:r w:rsidR="00E514ED">
        <w:t>134 vlaků za den)</w:t>
      </w:r>
      <w:r>
        <w:t>. Navíc většina nově zavedených vlaků budou rychlé spoje</w:t>
      </w:r>
      <w:r w:rsidR="000053B8">
        <w:t xml:space="preserve"> s atraktivní jízdní dobou,</w:t>
      </w:r>
      <w:r>
        <w:t xml:space="preserve"> které mezi oběma krajskými městy zastaví pouze v žst. Pardubice-Rosice n. L., což bude vyhovovat naprosté většině cestujících na tomto úseku.</w:t>
      </w:r>
      <w:r w:rsidR="00463A64" w:rsidRPr="00463A64">
        <w:t xml:space="preserve"> </w:t>
      </w:r>
    </w:p>
    <w:p w:rsidR="00FE257E" w:rsidRPr="00FE257E" w:rsidRDefault="009F038E" w:rsidP="00B04400">
      <w:pPr>
        <w:rPr>
          <w:sz w:val="10"/>
          <w:szCs w:val="10"/>
        </w:rPr>
      </w:pPr>
      <w:r>
        <w:t>Na následujících obrázcích jsou zobrazeny zátěžové kartogramy jednotlivých variant z použitého dopravního modelu. Číselné hodnoty vyjadřují počet cestujících za den k přibližnému časovému horizontu roku 202</w:t>
      </w:r>
      <w:r w:rsidR="007D0F0F">
        <w:t>5</w:t>
      </w:r>
      <w:r>
        <w:t>.</w:t>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9F038E" w:rsidTr="00295848">
        <w:trPr>
          <w:trHeight w:hRule="exact" w:val="286"/>
        </w:trPr>
        <w:tc>
          <w:tcPr>
            <w:tcW w:w="9356" w:type="dxa"/>
            <w:vAlign w:val="center"/>
          </w:tcPr>
          <w:p w:rsidR="009F038E" w:rsidRPr="00714409" w:rsidRDefault="009F038E" w:rsidP="00B04400">
            <w:pPr>
              <w:pStyle w:val="Titulek"/>
            </w:pPr>
            <w:bookmarkStart w:id="215" w:name="_Toc390958845"/>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19</w:t>
            </w:r>
            <w:r w:rsidR="00AC5CDF" w:rsidRPr="00714409">
              <w:fldChar w:fldCharType="end"/>
            </w:r>
            <w:r w:rsidRPr="00714409">
              <w:t>: Zátěžový kartogram – var. Bez projektu a Minimální (cestujících/den)</w:t>
            </w:r>
            <w:bookmarkEnd w:id="215"/>
          </w:p>
        </w:tc>
      </w:tr>
      <w:tr w:rsidR="009F038E" w:rsidTr="00295848">
        <w:trPr>
          <w:trHeight w:val="3772"/>
        </w:trPr>
        <w:tc>
          <w:tcPr>
            <w:tcW w:w="9356" w:type="dxa"/>
            <w:vAlign w:val="center"/>
          </w:tcPr>
          <w:p w:rsidR="009F038E" w:rsidRDefault="006819BA" w:rsidP="007D0F0F">
            <w:pPr>
              <w:keepNext/>
              <w:tabs>
                <w:tab w:val="left" w:pos="497"/>
              </w:tabs>
              <w:spacing w:before="20" w:after="20" w:line="240" w:lineRule="auto"/>
              <w:jc w:val="center"/>
              <w:rPr>
                <w:i/>
                <w:iCs/>
                <w:sz w:val="16"/>
              </w:rPr>
            </w:pPr>
            <w:r>
              <w:rPr>
                <w:noProof/>
                <w:lang w:eastAsia="cs-CZ"/>
              </w:rPr>
              <w:drawing>
                <wp:inline distT="0" distB="0" distL="0" distR="0" wp14:anchorId="4DBA38BC" wp14:editId="7C1F7237">
                  <wp:extent cx="5798300" cy="2274073"/>
                  <wp:effectExtent l="0" t="0" r="0" b="0"/>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stretch>
                            <a:fillRect/>
                          </a:stretch>
                        </pic:blipFill>
                        <pic:spPr>
                          <a:xfrm>
                            <a:off x="0" y="0"/>
                            <a:ext cx="5799640" cy="2274599"/>
                          </a:xfrm>
                          <a:prstGeom prst="rect">
                            <a:avLst/>
                          </a:prstGeom>
                        </pic:spPr>
                      </pic:pic>
                    </a:graphicData>
                  </a:graphic>
                </wp:inline>
              </w:drawing>
            </w:r>
            <w:r w:rsidR="000E79AE">
              <w:rPr>
                <w:i/>
                <w:iCs/>
                <w:noProof/>
                <w:sz w:val="16"/>
                <w:lang w:eastAsia="cs-CZ"/>
              </w:rPr>
              <w:pict>
                <v:shape id="_x0000_s1152" type="#_x0000_t75" style="position:absolute;left:0;text-align:left;margin-left:7.45pt;margin-top:154.5pt;width:60.55pt;height:19.45pt;z-index:251663872;mso-position-horizontal-relative:text;mso-position-vertical-relative:text" filled="t">
                  <v:imagedata r:id="rId20" o:title=""/>
                </v:shape>
                <o:OLEObject Type="Embed" ProgID="CorelDRAW.Graphic.12" ShapeID="_x0000_s1152" DrawAspect="Content" ObjectID="_1464784070" r:id="rId83"/>
              </w:pict>
            </w:r>
          </w:p>
        </w:tc>
      </w:tr>
    </w:tbl>
    <w:p w:rsidR="009F038E" w:rsidRDefault="009F038E" w:rsidP="00EF430C">
      <w:pPr>
        <w:spacing w:before="0" w:after="0"/>
      </w:pPr>
    </w:p>
    <w:p w:rsidR="00B04400" w:rsidRDefault="00B04400">
      <w:r>
        <w:rPr>
          <w:b/>
        </w:rPr>
        <w:br w:type="page"/>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FB2425" w:rsidRPr="00FB2425" w:rsidTr="00295848">
        <w:trPr>
          <w:trHeight w:hRule="exact" w:val="286"/>
        </w:trPr>
        <w:tc>
          <w:tcPr>
            <w:tcW w:w="9356" w:type="dxa"/>
            <w:vAlign w:val="center"/>
          </w:tcPr>
          <w:p w:rsidR="00463A64" w:rsidRPr="00FB2425" w:rsidRDefault="00463A64" w:rsidP="00B04400">
            <w:pPr>
              <w:pStyle w:val="Titulek"/>
              <w:rPr>
                <w:color w:val="FF0000"/>
                <w:highlight w:val="yellow"/>
              </w:rPr>
            </w:pPr>
            <w:bookmarkStart w:id="216" w:name="_Toc390958846"/>
            <w:r w:rsidRPr="00E514ED">
              <w:t xml:space="preserve">Obr. </w:t>
            </w:r>
            <w:r w:rsidR="00AC5CDF" w:rsidRPr="00E514ED">
              <w:fldChar w:fldCharType="begin"/>
            </w:r>
            <w:r w:rsidRPr="00E514ED">
              <w:instrText xml:space="preserve"> STYLEREF 1 \s </w:instrText>
            </w:r>
            <w:r w:rsidR="00AC5CDF" w:rsidRPr="00E514ED">
              <w:fldChar w:fldCharType="separate"/>
            </w:r>
            <w:r w:rsidR="003843F3">
              <w:rPr>
                <w:noProof/>
              </w:rPr>
              <w:t>5</w:t>
            </w:r>
            <w:r w:rsidR="00AC5CDF" w:rsidRPr="00E514ED">
              <w:fldChar w:fldCharType="end"/>
            </w:r>
            <w:r w:rsidRPr="00E514ED">
              <w:noBreakHyphen/>
            </w:r>
            <w:r w:rsidR="00AC5CDF" w:rsidRPr="00E514ED">
              <w:fldChar w:fldCharType="begin"/>
            </w:r>
            <w:r w:rsidRPr="00E514ED">
              <w:instrText xml:space="preserve"> SEQ Obr. \* ARABIC \s 1 </w:instrText>
            </w:r>
            <w:r w:rsidR="00AC5CDF" w:rsidRPr="00E514ED">
              <w:fldChar w:fldCharType="separate"/>
            </w:r>
            <w:r w:rsidR="003843F3">
              <w:rPr>
                <w:noProof/>
              </w:rPr>
              <w:t>20</w:t>
            </w:r>
            <w:r w:rsidR="00AC5CDF" w:rsidRPr="00E514ED">
              <w:fldChar w:fldCharType="end"/>
            </w:r>
            <w:r w:rsidRPr="00E514ED">
              <w:t xml:space="preserve">: </w:t>
            </w:r>
            <w:r w:rsidRPr="006C2203">
              <w:t>Zát</w:t>
            </w:r>
            <w:r w:rsidRPr="006C2203">
              <w:rPr>
                <w:rFonts w:hint="eastAsia"/>
              </w:rPr>
              <w:t>ěž</w:t>
            </w:r>
            <w:r w:rsidRPr="006C2203">
              <w:t xml:space="preserve">ový kartogram – </w:t>
            </w:r>
            <w:r w:rsidR="006C2203" w:rsidRPr="006C2203">
              <w:t>Etapa</w:t>
            </w:r>
            <w:r w:rsidR="009F038E" w:rsidRPr="006C2203">
              <w:t xml:space="preserve"> </w:t>
            </w:r>
            <w:r w:rsidRPr="006C2203">
              <w:t>(cestujících/den)</w:t>
            </w:r>
            <w:bookmarkEnd w:id="216"/>
          </w:p>
        </w:tc>
      </w:tr>
      <w:tr w:rsidR="00FB2425" w:rsidRPr="00FB2425" w:rsidTr="00295848">
        <w:trPr>
          <w:trHeight w:val="3772"/>
        </w:trPr>
        <w:tc>
          <w:tcPr>
            <w:tcW w:w="9356" w:type="dxa"/>
            <w:vAlign w:val="center"/>
          </w:tcPr>
          <w:p w:rsidR="00463A64" w:rsidRPr="00FB2425" w:rsidRDefault="006819BA" w:rsidP="007D0F0F">
            <w:pPr>
              <w:keepNext/>
              <w:tabs>
                <w:tab w:val="left" w:pos="497"/>
              </w:tabs>
              <w:spacing w:before="20" w:after="20" w:line="240" w:lineRule="auto"/>
              <w:jc w:val="center"/>
              <w:rPr>
                <w:i/>
                <w:iCs/>
                <w:color w:val="FF0000"/>
                <w:sz w:val="16"/>
              </w:rPr>
            </w:pPr>
            <w:r>
              <w:rPr>
                <w:noProof/>
                <w:lang w:eastAsia="cs-CZ"/>
              </w:rPr>
              <w:drawing>
                <wp:inline distT="0" distB="0" distL="0" distR="0" wp14:anchorId="5D6D93BA" wp14:editId="4FC9280D">
                  <wp:extent cx="5804452" cy="2269081"/>
                  <wp:effectExtent l="0" t="0" r="0"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cstate="print"/>
                          <a:stretch>
                            <a:fillRect/>
                          </a:stretch>
                        </pic:blipFill>
                        <pic:spPr>
                          <a:xfrm>
                            <a:off x="0" y="0"/>
                            <a:ext cx="5805793" cy="2269605"/>
                          </a:xfrm>
                          <a:prstGeom prst="rect">
                            <a:avLst/>
                          </a:prstGeom>
                        </pic:spPr>
                      </pic:pic>
                    </a:graphicData>
                  </a:graphic>
                </wp:inline>
              </w:drawing>
            </w:r>
            <w:r w:rsidR="000E79AE">
              <w:rPr>
                <w:i/>
                <w:iCs/>
                <w:noProof/>
                <w:color w:val="FF0000"/>
                <w:sz w:val="16"/>
                <w:highlight w:val="yellow"/>
                <w:lang w:eastAsia="cs-CZ"/>
              </w:rPr>
              <w:pict>
                <v:shape id="_x0000_s1139" type="#_x0000_t75" style="position:absolute;left:0;text-align:left;margin-left:7.45pt;margin-top:154.5pt;width:60.55pt;height:19.45pt;z-index:251661824;mso-position-horizontal-relative:text;mso-position-vertical-relative:text" filled="t">
                  <v:imagedata r:id="rId20" o:title=""/>
                </v:shape>
                <o:OLEObject Type="Embed" ProgID="CorelDRAW.Graphic.12" ShapeID="_x0000_s1139" DrawAspect="Content" ObjectID="_1464784071" r:id="rId85"/>
              </w:pict>
            </w:r>
          </w:p>
        </w:tc>
      </w:tr>
    </w:tbl>
    <w:p w:rsidR="009F038E" w:rsidRDefault="009F038E" w:rsidP="00EF430C">
      <w:pPr>
        <w:spacing w:before="0" w:after="0"/>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9F038E" w:rsidTr="00295848">
        <w:trPr>
          <w:trHeight w:hRule="exact" w:val="286"/>
        </w:trPr>
        <w:tc>
          <w:tcPr>
            <w:tcW w:w="9356" w:type="dxa"/>
            <w:vAlign w:val="center"/>
          </w:tcPr>
          <w:p w:rsidR="009F038E" w:rsidRPr="00714409" w:rsidRDefault="009F038E" w:rsidP="00B04400">
            <w:pPr>
              <w:pStyle w:val="Titulek"/>
            </w:pPr>
            <w:bookmarkStart w:id="217" w:name="_Toc390958847"/>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21</w:t>
            </w:r>
            <w:r w:rsidR="00AC5CDF" w:rsidRPr="00714409">
              <w:fldChar w:fldCharType="end"/>
            </w:r>
            <w:r w:rsidRPr="00714409">
              <w:t>: Zátěžový kartogram – var. Maximální (cestujících/den)</w:t>
            </w:r>
            <w:bookmarkEnd w:id="217"/>
          </w:p>
        </w:tc>
      </w:tr>
      <w:tr w:rsidR="009F038E" w:rsidTr="00295848">
        <w:trPr>
          <w:trHeight w:val="3772"/>
        </w:trPr>
        <w:tc>
          <w:tcPr>
            <w:tcW w:w="9356" w:type="dxa"/>
            <w:vAlign w:val="center"/>
          </w:tcPr>
          <w:p w:rsidR="009F038E" w:rsidRDefault="006819BA" w:rsidP="007D0F0F">
            <w:pPr>
              <w:keepNext/>
              <w:tabs>
                <w:tab w:val="left" w:pos="497"/>
              </w:tabs>
              <w:spacing w:before="20" w:after="20" w:line="240" w:lineRule="auto"/>
              <w:jc w:val="center"/>
              <w:rPr>
                <w:i/>
                <w:iCs/>
                <w:sz w:val="16"/>
              </w:rPr>
            </w:pPr>
            <w:r>
              <w:rPr>
                <w:noProof/>
                <w:lang w:eastAsia="cs-CZ"/>
              </w:rPr>
              <w:drawing>
                <wp:inline distT="0" distB="0" distL="0" distR="0" wp14:anchorId="7312609F" wp14:editId="2311B52A">
                  <wp:extent cx="5764695" cy="2253539"/>
                  <wp:effectExtent l="0" t="0" r="0"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cstate="print"/>
                          <a:stretch>
                            <a:fillRect/>
                          </a:stretch>
                        </pic:blipFill>
                        <pic:spPr>
                          <a:xfrm>
                            <a:off x="0" y="0"/>
                            <a:ext cx="5769131" cy="2255273"/>
                          </a:xfrm>
                          <a:prstGeom prst="rect">
                            <a:avLst/>
                          </a:prstGeom>
                        </pic:spPr>
                      </pic:pic>
                    </a:graphicData>
                  </a:graphic>
                </wp:inline>
              </w:drawing>
            </w:r>
            <w:r w:rsidR="000E79AE">
              <w:rPr>
                <w:i/>
                <w:iCs/>
                <w:noProof/>
                <w:sz w:val="16"/>
                <w:lang w:eastAsia="cs-CZ"/>
              </w:rPr>
              <w:pict>
                <v:shape id="_x0000_s1153" type="#_x0000_t75" style="position:absolute;left:0;text-align:left;margin-left:7.45pt;margin-top:154.5pt;width:60.55pt;height:19.45pt;z-index:251664896;mso-position-horizontal-relative:text;mso-position-vertical-relative:text" filled="t">
                  <v:imagedata r:id="rId20" o:title=""/>
                </v:shape>
                <o:OLEObject Type="Embed" ProgID="CorelDRAW.Graphic.12" ShapeID="_x0000_s1153" DrawAspect="Content" ObjectID="_1464784072" r:id="rId87"/>
              </w:pict>
            </w:r>
          </w:p>
        </w:tc>
      </w:tr>
    </w:tbl>
    <w:p w:rsidR="00594EA0" w:rsidRDefault="00594EA0" w:rsidP="00A04251">
      <w:r>
        <w:t xml:space="preserve">Vyjádření nerovnoměrnosti poptávky </w:t>
      </w:r>
      <w:r w:rsidR="00B664EA">
        <w:t xml:space="preserve">na železnici </w:t>
      </w:r>
      <w:r>
        <w:t xml:space="preserve">během pracovního dne ve všech variantách je znázorněno na následujícím grafu. Uvedené rozdělení intenzit vychází z výsledků </w:t>
      </w:r>
      <w:r w:rsidRPr="00594EA0">
        <w:t xml:space="preserve">několika průzkumů poptávky </w:t>
      </w:r>
      <w:r>
        <w:t xml:space="preserve">u jiných měst v ČR, které byly </w:t>
      </w:r>
      <w:r w:rsidRPr="00594EA0">
        <w:t>přizpůsob</w:t>
      </w:r>
      <w:r>
        <w:t>eny</w:t>
      </w:r>
      <w:r w:rsidRPr="00594EA0">
        <w:t xml:space="preserve"> lokální</w:t>
      </w:r>
      <w:r>
        <w:t>m</w:t>
      </w:r>
      <w:r w:rsidRPr="00594EA0">
        <w:t xml:space="preserve"> podmínk</w:t>
      </w:r>
      <w:r>
        <w:t xml:space="preserve">ám </w:t>
      </w:r>
      <w:r w:rsidRPr="00594EA0">
        <w:t>oblasti mezi Hradcem Králov</w:t>
      </w:r>
      <w:r>
        <w:t>é a Pardubicemi, jako je vyrovnanost poptávky v obou dvou směrech, nebo dominance regionální dopravy. Výsledky průzkumů jsou obvykle členěny na regionální a dálkovou dopravu. V případě relace Hradec Králové – Pardubice se jedná o typickou regionální relaci, čemuž odpovídá i velká většina cest v tomto úseku uskutečněných, byť tito cestující často využívají vlaky označované jako „dálkové“. Ryze dálkových relací (např. Pardubice – Liberec, Pardubice - Trutnov) se zde uskutečňuje poměrně málo. Z tohoto důvodu byly výsledky průzkumů pro regionální a dálkovou dopravu sloučeny do jednoho hodnoceného segmentu dopravy, a to regionální vs. dálková v poměru 5:2. Výsled</w:t>
      </w:r>
      <w:r w:rsidR="00A073FE">
        <w:t>ný průběh přepravního zatížení během pracovního dne je zobrazeno na následujícím grafu. N</w:t>
      </w:r>
      <w:r w:rsidRPr="00594EA0">
        <w:t>ejzatíženější hodin</w:t>
      </w:r>
      <w:r w:rsidR="00A073FE">
        <w:t>ou je</w:t>
      </w:r>
      <w:r w:rsidR="002C16FF">
        <w:t xml:space="preserve"> </w:t>
      </w:r>
      <w:r w:rsidRPr="00594EA0">
        <w:t>mezi 7-8 hodinou ranní</w:t>
      </w:r>
      <w:r w:rsidR="00A073FE">
        <w:t>, kdy</w:t>
      </w:r>
      <w:r w:rsidRPr="00594EA0">
        <w:t xml:space="preserve"> je přepraveno přibližně </w:t>
      </w:r>
      <w:r>
        <w:t>10,3</w:t>
      </w:r>
      <w:r w:rsidRPr="00594EA0">
        <w:t xml:space="preserve">% cestujících z celého dne. </w:t>
      </w:r>
      <w:r>
        <w:t>Tyto</w:t>
      </w:r>
      <w:r w:rsidRPr="00594EA0">
        <w:t xml:space="preserve"> hodnoty </w:t>
      </w:r>
      <w:r>
        <w:t>platí pro oba směry dohromady, nicméně ve velmi obdobném poměru platí i pro každý směr zvlášť, neboť kvůli obdobné velikosti obou dvou krajských měst je poptávka v obou směrech ve všech denních dobách přibližně vyrovnaná.</w:t>
      </w:r>
    </w:p>
    <w:p w:rsidR="00B04400" w:rsidRDefault="00B04400">
      <w:bookmarkStart w:id="218" w:name="_Ref363741182"/>
      <w:r>
        <w:rPr>
          <w:b/>
        </w:rPr>
        <w:br w:type="page"/>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A073FE" w:rsidTr="00295848">
        <w:trPr>
          <w:trHeight w:hRule="exact" w:val="286"/>
        </w:trPr>
        <w:tc>
          <w:tcPr>
            <w:tcW w:w="9356" w:type="dxa"/>
            <w:vAlign w:val="center"/>
          </w:tcPr>
          <w:p w:rsidR="00A073FE" w:rsidRPr="00714409" w:rsidRDefault="00A073FE" w:rsidP="00B04400">
            <w:pPr>
              <w:pStyle w:val="Titulek"/>
            </w:pPr>
            <w:bookmarkStart w:id="219" w:name="_Toc390958848"/>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22</w:t>
            </w:r>
            <w:r w:rsidR="00AC5CDF" w:rsidRPr="00714409">
              <w:fldChar w:fldCharType="end"/>
            </w:r>
            <w:r w:rsidRPr="00714409">
              <w:t>: Průběh</w:t>
            </w:r>
            <w:r>
              <w:t xml:space="preserve"> poptávky během pracovního dne </w:t>
            </w:r>
            <w:r w:rsidRPr="00714409">
              <w:t>(</w:t>
            </w:r>
            <w:r>
              <w:t>% celodenního přepravního proudu</w:t>
            </w:r>
            <w:r w:rsidRPr="00714409">
              <w:t>/h)</w:t>
            </w:r>
            <w:bookmarkEnd w:id="218"/>
            <w:bookmarkEnd w:id="219"/>
          </w:p>
        </w:tc>
      </w:tr>
      <w:tr w:rsidR="00A073FE" w:rsidTr="00295848">
        <w:trPr>
          <w:trHeight w:val="3772"/>
        </w:trPr>
        <w:tc>
          <w:tcPr>
            <w:tcW w:w="9356" w:type="dxa"/>
            <w:vAlign w:val="center"/>
          </w:tcPr>
          <w:p w:rsidR="00A073FE" w:rsidRDefault="006712FA" w:rsidP="00373CE6">
            <w:pPr>
              <w:keepNext/>
              <w:tabs>
                <w:tab w:val="left" w:pos="497"/>
              </w:tabs>
              <w:spacing w:before="20" w:after="20" w:line="240" w:lineRule="auto"/>
              <w:jc w:val="center"/>
              <w:rPr>
                <w:i/>
                <w:iCs/>
                <w:sz w:val="16"/>
              </w:rPr>
            </w:pPr>
            <w:r w:rsidRPr="00462FC4">
              <w:rPr>
                <w:i/>
                <w:iCs/>
                <w:noProof/>
                <w:sz w:val="16"/>
                <w:lang w:eastAsia="cs-CZ"/>
              </w:rPr>
              <w:drawing>
                <wp:inline distT="0" distB="0" distL="0" distR="0" wp14:anchorId="795FDA68" wp14:editId="6D4AB2ED">
                  <wp:extent cx="4788000" cy="2596851"/>
                  <wp:effectExtent l="0" t="0" r="0" b="0"/>
                  <wp:docPr id="228" name="Obráze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788000" cy="2596851"/>
                          </a:xfrm>
                          <a:prstGeom prst="rect">
                            <a:avLst/>
                          </a:prstGeom>
                          <a:noFill/>
                        </pic:spPr>
                      </pic:pic>
                    </a:graphicData>
                  </a:graphic>
                </wp:inline>
              </w:drawing>
            </w:r>
          </w:p>
        </w:tc>
      </w:tr>
    </w:tbl>
    <w:p w:rsidR="00A073FE" w:rsidRDefault="00A073FE" w:rsidP="00A04251">
      <w:r>
        <w:t>Na následujícím grafu je zobrazen průběh přepravní poptávky během pracovního dne pro všechny hodnocené varianty.</w:t>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594EA0" w:rsidTr="00295848">
        <w:trPr>
          <w:trHeight w:hRule="exact" w:val="286"/>
        </w:trPr>
        <w:tc>
          <w:tcPr>
            <w:tcW w:w="9356" w:type="dxa"/>
            <w:vAlign w:val="center"/>
          </w:tcPr>
          <w:p w:rsidR="00594EA0" w:rsidRPr="00714409" w:rsidRDefault="00594EA0" w:rsidP="00B04400">
            <w:pPr>
              <w:pStyle w:val="Titulek"/>
            </w:pPr>
            <w:bookmarkStart w:id="220" w:name="_Ref334446849"/>
            <w:bookmarkStart w:id="221" w:name="_Ref334446856"/>
            <w:bookmarkStart w:id="222" w:name="_Toc390958849"/>
            <w:r w:rsidRPr="00F14B7A">
              <w:t xml:space="preserve">Obr. </w:t>
            </w:r>
            <w:r w:rsidR="00AC5CDF" w:rsidRPr="00EC146E">
              <w:fldChar w:fldCharType="begin"/>
            </w:r>
            <w:r w:rsidRPr="008166C7">
              <w:instrText xml:space="preserve"> STYLEREF 1 \s </w:instrText>
            </w:r>
            <w:r w:rsidR="00AC5CDF" w:rsidRPr="00EC146E">
              <w:fldChar w:fldCharType="separate"/>
            </w:r>
            <w:r w:rsidR="003843F3">
              <w:rPr>
                <w:noProof/>
              </w:rPr>
              <w:t>5</w:t>
            </w:r>
            <w:r w:rsidR="00AC5CDF" w:rsidRPr="00EC146E">
              <w:fldChar w:fldCharType="end"/>
            </w:r>
            <w:r w:rsidRPr="008166C7">
              <w:noBreakHyphen/>
            </w:r>
            <w:r w:rsidR="00AC5CDF" w:rsidRPr="000918FC">
              <w:fldChar w:fldCharType="begin"/>
            </w:r>
            <w:r w:rsidRPr="008166C7">
              <w:instrText xml:space="preserve"> SEQ Obr. \* ARABIC \s 1 </w:instrText>
            </w:r>
            <w:r w:rsidR="00AC5CDF" w:rsidRPr="000918FC">
              <w:fldChar w:fldCharType="separate"/>
            </w:r>
            <w:r w:rsidR="003843F3">
              <w:rPr>
                <w:noProof/>
              </w:rPr>
              <w:t>23</w:t>
            </w:r>
            <w:r w:rsidR="00AC5CDF" w:rsidRPr="000918FC">
              <w:fldChar w:fldCharType="end"/>
            </w:r>
            <w:r w:rsidRPr="008166C7">
              <w:t>: Pr</w:t>
            </w:r>
            <w:r w:rsidRPr="008166C7">
              <w:rPr>
                <w:rFonts w:hint="eastAsia"/>
              </w:rPr>
              <w:t>ů</w:t>
            </w:r>
            <w:r w:rsidRPr="008166C7">
              <w:t>b</w:t>
            </w:r>
            <w:r w:rsidRPr="008166C7">
              <w:rPr>
                <w:rFonts w:hint="eastAsia"/>
              </w:rPr>
              <w:t>ě</w:t>
            </w:r>
            <w:r w:rsidRPr="008166C7">
              <w:t>h poptávky b</w:t>
            </w:r>
            <w:r w:rsidRPr="008166C7">
              <w:rPr>
                <w:rFonts w:hint="eastAsia"/>
              </w:rPr>
              <w:t>ě</w:t>
            </w:r>
            <w:r w:rsidRPr="008166C7">
              <w:t>hem pracovního dne, rok 2025 (cestujících/h)</w:t>
            </w:r>
            <w:bookmarkEnd w:id="220"/>
            <w:bookmarkEnd w:id="221"/>
            <w:bookmarkEnd w:id="222"/>
          </w:p>
        </w:tc>
      </w:tr>
      <w:tr w:rsidR="00594EA0" w:rsidTr="00295848">
        <w:trPr>
          <w:trHeight w:val="3772"/>
        </w:trPr>
        <w:tc>
          <w:tcPr>
            <w:tcW w:w="9356" w:type="dxa"/>
            <w:vAlign w:val="center"/>
          </w:tcPr>
          <w:p w:rsidR="00594EA0" w:rsidRDefault="000E79AE" w:rsidP="00594EA0">
            <w:pPr>
              <w:keepNext/>
              <w:tabs>
                <w:tab w:val="left" w:pos="497"/>
              </w:tabs>
              <w:spacing w:before="20" w:after="20" w:line="240" w:lineRule="auto"/>
              <w:jc w:val="center"/>
              <w:rPr>
                <w:i/>
                <w:iCs/>
                <w:sz w:val="16"/>
              </w:rPr>
            </w:pPr>
            <w:r>
              <w:rPr>
                <w:i/>
                <w:iCs/>
                <w:noProof/>
                <w:sz w:val="16"/>
                <w:lang w:eastAsia="cs-CZ"/>
              </w:rPr>
              <w:pict>
                <v:shape id="_x0000_s1162" type="#_x0000_t75" style="position:absolute;left:0;text-align:left;margin-left:373.15pt;margin-top:188.6pt;width:52.6pt;height:16.9pt;z-index:251665920;mso-position-horizontal-relative:text;mso-position-vertical-relative:text" filled="t">
                  <v:imagedata r:id="rId20" o:title=""/>
                </v:shape>
                <o:OLEObject Type="Embed" ProgID="CorelDRAW.Graphic.12" ShapeID="_x0000_s1162" DrawAspect="Content" ObjectID="_1464784073" r:id="rId89"/>
              </w:pict>
            </w:r>
            <w:r w:rsidR="006C2203" w:rsidRPr="00F5279A">
              <w:rPr>
                <w:i/>
                <w:iCs/>
                <w:noProof/>
                <w:sz w:val="16"/>
                <w:lang w:eastAsia="cs-CZ"/>
              </w:rPr>
              <w:drawing>
                <wp:inline distT="0" distB="0" distL="0" distR="0" wp14:anchorId="65BF248F" wp14:editId="70EA6287">
                  <wp:extent cx="5310000" cy="2872800"/>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10000" cy="2872800"/>
                          </a:xfrm>
                          <a:prstGeom prst="rect">
                            <a:avLst/>
                          </a:prstGeom>
                          <a:noFill/>
                        </pic:spPr>
                      </pic:pic>
                    </a:graphicData>
                  </a:graphic>
                </wp:inline>
              </w:drawing>
            </w:r>
          </w:p>
        </w:tc>
      </w:tr>
    </w:tbl>
    <w:p w:rsidR="00A04251" w:rsidRDefault="00A04251" w:rsidP="00A04251">
      <w:r>
        <w:t xml:space="preserve">Graf vývoje přepravních výkonů </w:t>
      </w:r>
      <w:r w:rsidRPr="00F14B7A">
        <w:t xml:space="preserve">u </w:t>
      </w:r>
      <w:r w:rsidRPr="0032570E">
        <w:t>všech variant je</w:t>
      </w:r>
      <w:r w:rsidRPr="008166C7">
        <w:t xml:space="preserve"> p</w:t>
      </w:r>
      <w:r w:rsidRPr="008166C7">
        <w:rPr>
          <w:rFonts w:hint="eastAsia"/>
        </w:rPr>
        <w:t>ř</w:t>
      </w:r>
      <w:r w:rsidRPr="008166C7">
        <w:t>edstaven na následujícím obrázku. Nejlepších výkonových ukazatel</w:t>
      </w:r>
      <w:r w:rsidRPr="008166C7">
        <w:rPr>
          <w:rFonts w:hint="eastAsia"/>
        </w:rPr>
        <w:t>ů</w:t>
      </w:r>
      <w:r w:rsidRPr="008166C7">
        <w:t xml:space="preserve"> dosahuje varianta Maximální, kde nár</w:t>
      </w:r>
      <w:r w:rsidRPr="008166C7">
        <w:rPr>
          <w:rFonts w:hint="eastAsia"/>
        </w:rPr>
        <w:t>ů</w:t>
      </w:r>
      <w:r w:rsidRPr="008166C7">
        <w:t>st p</w:t>
      </w:r>
      <w:r w:rsidRPr="008166C7">
        <w:rPr>
          <w:rFonts w:hint="eastAsia"/>
        </w:rPr>
        <w:t>ř</w:t>
      </w:r>
      <w:r w:rsidRPr="008166C7">
        <w:t>epravních výkon</w:t>
      </w:r>
      <w:r w:rsidRPr="008166C7">
        <w:rPr>
          <w:rFonts w:hint="eastAsia"/>
        </w:rPr>
        <w:t>ů</w:t>
      </w:r>
      <w:r w:rsidRPr="008166C7">
        <w:t xml:space="preserve"> oproti variant</w:t>
      </w:r>
      <w:r w:rsidRPr="008166C7">
        <w:rPr>
          <w:rFonts w:hint="eastAsia"/>
        </w:rPr>
        <w:t>ě</w:t>
      </w:r>
      <w:r w:rsidRPr="008166C7">
        <w:t xml:space="preserve"> </w:t>
      </w:r>
      <w:r w:rsidR="008166C7" w:rsidRPr="00F5279A">
        <w:t>B</w:t>
      </w:r>
      <w:r w:rsidR="008166C7" w:rsidRPr="00F14B7A">
        <w:t xml:space="preserve">ez </w:t>
      </w:r>
      <w:r w:rsidRPr="0032570E">
        <w:t>projektu p</w:t>
      </w:r>
      <w:r w:rsidRPr="008166C7">
        <w:rPr>
          <w:rFonts w:hint="eastAsia"/>
        </w:rPr>
        <w:t>ř</w:t>
      </w:r>
      <w:r w:rsidRPr="008166C7">
        <w:t xml:space="preserve">edstavuje cca </w:t>
      </w:r>
      <w:r w:rsidR="00EF04CB" w:rsidRPr="008166C7">
        <w:t>32</w:t>
      </w:r>
      <w:r w:rsidRPr="008166C7">
        <w:t xml:space="preserve">%. </w:t>
      </w:r>
      <w:r w:rsidR="008166C7" w:rsidRPr="00F5279A">
        <w:t>Etapa (var. Maximální)</w:t>
      </w:r>
      <w:r w:rsidRPr="00F14B7A">
        <w:t>, která zdvoukolej</w:t>
      </w:r>
      <w:r w:rsidRPr="0032570E">
        <w:rPr>
          <w:rFonts w:hint="eastAsia"/>
        </w:rPr>
        <w:t>ň</w:t>
      </w:r>
      <w:r w:rsidRPr="008166C7">
        <w:t>uje pouze klí</w:t>
      </w:r>
      <w:r w:rsidRPr="008166C7">
        <w:rPr>
          <w:rFonts w:hint="eastAsia"/>
        </w:rPr>
        <w:t>č</w:t>
      </w:r>
      <w:r w:rsidRPr="008166C7">
        <w:t xml:space="preserve">ový </w:t>
      </w:r>
      <w:r w:rsidRPr="008166C7">
        <w:rPr>
          <w:rFonts w:hint="eastAsia"/>
        </w:rPr>
        <w:t>ú</w:t>
      </w:r>
      <w:r w:rsidRPr="008166C7">
        <w:t xml:space="preserve">sek Stéblová </w:t>
      </w:r>
      <w:r w:rsidRPr="008166C7">
        <w:rPr>
          <w:rFonts w:hint="eastAsia"/>
        </w:rPr>
        <w:t>–</w:t>
      </w:r>
      <w:r w:rsidRPr="008166C7">
        <w:t xml:space="preserve"> Opatovice n. L.</w:t>
      </w:r>
      <w:r w:rsidR="00EF04CB" w:rsidRPr="008166C7">
        <w:t>, p</w:t>
      </w:r>
      <w:r w:rsidR="00EF04CB" w:rsidRPr="008166C7">
        <w:rPr>
          <w:rFonts w:hint="eastAsia"/>
        </w:rPr>
        <w:t>ř</w:t>
      </w:r>
      <w:r w:rsidR="00EF04CB" w:rsidRPr="008166C7">
        <w:t>edstavuje nár</w:t>
      </w:r>
      <w:r w:rsidR="00EF04CB" w:rsidRPr="008166C7">
        <w:rPr>
          <w:rFonts w:hint="eastAsia"/>
        </w:rPr>
        <w:t>ů</w:t>
      </w:r>
      <w:r w:rsidR="00EF04CB" w:rsidRPr="008166C7">
        <w:t>st p</w:t>
      </w:r>
      <w:r w:rsidR="00EF04CB" w:rsidRPr="008166C7">
        <w:rPr>
          <w:rFonts w:hint="eastAsia"/>
        </w:rPr>
        <w:t>ř</w:t>
      </w:r>
      <w:r w:rsidR="00EF04CB" w:rsidRPr="008166C7">
        <w:t>epravních výkon</w:t>
      </w:r>
      <w:r w:rsidR="00EF04CB" w:rsidRPr="008166C7">
        <w:rPr>
          <w:rFonts w:hint="eastAsia"/>
        </w:rPr>
        <w:t>ů</w:t>
      </w:r>
      <w:r w:rsidR="00EF04CB" w:rsidRPr="008166C7">
        <w:t xml:space="preserve"> o cca 25% oproti var. Bez projektu.</w:t>
      </w:r>
      <w:r>
        <w:t xml:space="preserve"> Varianta Minimální vykazuje shodné přepravní proudy, jako varianta Bez projektu</w:t>
      </w:r>
      <w:r w:rsidR="00EF04CB">
        <w:t xml:space="preserve"> a tedy i shodné přepravní výkony</w:t>
      </w:r>
      <w:r>
        <w:t xml:space="preserve">. </w:t>
      </w:r>
    </w:p>
    <w:p w:rsidR="00B04400" w:rsidRDefault="00B04400">
      <w:bookmarkStart w:id="223" w:name="_Toc289345654"/>
      <w:r>
        <w:rPr>
          <w:b/>
        </w:rPr>
        <w:br w:type="page"/>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A04251" w:rsidTr="00295848">
        <w:trPr>
          <w:trHeight w:hRule="exact" w:val="286"/>
        </w:trPr>
        <w:tc>
          <w:tcPr>
            <w:tcW w:w="9356" w:type="dxa"/>
            <w:vAlign w:val="center"/>
          </w:tcPr>
          <w:p w:rsidR="00A04251" w:rsidRPr="00714409" w:rsidRDefault="00A04251" w:rsidP="00B04400">
            <w:pPr>
              <w:pStyle w:val="Titulek"/>
            </w:pPr>
            <w:bookmarkStart w:id="224" w:name="_Toc390958850"/>
            <w:r w:rsidRPr="00F14B7A">
              <w:t xml:space="preserve">Obr. </w:t>
            </w:r>
            <w:r w:rsidR="00AC5CDF" w:rsidRPr="00EC146E">
              <w:fldChar w:fldCharType="begin"/>
            </w:r>
            <w:r w:rsidRPr="008166C7">
              <w:instrText xml:space="preserve"> STYLEREF 1 \s </w:instrText>
            </w:r>
            <w:r w:rsidR="00AC5CDF" w:rsidRPr="00EC146E">
              <w:fldChar w:fldCharType="separate"/>
            </w:r>
            <w:r w:rsidR="003843F3">
              <w:rPr>
                <w:noProof/>
              </w:rPr>
              <w:t>5</w:t>
            </w:r>
            <w:r w:rsidR="00AC5CDF" w:rsidRPr="00EC146E">
              <w:fldChar w:fldCharType="end"/>
            </w:r>
            <w:r w:rsidRPr="008166C7">
              <w:noBreakHyphen/>
            </w:r>
            <w:r w:rsidR="00AC5CDF" w:rsidRPr="000918FC">
              <w:fldChar w:fldCharType="begin"/>
            </w:r>
            <w:r w:rsidRPr="008166C7">
              <w:instrText xml:space="preserve"> SEQ Obr. \* ARABIC \s 1 </w:instrText>
            </w:r>
            <w:r w:rsidR="00AC5CDF" w:rsidRPr="000918FC">
              <w:fldChar w:fldCharType="separate"/>
            </w:r>
            <w:r w:rsidR="003843F3">
              <w:rPr>
                <w:noProof/>
              </w:rPr>
              <w:t>24</w:t>
            </w:r>
            <w:r w:rsidR="00AC5CDF" w:rsidRPr="000918FC">
              <w:fldChar w:fldCharType="end"/>
            </w:r>
            <w:r w:rsidRPr="008166C7">
              <w:t>: P</w:t>
            </w:r>
            <w:r w:rsidRPr="008166C7">
              <w:rPr>
                <w:rFonts w:hint="eastAsia"/>
              </w:rPr>
              <w:t>ř</w:t>
            </w:r>
            <w:r w:rsidRPr="008166C7">
              <w:t xml:space="preserve">epravní výkony na relaci H. Králové </w:t>
            </w:r>
            <w:r w:rsidRPr="008166C7">
              <w:rPr>
                <w:rFonts w:hint="eastAsia"/>
              </w:rPr>
              <w:t>–</w:t>
            </w:r>
            <w:r w:rsidRPr="008166C7">
              <w:t xml:space="preserve"> Pardubice (os</w:t>
            </w:r>
            <w:r w:rsidR="00B72657" w:rsidRPr="008166C7">
              <w:t>.</w:t>
            </w:r>
            <w:r w:rsidRPr="008166C7">
              <w:t>km/rok)</w:t>
            </w:r>
            <w:bookmarkEnd w:id="223"/>
            <w:bookmarkEnd w:id="224"/>
          </w:p>
        </w:tc>
      </w:tr>
      <w:tr w:rsidR="00A04251" w:rsidTr="00295848">
        <w:trPr>
          <w:trHeight w:val="5160"/>
        </w:trPr>
        <w:tc>
          <w:tcPr>
            <w:tcW w:w="9356" w:type="dxa"/>
            <w:vAlign w:val="center"/>
          </w:tcPr>
          <w:p w:rsidR="00A04251" w:rsidRDefault="000E79AE" w:rsidP="00E71C25">
            <w:pPr>
              <w:keepNext/>
              <w:tabs>
                <w:tab w:val="left" w:pos="497"/>
              </w:tabs>
              <w:spacing w:before="20" w:after="20" w:line="240" w:lineRule="auto"/>
              <w:jc w:val="center"/>
              <w:rPr>
                <w:i/>
                <w:iCs/>
                <w:sz w:val="16"/>
              </w:rPr>
            </w:pPr>
            <w:r>
              <w:rPr>
                <w:i/>
                <w:iCs/>
                <w:noProof/>
                <w:sz w:val="16"/>
                <w:lang w:eastAsia="cs-CZ"/>
              </w:rPr>
              <w:pict>
                <v:shape id="_x0000_s1124" type="#_x0000_t75" style="position:absolute;left:0;text-align:left;margin-left:396.7pt;margin-top:225pt;width:60.55pt;height:19.45pt;z-index:251658752;mso-position-horizontal-relative:text;mso-position-vertical-relative:text" filled="t">
                  <v:imagedata r:id="rId20" o:title=""/>
                </v:shape>
                <o:OLEObject Type="Embed" ProgID="CorelDRAW.Graphic.12" ShapeID="_x0000_s1124" DrawAspect="Content" ObjectID="_1464784074" r:id="rId91"/>
              </w:pict>
            </w:r>
            <w:r w:rsidR="006C2203" w:rsidRPr="00F5279A">
              <w:rPr>
                <w:i/>
                <w:iCs/>
                <w:noProof/>
                <w:sz w:val="16"/>
                <w:lang w:eastAsia="cs-CZ"/>
              </w:rPr>
              <w:drawing>
                <wp:inline distT="0" distB="0" distL="0" distR="0" wp14:anchorId="6AD2DA6A" wp14:editId="3611FAA3">
                  <wp:extent cx="5828306" cy="3226952"/>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33472" cy="3229813"/>
                          </a:xfrm>
                          <a:prstGeom prst="rect">
                            <a:avLst/>
                          </a:prstGeom>
                          <a:noFill/>
                        </pic:spPr>
                      </pic:pic>
                    </a:graphicData>
                  </a:graphic>
                </wp:inline>
              </w:drawing>
            </w:r>
          </w:p>
        </w:tc>
      </w:tr>
    </w:tbl>
    <w:p w:rsidR="00684D27" w:rsidRDefault="00684D27" w:rsidP="00A04251">
      <w:r w:rsidRPr="00F14B7A">
        <w:t xml:space="preserve">Ve </w:t>
      </w:r>
      <w:r w:rsidR="008166C7" w:rsidRPr="008166C7">
        <w:t>variant</w:t>
      </w:r>
      <w:r w:rsidR="008166C7" w:rsidRPr="00F5279A">
        <w:rPr>
          <w:rFonts w:hint="eastAsia"/>
        </w:rPr>
        <w:t>ě</w:t>
      </w:r>
      <w:r w:rsidR="008166C7" w:rsidRPr="00F14B7A">
        <w:t xml:space="preserve"> </w:t>
      </w:r>
      <w:r w:rsidRPr="008166C7">
        <w:t>Maximální,</w:t>
      </w:r>
      <w:r>
        <w:t xml:space="preserve"> </w:t>
      </w:r>
      <w:r w:rsidR="008166C7" w:rsidRPr="00684D27">
        <w:t>kter</w:t>
      </w:r>
      <w:r w:rsidR="008166C7">
        <w:t>á</w:t>
      </w:r>
      <w:r w:rsidR="008166C7" w:rsidRPr="00684D27">
        <w:t xml:space="preserve"> zahrnuj</w:t>
      </w:r>
      <w:r w:rsidR="008166C7">
        <w:t>e</w:t>
      </w:r>
      <w:r w:rsidR="008166C7" w:rsidRPr="00684D27">
        <w:t xml:space="preserve"> </w:t>
      </w:r>
      <w:r w:rsidRPr="00684D27">
        <w:t xml:space="preserve">i zdvoukolejnění mezistaničního úseku Pardubice hlavní nádr. – Pardubice-Rosice nad Labem, </w:t>
      </w:r>
      <w:r>
        <w:t xml:space="preserve">dochází k určité </w:t>
      </w:r>
      <w:r w:rsidRPr="00684D27">
        <w:t>úspo</w:t>
      </w:r>
      <w:r>
        <w:t xml:space="preserve">ře </w:t>
      </w:r>
      <w:r w:rsidRPr="00684D27">
        <w:t>cestovních dob u vlaků chrudimského ramene. Tato úspora vzniká tím, že část vlaků, které nyní v</w:t>
      </w:r>
      <w:r w:rsidR="00B664EA">
        <w:t xml:space="preserve"> žst. </w:t>
      </w:r>
      <w:r w:rsidRPr="00684D27">
        <w:t>Pardubic</w:t>
      </w:r>
      <w:r w:rsidR="00B664EA">
        <w:t>e</w:t>
      </w:r>
      <w:r w:rsidRPr="00684D27">
        <w:t>-Rosic</w:t>
      </w:r>
      <w:r w:rsidR="00B664EA">
        <w:t>e</w:t>
      </w:r>
      <w:r w:rsidRPr="00684D27">
        <w:t xml:space="preserve"> nad Lab. čekají na uvolnění traťové koleje do Pardubic hl. nádr. nebo naopak musejí z Pardubic hl. nádr. odjet dříve</w:t>
      </w:r>
      <w:r w:rsidR="008166C7">
        <w:t>,</w:t>
      </w:r>
      <w:r w:rsidRPr="00684D27">
        <w:t xml:space="preserve"> než bude traťová kolej obsazena protivlakem, budou mít v novém stavu trasy položeny tak, že v Pardubicích-Rosicích nad Lab. bude délka pobytu rovna technologicky nutné době na úvrať. Bude záležet na tom, jak budou sestaveny vlakové skupiny, v části případů čekání zůstane. Obě traťové koleje mezi Pardubicemi hlavním nádr. a Pardubicemi-Rosicemi nad Lab. však budou banalizované, což navýší možnosti provážení vlaků. Výši časových úspor lze jen odhadnout. Pro tento účel projektant postupoval tak, že provedl rozbor grafikonu </w:t>
      </w:r>
      <w:r w:rsidR="00DA188F">
        <w:t>20</w:t>
      </w:r>
      <w:r w:rsidR="001A454B">
        <w:t>12/13</w:t>
      </w:r>
      <w:r w:rsidR="00DA188F">
        <w:t xml:space="preserve"> </w:t>
      </w:r>
      <w:r w:rsidRPr="00684D27">
        <w:t>a vyčíslil dobu pobytu každého vlaku tratě 238. Technologicky nutný čas na úvrať byl uvažován v délce 2,0 min, při vyvezení na konci vlaku směru Hradec Králové a odpojení 1,5 min. Po jejich odečtení zbývá potenciální časová úspora v úhrnné délce 226,5 min. Její praktická využitelnost byla odhadnuta na 60%, což přináší úsporu průměrně 2,56 min. na jeden vlak tratě 238.</w:t>
      </w:r>
      <w:r>
        <w:t xml:space="preserve"> Vyčíslená úspora má jen velmi nepatrný vliv na výši přepravních proudů. </w:t>
      </w:r>
      <w:r w:rsidRPr="00F14B7A">
        <w:t>Na základ</w:t>
      </w:r>
      <w:r w:rsidRPr="008166C7">
        <w:rPr>
          <w:rFonts w:hint="eastAsia"/>
        </w:rPr>
        <w:t>ě</w:t>
      </w:r>
      <w:r w:rsidRPr="008166C7">
        <w:t xml:space="preserve"> výpo</w:t>
      </w:r>
      <w:r w:rsidRPr="008166C7">
        <w:rPr>
          <w:rFonts w:hint="eastAsia"/>
        </w:rPr>
        <w:t>č</w:t>
      </w:r>
      <w:r w:rsidRPr="008166C7">
        <w:t>tu provedeného dopravním modelem pojede ve variant</w:t>
      </w:r>
      <w:r w:rsidR="008166C7" w:rsidRPr="00F5279A">
        <w:rPr>
          <w:rFonts w:hint="eastAsia"/>
        </w:rPr>
        <w:t>ě</w:t>
      </w:r>
      <w:r w:rsidRPr="008166C7">
        <w:t xml:space="preserve"> Maximální p</w:t>
      </w:r>
      <w:r w:rsidRPr="008166C7">
        <w:rPr>
          <w:rFonts w:hint="eastAsia"/>
        </w:rPr>
        <w:t>ř</w:t>
      </w:r>
      <w:r w:rsidRPr="008166C7">
        <w:t>ibližn</w:t>
      </w:r>
      <w:r w:rsidRPr="008166C7">
        <w:rPr>
          <w:rFonts w:hint="eastAsia"/>
        </w:rPr>
        <w:t>ě</w:t>
      </w:r>
      <w:r w:rsidRPr="008166C7">
        <w:t xml:space="preserve"> o 100 cestujících více, než-li ve var. Bez projektu</w:t>
      </w:r>
      <w:r w:rsidR="008166C7">
        <w:t>, Minimální nebo Etapě.</w:t>
      </w:r>
      <w:r>
        <w:t xml:space="preserve"> Celko</w:t>
      </w:r>
      <w:r w:rsidR="004D1B52">
        <w:t>v</w:t>
      </w:r>
      <w:r>
        <w:t xml:space="preserve">ý přepravní výkon na úseku Pardubice hl. n. – Chrudim je znázorněn na následujícícm grafu. </w:t>
      </w:r>
    </w:p>
    <w:p w:rsidR="00B04400" w:rsidRDefault="00B04400">
      <w:r>
        <w:rPr>
          <w:b/>
        </w:rPr>
        <w:br w:type="page"/>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684D27" w:rsidTr="00295848">
        <w:trPr>
          <w:trHeight w:hRule="exact" w:val="286"/>
        </w:trPr>
        <w:tc>
          <w:tcPr>
            <w:tcW w:w="9356" w:type="dxa"/>
            <w:vAlign w:val="center"/>
          </w:tcPr>
          <w:p w:rsidR="00684D27" w:rsidRPr="00714409" w:rsidRDefault="00684D27" w:rsidP="00B04400">
            <w:pPr>
              <w:pStyle w:val="Titulek"/>
            </w:pPr>
            <w:bookmarkStart w:id="225" w:name="_Toc390958851"/>
            <w:r w:rsidRPr="00F14B7A">
              <w:t xml:space="preserve">Obr. </w:t>
            </w:r>
            <w:r w:rsidR="00AC5CDF" w:rsidRPr="000918FC">
              <w:fldChar w:fldCharType="begin"/>
            </w:r>
            <w:r w:rsidRPr="008166C7">
              <w:instrText xml:space="preserve"> STYLEREF 1 \s </w:instrText>
            </w:r>
            <w:r w:rsidR="00AC5CDF" w:rsidRPr="000918FC">
              <w:fldChar w:fldCharType="separate"/>
            </w:r>
            <w:r w:rsidR="003843F3">
              <w:rPr>
                <w:noProof/>
              </w:rPr>
              <w:t>5</w:t>
            </w:r>
            <w:r w:rsidR="00AC5CDF" w:rsidRPr="000918FC">
              <w:fldChar w:fldCharType="end"/>
            </w:r>
            <w:r w:rsidRPr="008166C7">
              <w:noBreakHyphen/>
            </w:r>
            <w:r w:rsidR="00AC5CDF" w:rsidRPr="000918FC">
              <w:fldChar w:fldCharType="begin"/>
            </w:r>
            <w:r w:rsidRPr="008166C7">
              <w:instrText xml:space="preserve"> SEQ Obr. \* ARABIC \s 1 </w:instrText>
            </w:r>
            <w:r w:rsidR="00AC5CDF" w:rsidRPr="000918FC">
              <w:fldChar w:fldCharType="separate"/>
            </w:r>
            <w:r w:rsidR="003843F3">
              <w:rPr>
                <w:noProof/>
              </w:rPr>
              <w:t>25</w:t>
            </w:r>
            <w:r w:rsidR="00AC5CDF" w:rsidRPr="000918FC">
              <w:fldChar w:fldCharType="end"/>
            </w:r>
            <w:r w:rsidRPr="008166C7">
              <w:t>: P</w:t>
            </w:r>
            <w:r w:rsidRPr="008166C7">
              <w:rPr>
                <w:rFonts w:hint="eastAsia"/>
              </w:rPr>
              <w:t>ř</w:t>
            </w:r>
            <w:r w:rsidRPr="008166C7">
              <w:t xml:space="preserve">epravní výkony na relaci Pardubice </w:t>
            </w:r>
            <w:r w:rsidRPr="008166C7">
              <w:rPr>
                <w:rFonts w:hint="eastAsia"/>
              </w:rPr>
              <w:t>–</w:t>
            </w:r>
            <w:r w:rsidRPr="008166C7">
              <w:t xml:space="preserve"> Chrudim (os</w:t>
            </w:r>
            <w:r w:rsidR="00B72657" w:rsidRPr="008166C7">
              <w:t>.</w:t>
            </w:r>
            <w:r w:rsidRPr="008166C7">
              <w:t>km/rok)</w:t>
            </w:r>
            <w:bookmarkEnd w:id="225"/>
          </w:p>
        </w:tc>
      </w:tr>
      <w:tr w:rsidR="00684D27" w:rsidTr="00295848">
        <w:trPr>
          <w:trHeight w:val="5160"/>
        </w:trPr>
        <w:tc>
          <w:tcPr>
            <w:tcW w:w="9356" w:type="dxa"/>
            <w:vAlign w:val="center"/>
          </w:tcPr>
          <w:p w:rsidR="00684D27" w:rsidRDefault="000E79AE" w:rsidP="00684D27">
            <w:pPr>
              <w:keepNext/>
              <w:tabs>
                <w:tab w:val="left" w:pos="497"/>
              </w:tabs>
              <w:spacing w:before="20" w:after="20" w:line="240" w:lineRule="auto"/>
              <w:jc w:val="center"/>
              <w:rPr>
                <w:i/>
                <w:iCs/>
                <w:sz w:val="16"/>
              </w:rPr>
            </w:pPr>
            <w:r>
              <w:rPr>
                <w:i/>
                <w:iCs/>
                <w:noProof/>
                <w:sz w:val="16"/>
                <w:lang w:eastAsia="cs-CZ"/>
              </w:rPr>
              <w:pict>
                <v:shape id="_x0000_s1145" type="#_x0000_t75" style="position:absolute;left:0;text-align:left;margin-left:396.7pt;margin-top:225pt;width:60.55pt;height:19.45pt;z-index:251662848;mso-position-horizontal-relative:text;mso-position-vertical-relative:text" filled="t">
                  <v:imagedata r:id="rId20" o:title=""/>
                </v:shape>
                <o:OLEObject Type="Embed" ProgID="CorelDRAW.Graphic.12" ShapeID="_x0000_s1145" DrawAspect="Content" ObjectID="_1464784075" r:id="rId92"/>
              </w:pict>
            </w:r>
            <w:r w:rsidR="006C2203" w:rsidRPr="00F5279A">
              <w:rPr>
                <w:i/>
                <w:iCs/>
                <w:noProof/>
                <w:sz w:val="16"/>
                <w:lang w:eastAsia="cs-CZ"/>
              </w:rPr>
              <w:drawing>
                <wp:inline distT="0" distB="0" distL="0" distR="0" wp14:anchorId="6AC908DE" wp14:editId="3D661BB1">
                  <wp:extent cx="5844209" cy="3258498"/>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851730" cy="3262692"/>
                          </a:xfrm>
                          <a:prstGeom prst="rect">
                            <a:avLst/>
                          </a:prstGeom>
                          <a:noFill/>
                        </pic:spPr>
                      </pic:pic>
                    </a:graphicData>
                  </a:graphic>
                </wp:inline>
              </w:drawing>
            </w:r>
          </w:p>
        </w:tc>
      </w:tr>
    </w:tbl>
    <w:p w:rsidR="00225B27" w:rsidRDefault="00A04251" w:rsidP="00887E61">
      <w:pPr>
        <w:pStyle w:val="Nadpis3"/>
        <w:ind w:hanging="8234"/>
      </w:pPr>
      <w:bookmarkStart w:id="226" w:name="_Ref323222044"/>
      <w:bookmarkEnd w:id="214"/>
      <w:r>
        <w:t xml:space="preserve">Převedená a indukovaná </w:t>
      </w:r>
      <w:bookmarkEnd w:id="226"/>
      <w:r w:rsidR="00063186">
        <w:t>přeprava</w:t>
      </w:r>
    </w:p>
    <w:p w:rsidR="000053B8" w:rsidRDefault="000053B8" w:rsidP="000053B8">
      <w:r>
        <w:t xml:space="preserve">Rozdíl v přepravních výkonech mezi příslušnou projektovou variantou a variantou Bez projektu tvoří převedená a indukovaná </w:t>
      </w:r>
      <w:r w:rsidR="00063186">
        <w:t>přeprava</w:t>
      </w:r>
      <w:r>
        <w:t xml:space="preserve">. Převedená </w:t>
      </w:r>
      <w:r w:rsidR="00063186">
        <w:t>přeprava</w:t>
      </w:r>
      <w:r w:rsidR="00063186" w:rsidDel="00063186">
        <w:t xml:space="preserve"> </w:t>
      </w:r>
      <w:r>
        <w:t xml:space="preserve">je taková, kdy se vlivem realizace projektu nemění zdroj a cíl cesty, ale mění se dopravní prostředek. U </w:t>
      </w:r>
      <w:r w:rsidR="00063186">
        <w:t>přepravy</w:t>
      </w:r>
      <w:r w:rsidR="00063186" w:rsidDel="00063186">
        <w:t xml:space="preserve"> </w:t>
      </w:r>
      <w:r>
        <w:t xml:space="preserve">indukované dochází </w:t>
      </w:r>
      <w:r w:rsidR="00871973">
        <w:t xml:space="preserve">i </w:t>
      </w:r>
      <w:r>
        <w:t>ke změně zdroje nebo cíle cesty.</w:t>
      </w:r>
    </w:p>
    <w:p w:rsidR="000053B8" w:rsidRDefault="00B664EA" w:rsidP="000053B8">
      <w:r>
        <w:t>Dopravním modelem byla vypočtena převedená přeprava v rámci 4. stupně – přiřazení přepravních proudů na základě matice veřejné dopravy na dopravní síť. Dopravní model tedy vyhodnot</w:t>
      </w:r>
      <w:r w:rsidR="00002A54">
        <w:t>il</w:t>
      </w:r>
      <w:r>
        <w:t xml:space="preserve"> možnou změnu dopravního </w:t>
      </w:r>
      <w:r w:rsidR="00002A54">
        <w:t>módu</w:t>
      </w:r>
      <w:r>
        <w:t xml:space="preserve"> v rámci systému veřejné dopravy, tedy z autobusů na železnici (případně naopak). </w:t>
      </w:r>
      <w:r w:rsidR="00081B77">
        <w:t xml:space="preserve">Výše přepravního proudu převedeného z IAD na železnici byla určena za pomoci dopravního modelu, kdy na základě rozdílu časových matic veřejné dopravy a IAD a jeho porovnáním mezi var. Bez projektu a var. projektovými byly vytipovány relace, na kterých bude cestovní doba s použitím železnice (vlivem realizace projektu) kratší, než při použití IAD. Tato cestovní doba musí být zároveň kratší nejméně o 3 min, aby byly vyloučeny minimální rozdíly v cestovních dobách, které ze své podstaty na převedení přepravy nemohou mít vliv. Ukázalo se, že nejvíce je těchto „časově konkurenceschopných“ relací mezi oběma krajskými městy, kde se tím pádem očekává největší část převedených přepravních proudů. Zkrácení cestovní doby však není jediným parametrem, v tomto případě bude důležitější zkvalitnění dopravní nabídky na železnici (navýšení rozsahu dopravy), které by dále přimělo cestující v IAD k použití železnice. Na základě těchto parametrů byla vyčíslena velikost převedené přepravy z IAD </w:t>
      </w:r>
      <w:r w:rsidR="00081B77" w:rsidRPr="00F14B7A">
        <w:t xml:space="preserve">ve výši </w:t>
      </w:r>
      <w:r w:rsidR="00A073FE" w:rsidRPr="008166C7">
        <w:t> </w:t>
      </w:r>
      <w:r w:rsidR="004122C0" w:rsidRPr="008166C7">
        <w:t xml:space="preserve">210 </w:t>
      </w:r>
      <w:r w:rsidR="00A073FE" w:rsidRPr="008166C7">
        <w:t>(</w:t>
      </w:r>
      <w:r w:rsidR="008166C7" w:rsidRPr="00F5279A">
        <w:t>Etapa</w:t>
      </w:r>
      <w:r w:rsidR="004122C0" w:rsidRPr="00F14B7A">
        <w:t>)</w:t>
      </w:r>
      <w:r w:rsidR="004122C0" w:rsidRPr="008166C7">
        <w:t xml:space="preserve"> </w:t>
      </w:r>
      <w:r w:rsidR="00081B77">
        <w:t xml:space="preserve">a </w:t>
      </w:r>
      <w:r w:rsidR="004122C0">
        <w:t xml:space="preserve">270 </w:t>
      </w:r>
      <w:r w:rsidR="00081B77">
        <w:t>cestujících za den</w:t>
      </w:r>
      <w:r w:rsidR="00A073FE">
        <w:t xml:space="preserve"> (var. Maximální)</w:t>
      </w:r>
      <w:r w:rsidR="00081B77">
        <w:t>. Z celkové převedené přepravy na železnici tvoří část z autobusů přibližně 85% a z IAD přibližně 15%.</w:t>
      </w:r>
      <w:r w:rsidR="000053B8">
        <w:t xml:space="preserve"> Na intenzitách osobní automobilové dopravy se realizace projektu projeví jen minimálně. Obecně lze konstatovat, že objem cestujících převedených ze silniční dopravy není příliš vysoký. Důvodem je kapacitní a kvalitní silniční </w:t>
      </w:r>
      <w:r w:rsidR="004122C0">
        <w:t xml:space="preserve">síť </w:t>
      </w:r>
      <w:r w:rsidR="000053B8">
        <w:t>v řešené oblasti</w:t>
      </w:r>
      <w:r w:rsidR="00096931">
        <w:t>, a tím pádem i její dobrá konkurenceschopnost i vůči zmodernizované a posílené železnici.</w:t>
      </w:r>
    </w:p>
    <w:p w:rsidR="00B664EA" w:rsidRDefault="00B664EA" w:rsidP="000053B8">
      <w:r w:rsidRPr="00F5279A">
        <w:rPr>
          <w:b/>
        </w:rPr>
        <w:t>Na hodnoceném úseku H. Králové – Pardubice tvo</w:t>
      </w:r>
      <w:r w:rsidRPr="00F5279A">
        <w:rPr>
          <w:rFonts w:hint="eastAsia"/>
          <w:b/>
        </w:rPr>
        <w:t>ří</w:t>
      </w:r>
      <w:r w:rsidRPr="00F5279A">
        <w:rPr>
          <w:b/>
        </w:rPr>
        <w:t xml:space="preserve"> p</w:t>
      </w:r>
      <w:r w:rsidRPr="00F5279A">
        <w:rPr>
          <w:rFonts w:hint="eastAsia"/>
          <w:b/>
        </w:rPr>
        <w:t>ř</w:t>
      </w:r>
      <w:r w:rsidRPr="00F5279A">
        <w:rPr>
          <w:b/>
        </w:rPr>
        <w:t>evedená p</w:t>
      </w:r>
      <w:r w:rsidRPr="00F5279A">
        <w:rPr>
          <w:rFonts w:hint="eastAsia"/>
          <w:b/>
        </w:rPr>
        <w:t>ř</w:t>
      </w:r>
      <w:r w:rsidRPr="00F5279A">
        <w:rPr>
          <w:b/>
        </w:rPr>
        <w:t>eprava p</w:t>
      </w:r>
      <w:r w:rsidRPr="00F5279A">
        <w:rPr>
          <w:rFonts w:hint="eastAsia"/>
          <w:b/>
        </w:rPr>
        <w:t>ř</w:t>
      </w:r>
      <w:r w:rsidRPr="00F5279A">
        <w:rPr>
          <w:b/>
        </w:rPr>
        <w:t>ibližn</w:t>
      </w:r>
      <w:r w:rsidRPr="00F5279A">
        <w:rPr>
          <w:rFonts w:hint="eastAsia"/>
          <w:b/>
        </w:rPr>
        <w:t>ě</w:t>
      </w:r>
      <w:r w:rsidRPr="00F5279A">
        <w:rPr>
          <w:b/>
        </w:rPr>
        <w:t xml:space="preserve"> 90% nových výkon</w:t>
      </w:r>
      <w:r w:rsidRPr="00F5279A">
        <w:rPr>
          <w:rFonts w:hint="eastAsia"/>
          <w:b/>
        </w:rPr>
        <w:t>ů</w:t>
      </w:r>
      <w:r w:rsidRPr="00F5279A">
        <w:rPr>
          <w:b/>
        </w:rPr>
        <w:t>, p</w:t>
      </w:r>
      <w:r w:rsidRPr="00F5279A">
        <w:rPr>
          <w:rFonts w:hint="eastAsia"/>
          <w:b/>
        </w:rPr>
        <w:t>ř</w:t>
      </w:r>
      <w:r w:rsidRPr="00F5279A">
        <w:rPr>
          <w:b/>
        </w:rPr>
        <w:t>ibližn</w:t>
      </w:r>
      <w:r w:rsidRPr="00F5279A">
        <w:rPr>
          <w:rFonts w:hint="eastAsia"/>
          <w:b/>
        </w:rPr>
        <w:t>ě</w:t>
      </w:r>
      <w:r w:rsidRPr="00F5279A">
        <w:rPr>
          <w:b/>
        </w:rPr>
        <w:t xml:space="preserve"> 10% pak tvo</w:t>
      </w:r>
      <w:r w:rsidRPr="00F5279A">
        <w:rPr>
          <w:rFonts w:hint="eastAsia"/>
          <w:b/>
        </w:rPr>
        <w:t>ří</w:t>
      </w:r>
      <w:r w:rsidRPr="00F5279A">
        <w:rPr>
          <w:b/>
        </w:rPr>
        <w:t xml:space="preserve"> p</w:t>
      </w:r>
      <w:r w:rsidRPr="00F5279A">
        <w:rPr>
          <w:rFonts w:hint="eastAsia"/>
          <w:b/>
        </w:rPr>
        <w:t>ř</w:t>
      </w:r>
      <w:r w:rsidRPr="00F5279A">
        <w:rPr>
          <w:b/>
        </w:rPr>
        <w:t>eprava indukovaná.</w:t>
      </w:r>
      <w:r>
        <w:t xml:space="preserve"> </w:t>
      </w:r>
      <w:r w:rsidR="00081B77">
        <w:t xml:space="preserve">Tento poměr se zakládá na odhadu plynoucího ze zkušeností se </w:t>
      </w:r>
      <w:r w:rsidR="00081B77" w:rsidRPr="00063186">
        <w:t xml:space="preserve">zpracováním </w:t>
      </w:r>
      <w:r w:rsidR="00081B77">
        <w:t>obdobných</w:t>
      </w:r>
      <w:r w:rsidR="00081B77" w:rsidRPr="00063186">
        <w:t xml:space="preserve"> studií</w:t>
      </w:r>
      <w:r w:rsidR="00081B77">
        <w:t xml:space="preserve"> (např. Praha – Plzeň), použitý model ve své stávající podobě neumožňuje přesný výpočet indukované přepravy.</w:t>
      </w:r>
    </w:p>
    <w:p w:rsidR="00096931" w:rsidRDefault="00081B77" w:rsidP="000053B8">
      <w:r>
        <w:t>P</w:t>
      </w:r>
      <w:r w:rsidR="00096931">
        <w:t xml:space="preserve">řevedená přeprava z IAD i indukovaná přeprava tvoří jen velmi malou část z celkových přepravních proudů vstupujících do ekonomického hodnocení. Možná chyba při provedení </w:t>
      </w:r>
      <w:r>
        <w:t>výše popsaného postupu</w:t>
      </w:r>
      <w:r w:rsidR="00096931">
        <w:t xml:space="preserve"> (např. odlišné množství reálně převedené přepravy z IAD) </w:t>
      </w:r>
      <w:r>
        <w:t xml:space="preserve">bude mít </w:t>
      </w:r>
      <w:r w:rsidR="00096931">
        <w:t>na výsledky ekonomického hodnocení jen zanedbatelný vliv.</w:t>
      </w:r>
    </w:p>
    <w:p w:rsidR="00684D27" w:rsidRDefault="00684D27" w:rsidP="000053B8">
      <w:r w:rsidRPr="00F14B7A">
        <w:t>K nepatrnému p</w:t>
      </w:r>
      <w:r w:rsidRPr="008166C7">
        <w:rPr>
          <w:rFonts w:hint="eastAsia"/>
        </w:rPr>
        <w:t>ř</w:t>
      </w:r>
      <w:r w:rsidRPr="008166C7">
        <w:t xml:space="preserve">evedení </w:t>
      </w:r>
      <w:r w:rsidR="00063186" w:rsidRPr="008166C7">
        <w:t>p</w:t>
      </w:r>
      <w:r w:rsidR="00063186" w:rsidRPr="008166C7">
        <w:rPr>
          <w:rFonts w:hint="eastAsia"/>
        </w:rPr>
        <w:t>ř</w:t>
      </w:r>
      <w:r w:rsidR="00063186" w:rsidRPr="008166C7">
        <w:t xml:space="preserve">epravy </w:t>
      </w:r>
      <w:r w:rsidRPr="008166C7">
        <w:t>dojde i na relaci Chrudim – Pardubice v p</w:t>
      </w:r>
      <w:r w:rsidRPr="008166C7">
        <w:rPr>
          <w:rFonts w:hint="eastAsia"/>
        </w:rPr>
        <w:t>ří</w:t>
      </w:r>
      <w:r w:rsidRPr="008166C7">
        <w:t>pad</w:t>
      </w:r>
      <w:r w:rsidRPr="008166C7">
        <w:rPr>
          <w:rFonts w:hint="eastAsia"/>
        </w:rPr>
        <w:t>ě</w:t>
      </w:r>
      <w:r w:rsidRPr="008166C7">
        <w:t xml:space="preserve"> variant</w:t>
      </w:r>
      <w:r w:rsidR="008166C7" w:rsidRPr="00F5279A">
        <w:t>y</w:t>
      </w:r>
      <w:r w:rsidRPr="00F14B7A">
        <w:t xml:space="preserve"> </w:t>
      </w:r>
      <w:r w:rsidRPr="008166C7">
        <w:t>Maximální, kde vlivem zdvoukolejn</w:t>
      </w:r>
      <w:r w:rsidRPr="008166C7">
        <w:rPr>
          <w:rFonts w:hint="eastAsia"/>
        </w:rPr>
        <w:t>ě</w:t>
      </w:r>
      <w:r w:rsidRPr="008166C7">
        <w:t xml:space="preserve">ní úseku Pardubice </w:t>
      </w:r>
      <w:r w:rsidR="00096931" w:rsidRPr="008166C7">
        <w:t>hl. n</w:t>
      </w:r>
      <w:r w:rsidRPr="008166C7">
        <w:t xml:space="preserve">. – Pardubice-Rosice nad </w:t>
      </w:r>
      <w:r w:rsidR="00096931" w:rsidRPr="008166C7">
        <w:t>Labem budou</w:t>
      </w:r>
      <w:r w:rsidRPr="008166C7">
        <w:t xml:space="preserve"> zkráceny technologické </w:t>
      </w:r>
      <w:r w:rsidRPr="008166C7">
        <w:rPr>
          <w:rFonts w:hint="eastAsia"/>
        </w:rPr>
        <w:t>č</w:t>
      </w:r>
      <w:r w:rsidRPr="008166C7">
        <w:t>asy (odstran</w:t>
      </w:r>
      <w:r w:rsidRPr="008166C7">
        <w:rPr>
          <w:rFonts w:hint="eastAsia"/>
        </w:rPr>
        <w:t>ě</w:t>
      </w:r>
      <w:r w:rsidRPr="008166C7">
        <w:t>ní nutného k</w:t>
      </w:r>
      <w:r w:rsidRPr="008166C7">
        <w:rPr>
          <w:rFonts w:hint="eastAsia"/>
        </w:rPr>
        <w:t>ř</w:t>
      </w:r>
      <w:r w:rsidRPr="008166C7">
        <w:t>ižování). P</w:t>
      </w:r>
      <w:r w:rsidRPr="008166C7">
        <w:rPr>
          <w:rFonts w:hint="eastAsia"/>
        </w:rPr>
        <w:t>ř</w:t>
      </w:r>
      <w:r w:rsidRPr="008166C7">
        <w:t>evedení se bude týkat p</w:t>
      </w:r>
      <w:r w:rsidRPr="008166C7">
        <w:rPr>
          <w:rFonts w:hint="eastAsia"/>
        </w:rPr>
        <w:t>ř</w:t>
      </w:r>
      <w:r w:rsidRPr="008166C7">
        <w:t>ibližn</w:t>
      </w:r>
      <w:r w:rsidRPr="008166C7">
        <w:rPr>
          <w:rFonts w:hint="eastAsia"/>
        </w:rPr>
        <w:t>ě</w:t>
      </w:r>
      <w:r w:rsidRPr="008166C7">
        <w:t xml:space="preserve"> </w:t>
      </w:r>
      <w:r w:rsidR="004122C0" w:rsidRPr="008166C7">
        <w:t xml:space="preserve">120 </w:t>
      </w:r>
      <w:r w:rsidR="00871973" w:rsidRPr="008166C7">
        <w:t>osob</w:t>
      </w:r>
      <w:r w:rsidRPr="008166C7">
        <w:t xml:space="preserve"> za den, a to z autobusových linek.</w:t>
      </w:r>
      <w:r w:rsidR="00B664EA" w:rsidRPr="008166C7">
        <w:t xml:space="preserve"> K p</w:t>
      </w:r>
      <w:r w:rsidR="00B664EA" w:rsidRPr="008166C7">
        <w:rPr>
          <w:rFonts w:hint="eastAsia"/>
        </w:rPr>
        <w:t>ř</w:t>
      </w:r>
      <w:r w:rsidR="00B664EA" w:rsidRPr="008166C7">
        <w:t>evedení z IAD ani indukci p</w:t>
      </w:r>
      <w:r w:rsidR="00B664EA" w:rsidRPr="008166C7">
        <w:rPr>
          <w:rFonts w:hint="eastAsia"/>
        </w:rPr>
        <w:t>ř</w:t>
      </w:r>
      <w:r w:rsidR="00B664EA" w:rsidRPr="008166C7">
        <w:t>e</w:t>
      </w:r>
      <w:r w:rsidRPr="008166C7">
        <w:t>pravy vlivem tohoto p</w:t>
      </w:r>
      <w:r w:rsidRPr="008166C7">
        <w:rPr>
          <w:rFonts w:hint="eastAsia"/>
        </w:rPr>
        <w:t>ří</w:t>
      </w:r>
      <w:r w:rsidRPr="008166C7">
        <w:t>nosu docházet nebude.</w:t>
      </w:r>
      <w:r>
        <w:t xml:space="preserve"> </w:t>
      </w:r>
    </w:p>
    <w:p w:rsidR="00FE257E" w:rsidRDefault="00FE257E" w:rsidP="00887E61">
      <w:pPr>
        <w:pStyle w:val="Nadpis3"/>
        <w:ind w:hanging="8234"/>
      </w:pPr>
      <w:r>
        <w:t>Modal-split</w:t>
      </w:r>
      <w:r w:rsidRPr="00063186">
        <w:t xml:space="preserve"> </w:t>
      </w:r>
    </w:p>
    <w:p w:rsidR="00063186" w:rsidRDefault="00FE257E" w:rsidP="000053B8">
      <w:r>
        <w:t xml:space="preserve">Modal-split vyjadřuje rozdělení přepravních proudů se stejným zdrojem a cílem mezi různé druhy dopravy (módy). V případě, že realizací projektu vznikne převedená či indukovaná přeprava, dochází tím pádem ke změně modal-splitu, přesunutí </w:t>
      </w:r>
      <w:r w:rsidR="00081B77">
        <w:t>č</w:t>
      </w:r>
      <w:r>
        <w:t>ásti přepravního proudu na jiné druhy dopravy – tzv. modal-shift.</w:t>
      </w:r>
    </w:p>
    <w:p w:rsidR="00FE257E" w:rsidRDefault="00FE257E" w:rsidP="00FE257E">
      <w:r>
        <w:t>Je nutné upozornit, že modal-split ve stávajícím stavu (a z něj vycházející modal-splity ve výhledových stavech) je založen na určitých odhadech, protože neexistuje žádný přesný přepravní průzkum poptávky mezi oběma městy, který by sledoval také zdroje a cíle těchto cest. Ve stávajícím stavu se tedy předpokládá, že přepravní proudy se zdrojem a cílem cest v těchto městech tvoří 75% všech přepravních proudů (na úsecích mezi oběma městy) v železniční dopravě, 60% v autobusové dopravě a 70% v IAD.</w:t>
      </w:r>
    </w:p>
    <w:p w:rsidR="00620A25" w:rsidRPr="00DF70F9" w:rsidRDefault="00620A25" w:rsidP="00FE257E">
      <w:r w:rsidRPr="00DF70F9">
        <w:t xml:space="preserve">V roce 2010 (stávající stav) je celkové množství cestujících/den mezi oběma krajskými městy odhadováno na cca 20 650. Do roku 2025 pak toto množství naroste na 23 650 cestujících/den ve var. Bez projektu a Minimální, </w:t>
      </w:r>
      <w:r w:rsidRPr="00F14B7A">
        <w:t>v</w:t>
      </w:r>
      <w:r w:rsidR="008166C7" w:rsidRPr="00F5279A">
        <w:t> Etap</w:t>
      </w:r>
      <w:r w:rsidR="008166C7" w:rsidRPr="00F5279A">
        <w:rPr>
          <w:rFonts w:hint="eastAsia"/>
        </w:rPr>
        <w:t>ě</w:t>
      </w:r>
      <w:r w:rsidR="008166C7" w:rsidRPr="00F5279A">
        <w:t xml:space="preserve"> </w:t>
      </w:r>
      <w:r w:rsidRPr="008166C7">
        <w:t>na cca 23 </w:t>
      </w:r>
      <w:r w:rsidR="00413E15" w:rsidRPr="008166C7">
        <w:t xml:space="preserve">900 </w:t>
      </w:r>
      <w:r w:rsidRPr="008166C7">
        <w:t>cestujících/den</w:t>
      </w:r>
      <w:r w:rsidRPr="00DF70F9">
        <w:t xml:space="preserve"> a ve var. Maximální na cca 24 000 cestujících/den. Uvedené hodnoty spolu s podíly jednotlivých druhů doprav (modů) jsou znázorněny na následujícím grafu. Hodnoty byly zaokrouhleny na celé padesátky, neodpovídají tedy zcela přesně procentům na </w:t>
      </w:r>
      <w:r w:rsidR="00B52A13">
        <w:fldChar w:fldCharType="begin"/>
      </w:r>
      <w:r w:rsidR="00B52A13">
        <w:instrText xml:space="preserve"> REF _Ref345683617 \h  \* MERGEFORMAT </w:instrText>
      </w:r>
      <w:r w:rsidR="00B52A13">
        <w:fldChar w:fldCharType="separate"/>
      </w:r>
      <w:r w:rsidR="003843F3" w:rsidRPr="00F14B7A">
        <w:t xml:space="preserve">Obr. </w:t>
      </w:r>
      <w:r w:rsidR="003843F3">
        <w:rPr>
          <w:noProof/>
        </w:rPr>
        <w:t>5</w:t>
      </w:r>
      <w:r w:rsidR="003843F3" w:rsidRPr="008166C7">
        <w:rPr>
          <w:noProof/>
        </w:rPr>
        <w:noBreakHyphen/>
      </w:r>
      <w:r w:rsidR="003843F3">
        <w:rPr>
          <w:noProof/>
        </w:rPr>
        <w:t>27</w:t>
      </w:r>
      <w:r w:rsidR="003843F3" w:rsidRPr="008166C7">
        <w:rPr>
          <w:noProof/>
        </w:rPr>
        <w:t>:</w:t>
      </w:r>
      <w:r w:rsidR="003843F3" w:rsidRPr="008166C7">
        <w:t xml:space="preserve"> Modal-split na relaci Hradec Králové</w:t>
      </w:r>
      <w:r w:rsidR="00B52A13">
        <w:fldChar w:fldCharType="end"/>
      </w:r>
      <w:r w:rsidRPr="00DF70F9">
        <w:t xml:space="preserve">. </w:t>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620A25" w:rsidRPr="00BE3112" w:rsidTr="00295848">
        <w:trPr>
          <w:trHeight w:hRule="exact" w:val="329"/>
        </w:trPr>
        <w:tc>
          <w:tcPr>
            <w:tcW w:w="9356" w:type="dxa"/>
            <w:vAlign w:val="center"/>
          </w:tcPr>
          <w:p w:rsidR="00620A25" w:rsidRPr="00F5279A" w:rsidRDefault="00620A25" w:rsidP="00295848">
            <w:pPr>
              <w:pStyle w:val="Titulek"/>
              <w:ind w:right="269"/>
              <w:rPr>
                <w:highlight w:val="yellow"/>
              </w:rPr>
            </w:pPr>
            <w:bookmarkStart w:id="227" w:name="_Toc390958852"/>
            <w:r w:rsidRPr="00F14B7A">
              <w:t xml:space="preserve">Obr. </w:t>
            </w:r>
            <w:r w:rsidR="00AC5CDF" w:rsidRPr="000918FC">
              <w:fldChar w:fldCharType="begin"/>
            </w:r>
            <w:r w:rsidRPr="008166C7">
              <w:instrText xml:space="preserve"> STYLEREF 1 \s </w:instrText>
            </w:r>
            <w:r w:rsidR="00AC5CDF" w:rsidRPr="000918FC">
              <w:fldChar w:fldCharType="separate"/>
            </w:r>
            <w:r w:rsidR="003843F3">
              <w:rPr>
                <w:noProof/>
              </w:rPr>
              <w:t>5</w:t>
            </w:r>
            <w:r w:rsidR="00AC5CDF" w:rsidRPr="000918FC">
              <w:fldChar w:fldCharType="end"/>
            </w:r>
            <w:r w:rsidRPr="008166C7">
              <w:noBreakHyphen/>
            </w:r>
            <w:r w:rsidR="00AC5CDF" w:rsidRPr="000918FC">
              <w:fldChar w:fldCharType="begin"/>
            </w:r>
            <w:r w:rsidRPr="008166C7">
              <w:instrText xml:space="preserve"> SEQ Obr. \* ARABIC \s 1 </w:instrText>
            </w:r>
            <w:r w:rsidR="00AC5CDF" w:rsidRPr="000918FC">
              <w:fldChar w:fldCharType="separate"/>
            </w:r>
            <w:r w:rsidR="003843F3">
              <w:rPr>
                <w:noProof/>
              </w:rPr>
              <w:t>26</w:t>
            </w:r>
            <w:r w:rsidR="00AC5CDF" w:rsidRPr="000918FC">
              <w:fldChar w:fldCharType="end"/>
            </w:r>
            <w:r w:rsidRPr="008166C7">
              <w:t>: Po</w:t>
            </w:r>
            <w:r w:rsidRPr="008166C7">
              <w:rPr>
                <w:rFonts w:hint="eastAsia"/>
              </w:rPr>
              <w:t>č</w:t>
            </w:r>
            <w:r w:rsidRPr="008166C7">
              <w:t>ty cestujících v jednotlivých dopravních módech na relaci H.K. - Pardubice</w:t>
            </w:r>
            <w:bookmarkEnd w:id="227"/>
          </w:p>
        </w:tc>
      </w:tr>
      <w:tr w:rsidR="00620A25" w:rsidTr="00295848">
        <w:trPr>
          <w:trHeight w:val="4535"/>
        </w:trPr>
        <w:tc>
          <w:tcPr>
            <w:tcW w:w="9356" w:type="dxa"/>
            <w:vAlign w:val="center"/>
          </w:tcPr>
          <w:p w:rsidR="00620A25" w:rsidRDefault="006C2203" w:rsidP="00295848">
            <w:pPr>
              <w:tabs>
                <w:tab w:val="left" w:pos="497"/>
              </w:tabs>
              <w:spacing w:before="20" w:after="20" w:line="240" w:lineRule="auto"/>
              <w:ind w:left="214"/>
              <w:jc w:val="center"/>
              <w:rPr>
                <w:i/>
                <w:iCs/>
                <w:sz w:val="16"/>
              </w:rPr>
            </w:pPr>
            <w:r w:rsidRPr="00F5279A">
              <w:rPr>
                <w:i/>
                <w:iCs/>
                <w:noProof/>
                <w:sz w:val="16"/>
                <w:lang w:eastAsia="cs-CZ"/>
              </w:rPr>
              <w:drawing>
                <wp:inline distT="0" distB="0" distL="0" distR="0" wp14:anchorId="1141367C" wp14:editId="0DD3FD14">
                  <wp:extent cx="4261899" cy="3069257"/>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66891" cy="3072852"/>
                          </a:xfrm>
                          <a:prstGeom prst="rect">
                            <a:avLst/>
                          </a:prstGeom>
                          <a:noFill/>
                        </pic:spPr>
                      </pic:pic>
                    </a:graphicData>
                  </a:graphic>
                </wp:inline>
              </w:drawing>
            </w:r>
          </w:p>
        </w:tc>
      </w:tr>
    </w:tbl>
    <w:p w:rsidR="00815ABF" w:rsidRDefault="00815ABF" w:rsidP="00FE257E">
      <w:r w:rsidRPr="00FE257E">
        <w:t>Modal-split</w:t>
      </w:r>
      <w:r>
        <w:t xml:space="preserve"> na relaci Hradec Králové – Pardubice ve stávajícím stavu </w:t>
      </w:r>
      <w:r w:rsidR="00620A25">
        <w:t xml:space="preserve">(2010) </w:t>
      </w:r>
      <w:r>
        <w:t xml:space="preserve">a ve výhledovém stavu (rok 2025) jednotlivých variantách vypadá </w:t>
      </w:r>
      <w:r w:rsidR="00620A25">
        <w:t xml:space="preserve">v procentním vyjádření </w:t>
      </w:r>
      <w:r>
        <w:t>následovně</w:t>
      </w:r>
      <w:r w:rsidR="00620A25">
        <w:t>:</w:t>
      </w:r>
    </w:p>
    <w:tbl>
      <w:tblPr>
        <w:tblW w:w="936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66"/>
      </w:tblGrid>
      <w:tr w:rsidR="00FE257E" w:rsidTr="0042667C">
        <w:trPr>
          <w:trHeight w:hRule="exact" w:val="286"/>
        </w:trPr>
        <w:tc>
          <w:tcPr>
            <w:tcW w:w="9366" w:type="dxa"/>
            <w:vAlign w:val="center"/>
          </w:tcPr>
          <w:p w:rsidR="00FE257E" w:rsidRPr="00714409" w:rsidRDefault="00FE257E" w:rsidP="00B04400">
            <w:pPr>
              <w:pStyle w:val="Titulek"/>
            </w:pPr>
            <w:bookmarkStart w:id="228" w:name="_Ref345683613"/>
            <w:bookmarkStart w:id="229" w:name="_Ref345683617"/>
            <w:bookmarkStart w:id="230" w:name="_Toc390958853"/>
            <w:r w:rsidRPr="00F14B7A">
              <w:t xml:space="preserve">Obr. </w:t>
            </w:r>
            <w:r w:rsidR="00AC5CDF" w:rsidRPr="000918FC">
              <w:fldChar w:fldCharType="begin"/>
            </w:r>
            <w:r w:rsidRPr="008166C7">
              <w:instrText xml:space="preserve"> STYLEREF 1 \s </w:instrText>
            </w:r>
            <w:r w:rsidR="00AC5CDF" w:rsidRPr="000918FC">
              <w:fldChar w:fldCharType="separate"/>
            </w:r>
            <w:r w:rsidR="003843F3">
              <w:rPr>
                <w:noProof/>
              </w:rPr>
              <w:t>5</w:t>
            </w:r>
            <w:r w:rsidR="00AC5CDF" w:rsidRPr="000918FC">
              <w:fldChar w:fldCharType="end"/>
            </w:r>
            <w:r w:rsidRPr="008166C7">
              <w:noBreakHyphen/>
            </w:r>
            <w:r w:rsidR="00AC5CDF" w:rsidRPr="000918FC">
              <w:fldChar w:fldCharType="begin"/>
            </w:r>
            <w:r w:rsidRPr="008166C7">
              <w:instrText xml:space="preserve"> SEQ Obr. \* ARABIC \s 1 </w:instrText>
            </w:r>
            <w:r w:rsidR="00AC5CDF" w:rsidRPr="000918FC">
              <w:fldChar w:fldCharType="separate"/>
            </w:r>
            <w:r w:rsidR="003843F3">
              <w:rPr>
                <w:noProof/>
              </w:rPr>
              <w:t>27</w:t>
            </w:r>
            <w:r w:rsidR="00AC5CDF" w:rsidRPr="000918FC">
              <w:fldChar w:fldCharType="end"/>
            </w:r>
            <w:r w:rsidRPr="008166C7">
              <w:t>: Modal-split na relaci Hradec Králové</w:t>
            </w:r>
            <w:bookmarkEnd w:id="228"/>
            <w:bookmarkEnd w:id="229"/>
            <w:r w:rsidR="00620A25" w:rsidRPr="008166C7">
              <w:t xml:space="preserve"> - Pardubice</w:t>
            </w:r>
            <w:bookmarkEnd w:id="230"/>
          </w:p>
        </w:tc>
      </w:tr>
      <w:tr w:rsidR="00FE257E" w:rsidTr="00FF5936">
        <w:tblPrEx>
          <w:tblCellMar>
            <w:left w:w="108" w:type="dxa"/>
            <w:right w:w="108" w:type="dxa"/>
          </w:tblCellMar>
        </w:tblPrEx>
        <w:trPr>
          <w:trHeight w:val="2922"/>
        </w:trPr>
        <w:tc>
          <w:tcPr>
            <w:tcW w:w="9366" w:type="dxa"/>
            <w:vAlign w:val="center"/>
          </w:tcPr>
          <w:p w:rsidR="00FE257E" w:rsidRDefault="004E4D1F" w:rsidP="00815ABF">
            <w:pPr>
              <w:keepNext/>
              <w:tabs>
                <w:tab w:val="left" w:pos="497"/>
              </w:tabs>
              <w:spacing w:before="20" w:after="20" w:line="240" w:lineRule="auto"/>
              <w:jc w:val="center"/>
              <w:rPr>
                <w:i/>
                <w:iCs/>
                <w:sz w:val="16"/>
              </w:rPr>
            </w:pPr>
            <w:r>
              <w:rPr>
                <w:i/>
                <w:iCs/>
                <w:noProof/>
                <w:sz w:val="16"/>
                <w:lang w:eastAsia="cs-CZ"/>
              </w:rPr>
              <w:drawing>
                <wp:inline distT="0" distB="0" distL="0" distR="0" wp14:anchorId="18A0AD6D" wp14:editId="6729FB2C">
                  <wp:extent cx="2880000" cy="1936800"/>
                  <wp:effectExtent l="0" t="0" r="0" b="0"/>
                  <wp:docPr id="224" name="obráze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880000" cy="1936800"/>
                          </a:xfrm>
                          <a:prstGeom prst="rect">
                            <a:avLst/>
                          </a:prstGeom>
                          <a:noFill/>
                        </pic:spPr>
                      </pic:pic>
                    </a:graphicData>
                  </a:graphic>
                </wp:inline>
              </w:drawing>
            </w:r>
            <w:r>
              <w:rPr>
                <w:i/>
                <w:iCs/>
                <w:noProof/>
                <w:sz w:val="16"/>
                <w:lang w:eastAsia="cs-CZ"/>
              </w:rPr>
              <w:drawing>
                <wp:inline distT="0" distB="0" distL="0" distR="0" wp14:anchorId="5095B940" wp14:editId="1AF0A62B">
                  <wp:extent cx="2879725" cy="1935480"/>
                  <wp:effectExtent l="0" t="0" r="0" b="0"/>
                  <wp:docPr id="225" name="obrázek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79725" cy="1935480"/>
                          </a:xfrm>
                          <a:prstGeom prst="rect">
                            <a:avLst/>
                          </a:prstGeom>
                          <a:noFill/>
                        </pic:spPr>
                      </pic:pic>
                    </a:graphicData>
                  </a:graphic>
                </wp:inline>
              </w:drawing>
            </w:r>
          </w:p>
          <w:p w:rsidR="00FF5936" w:rsidRDefault="006C2203">
            <w:pPr>
              <w:keepNext/>
              <w:tabs>
                <w:tab w:val="left" w:pos="497"/>
              </w:tabs>
              <w:spacing w:before="20" w:after="20" w:line="240" w:lineRule="auto"/>
              <w:jc w:val="center"/>
              <w:rPr>
                <w:i/>
                <w:iCs/>
                <w:sz w:val="16"/>
              </w:rPr>
            </w:pPr>
            <w:r w:rsidRPr="00F5279A">
              <w:rPr>
                <w:i/>
                <w:iCs/>
                <w:noProof/>
                <w:sz w:val="16"/>
                <w:lang w:eastAsia="cs-CZ"/>
              </w:rPr>
              <w:drawing>
                <wp:inline distT="0" distB="0" distL="0" distR="0" wp14:anchorId="1D2371E7" wp14:editId="73D559D2">
                  <wp:extent cx="2880000" cy="1947600"/>
                  <wp:effectExtent l="0" t="0" r="0" b="0"/>
                  <wp:docPr id="36" name="Obrázek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80000" cy="1947600"/>
                          </a:xfrm>
                          <a:prstGeom prst="rect">
                            <a:avLst/>
                          </a:prstGeom>
                          <a:noFill/>
                        </pic:spPr>
                      </pic:pic>
                    </a:graphicData>
                  </a:graphic>
                </wp:inline>
              </w:drawing>
            </w:r>
            <w:r w:rsidR="006819BA" w:rsidRPr="00092F1A">
              <w:rPr>
                <w:i/>
                <w:iCs/>
                <w:noProof/>
                <w:sz w:val="16"/>
                <w:lang w:eastAsia="cs-CZ"/>
              </w:rPr>
              <w:drawing>
                <wp:inline distT="0" distB="0" distL="0" distR="0" wp14:anchorId="5AE3C240" wp14:editId="6E9FFFEB">
                  <wp:extent cx="2880000" cy="1936800"/>
                  <wp:effectExtent l="0" t="0" r="0" b="0"/>
                  <wp:docPr id="54" name="Obrázek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80000" cy="1936800"/>
                          </a:xfrm>
                          <a:prstGeom prst="rect">
                            <a:avLst/>
                          </a:prstGeom>
                          <a:noFill/>
                        </pic:spPr>
                      </pic:pic>
                    </a:graphicData>
                  </a:graphic>
                </wp:inline>
              </w:drawing>
            </w:r>
          </w:p>
        </w:tc>
      </w:tr>
    </w:tbl>
    <w:p w:rsidR="00FE257E" w:rsidRDefault="00FE257E" w:rsidP="000053B8">
      <w:r>
        <w:t xml:space="preserve">Ve stávajícím stavu zaujímá železniční doprava na přepravním trhu přibližně 21%-ní podíl, autobusová 8% a zbytek připadá na IAD ve výši 71%. Pokud by vývoj do roku 2025 </w:t>
      </w:r>
      <w:r w:rsidR="00081B77">
        <w:t xml:space="preserve">probíhal </w:t>
      </w:r>
      <w:r>
        <w:t xml:space="preserve">podle varianty Bez projektu nebo Minimální, pak by veřejná doprava ztratila dohromady přibližně </w:t>
      </w:r>
      <w:r w:rsidR="00FF5936">
        <w:t>1,6</w:t>
      </w:r>
      <w:r>
        <w:t xml:space="preserve">% ze svého podílu ve prospěch IAD, u které se očekává dynamičtější nárůst. </w:t>
      </w:r>
      <w:r w:rsidRPr="00F14B7A">
        <w:t>Naopak v</w:t>
      </w:r>
      <w:r w:rsidR="00181983" w:rsidRPr="00F5279A">
        <w:t> Etap</w:t>
      </w:r>
      <w:r w:rsidR="00181983" w:rsidRPr="00F5279A">
        <w:rPr>
          <w:rFonts w:hint="eastAsia"/>
        </w:rPr>
        <w:t>ě</w:t>
      </w:r>
      <w:r w:rsidR="00181983" w:rsidRPr="00F5279A">
        <w:t xml:space="preserve"> (var. Maximální) </w:t>
      </w:r>
      <w:r w:rsidRPr="00181983">
        <w:t xml:space="preserve">by železnice posílila na </w:t>
      </w:r>
      <w:r w:rsidR="00FF5936" w:rsidRPr="00181983">
        <w:t>hodnoty kolem 24</w:t>
      </w:r>
      <w:r w:rsidRPr="00181983">
        <w:t xml:space="preserve">% na úkor autobusové dopravy, ale </w:t>
      </w:r>
      <w:r w:rsidRPr="00181983">
        <w:rPr>
          <w:rFonts w:hint="eastAsia"/>
        </w:rPr>
        <w:t>čá</w:t>
      </w:r>
      <w:r w:rsidRPr="00181983">
        <w:t>ste</w:t>
      </w:r>
      <w:r w:rsidRPr="00181983">
        <w:rPr>
          <w:rFonts w:hint="eastAsia"/>
        </w:rPr>
        <w:t>č</w:t>
      </w:r>
      <w:r w:rsidRPr="00181983">
        <w:t>n</w:t>
      </w:r>
      <w:r w:rsidRPr="00181983">
        <w:rPr>
          <w:rFonts w:hint="eastAsia"/>
        </w:rPr>
        <w:t>ě</w:t>
      </w:r>
      <w:r w:rsidRPr="00181983">
        <w:t xml:space="preserve"> i IAD.</w:t>
      </w:r>
      <w:r>
        <w:t xml:space="preserve"> Ve variantě Maximální posílí železnice </w:t>
      </w:r>
      <w:r w:rsidR="00413E15">
        <w:t xml:space="preserve">na </w:t>
      </w:r>
      <w:r>
        <w:t xml:space="preserve">cca </w:t>
      </w:r>
      <w:r w:rsidR="00413E15">
        <w:t>25</w:t>
      </w:r>
      <w:r>
        <w:t xml:space="preserve">% zejména na úkor autobusů. Celkový podíl veřejné dopravy </w:t>
      </w:r>
      <w:r w:rsidR="00FF5936">
        <w:t xml:space="preserve">(podle projektové varianty se pohybuje od 28,4 do 28,8%) </w:t>
      </w:r>
      <w:r>
        <w:t xml:space="preserve">by </w:t>
      </w:r>
      <w:r w:rsidR="00FF5936">
        <w:t xml:space="preserve">se </w:t>
      </w:r>
      <w:r>
        <w:t xml:space="preserve">však oproti stávajícímu stavu </w:t>
      </w:r>
      <w:r w:rsidR="00FF5936">
        <w:t>(28,8%)</w:t>
      </w:r>
      <w:r w:rsidR="00181983">
        <w:t xml:space="preserve"> </w:t>
      </w:r>
      <w:r w:rsidR="00FF5936">
        <w:t>změnil jen nepatrně</w:t>
      </w:r>
      <w:r>
        <w:t>. Je to právě z důvodu dynamičtějšího nárůstu IAD, který je v těchto variantách „kompenzován“ převedenou přepravou z IAD na železnici.</w:t>
      </w:r>
    </w:p>
    <w:p w:rsidR="00063186" w:rsidRDefault="00063186" w:rsidP="00887E61">
      <w:pPr>
        <w:pStyle w:val="Nadpis3"/>
        <w:ind w:hanging="8234"/>
      </w:pPr>
      <w:r>
        <w:t>Vazba na ekonomické hodnocení</w:t>
      </w:r>
      <w:r w:rsidRPr="00063186">
        <w:t xml:space="preserve"> </w:t>
      </w:r>
    </w:p>
    <w:p w:rsidR="008450FB" w:rsidRDefault="00063186" w:rsidP="00063186">
      <w:r w:rsidRPr="00063186">
        <w:t xml:space="preserve">Do </w:t>
      </w:r>
      <w:r>
        <w:t xml:space="preserve">prognózy přepravních proudů (a následné </w:t>
      </w:r>
      <w:r w:rsidRPr="00063186">
        <w:t>ekonomické analýzy</w:t>
      </w:r>
      <w:r>
        <w:t>)</w:t>
      </w:r>
      <w:r w:rsidRPr="00063186">
        <w:t xml:space="preserve"> jsou zahrnuty jen úseky mezi Hradcem Králové a Pardubicemi. </w:t>
      </w:r>
      <w:r w:rsidRPr="00F14B7A">
        <w:t xml:space="preserve">Ve </w:t>
      </w:r>
      <w:r w:rsidR="00181983" w:rsidRPr="00181983">
        <w:t>variant</w:t>
      </w:r>
      <w:r w:rsidR="00181983" w:rsidRPr="00F5279A">
        <w:rPr>
          <w:rFonts w:hint="eastAsia"/>
        </w:rPr>
        <w:t>ě</w:t>
      </w:r>
      <w:r w:rsidR="00181983" w:rsidRPr="00F14B7A">
        <w:t xml:space="preserve"> </w:t>
      </w:r>
      <w:r w:rsidRPr="00063186">
        <w:t xml:space="preserve">Maximální </w:t>
      </w:r>
      <w:r w:rsidR="00181983" w:rsidRPr="00063186">
        <w:t>j</w:t>
      </w:r>
      <w:r w:rsidR="00181983">
        <w:t>e</w:t>
      </w:r>
      <w:r w:rsidR="00181983" w:rsidRPr="00063186">
        <w:t xml:space="preserve"> </w:t>
      </w:r>
      <w:r w:rsidRPr="00063186">
        <w:t>navíc zahrnut</w:t>
      </w:r>
      <w:r w:rsidR="00181983">
        <w:t xml:space="preserve"> i</w:t>
      </w:r>
      <w:r w:rsidRPr="00063186">
        <w:t xml:space="preserve"> úsek mezi Pardubicemi a Chrudimí.</w:t>
      </w:r>
      <w:r>
        <w:t xml:space="preserve"> Z výstupů dopravního modelu - počtu cestujících na jednotlivých dílčích úsecích - byly pomocí jejich délky vypočteny celkové přepravní výkony v osobokilometrech (os.km), což je jeden z nejdůležitějších vstupů do ekonomického hodnocení. Zároveň byl váženým průměrem vypočten průměrný přepravní objem na úseku Hradec Králové – Pardubice (cestujících/den), z nějž byl dále pomocí cestovních dob vypočten celkový přepravní čas v osobohodinách (os.hod). Z počtu vlaků byly dopočteny obdobné ukazatele ve vlakokilometrech (vlak.km) a vlakohodinách (vlak.hod).</w:t>
      </w:r>
    </w:p>
    <w:p w:rsidR="00815ABF" w:rsidRDefault="00063186" w:rsidP="00063186">
      <w:r>
        <w:t xml:space="preserve">Z rozdílů přepravních objemů mezi variantami byla vyčíslena převedená a indukovaná přeprava. Vyjádření jejího přínosu (odlehčení silniční sítě, úspora čas, ...) byla vypočtena z délky a cestovní doby příslušného konkurenčního dopravního módu (os.km, os.hod). Odpovídající snížení intenzit na silniční síti bylo vypočteno pomocí uvažované průměrné obsazenosti autobusů (25 cestujících) a osobních automobilů </w:t>
      </w:r>
      <w:r w:rsidRPr="00063186">
        <w:t>(1,7 cestujících).</w:t>
      </w:r>
    </w:p>
    <w:p w:rsidR="000053B8" w:rsidRDefault="000053B8" w:rsidP="000D62F1">
      <w:pPr>
        <w:pStyle w:val="Nadpis3"/>
        <w:ind w:hanging="8234"/>
      </w:pPr>
      <w:r>
        <w:t>Vyhodnocení obsazenosti vlaků</w:t>
      </w:r>
    </w:p>
    <w:p w:rsidR="00D275C9" w:rsidRDefault="000053B8" w:rsidP="00F5279A">
      <w:r>
        <w:t xml:space="preserve">Plánované výrazné navýšení počtu vlaků </w:t>
      </w:r>
      <w:r w:rsidR="005D1F1E">
        <w:t xml:space="preserve">na základě požadavků společnosti OREDO </w:t>
      </w:r>
      <w:r>
        <w:t xml:space="preserve">jistě vyvolá otázky nad </w:t>
      </w:r>
      <w:r w:rsidR="008B40B8">
        <w:t>jeho</w:t>
      </w:r>
      <w:r>
        <w:t xml:space="preserve"> </w:t>
      </w:r>
      <w:r w:rsidR="008B40B8">
        <w:t>přiměřeností, neboť se</w:t>
      </w:r>
      <w:r>
        <w:t xml:space="preserve"> rozhodně nebude </w:t>
      </w:r>
      <w:r w:rsidR="008B40B8">
        <w:t>jednat o lacinou záležitost</w:t>
      </w:r>
      <w:r>
        <w:t xml:space="preserve"> pro veřejné rozpočty. </w:t>
      </w:r>
      <w:r w:rsidR="008B40B8">
        <w:t xml:space="preserve">Jak již bylo v předchozích kapitolách zmíněno, plánované navýšení počtu vlaků </w:t>
      </w:r>
      <w:r w:rsidR="0046690D">
        <w:t xml:space="preserve">až </w:t>
      </w:r>
      <w:r w:rsidR="008B40B8">
        <w:t xml:space="preserve">o </w:t>
      </w:r>
      <w:r w:rsidR="00A94555">
        <w:t>65</w:t>
      </w:r>
      <w:r w:rsidR="008B40B8">
        <w:t>%</w:t>
      </w:r>
      <w:r w:rsidR="0046690D">
        <w:t xml:space="preserve"> (ve var. Maximální)</w:t>
      </w:r>
      <w:r w:rsidR="008B40B8">
        <w:t xml:space="preserve"> převyšuje stávající rozsah dopravy. Přepravní výkony </w:t>
      </w:r>
      <w:r w:rsidR="0046690D">
        <w:t xml:space="preserve">ve var. Maximální </w:t>
      </w:r>
      <w:r w:rsidR="008B40B8">
        <w:t xml:space="preserve">však vykazují nárůst o přibližně </w:t>
      </w:r>
      <w:r w:rsidR="00A94555">
        <w:t xml:space="preserve">32 </w:t>
      </w:r>
      <w:r w:rsidR="008B40B8">
        <w:t xml:space="preserve">% oproti variantě Bez projektu. </w:t>
      </w:r>
      <w:r>
        <w:t xml:space="preserve">Určitým vodítkem proto může být odhadovaná obsazenost vlaků, neboli kolik cestujících pojede průměrně za den jedním vlakem. </w:t>
      </w:r>
      <w:r w:rsidR="008B40B8">
        <w:t xml:space="preserve">Ta je vyjádřena v následující tabulce s rozdělením na dálkovou a regionální dopravu. Nově zaváděné Sp vlaky jsou zařazeny v kategorii dálková, neboť na úseku H. Králové – Pardubice mají stejná místa zastavení a dosahují </w:t>
      </w:r>
      <w:r w:rsidR="00A94555">
        <w:t xml:space="preserve">podobných </w:t>
      </w:r>
      <w:r w:rsidR="008B40B8">
        <w:t>cestovních dob jako vlaky kategorie R.</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8B40B8" w:rsidRPr="00974AE4" w:rsidTr="00A5720A">
        <w:tc>
          <w:tcPr>
            <w:tcW w:w="9356" w:type="dxa"/>
            <w:tcBorders>
              <w:bottom w:val="single" w:sz="4" w:space="0" w:color="000000"/>
            </w:tcBorders>
          </w:tcPr>
          <w:p w:rsidR="008B40B8" w:rsidRPr="00974AE4" w:rsidRDefault="00541C5B" w:rsidP="00B04400">
            <w:pPr>
              <w:pStyle w:val="Titulek"/>
              <w:rPr>
                <w:rFonts w:cs="Tahoma"/>
                <w:lang w:eastAsia="cs-CZ"/>
              </w:rPr>
            </w:pPr>
            <w:r>
              <w:br w:type="page"/>
            </w:r>
            <w:bookmarkStart w:id="231" w:name="_Toc390958773"/>
            <w:bookmarkStart w:id="232" w:name="_Toc391034577"/>
            <w:r w:rsidR="008B40B8" w:rsidRPr="00974AE4">
              <w:t xml:space="preserve">Tab. </w:t>
            </w:r>
            <w:r w:rsidR="000E79AE">
              <w:fldChar w:fldCharType="begin"/>
            </w:r>
            <w:r w:rsidR="000E79AE">
              <w:instrText xml:space="preserve"> STYLEREF 1 \s </w:instrText>
            </w:r>
            <w:r w:rsidR="000E79AE">
              <w:fldChar w:fldCharType="separate"/>
            </w:r>
            <w:r w:rsidR="003843F3">
              <w:rPr>
                <w:noProof/>
              </w:rPr>
              <w:t>5</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w:t>
            </w:r>
            <w:r w:rsidR="000E79AE">
              <w:fldChar w:fldCharType="end"/>
            </w:r>
            <w:r w:rsidR="008B40B8" w:rsidRPr="00974AE4">
              <w:t xml:space="preserve">: </w:t>
            </w:r>
            <w:r w:rsidR="008B40B8">
              <w:t>Obsazenost vlaků v jednotlivých variantách</w:t>
            </w:r>
            <w:r w:rsidR="009F038E">
              <w:t xml:space="preserve"> (průměr za den)</w:t>
            </w:r>
            <w:bookmarkEnd w:id="231"/>
            <w:bookmarkEnd w:id="232"/>
          </w:p>
        </w:tc>
      </w:tr>
      <w:tr w:rsidR="008B40B8" w:rsidRPr="00974AE4" w:rsidTr="00A5720A">
        <w:tblPrEx>
          <w:tblCellMar>
            <w:left w:w="70" w:type="dxa"/>
            <w:right w:w="70" w:type="dxa"/>
          </w:tblCellMar>
        </w:tblPrEx>
        <w:trPr>
          <w:trHeight w:val="6035"/>
        </w:trPr>
        <w:tc>
          <w:tcPr>
            <w:tcW w:w="9356" w:type="dxa"/>
            <w:shd w:val="clear" w:color="auto" w:fill="auto"/>
          </w:tcPr>
          <w:p w:rsidR="008B40B8" w:rsidRPr="00974AE4" w:rsidRDefault="006C2203" w:rsidP="00E71C25">
            <w:pPr>
              <w:pStyle w:val="Tabulkovtext"/>
              <w:jc w:val="center"/>
              <w:rPr>
                <w:rFonts w:cs="Tahoma"/>
                <w:lang w:eastAsia="cs-CZ"/>
              </w:rPr>
            </w:pPr>
            <w:r>
              <w:rPr>
                <w:noProof/>
                <w:lang w:eastAsia="cs-CZ"/>
              </w:rPr>
              <w:drawing>
                <wp:inline distT="0" distB="0" distL="0" distR="0" wp14:anchorId="0B29BF14" wp14:editId="5B941A89">
                  <wp:extent cx="5791200" cy="4943475"/>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9"/>
                          <a:srcRect r="592"/>
                          <a:stretch/>
                        </pic:blipFill>
                        <pic:spPr bwMode="auto">
                          <a:xfrm>
                            <a:off x="0" y="0"/>
                            <a:ext cx="5797326" cy="4948704"/>
                          </a:xfrm>
                          <a:prstGeom prst="rect">
                            <a:avLst/>
                          </a:prstGeom>
                          <a:ln>
                            <a:noFill/>
                          </a:ln>
                          <a:extLst>
                            <a:ext uri="{53640926-AAD7-44D8-BBD7-CCE9431645EC}">
                              <a14:shadowObscured xmlns:a14="http://schemas.microsoft.com/office/drawing/2010/main"/>
                            </a:ext>
                          </a:extLst>
                        </pic:spPr>
                      </pic:pic>
                    </a:graphicData>
                  </a:graphic>
                </wp:inline>
              </w:drawing>
            </w:r>
          </w:p>
        </w:tc>
      </w:tr>
    </w:tbl>
    <w:p w:rsidR="0046690D" w:rsidRDefault="0046690D" w:rsidP="0046690D">
      <w:r>
        <w:t xml:space="preserve">Jak je z tabulky patrné, </w:t>
      </w:r>
      <w:r w:rsidR="00CB1CF1">
        <w:t xml:space="preserve">i přes </w:t>
      </w:r>
      <w:r>
        <w:t xml:space="preserve">navýšení počtu spojů dálkové dopravy </w:t>
      </w:r>
      <w:r w:rsidR="00CB1CF1">
        <w:t xml:space="preserve">se průměrná obsazenost vlaků výrazně nezmění - z hodnoty 78 cestujících/vlak (var. Bez projektu a Minimální) </w:t>
      </w:r>
      <w:r w:rsidR="00CB1CF1" w:rsidRPr="00603BAB">
        <w:t xml:space="preserve">v Etapě </w:t>
      </w:r>
      <w:r w:rsidR="00CB1CF1">
        <w:t xml:space="preserve">mírně naroste na 82 cestujících/vlak </w:t>
      </w:r>
      <w:r w:rsidR="00181983">
        <w:t xml:space="preserve">a ve </w:t>
      </w:r>
      <w:r w:rsidR="00181983" w:rsidRPr="00F5279A">
        <w:t xml:space="preserve">var. </w:t>
      </w:r>
      <w:r>
        <w:t xml:space="preserve">Maximální </w:t>
      </w:r>
      <w:r w:rsidR="00CB1CF1">
        <w:t xml:space="preserve">mírně </w:t>
      </w:r>
      <w:r>
        <w:t xml:space="preserve">poklesne </w:t>
      </w:r>
      <w:r w:rsidR="00CB1CF1">
        <w:t xml:space="preserve">na 72 </w:t>
      </w:r>
      <w:r>
        <w:t>cestujících/vlak</w:t>
      </w:r>
      <w:r w:rsidR="00CB1CF1">
        <w:t>.</w:t>
      </w:r>
      <w:r>
        <w:t xml:space="preserve"> U vlaků regionální dopravy se v případě </w:t>
      </w:r>
      <w:r w:rsidR="00CB1CF1">
        <w:t xml:space="preserve">Etapy </w:t>
      </w:r>
      <w:r w:rsidRPr="00CB1CF1">
        <w:t>prakticky nezm</w:t>
      </w:r>
      <w:r w:rsidRPr="00CB1CF1">
        <w:rPr>
          <w:rFonts w:hint="eastAsia"/>
        </w:rPr>
        <w:t>ě</w:t>
      </w:r>
      <w:r w:rsidRPr="00CB1CF1">
        <w:t>ní</w:t>
      </w:r>
      <w:r w:rsidR="00CB1CF1">
        <w:t xml:space="preserve"> (cca 80 cestujících/vlak)</w:t>
      </w:r>
      <w:r>
        <w:t xml:space="preserve">, ve var. Maximální poklesne na </w:t>
      </w:r>
      <w:r w:rsidR="00A94555">
        <w:t xml:space="preserve">51 </w:t>
      </w:r>
      <w:r>
        <w:t>cest./vlak.</w:t>
      </w:r>
    </w:p>
    <w:p w:rsidR="005D1F1E" w:rsidRDefault="005D1F1E">
      <w:r>
        <w:t>V tabulce uvedené hodnoty</w:t>
      </w:r>
      <w:r w:rsidR="006F0A5C">
        <w:t xml:space="preserve"> </w:t>
      </w:r>
      <w:r>
        <w:t xml:space="preserve">platí pro průměrný vlak. Počty cestujících v přepravních špičkách mohou být až násobně rozdílné od přepravního sedla a špičková obsazenost vlaků tak může nabývat výrazně odlišných hodnot, a to přesto, že i počet vlaků ve špičkách je výrazně vyšší, než v období sedla. V současném návrhu </w:t>
      </w:r>
      <w:r w:rsidR="004D1B52">
        <w:t xml:space="preserve">společnosti OREDO </w:t>
      </w:r>
      <w:r>
        <w:t>doba trvání přepravní špičky (a s tím související vyšší počet vlaků) pokrývá podstatnou část dne (6 – 9 h a 13 – 19 h).</w:t>
      </w:r>
    </w:p>
    <w:p w:rsidR="00000C62" w:rsidRDefault="00684D27">
      <w:r>
        <w:t xml:space="preserve">Pro dimenzování souprav je rozhodující obsazenost v nejzatíženější špičkové hodině. </w:t>
      </w:r>
      <w:r w:rsidR="00594EA0">
        <w:t xml:space="preserve">Pro její vyjádření zpracovatel využil výsledky několika průzkumů poptávky u jiných měst v ČR, které byly </w:t>
      </w:r>
      <w:r w:rsidR="00594EA0" w:rsidRPr="00594EA0">
        <w:t>přizpůsob</w:t>
      </w:r>
      <w:r w:rsidR="00594EA0">
        <w:t>eny</w:t>
      </w:r>
      <w:r w:rsidR="00594EA0" w:rsidRPr="00594EA0">
        <w:t xml:space="preserve"> lokální</w:t>
      </w:r>
      <w:r w:rsidR="00594EA0">
        <w:t>m</w:t>
      </w:r>
      <w:r w:rsidR="00594EA0" w:rsidRPr="00594EA0">
        <w:t xml:space="preserve"> podmínk</w:t>
      </w:r>
      <w:r w:rsidR="00594EA0">
        <w:t xml:space="preserve">ám </w:t>
      </w:r>
      <w:r w:rsidR="00594EA0" w:rsidRPr="00594EA0">
        <w:t>oblasti mezi Hradcem Králov</w:t>
      </w:r>
      <w:r w:rsidR="00594EA0">
        <w:t xml:space="preserve">é a Pardubicemi (více informací je uvedeno v kap. </w:t>
      </w:r>
      <w:r w:rsidR="00000C62" w:rsidRPr="00000C62">
        <w:t>Výhledová poptávka osobní dopravy</w:t>
      </w:r>
      <w:r w:rsidR="00000C62">
        <w:t>)</w:t>
      </w:r>
      <w:r w:rsidR="00594EA0">
        <w:t xml:space="preserve"> </w:t>
      </w:r>
    </w:p>
    <w:p w:rsidR="0032570E" w:rsidRDefault="00594EA0">
      <w:r>
        <w:t>Z</w:t>
      </w:r>
      <w:r w:rsidR="00D7005E">
        <w:t xml:space="preserve"> </w:t>
      </w:r>
      <w:r w:rsidR="00D7005E" w:rsidRPr="00D7005E">
        <w:t>Obr. 5 22: Průběh poptávky během pracovního dne (% celodenního přepravního proudu/h)</w:t>
      </w:r>
      <w:r w:rsidR="00A073FE">
        <w:t xml:space="preserve"> </w:t>
      </w:r>
      <w:r>
        <w:t xml:space="preserve">je patrné, že nejzatíženější špičková hodina je mezi 7. – 8. hodinou ranní, kdy je přepraveno přibližně 10,3% </w:t>
      </w:r>
      <w:r w:rsidRPr="00594EA0">
        <w:t>cestujících z celého dne</w:t>
      </w:r>
      <w:r>
        <w:t>.</w:t>
      </w:r>
      <w:r w:rsidR="004D1B52">
        <w:t xml:space="preserve"> </w:t>
      </w:r>
      <w:r w:rsidR="007423DE">
        <w:t xml:space="preserve">Vyjádření obsazenosti souprav během </w:t>
      </w:r>
      <w:r>
        <w:t>této</w:t>
      </w:r>
      <w:r w:rsidR="007423DE">
        <w:t xml:space="preserve"> špičkov</w:t>
      </w:r>
      <w:r>
        <w:t>é</w:t>
      </w:r>
      <w:r w:rsidR="007423DE">
        <w:t xml:space="preserve"> hodin</w:t>
      </w:r>
      <w:r>
        <w:t>y</w:t>
      </w:r>
      <w:r w:rsidR="007423DE">
        <w:t xml:space="preserve"> je uvedeno v následující tabulce. Na rozdíl od jiných příměstských tratí (např. v okolí Prahy), kde v ranní špičce je vysoce zatížen směr do centra a v opačném směru jezdí vlaky málo obsazené, je v úseku Hradec Králové – Pardubice poptávka v obou směrech víceméně vyrovnaná. Je to způsobeno obdobnou velikostí obou měst, a tím pádem i obdobného počtu cestujících, kteří mezi nimi dojíždějí. Uvedené hodnoty špičkové obsazenosti tak platí pro oba dva směry. </w:t>
      </w:r>
    </w:p>
    <w:p w:rsidR="0032570E" w:rsidRDefault="0032570E">
      <w:pPr>
        <w:suppressAutoHyphens w:val="0"/>
        <w:spacing w:before="0" w:after="0" w:line="240" w:lineRule="auto"/>
        <w:jc w:val="left"/>
      </w:pPr>
      <w: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5B4460" w:rsidRPr="00BE3112" w:rsidTr="00A5720A">
        <w:tc>
          <w:tcPr>
            <w:tcW w:w="9356" w:type="dxa"/>
            <w:tcBorders>
              <w:bottom w:val="single" w:sz="4" w:space="0" w:color="000000"/>
            </w:tcBorders>
          </w:tcPr>
          <w:p w:rsidR="005B4460" w:rsidRPr="00F5279A" w:rsidRDefault="005B4460" w:rsidP="00B04400">
            <w:pPr>
              <w:pStyle w:val="Titulek"/>
              <w:rPr>
                <w:rFonts w:cs="Tahoma"/>
                <w:highlight w:val="yellow"/>
                <w:lang w:eastAsia="cs-CZ"/>
              </w:rPr>
            </w:pPr>
            <w:bookmarkStart w:id="233" w:name="_Toc390958774"/>
            <w:bookmarkStart w:id="234" w:name="_Toc391034578"/>
            <w:r w:rsidRPr="00F14B7A">
              <w:t xml:space="preserve">Tab. </w:t>
            </w:r>
            <w:r w:rsidR="000E79AE">
              <w:fldChar w:fldCharType="begin"/>
            </w:r>
            <w:r w:rsidR="000E79AE">
              <w:instrText xml:space="preserve"> STYLEREF 1 \s </w:instrText>
            </w:r>
            <w:r w:rsidR="000E79AE">
              <w:fldChar w:fldCharType="separate"/>
            </w:r>
            <w:r w:rsidR="003843F3">
              <w:rPr>
                <w:noProof/>
              </w:rPr>
              <w:t>5</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2</w:t>
            </w:r>
            <w:r w:rsidR="000E79AE">
              <w:fldChar w:fldCharType="end"/>
            </w:r>
            <w:r w:rsidRPr="00D8785B">
              <w:t>: Obsazenost vlak</w:t>
            </w:r>
            <w:r w:rsidRPr="00D8785B">
              <w:rPr>
                <w:rFonts w:hint="eastAsia"/>
              </w:rPr>
              <w:t>ů</w:t>
            </w:r>
            <w:r w:rsidRPr="00D8785B">
              <w:t xml:space="preserve"> v nejzatížen</w:t>
            </w:r>
            <w:r w:rsidRPr="00D8785B">
              <w:rPr>
                <w:rFonts w:hint="eastAsia"/>
              </w:rPr>
              <w:t>ě</w:t>
            </w:r>
            <w:r w:rsidRPr="00D8785B">
              <w:t xml:space="preserve">jší </w:t>
            </w:r>
            <w:r w:rsidRPr="00D8785B">
              <w:rPr>
                <w:rFonts w:hint="eastAsia"/>
              </w:rPr>
              <w:t>š</w:t>
            </w:r>
            <w:r w:rsidRPr="00D8785B">
              <w:t>pi</w:t>
            </w:r>
            <w:r w:rsidRPr="00D8785B">
              <w:rPr>
                <w:rFonts w:hint="eastAsia"/>
              </w:rPr>
              <w:t>č</w:t>
            </w:r>
            <w:r w:rsidRPr="00D8785B">
              <w:t>kové hodin</w:t>
            </w:r>
            <w:r w:rsidRPr="00D8785B">
              <w:rPr>
                <w:rFonts w:hint="eastAsia"/>
              </w:rPr>
              <w:t>ě</w:t>
            </w:r>
            <w:r w:rsidRPr="00D8785B">
              <w:t xml:space="preserve"> v jednotlivých variantách</w:t>
            </w:r>
            <w:bookmarkEnd w:id="233"/>
            <w:bookmarkEnd w:id="234"/>
          </w:p>
        </w:tc>
      </w:tr>
      <w:tr w:rsidR="005B4460" w:rsidRPr="00974AE4" w:rsidTr="00A5720A">
        <w:tblPrEx>
          <w:tblCellMar>
            <w:left w:w="70" w:type="dxa"/>
            <w:right w:w="70" w:type="dxa"/>
          </w:tblCellMar>
        </w:tblPrEx>
        <w:trPr>
          <w:trHeight w:val="6035"/>
        </w:trPr>
        <w:tc>
          <w:tcPr>
            <w:tcW w:w="9356" w:type="dxa"/>
            <w:shd w:val="clear" w:color="auto" w:fill="auto"/>
          </w:tcPr>
          <w:p w:rsidR="0032570E" w:rsidRPr="00974AE4" w:rsidRDefault="006C2203">
            <w:pPr>
              <w:pStyle w:val="Tabulkovtext"/>
              <w:jc w:val="center"/>
              <w:rPr>
                <w:rFonts w:cs="Tahoma"/>
                <w:lang w:eastAsia="cs-CZ"/>
              </w:rPr>
            </w:pPr>
            <w:r>
              <w:rPr>
                <w:noProof/>
                <w:lang w:eastAsia="cs-CZ"/>
              </w:rPr>
              <w:drawing>
                <wp:inline distT="0" distB="0" distL="0" distR="0" wp14:anchorId="5BCAE36B" wp14:editId="11835E0F">
                  <wp:extent cx="5873261" cy="4943789"/>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r="776"/>
                          <a:stretch/>
                        </pic:blipFill>
                        <pic:spPr bwMode="auto">
                          <a:xfrm>
                            <a:off x="0" y="0"/>
                            <a:ext cx="5876034" cy="4946123"/>
                          </a:xfrm>
                          <a:prstGeom prst="rect">
                            <a:avLst/>
                          </a:prstGeom>
                          <a:ln>
                            <a:noFill/>
                          </a:ln>
                          <a:extLst>
                            <a:ext uri="{53640926-AAD7-44D8-BBD7-CCE9431645EC}">
                              <a14:shadowObscured xmlns:a14="http://schemas.microsoft.com/office/drawing/2010/main"/>
                            </a:ext>
                          </a:extLst>
                        </pic:spPr>
                      </pic:pic>
                    </a:graphicData>
                  </a:graphic>
                </wp:inline>
              </w:drawing>
            </w:r>
          </w:p>
        </w:tc>
      </w:tr>
    </w:tbl>
    <w:p w:rsidR="005B4460" w:rsidRDefault="005B4460">
      <w:r>
        <w:t xml:space="preserve">Obsazenost v nejzatíženější špičkové hodině je logicky vyšší, než celodenní průměrné hodnoty. V dálkové dopravě se pohybuje </w:t>
      </w:r>
      <w:r w:rsidR="00594EA0">
        <w:t xml:space="preserve">v rozmezí </w:t>
      </w:r>
      <w:r w:rsidR="00A94555">
        <w:t xml:space="preserve">126 </w:t>
      </w:r>
      <w:r w:rsidR="00594EA0">
        <w:t xml:space="preserve">– 133 </w:t>
      </w:r>
      <w:r>
        <w:t>cest./vlak</w:t>
      </w:r>
      <w:r w:rsidR="00594EA0">
        <w:t xml:space="preserve"> v závislosti na variantě,</w:t>
      </w:r>
      <w:r>
        <w:t xml:space="preserve"> v regionální dopravě pak </w:t>
      </w:r>
      <w:r w:rsidR="00594EA0">
        <w:t xml:space="preserve">v rozmezí </w:t>
      </w:r>
      <w:r w:rsidR="00C254ED">
        <w:t xml:space="preserve">77 </w:t>
      </w:r>
      <w:r w:rsidR="00594EA0">
        <w:t>- 85</w:t>
      </w:r>
      <w:r>
        <w:t xml:space="preserve"> cest./vlak.</w:t>
      </w:r>
    </w:p>
    <w:p w:rsidR="005B4460" w:rsidRDefault="005B4460">
      <w:r>
        <w:t xml:space="preserve">Kapacita souprav dálkových vlaků ve výhledovém stavu není ještě známa, </w:t>
      </w:r>
      <w:r w:rsidRPr="006F0A5C">
        <w:t>neboť se na provozování těchto vlaků připravuje soutěž. Pokud by zde byly provozovány dieselové jednotky typu PESA/Desiro s kapacitou cca 120 míst, lze průměrnou hodnotu 67</w:t>
      </w:r>
      <w:r w:rsidR="00594EA0">
        <w:t xml:space="preserve"> - 81</w:t>
      </w:r>
      <w:r w:rsidRPr="006F0A5C">
        <w:t xml:space="preserve"> cest./vlak</w:t>
      </w:r>
      <w:r>
        <w:t xml:space="preserve"> a špičkovou </w:t>
      </w:r>
      <w:r w:rsidR="00594EA0">
        <w:t>123 - 133</w:t>
      </w:r>
      <w:r w:rsidRPr="006F0A5C">
        <w:t xml:space="preserve"> cest./vlak</w:t>
      </w:r>
      <w:r>
        <w:t xml:space="preserve"> </w:t>
      </w:r>
      <w:r w:rsidRPr="006F0A5C">
        <w:t xml:space="preserve">považovat za </w:t>
      </w:r>
      <w:r w:rsidR="00594EA0">
        <w:t>nedostatečnou - minimálně v době nejsilnější přepravní špičky</w:t>
      </w:r>
      <w:r w:rsidRPr="006F0A5C">
        <w:t xml:space="preserve">. </w:t>
      </w:r>
      <w:r w:rsidR="00A94555">
        <w:t xml:space="preserve">Vlaky kategorie Sp, které jsou rovněž uvažovány jako dálkové, by však měly být provozovány soupravou Regio Panter s kapacitou cca 240 míst, což se jeví jako vyhovující. </w:t>
      </w:r>
      <w:r w:rsidRPr="006F0A5C">
        <w:t xml:space="preserve">Naopak v případě zastávkových vlaků regionální dopravy, kde se </w:t>
      </w:r>
      <w:r w:rsidR="00A94555">
        <w:t xml:space="preserve">rovněž </w:t>
      </w:r>
      <w:r w:rsidRPr="006F0A5C">
        <w:t>předpokládá nasazení třívozových jednotek Regio Panter</w:t>
      </w:r>
      <w:r>
        <w:t>, se vzhledem k </w:t>
      </w:r>
      <w:r w:rsidRPr="006F0A5C">
        <w:t>průměrn</w:t>
      </w:r>
      <w:r>
        <w:t xml:space="preserve">é </w:t>
      </w:r>
      <w:r w:rsidRPr="006F0A5C">
        <w:t>hodnot</w:t>
      </w:r>
      <w:r>
        <w:t>ě obsazenosti</w:t>
      </w:r>
      <w:r w:rsidRPr="006F0A5C">
        <w:t xml:space="preserve"> 50 </w:t>
      </w:r>
      <w:r w:rsidR="00594EA0">
        <w:t xml:space="preserve">– 81 </w:t>
      </w:r>
      <w:r w:rsidRPr="006F0A5C">
        <w:t xml:space="preserve">cest./vlak </w:t>
      </w:r>
      <w:r>
        <w:t xml:space="preserve">a špičkové </w:t>
      </w:r>
      <w:r w:rsidR="00594EA0">
        <w:t>8</w:t>
      </w:r>
      <w:r>
        <w:t>2</w:t>
      </w:r>
      <w:r w:rsidR="00594EA0">
        <w:t xml:space="preserve"> </w:t>
      </w:r>
      <w:r>
        <w:t>-</w:t>
      </w:r>
      <w:r w:rsidR="00A94555">
        <w:t xml:space="preserve"> </w:t>
      </w:r>
      <w:r w:rsidR="00594EA0">
        <w:t>85</w:t>
      </w:r>
      <w:r>
        <w:t xml:space="preserve"> </w:t>
      </w:r>
      <w:r w:rsidRPr="006F0A5C">
        <w:t>cest./vlak</w:t>
      </w:r>
      <w:r>
        <w:t xml:space="preserve"> jeví jako předimenzované.</w:t>
      </w:r>
    </w:p>
    <w:p w:rsidR="00B04400" w:rsidRDefault="00B04400">
      <w:pPr>
        <w:suppressAutoHyphens w:val="0"/>
        <w:spacing w:before="0" w:after="0" w:line="240" w:lineRule="auto"/>
        <w:jc w:val="left"/>
        <w:rPr>
          <w:rFonts w:cs="Arial"/>
          <w:b/>
          <w:bCs/>
          <w:iCs/>
          <w:sz w:val="28"/>
          <w:szCs w:val="28"/>
        </w:rPr>
      </w:pPr>
      <w:bookmarkStart w:id="235" w:name="_Toc289338098"/>
      <w:r>
        <w:br w:type="page"/>
      </w:r>
    </w:p>
    <w:p w:rsidR="008B40B8" w:rsidRDefault="008B40B8" w:rsidP="008B40B8">
      <w:pPr>
        <w:pStyle w:val="Nadpis2"/>
        <w:tabs>
          <w:tab w:val="clear" w:pos="576"/>
        </w:tabs>
      </w:pPr>
      <w:bookmarkStart w:id="236" w:name="_Toc390958708"/>
      <w:r>
        <w:t>Prognóza nákladní dopravy</w:t>
      </w:r>
      <w:bookmarkEnd w:id="235"/>
      <w:bookmarkEnd w:id="236"/>
    </w:p>
    <w:p w:rsidR="008B40B8" w:rsidRDefault="008B40B8" w:rsidP="008B40B8">
      <w:r>
        <w:t xml:space="preserve">Prognóza nákladní dopravy nebyla pro účely ekonomického hodnocení zpracována, neboť realizace projektu nemá na poptávku po nákladní dopravě vliv a případné úspory z cestovních dob nákladních vlaků je možné zanedbat. </w:t>
      </w:r>
      <w:r w:rsidR="00221AFC" w:rsidRPr="006F0A5C">
        <w:t xml:space="preserve">Důležitým faktorem je dostatek kapacity pro trasování nákladních vlaků. Zde se možnosti jednotlivých projektových variant liší. Varianta </w:t>
      </w:r>
      <w:r w:rsidR="006F0A5C" w:rsidRPr="006F0A5C">
        <w:t>M</w:t>
      </w:r>
      <w:r w:rsidR="00221AFC" w:rsidRPr="006F0A5C">
        <w:t xml:space="preserve">inimální </w:t>
      </w:r>
      <w:r w:rsidR="000A2EA0" w:rsidRPr="006F0A5C">
        <w:t xml:space="preserve">zachovává možnosti současného stavu, ve kterém požadavky nákladní dopravy lze skloubit s osobní dopravou téměř po celý den. Maximální projektová varianta poskytuje dostatek kapacity pro průvoz nákladních vlaků kdykoliv během dne. </w:t>
      </w:r>
      <w:r w:rsidR="00FC6DFF">
        <w:t>Etapa (var. Maximální) sice výrazně zlepšuje</w:t>
      </w:r>
      <w:r w:rsidR="000A2EA0" w:rsidRPr="006F0A5C">
        <w:t xml:space="preserve"> kapacitu tratě, pokud ale tato bude ve špičkách ve shodě se záměry OREDA plně využita osobní dopravou, pak nákladní vlaky musejí jet v době sedel a noční době. To neplatí pro vlaky z/do odb. Plačice do/z vlečky Elektrárny Opatovice, ty projedou kdykoliv. </w:t>
      </w:r>
      <w:r w:rsidR="006F0A5C">
        <w:t xml:space="preserve">Stejně tak obsluha žst. Pardubice-Rosice n. L. (napojení logistického areálu DB Schenker v Semtíně) je možná z žst. Pardubice hl. n. po celý den. </w:t>
      </w:r>
      <w:r w:rsidR="005C32BA" w:rsidRPr="006F0A5C">
        <w:t xml:space="preserve">Tranzitní nákladní přeprava po hodnocené trati není vedena, nákladní vlaky zde </w:t>
      </w:r>
      <w:r w:rsidR="006F0A5C" w:rsidRPr="006F0A5C">
        <w:t>provozované</w:t>
      </w:r>
      <w:r w:rsidR="005C32BA" w:rsidRPr="006F0A5C">
        <w:t xml:space="preserve"> slouží k návozu a odvozu místní zátěže. Jejím objem však </w:t>
      </w:r>
      <w:r w:rsidR="00A05C1B" w:rsidRPr="006F0A5C">
        <w:t>rozhodně ne</w:t>
      </w:r>
      <w:r w:rsidR="006F0A5C" w:rsidRPr="006F0A5C">
        <w:t xml:space="preserve">ní </w:t>
      </w:r>
      <w:r w:rsidR="00A05C1B" w:rsidRPr="006F0A5C">
        <w:t xml:space="preserve">zanedbatelný - </w:t>
      </w:r>
      <w:r w:rsidRPr="006F0A5C">
        <w:t>nejdůležitější zdroje a cíle nákladní dopravy a jejich předpokládaný budoucí rozvoj jsou popsány v</w:t>
      </w:r>
      <w:r w:rsidR="00C610BE">
        <w:t> </w:t>
      </w:r>
      <w:r w:rsidRPr="006F0A5C">
        <w:t>kapitole</w:t>
      </w:r>
      <w:r w:rsidR="00C610BE">
        <w:t xml:space="preserve"> č. </w:t>
      </w:r>
      <w:r w:rsidR="00AC5CDF">
        <w:fldChar w:fldCharType="begin"/>
      </w:r>
      <w:r w:rsidR="00C610BE">
        <w:instrText xml:space="preserve"> REF _Ref347842727 \n \h </w:instrText>
      </w:r>
      <w:r w:rsidR="00AC5CDF">
        <w:fldChar w:fldCharType="separate"/>
      </w:r>
      <w:r w:rsidR="003843F3">
        <w:t>4.1.4</w:t>
      </w:r>
      <w:r w:rsidR="00AC5CDF">
        <w:fldChar w:fldCharType="end"/>
      </w:r>
      <w:r w:rsidRPr="006F0A5C">
        <w:t>.</w:t>
      </w:r>
    </w:p>
    <w:p w:rsidR="008B40B8" w:rsidRDefault="008B40B8" w:rsidP="008B40B8">
      <w:r>
        <w:t xml:space="preserve">Pro </w:t>
      </w:r>
      <w:r w:rsidR="00725A6D">
        <w:t>představu</w:t>
      </w:r>
      <w:r>
        <w:t xml:space="preserve"> o situaci v nákladní dopravě na tomto úseku je zde uveden </w:t>
      </w:r>
      <w:r w:rsidR="00725A6D">
        <w:t xml:space="preserve">graf </w:t>
      </w:r>
      <w:r>
        <w:t xml:space="preserve">vývoje </w:t>
      </w:r>
      <w:r w:rsidR="00725A6D">
        <w:t xml:space="preserve">přepravních výkonů </w:t>
      </w:r>
      <w:r>
        <w:t xml:space="preserve">v letech 2005 – 2010. </w:t>
      </w:r>
    </w:p>
    <w:tbl>
      <w:tblPr>
        <w:tblW w:w="936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66"/>
      </w:tblGrid>
      <w:tr w:rsidR="00725A6D" w:rsidTr="00E372D1">
        <w:trPr>
          <w:trHeight w:hRule="exact" w:val="286"/>
        </w:trPr>
        <w:tc>
          <w:tcPr>
            <w:tcW w:w="9366" w:type="dxa"/>
            <w:vAlign w:val="center"/>
          </w:tcPr>
          <w:p w:rsidR="00725A6D" w:rsidRPr="00714409" w:rsidRDefault="00725A6D" w:rsidP="00B04400">
            <w:pPr>
              <w:pStyle w:val="Titulek"/>
            </w:pPr>
            <w:bookmarkStart w:id="237" w:name="_Toc390958854"/>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5</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28</w:t>
            </w:r>
            <w:r w:rsidR="00AC5CDF" w:rsidRPr="00714409">
              <w:fldChar w:fldCharType="end"/>
            </w:r>
            <w:r w:rsidRPr="00714409">
              <w:t>: Přepravní výkony na relaci H. Králové – Pardubice (čisté tuno.km/rok)</w:t>
            </w:r>
            <w:bookmarkEnd w:id="237"/>
          </w:p>
        </w:tc>
      </w:tr>
      <w:tr w:rsidR="00725A6D" w:rsidTr="00725A6D">
        <w:trPr>
          <w:trHeight w:val="4911"/>
        </w:trPr>
        <w:tc>
          <w:tcPr>
            <w:tcW w:w="9366" w:type="dxa"/>
            <w:vAlign w:val="center"/>
          </w:tcPr>
          <w:p w:rsidR="00725A6D" w:rsidRDefault="000E79AE" w:rsidP="00E372D1">
            <w:pPr>
              <w:keepNext/>
              <w:tabs>
                <w:tab w:val="left" w:pos="497"/>
              </w:tabs>
              <w:spacing w:before="20" w:after="20" w:line="240" w:lineRule="auto"/>
              <w:jc w:val="center"/>
              <w:rPr>
                <w:i/>
                <w:iCs/>
                <w:sz w:val="16"/>
              </w:rPr>
            </w:pPr>
            <w:r>
              <w:rPr>
                <w:i/>
                <w:iCs/>
                <w:noProof/>
                <w:sz w:val="16"/>
                <w:lang w:eastAsia="cs-CZ"/>
              </w:rPr>
              <w:pict>
                <v:shape id="_x0000_s1127" type="#_x0000_t75" style="position:absolute;left:0;text-align:left;margin-left:11.55pt;margin-top:218.1pt;width:60.55pt;height:19.45pt;z-index:251659776;mso-position-horizontal-relative:text;mso-position-vertical-relative:text" filled="t">
                  <v:imagedata r:id="rId20" o:title=""/>
                </v:shape>
                <o:OLEObject Type="Embed" ProgID="CorelDRAW.Graphic.12" ShapeID="_x0000_s1127" DrawAspect="Content" ObjectID="_1464784076" r:id="rId101"/>
              </w:pict>
            </w:r>
            <w:r w:rsidR="004E4D1F">
              <w:rPr>
                <w:i/>
                <w:iCs/>
                <w:noProof/>
                <w:sz w:val="16"/>
                <w:lang w:eastAsia="cs-CZ"/>
              </w:rPr>
              <w:drawing>
                <wp:inline distT="0" distB="0" distL="0" distR="0" wp14:anchorId="77BC2549" wp14:editId="07EF586F">
                  <wp:extent cx="5788324" cy="3057337"/>
                  <wp:effectExtent l="0" t="0" r="0" b="0"/>
                  <wp:docPr id="12"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92286" cy="3059430"/>
                          </a:xfrm>
                          <a:prstGeom prst="rect">
                            <a:avLst/>
                          </a:prstGeom>
                          <a:noFill/>
                        </pic:spPr>
                      </pic:pic>
                    </a:graphicData>
                  </a:graphic>
                </wp:inline>
              </w:drawing>
            </w:r>
          </w:p>
        </w:tc>
      </w:tr>
    </w:tbl>
    <w:p w:rsidR="00426813" w:rsidRDefault="008B40B8">
      <w:pPr>
        <w:sectPr w:rsidR="00426813" w:rsidSect="009C7F1C">
          <w:footerReference w:type="default" r:id="rId103"/>
          <w:footnotePr>
            <w:pos w:val="beneathText"/>
          </w:footnotePr>
          <w:type w:val="continuous"/>
          <w:pgSz w:w="11905" w:h="16837" w:code="9"/>
          <w:pgMar w:top="1492" w:right="1134" w:bottom="1134" w:left="1418" w:header="709" w:footer="215" w:gutter="0"/>
          <w:cols w:space="708"/>
          <w:docGrid w:linePitch="360"/>
        </w:sectPr>
      </w:pPr>
      <w:r w:rsidRPr="00725A6D">
        <w:t>Výkony nákladní dopravy v těchto le</w:t>
      </w:r>
      <w:r w:rsidR="00725A6D" w:rsidRPr="00725A6D">
        <w:t>tech značně kolísaly, což bylo způsobeno jak dopady hospodářské krize, tak například odklony vlaků z jiných tratí, zejména I. koridoru.</w:t>
      </w:r>
      <w:r w:rsidRPr="00725A6D">
        <w:t xml:space="preserve"> Do budoucna se ve sledované oblasti neočekává významná změna poptávky po nákladní dopravě.</w:t>
      </w:r>
    </w:p>
    <w:p w:rsidR="00F54463" w:rsidRPr="00092F1A" w:rsidRDefault="00F54463" w:rsidP="006A637B">
      <w:pPr>
        <w:pStyle w:val="Nadpis1"/>
        <w:tabs>
          <w:tab w:val="clear" w:pos="716"/>
          <w:tab w:val="num" w:pos="567"/>
        </w:tabs>
        <w:ind w:hanging="716"/>
      </w:pPr>
      <w:bookmarkStart w:id="238" w:name="_Toc390958709"/>
      <w:r w:rsidRPr="00092F1A">
        <w:t>Vztah k životnímu prostředí</w:t>
      </w:r>
      <w:bookmarkEnd w:id="238"/>
    </w:p>
    <w:p w:rsidR="00F54463" w:rsidRDefault="00F54463" w:rsidP="008450FB">
      <w:pPr>
        <w:pStyle w:val="Nadpis2"/>
      </w:pPr>
      <w:bookmarkStart w:id="239" w:name="_Toc390958710"/>
      <w:r w:rsidRPr="00092F1A">
        <w:t>Vztah</w:t>
      </w:r>
      <w:r>
        <w:t xml:space="preserve"> k proceduře EIA</w:t>
      </w:r>
      <w:bookmarkEnd w:id="239"/>
    </w:p>
    <w:p w:rsidR="00C605F7" w:rsidRDefault="00C605F7" w:rsidP="00C605F7">
      <w:r>
        <w:t>Na úseku Stéblová-Opatovice byla zpracovaná následující dokumentace: Stavba „</w:t>
      </w:r>
      <w:r w:rsidRPr="00956913">
        <w:t>Modernizace trati Hradec Králové – Pardubice – Chrudim 1. stavba  zdvoukolejnění úseku Stéblová – Opatovice nad Labem</w:t>
      </w:r>
      <w:r>
        <w:t>“</w:t>
      </w:r>
      <w:r w:rsidR="0045025C">
        <w:t>,</w:t>
      </w:r>
      <w:r>
        <w:t xml:space="preserve"> bylo zprac</w:t>
      </w:r>
      <w:r w:rsidR="0045025C">
        <w:t>o</w:t>
      </w:r>
      <w:r>
        <w:t>váno o</w:t>
      </w:r>
      <w:r w:rsidRPr="00956913">
        <w:t>známení dle §6 zákona č.100/2001 Sb.</w:t>
      </w:r>
      <w:r w:rsidR="0045025C">
        <w:t xml:space="preserve"> </w:t>
      </w:r>
      <w:r w:rsidRPr="00956913">
        <w:t>o posuzování vlivů na životní prostředí</w:t>
      </w:r>
      <w:r>
        <w:t xml:space="preserve"> </w:t>
      </w:r>
      <w:r w:rsidR="0045025C">
        <w:t xml:space="preserve">a </w:t>
      </w:r>
      <w:r>
        <w:t>následně byla</w:t>
      </w:r>
      <w:r>
        <w:rPr>
          <w:sz w:val="40"/>
        </w:rPr>
        <w:t xml:space="preserve"> </w:t>
      </w:r>
      <w:r>
        <w:t>zpracována Dokumentace EIA o hodnocení vlivů na životní prostředí dle přílohy č. 4 zákona č. 100/</w:t>
      </w:r>
      <w:r w:rsidR="0045025C">
        <w:t>20</w:t>
      </w:r>
      <w:r>
        <w:t>01 Sb.ve znění zákona č. 93/2004 Sb</w:t>
      </w:r>
      <w:r w:rsidR="0045025C">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1984"/>
        <w:gridCol w:w="2126"/>
        <w:gridCol w:w="1985"/>
      </w:tblGrid>
      <w:tr w:rsidR="00C605F7" w:rsidRPr="00956913" w:rsidTr="00504C42">
        <w:tc>
          <w:tcPr>
            <w:tcW w:w="9356" w:type="dxa"/>
            <w:gridSpan w:val="4"/>
            <w:shd w:val="clear" w:color="auto" w:fill="auto"/>
          </w:tcPr>
          <w:p w:rsidR="00C605F7" w:rsidRPr="00714409" w:rsidRDefault="00E85547" w:rsidP="00B04400">
            <w:pPr>
              <w:pStyle w:val="Titulek"/>
            </w:pPr>
            <w:bookmarkStart w:id="240" w:name="_Toc390958775"/>
            <w:bookmarkStart w:id="241" w:name="_Toc391034579"/>
            <w:r w:rsidRPr="00B04400">
              <w:t xml:space="preserve">Tab. </w:t>
            </w:r>
            <w:r w:rsidR="000E79AE">
              <w:fldChar w:fldCharType="begin"/>
            </w:r>
            <w:r w:rsidR="000E79AE">
              <w:instrText xml:space="preserve"> STYLEREF 1 \s </w:instrText>
            </w:r>
            <w:r w:rsidR="000E79AE">
              <w:fldChar w:fldCharType="separate"/>
            </w:r>
            <w:r w:rsidR="003843F3">
              <w:rPr>
                <w:noProof/>
              </w:rPr>
              <w:t>6</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w:t>
            </w:r>
            <w:r w:rsidR="000E79AE">
              <w:fldChar w:fldCharType="end"/>
            </w:r>
            <w:r w:rsidR="00C605F7" w:rsidRPr="00B04400">
              <w:t>: Proces EIA podle § 8 zákona č. 100/2001Sb</w:t>
            </w:r>
            <w:bookmarkEnd w:id="240"/>
            <w:bookmarkEnd w:id="241"/>
          </w:p>
        </w:tc>
      </w:tr>
      <w:tr w:rsidR="00C605F7" w:rsidRPr="00956913" w:rsidTr="00504C42">
        <w:tc>
          <w:tcPr>
            <w:tcW w:w="3261" w:type="dxa"/>
            <w:tcBorders>
              <w:bottom w:val="single" w:sz="12" w:space="0" w:color="auto"/>
              <w:right w:val="single" w:sz="2" w:space="0" w:color="auto"/>
            </w:tcBorders>
            <w:shd w:val="clear" w:color="auto" w:fill="FFFFFF" w:themeFill="background1"/>
          </w:tcPr>
          <w:p w:rsidR="00C605F7" w:rsidRPr="00714409" w:rsidRDefault="00C605F7" w:rsidP="00504C42">
            <w:pPr>
              <w:spacing w:before="0" w:after="0" w:line="264" w:lineRule="auto"/>
              <w:jc w:val="left"/>
            </w:pPr>
            <w:r w:rsidRPr="00714409">
              <w:t>Proces EIA ke stavbě:</w:t>
            </w:r>
          </w:p>
        </w:tc>
        <w:tc>
          <w:tcPr>
            <w:tcW w:w="1984" w:type="dxa"/>
            <w:tcBorders>
              <w:left w:val="single" w:sz="2" w:space="0" w:color="auto"/>
              <w:bottom w:val="single" w:sz="12" w:space="0" w:color="auto"/>
            </w:tcBorders>
            <w:shd w:val="clear" w:color="auto" w:fill="FFFFFF" w:themeFill="background1"/>
          </w:tcPr>
          <w:p w:rsidR="00C605F7" w:rsidRPr="00714409" w:rsidRDefault="00C605F7" w:rsidP="00504C42">
            <w:pPr>
              <w:spacing w:before="0" w:after="0" w:line="264" w:lineRule="auto"/>
              <w:jc w:val="left"/>
            </w:pPr>
            <w:r w:rsidRPr="00714409">
              <w:t>Zpracovatel dokumentace:</w:t>
            </w:r>
          </w:p>
        </w:tc>
        <w:tc>
          <w:tcPr>
            <w:tcW w:w="2126" w:type="dxa"/>
            <w:tcBorders>
              <w:bottom w:val="single" w:sz="12" w:space="0" w:color="auto"/>
            </w:tcBorders>
            <w:shd w:val="clear" w:color="auto" w:fill="FFFFFF" w:themeFill="background1"/>
          </w:tcPr>
          <w:p w:rsidR="00C605F7" w:rsidRPr="00714409" w:rsidRDefault="00C605F7" w:rsidP="00504C42">
            <w:pPr>
              <w:spacing w:before="0" w:after="0" w:line="264" w:lineRule="auto"/>
              <w:jc w:val="left"/>
            </w:pPr>
            <w:r w:rsidRPr="00714409">
              <w:t>Zpracovatel posudku:</w:t>
            </w:r>
          </w:p>
        </w:tc>
        <w:tc>
          <w:tcPr>
            <w:tcW w:w="1985" w:type="dxa"/>
            <w:tcBorders>
              <w:bottom w:val="single" w:sz="12" w:space="0" w:color="auto"/>
            </w:tcBorders>
            <w:shd w:val="clear" w:color="auto" w:fill="FFFFFF" w:themeFill="background1"/>
          </w:tcPr>
          <w:p w:rsidR="00C605F7" w:rsidRPr="00714409" w:rsidRDefault="00C605F7" w:rsidP="00504C42">
            <w:pPr>
              <w:spacing w:before="0" w:after="0" w:line="264" w:lineRule="auto"/>
              <w:jc w:val="left"/>
            </w:pPr>
            <w:r w:rsidRPr="00714409">
              <w:t>Datum vydání stanoviska:</w:t>
            </w:r>
          </w:p>
        </w:tc>
      </w:tr>
      <w:tr w:rsidR="00C605F7" w:rsidRPr="00956913" w:rsidTr="00504C42">
        <w:tc>
          <w:tcPr>
            <w:tcW w:w="3261" w:type="dxa"/>
            <w:tcBorders>
              <w:top w:val="single" w:sz="12" w:space="0" w:color="auto"/>
              <w:right w:val="single" w:sz="2" w:space="0" w:color="auto"/>
            </w:tcBorders>
          </w:tcPr>
          <w:p w:rsidR="00C605F7" w:rsidRPr="00714409" w:rsidRDefault="00C605F7" w:rsidP="00504C42">
            <w:pPr>
              <w:spacing w:before="0" w:after="0" w:line="264" w:lineRule="auto"/>
              <w:jc w:val="left"/>
            </w:pPr>
            <w:r w:rsidRPr="00714409">
              <w:t>Modernizace trati Hradec Králové – Pardubice – Chrudim 1. stavba</w:t>
            </w:r>
          </w:p>
          <w:p w:rsidR="00C605F7" w:rsidRPr="00714409" w:rsidRDefault="00C605F7" w:rsidP="00504C42">
            <w:pPr>
              <w:spacing w:before="0" w:after="0" w:line="264" w:lineRule="auto"/>
              <w:jc w:val="left"/>
              <w:rPr>
                <w:color w:val="FF0000"/>
              </w:rPr>
            </w:pPr>
            <w:r w:rsidRPr="00714409">
              <w:t>zd</w:t>
            </w:r>
            <w:r w:rsidR="00A06CC3" w:rsidRPr="00714409">
              <w:t>v</w:t>
            </w:r>
            <w:r w:rsidRPr="00714409">
              <w:t>oukolejnění úseku Stéblová - Opatovice nad Labem</w:t>
            </w:r>
          </w:p>
        </w:tc>
        <w:tc>
          <w:tcPr>
            <w:tcW w:w="1984" w:type="dxa"/>
            <w:tcBorders>
              <w:top w:val="single" w:sz="12" w:space="0" w:color="auto"/>
              <w:left w:val="single" w:sz="2" w:space="0" w:color="auto"/>
            </w:tcBorders>
          </w:tcPr>
          <w:p w:rsidR="00C605F7" w:rsidRPr="00714409" w:rsidRDefault="00C605F7" w:rsidP="00504C42">
            <w:pPr>
              <w:spacing w:before="0" w:after="0" w:line="264" w:lineRule="auto"/>
              <w:jc w:val="left"/>
            </w:pPr>
            <w:r w:rsidRPr="00714409">
              <w:t>RNDr. Tomáš Bajer, CSc.</w:t>
            </w:r>
          </w:p>
        </w:tc>
        <w:tc>
          <w:tcPr>
            <w:tcW w:w="2126" w:type="dxa"/>
            <w:tcBorders>
              <w:top w:val="single" w:sz="12" w:space="0" w:color="auto"/>
            </w:tcBorders>
          </w:tcPr>
          <w:p w:rsidR="00C605F7" w:rsidRPr="00B04400" w:rsidRDefault="00504C42" w:rsidP="00504C42">
            <w:pPr>
              <w:spacing w:before="0" w:after="0" w:line="264" w:lineRule="auto"/>
              <w:jc w:val="left"/>
            </w:pPr>
            <w:r w:rsidRPr="00504C42">
              <w:t>Ing. Josef</w:t>
            </w:r>
            <w:r w:rsidR="00C605F7" w:rsidRPr="00504C42">
              <w:t xml:space="preserve"> Tomáš</w:t>
            </w:r>
            <w:r w:rsidRPr="00504C42">
              <w:t>e</w:t>
            </w:r>
            <w:r w:rsidR="00C605F7" w:rsidRPr="00504C42">
              <w:t>k, CSc. z firmy Středisko odpadů Mníšek s.r.o.</w:t>
            </w:r>
          </w:p>
        </w:tc>
        <w:tc>
          <w:tcPr>
            <w:tcW w:w="1985" w:type="dxa"/>
            <w:tcBorders>
              <w:top w:val="single" w:sz="12" w:space="0" w:color="auto"/>
            </w:tcBorders>
          </w:tcPr>
          <w:p w:rsidR="00C605F7" w:rsidRPr="00714409" w:rsidRDefault="00C605F7" w:rsidP="00504C42">
            <w:pPr>
              <w:spacing w:before="0" w:after="0" w:line="264" w:lineRule="auto"/>
              <w:jc w:val="left"/>
            </w:pPr>
            <w:r w:rsidRPr="00714409">
              <w:t>20.12.2005</w:t>
            </w:r>
          </w:p>
        </w:tc>
      </w:tr>
    </w:tbl>
    <w:p w:rsidR="00C605F7" w:rsidRPr="00C605F7" w:rsidRDefault="00C605F7" w:rsidP="00C605F7">
      <w:r w:rsidRPr="00C605F7">
        <w:rPr>
          <w:iCs/>
        </w:rPr>
        <w:t xml:space="preserve">Datum předložení oznámení: </w:t>
      </w:r>
      <w:r w:rsidRPr="00C605F7">
        <w:rPr>
          <w:iCs/>
        </w:rPr>
        <w:tab/>
      </w:r>
      <w:r w:rsidRPr="00C605F7">
        <w:rPr>
          <w:iCs/>
        </w:rPr>
        <w:tab/>
      </w:r>
      <w:r w:rsidRPr="00C605F7">
        <w:t>21.6.2004</w:t>
      </w:r>
    </w:p>
    <w:p w:rsidR="00C605F7" w:rsidRPr="00C605F7" w:rsidRDefault="00C605F7" w:rsidP="00C605F7">
      <w:r w:rsidRPr="00C605F7">
        <w:t>Datum závěru zjiš</w:t>
      </w:r>
      <w:r>
        <w:t>ťo</w:t>
      </w:r>
      <w:r w:rsidRPr="00C605F7">
        <w:t xml:space="preserve">vacího řízení: </w:t>
      </w:r>
      <w:r w:rsidRPr="00C605F7">
        <w:tab/>
        <w:t>31.8.2004</w:t>
      </w:r>
    </w:p>
    <w:p w:rsidR="00C605F7" w:rsidRPr="00C605F7" w:rsidRDefault="00C605F7" w:rsidP="00C605F7">
      <w:r w:rsidRPr="00C605F7">
        <w:rPr>
          <w:iCs/>
        </w:rPr>
        <w:t xml:space="preserve">Datum předložení dokumentace: </w:t>
      </w:r>
      <w:r w:rsidRPr="00C605F7">
        <w:rPr>
          <w:iCs/>
        </w:rPr>
        <w:tab/>
      </w:r>
      <w:r w:rsidRPr="00C605F7">
        <w:t>21.7.2005</w:t>
      </w:r>
    </w:p>
    <w:p w:rsidR="00C605F7" w:rsidRPr="00C605F7" w:rsidRDefault="00C605F7" w:rsidP="00C605F7">
      <w:r w:rsidRPr="00C605F7">
        <w:rPr>
          <w:iCs/>
        </w:rPr>
        <w:t xml:space="preserve">Datum předložení posudku: </w:t>
      </w:r>
      <w:r w:rsidRPr="00C605F7">
        <w:rPr>
          <w:iCs/>
        </w:rPr>
        <w:tab/>
      </w:r>
      <w:r w:rsidRPr="00C605F7">
        <w:rPr>
          <w:iCs/>
        </w:rPr>
        <w:tab/>
      </w:r>
      <w:r w:rsidRPr="00C605F7">
        <w:t>31.10.2005</w:t>
      </w:r>
    </w:p>
    <w:p w:rsidR="00C605F7" w:rsidRPr="00C605F7" w:rsidRDefault="00C605F7" w:rsidP="00C605F7">
      <w:r w:rsidRPr="00C605F7">
        <w:rPr>
          <w:iCs/>
        </w:rPr>
        <w:t>Datum veřejného projednání:</w:t>
      </w:r>
      <w:r w:rsidRPr="00C605F7">
        <w:rPr>
          <w:iCs/>
        </w:rPr>
        <w:tab/>
      </w:r>
      <w:r w:rsidRPr="00C605F7">
        <w:rPr>
          <w:iCs/>
        </w:rPr>
        <w:tab/>
      </w:r>
      <w:r w:rsidRPr="00C605F7">
        <w:t>6.12. 2005</w:t>
      </w:r>
    </w:p>
    <w:p w:rsidR="00C605F7" w:rsidRPr="00C605F7" w:rsidRDefault="00C605F7" w:rsidP="00C605F7">
      <w:r w:rsidRPr="00C605F7">
        <w:t xml:space="preserve">Datum vydání stanoviska: </w:t>
      </w:r>
      <w:r w:rsidRPr="00C605F7">
        <w:tab/>
      </w:r>
      <w:r w:rsidRPr="00C605F7">
        <w:tab/>
        <w:t>20.12.2005</w:t>
      </w:r>
    </w:p>
    <w:p w:rsidR="00F54463" w:rsidRDefault="00C605F7" w:rsidP="00A06CC3">
      <w:pPr>
        <w:pStyle w:val="Nadpis2"/>
      </w:pPr>
      <w:bookmarkStart w:id="242" w:name="_Toc390958711"/>
      <w:r>
        <w:t>Bioregion</w:t>
      </w:r>
      <w:bookmarkEnd w:id="242"/>
    </w:p>
    <w:p w:rsidR="00283CBF" w:rsidRPr="00283CBF" w:rsidRDefault="00283CBF" w:rsidP="00115C21">
      <w:r w:rsidRPr="009C5F2C">
        <w:t>Úsek železniční trati patří dle biogeografického členění České republiky (Culek, 1996) k </w:t>
      </w:r>
      <w:r>
        <w:t>Pardubickému</w:t>
      </w:r>
      <w:r w:rsidRPr="009C5F2C">
        <w:t xml:space="preserve"> a </w:t>
      </w:r>
      <w:r>
        <w:t xml:space="preserve">Cidlinsko-Chrudimskému </w:t>
      </w:r>
      <w:r w:rsidRPr="009C5F2C">
        <w:t>bioregionu</w:t>
      </w:r>
      <w:r w:rsidR="00754294">
        <w:t>.</w:t>
      </w:r>
    </w:p>
    <w:p w:rsidR="0045025C" w:rsidRDefault="0045025C" w:rsidP="00115C21">
      <w:pPr>
        <w:pStyle w:val="Nadpis3"/>
        <w:tabs>
          <w:tab w:val="clear" w:pos="8234"/>
          <w:tab w:val="num" w:pos="851"/>
        </w:tabs>
        <w:ind w:left="851" w:hanging="851"/>
      </w:pPr>
      <w:bookmarkStart w:id="243" w:name="_Toc333241007"/>
      <w:r w:rsidRPr="009C5F2C">
        <w:t>P</w:t>
      </w:r>
      <w:r>
        <w:t>ardubický bioregion</w:t>
      </w:r>
      <w:bookmarkEnd w:id="243"/>
    </w:p>
    <w:p w:rsidR="0045025C" w:rsidRPr="00F7115C" w:rsidRDefault="0045025C" w:rsidP="0045025C">
      <w:pPr>
        <w:pStyle w:val="Nadpis4"/>
      </w:pPr>
      <w:bookmarkStart w:id="244" w:name="_Toc41806750"/>
      <w:bookmarkStart w:id="245" w:name="_Toc68306942"/>
      <w:bookmarkStart w:id="246" w:name="_Toc329156539"/>
      <w:bookmarkStart w:id="247" w:name="_Toc329178391"/>
      <w:r w:rsidRPr="00F7115C">
        <w:t>Poloha</w:t>
      </w:r>
      <w:bookmarkEnd w:id="244"/>
      <w:bookmarkEnd w:id="245"/>
      <w:bookmarkEnd w:id="246"/>
      <w:bookmarkEnd w:id="247"/>
    </w:p>
    <w:p w:rsidR="0045025C" w:rsidRPr="00F7115C" w:rsidRDefault="0045025C" w:rsidP="0045025C">
      <w:r w:rsidRPr="00F7115C">
        <w:t>Geologické podloží bioregionu je tvořeno svrchnoturonskými slíny a slínovci, ty jsou však téměř v celé ploše překryty kvarterními sedimenty, štěrkopísky a nivními hlínami. Místy jsou štěrkopísky na povrchu převáty ve váté písky. Reliéf má charakter roviny s výškovou členitostí do 30m. Typická výška bioregionu je 200-240m.n.m.</w:t>
      </w:r>
    </w:p>
    <w:p w:rsidR="0045025C" w:rsidRPr="00F7115C" w:rsidRDefault="0045025C" w:rsidP="0045025C">
      <w:pPr>
        <w:pStyle w:val="Nadpis4"/>
      </w:pPr>
      <w:bookmarkStart w:id="248" w:name="_Toc41806751"/>
      <w:bookmarkStart w:id="249" w:name="_Toc68306943"/>
      <w:bookmarkStart w:id="250" w:name="_Toc329156540"/>
      <w:bookmarkStart w:id="251" w:name="_Toc329178392"/>
      <w:r w:rsidRPr="00F7115C">
        <w:t>Horniny a reliéf</w:t>
      </w:r>
      <w:bookmarkStart w:id="252" w:name="_Toc41806752"/>
      <w:bookmarkEnd w:id="248"/>
      <w:bookmarkEnd w:id="249"/>
      <w:bookmarkEnd w:id="250"/>
      <w:bookmarkEnd w:id="251"/>
    </w:p>
    <w:p w:rsidR="0045025C" w:rsidRPr="009C5F2C" w:rsidRDefault="0045025C" w:rsidP="0045025C">
      <w:r w:rsidRPr="00F7115C">
        <w:t>Geologické podloží v bioregionu je tvořeno svrchnoturonskými slíny a slínovci, ty jsou však téměř v celé ploše překryty kvarterními sedimenty – štěrkopísky a nivními hlínami. Místy jsou štěrkopísky n</w:t>
      </w:r>
      <w:r w:rsidR="00092F1A">
        <w:t>a povrchu převáty ve váté písky.</w:t>
      </w:r>
    </w:p>
    <w:p w:rsidR="0045025C" w:rsidRPr="00F7115C" w:rsidRDefault="0045025C" w:rsidP="0045025C">
      <w:pPr>
        <w:pStyle w:val="Nadpis4"/>
      </w:pPr>
      <w:bookmarkStart w:id="253" w:name="_Toc68306944"/>
      <w:bookmarkStart w:id="254" w:name="_Toc329156541"/>
      <w:bookmarkStart w:id="255" w:name="_Toc329178393"/>
      <w:r w:rsidRPr="00F7115C">
        <w:t>Podnebí</w:t>
      </w:r>
      <w:bookmarkEnd w:id="252"/>
      <w:bookmarkEnd w:id="253"/>
      <w:bookmarkEnd w:id="254"/>
      <w:bookmarkEnd w:id="255"/>
    </w:p>
    <w:p w:rsidR="0045025C" w:rsidRPr="00F7115C" w:rsidRDefault="0045025C" w:rsidP="0045025C">
      <w:r w:rsidRPr="00F7115C">
        <w:t>Dle Quitta leží bioregion v teplé oblasti T2. Celkově má region mezický charakter.</w:t>
      </w:r>
    </w:p>
    <w:p w:rsidR="0045025C" w:rsidRPr="00F7115C" w:rsidRDefault="0045025C" w:rsidP="0045025C">
      <w:pPr>
        <w:pStyle w:val="Nadpis4"/>
      </w:pPr>
      <w:bookmarkStart w:id="256" w:name="_Toc41806753"/>
      <w:bookmarkStart w:id="257" w:name="_Toc68306945"/>
      <w:bookmarkStart w:id="258" w:name="_Toc329156542"/>
      <w:bookmarkStart w:id="259" w:name="_Toc329178394"/>
      <w:r w:rsidRPr="00F7115C">
        <w:t>Půdy</w:t>
      </w:r>
      <w:bookmarkEnd w:id="256"/>
      <w:bookmarkEnd w:id="257"/>
      <w:bookmarkEnd w:id="258"/>
      <w:bookmarkEnd w:id="259"/>
    </w:p>
    <w:p w:rsidR="0045025C" w:rsidRPr="00F7115C" w:rsidRDefault="0045025C" w:rsidP="0045025C">
      <w:r w:rsidRPr="00F7115C">
        <w:t xml:space="preserve">V labské nivě převládá typická fluvizem, která má nápadně červený odstín. </w:t>
      </w:r>
    </w:p>
    <w:p w:rsidR="0045025C" w:rsidRPr="00F7115C" w:rsidRDefault="0045025C" w:rsidP="0045025C">
      <w:pPr>
        <w:pStyle w:val="Nadpis4"/>
      </w:pPr>
      <w:bookmarkStart w:id="260" w:name="_Toc68306946"/>
      <w:bookmarkStart w:id="261" w:name="_Toc329156543"/>
      <w:bookmarkStart w:id="262" w:name="_Toc329178395"/>
      <w:r w:rsidRPr="00F7115C">
        <w:t>Biota</w:t>
      </w:r>
      <w:bookmarkEnd w:id="260"/>
      <w:bookmarkEnd w:id="261"/>
      <w:bookmarkEnd w:id="262"/>
    </w:p>
    <w:p w:rsidR="0045025C" w:rsidRDefault="0045025C" w:rsidP="0045025C">
      <w:pPr>
        <w:rPr>
          <w:b/>
        </w:rPr>
      </w:pPr>
      <w:r w:rsidRPr="00F7115C">
        <w:t xml:space="preserve">Plocha bioregionu leží v termofytiku a zabírá značnou část fytogeografického okresu 15. Východní Polabí, fytogeografický podokres 15c. Pardubické Polabí. Vegetační stupeň je planární. Potenciální vegetací bioregionu jsou především luhy, náležející k asociaci </w:t>
      </w:r>
      <w:r w:rsidRPr="00F7115C">
        <w:rPr>
          <w:i/>
        </w:rPr>
        <w:t>Ficario-Ulmetum campestris</w:t>
      </w:r>
      <w:r w:rsidRPr="00F7115C">
        <w:t xml:space="preserve">. </w:t>
      </w:r>
    </w:p>
    <w:p w:rsidR="0045025C" w:rsidRPr="00A06CC3" w:rsidRDefault="0045025C" w:rsidP="00115C21">
      <w:pPr>
        <w:pStyle w:val="Nadpis3"/>
        <w:tabs>
          <w:tab w:val="clear" w:pos="8234"/>
          <w:tab w:val="num" w:pos="1560"/>
        </w:tabs>
        <w:ind w:hanging="8234"/>
      </w:pPr>
      <w:bookmarkStart w:id="263" w:name="_Toc333241008"/>
      <w:r w:rsidRPr="00A06CC3">
        <w:t>Cidlinsko-Chrudimský  bioregion</w:t>
      </w:r>
      <w:bookmarkEnd w:id="263"/>
    </w:p>
    <w:p w:rsidR="0045025C" w:rsidRDefault="0045025C" w:rsidP="0045025C">
      <w:pPr>
        <w:pStyle w:val="Nadpis4"/>
      </w:pPr>
      <w:bookmarkStart w:id="264" w:name="_Toc184100318"/>
      <w:r>
        <w:t>Horniny a reliéf</w:t>
      </w:r>
      <w:bookmarkEnd w:id="264"/>
    </w:p>
    <w:p w:rsidR="0045025C" w:rsidRDefault="0045025C" w:rsidP="0045025C">
      <w:r>
        <w:t>V bioregionu převažují slíny svrchního turonu až koniaku, tvrdé slínovce tvoří polohu na rozhraní obou stupňů. Reliéf ve slínech charakterizuje mírně zvlněná pahorkatina se širokými, často kotlinovitými údolími, v oblasti teras jsou typické plošiny, na spraších slabě skloněné roviny. Nad plochý reliéf ojediněle vystupují svědecké vrchy a suky. Reliéf má charakter ploché pahorkatiny s výškovou členitostí 30</w:t>
      </w:r>
      <w:r w:rsidR="00C02DCD">
        <w:t>-</w:t>
      </w:r>
      <w:smartTag w:uri="urn:schemas-microsoft-com:office:smarttags" w:element="metricconverter">
        <w:smartTagPr>
          <w:attr w:name="ProductID" w:val="75 m"/>
        </w:smartTagPr>
        <w:r>
          <w:t>75 m</w:t>
        </w:r>
      </w:smartTag>
      <w:r>
        <w:t xml:space="preserve">, při kontaktu s okolními vrchovinami a na vnitřních hřbetech má ráz až ploché vrchoviny s členitostí do </w:t>
      </w:r>
      <w:smartTag w:uri="urn:schemas-microsoft-com:office:smarttags" w:element="metricconverter">
        <w:smartTagPr>
          <w:attr w:name="ProductID" w:val="190 m"/>
        </w:smartTagPr>
        <w:r>
          <w:t>190 m</w:t>
        </w:r>
      </w:smartTag>
      <w:r>
        <w:t>. Typická výška území je 220</w:t>
      </w:r>
      <w:r w:rsidR="00C02DCD">
        <w:t>-</w:t>
      </w:r>
      <w:smartTag w:uri="urn:schemas-microsoft-com:office:smarttags" w:element="metricconverter">
        <w:smartTagPr>
          <w:attr w:name="ProductID" w:val="300 m"/>
        </w:smartTagPr>
        <w:r>
          <w:t>300 m</w:t>
        </w:r>
      </w:smartTag>
      <w:r>
        <w:t>.</w:t>
      </w:r>
    </w:p>
    <w:p w:rsidR="0045025C" w:rsidRDefault="0045025C" w:rsidP="0045025C">
      <w:pPr>
        <w:pStyle w:val="Nadpis4"/>
      </w:pPr>
      <w:bookmarkStart w:id="265" w:name="_Toc184100319"/>
      <w:r>
        <w:t>Podnebí</w:t>
      </w:r>
      <w:bookmarkEnd w:id="265"/>
    </w:p>
    <w:p w:rsidR="0045025C" w:rsidRDefault="0045025C" w:rsidP="0045025C">
      <w:r>
        <w:t xml:space="preserve">Dle Quitta leží převážná část území v teplé oblasti T 2, pouze okrajové části území leží v relativně mírně teplých oblastech MT 11, MT </w:t>
      </w:r>
      <w:smartTag w:uri="urn:schemas-microsoft-com:office:smarttags" w:element="metricconverter">
        <w:smartTagPr>
          <w:attr w:name="ProductID" w:val="10 a"/>
        </w:smartTagPr>
        <w:r>
          <w:t>10 a</w:t>
        </w:r>
      </w:smartTag>
      <w:r>
        <w:t xml:space="preserve"> MT 9. Sumy ročních srážek ukazují, že jde o území v průměru výrazně vlhčí ne</w:t>
      </w:r>
      <w:r w:rsidR="00C02DCD">
        <w:t>ž</w:t>
      </w:r>
      <w:r>
        <w:t xml:space="preserve"> bioregiony položené západněji.    </w:t>
      </w:r>
    </w:p>
    <w:p w:rsidR="0045025C" w:rsidRDefault="0045025C" w:rsidP="0045025C">
      <w:pPr>
        <w:pStyle w:val="Nadpis4"/>
      </w:pPr>
      <w:bookmarkStart w:id="266" w:name="_Toc184100320"/>
      <w:r>
        <w:t>Půdy</w:t>
      </w:r>
      <w:bookmarkEnd w:id="266"/>
    </w:p>
    <w:p w:rsidR="0045025C" w:rsidRDefault="0045025C" w:rsidP="0045025C">
      <w:r>
        <w:t xml:space="preserve">Podél středního toku Cidliny vystupují na poměrně velkých plochách černozemě černicové a šedozemě, vertické a oglejené až pelické černice, menší plochu též tvoří šedozemě severně od Hradce Králové. Charakteristické jsou velké ostrovy pararendzin typických, kambizemních i pseudoglejových. </w:t>
      </w:r>
    </w:p>
    <w:p w:rsidR="0045025C" w:rsidRDefault="0045025C" w:rsidP="0045025C">
      <w:pPr>
        <w:pStyle w:val="Nadpis4"/>
      </w:pPr>
      <w:bookmarkStart w:id="267" w:name="_Toc184100321"/>
      <w:r>
        <w:t>Biota</w:t>
      </w:r>
      <w:bookmarkEnd w:id="267"/>
    </w:p>
    <w:p w:rsidR="00C02DCD" w:rsidRDefault="0045025C" w:rsidP="0045025C">
      <w:r>
        <w:t xml:space="preserve">Bioregion leží zčásti v termofytiku, menší část se rozléhá i v mezofytiku. Vegetační stupeň dle Skalického je kolinní až suprakolinní. Potenciální přirozenou vegetací jsou dubohabřiny, představované zejména asociací </w:t>
      </w:r>
      <w:r>
        <w:rPr>
          <w:i/>
          <w:iCs/>
        </w:rPr>
        <w:t>Melampyro nemorosi-Carpinetum</w:t>
      </w:r>
      <w:r>
        <w:t xml:space="preserve">, které ve vlhčích polohách přecházejí i v asociaci </w:t>
      </w:r>
      <w:r>
        <w:rPr>
          <w:i/>
          <w:iCs/>
        </w:rPr>
        <w:t>Tilio-Betuletum</w:t>
      </w:r>
      <w:r>
        <w:t>. Přirozená náhradní vegetace je nejvíc zastoupena na vlhkých loukách.</w:t>
      </w:r>
    </w:p>
    <w:p w:rsidR="0045025C" w:rsidRDefault="00C02DCD" w:rsidP="00C02DCD">
      <w:pPr>
        <w:pStyle w:val="Nadpis2"/>
      </w:pPr>
      <w:bookmarkStart w:id="268" w:name="_Toc390958712"/>
      <w:r>
        <w:t>Zvláště chráněná území</w:t>
      </w:r>
      <w:bookmarkEnd w:id="268"/>
    </w:p>
    <w:p w:rsidR="00580152" w:rsidRDefault="00580152" w:rsidP="00580152">
      <w:r w:rsidRPr="00F7115C">
        <w:t xml:space="preserve">Zvláště chráněná území přírody jsou definována zákonem č. 114/92 Sb., o ochraně přírody a krajiny. </w:t>
      </w:r>
      <w:r w:rsidRPr="00691276">
        <w:t>Trať</w:t>
      </w:r>
      <w:r>
        <w:t xml:space="preserve"> Hradec Králové – Pardubice neprochází žádným chráněným územím ani se takové území v její blízkosti nenalézá. </w:t>
      </w:r>
      <w:r w:rsidR="0022641B">
        <w:t>Nejbližší chráněná území s kontaktem s železnicí nebo v její blízkosti jsou P</w:t>
      </w:r>
      <w:r w:rsidRPr="00691276">
        <w:t>řírodní rezervac</w:t>
      </w:r>
      <w:r w:rsidR="0022641B">
        <w:t>e</w:t>
      </w:r>
      <w:r w:rsidRPr="00691276">
        <w:t xml:space="preserve"> Habrov, další nejbližší </w:t>
      </w:r>
      <w:r w:rsidR="0022641B">
        <w:t>P</w:t>
      </w:r>
      <w:r w:rsidRPr="00691276">
        <w:t>řírodní památka Ptačí ostrovy</w:t>
      </w:r>
      <w:r>
        <w:t>,</w:t>
      </w:r>
      <w:r w:rsidR="0022641B">
        <w:t xml:space="preserve"> obě na Chrudimsku. Severně od Hradce Králové je to P</w:t>
      </w:r>
      <w:r w:rsidRPr="00691276">
        <w:t>řírodní památka Trotina.</w:t>
      </w:r>
    </w:p>
    <w:p w:rsidR="0022641B" w:rsidRDefault="0022641B" w:rsidP="0022641B">
      <w:pPr>
        <w:pStyle w:val="Nadpis2"/>
      </w:pPr>
      <w:bookmarkStart w:id="269" w:name="_Toc390958713"/>
      <w:r>
        <w:t>Natura 2000</w:t>
      </w:r>
      <w:bookmarkEnd w:id="269"/>
    </w:p>
    <w:p w:rsidR="0022641B" w:rsidRDefault="0022641B" w:rsidP="0022641B">
      <w:r w:rsidRPr="00F7115C">
        <w:t>Z hlediska NATURA 2000 záměr nezasahuje do žádné evropsky významné lokality</w:t>
      </w:r>
      <w:r w:rsidR="00BC49BB">
        <w:t xml:space="preserve"> (dále jen EVL)</w:t>
      </w:r>
      <w:r w:rsidRPr="00F7115C">
        <w:t xml:space="preserve"> ani ptačí oblasti. </w:t>
      </w:r>
      <w:r w:rsidRPr="00691276">
        <w:rPr>
          <w:b/>
        </w:rPr>
        <w:t>Nejbližší evropsky významná lokalita U Pohránovského rybníka je dotčena kabelizací PS 03-21-01</w:t>
      </w:r>
      <w:r w:rsidRPr="00F7115C">
        <w:t xml:space="preserve">. Hranice této </w:t>
      </w:r>
      <w:r w:rsidR="00BC49BB">
        <w:t xml:space="preserve">EVL </w:t>
      </w:r>
      <w:r w:rsidRPr="00F7115C">
        <w:t xml:space="preserve">je od km 6,0 do km 6,8 vedena podél osy stávající koleje. Navržený kabel je lokalizován ve vzdálenosti cca. 2,8 </w:t>
      </w:r>
      <w:smartTag w:uri="urn:schemas-microsoft-com:office:smarttags" w:element="metricconverter">
        <w:smartTagPr>
          <w:attr w:name="ProductID" w:val="-3,0 metru"/>
        </w:smartTagPr>
        <w:r w:rsidRPr="00F7115C">
          <w:t>-3,0 metru</w:t>
        </w:r>
      </w:smartTag>
      <w:r w:rsidRPr="00F7115C">
        <w:t xml:space="preserve"> od osy koleje směrem do </w:t>
      </w:r>
      <w:r w:rsidR="00BC49BB">
        <w:t>EVL</w:t>
      </w:r>
      <w:r w:rsidRPr="00F7115C">
        <w:t>. Tato EVL je vymezena pro druh lesák rumělkový (</w:t>
      </w:r>
      <w:r w:rsidRPr="00F7115C">
        <w:rPr>
          <w:rStyle w:val="lat"/>
          <w:i/>
        </w:rPr>
        <w:t>Cucujus cinnaberinus</w:t>
      </w:r>
      <w:r w:rsidRPr="00F7115C">
        <w:t>). Kabelizace nebude vyžadovat v rozsahu EVL kácení mimolesní zeleně, především nebude nutné kácet vzrostlé stromy, které by mohly sloužit zmiňovanému druhu jako útočiště.</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85"/>
      </w:tblGrid>
      <w:tr w:rsidR="0022641B" w:rsidTr="00504C42">
        <w:tc>
          <w:tcPr>
            <w:tcW w:w="9385" w:type="dxa"/>
          </w:tcPr>
          <w:p w:rsidR="0022641B" w:rsidRPr="00714409" w:rsidRDefault="00E85547" w:rsidP="00504C42">
            <w:pPr>
              <w:pStyle w:val="Titulek"/>
            </w:pPr>
            <w:bookmarkStart w:id="270" w:name="_Toc390958855"/>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6</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1</w:t>
            </w:r>
            <w:r w:rsidR="00AC5CDF" w:rsidRPr="00714409">
              <w:fldChar w:fldCharType="end"/>
            </w:r>
            <w:r w:rsidR="0022641B" w:rsidRPr="00714409">
              <w:t>: Dnešní stav lokality u EVL U Pohránovského rybníka (vpravo od tratě)</w:t>
            </w:r>
            <w:bookmarkEnd w:id="270"/>
          </w:p>
        </w:tc>
      </w:tr>
      <w:tr w:rsidR="0022641B" w:rsidTr="00504C42">
        <w:tc>
          <w:tcPr>
            <w:tcW w:w="9385" w:type="dxa"/>
          </w:tcPr>
          <w:p w:rsidR="0022641B" w:rsidRPr="00714409" w:rsidRDefault="004E4D1F" w:rsidP="00504C42">
            <w:pPr>
              <w:pStyle w:val="Nadpis5"/>
              <w:spacing w:before="120" w:after="120"/>
              <w:jc w:val="center"/>
            </w:pPr>
            <w:r>
              <w:rPr>
                <w:noProof/>
                <w:lang w:eastAsia="cs-CZ"/>
              </w:rPr>
              <w:drawing>
                <wp:inline distT="0" distB="0" distL="0" distR="0" wp14:anchorId="042057FF" wp14:editId="67DC718E">
                  <wp:extent cx="5538158" cy="4143413"/>
                  <wp:effectExtent l="19050" t="19050" r="5715" b="0"/>
                  <wp:docPr id="74" name="obrázek 74" descr="kabelizace_v_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kabelizace_v_nature"/>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541201" cy="4145689"/>
                          </a:xfrm>
                          <a:prstGeom prst="rect">
                            <a:avLst/>
                          </a:prstGeom>
                          <a:noFill/>
                          <a:ln w="6350" cmpd="sng">
                            <a:solidFill>
                              <a:srgbClr val="000000"/>
                            </a:solidFill>
                            <a:miter lim="800000"/>
                            <a:headEnd/>
                            <a:tailEnd/>
                          </a:ln>
                          <a:effectLst/>
                        </pic:spPr>
                      </pic:pic>
                    </a:graphicData>
                  </a:graphic>
                </wp:inline>
              </w:drawing>
            </w:r>
          </w:p>
        </w:tc>
      </w:tr>
    </w:tbl>
    <w:p w:rsidR="0022641B" w:rsidRDefault="0022641B" w:rsidP="0022641B">
      <w:r w:rsidRPr="00F7115C">
        <w:t xml:space="preserve">Lokalita se nachází zhruba </w:t>
      </w:r>
      <w:smartTag w:uri="urn:schemas-microsoft-com:office:smarttags" w:element="metricconverter">
        <w:smartTagPr>
          <w:attr w:name="ProductID" w:val="4,5 km"/>
        </w:smartTagPr>
        <w:r w:rsidRPr="00F7115C">
          <w:t>4,5 km</w:t>
        </w:r>
      </w:smartTag>
      <w:r w:rsidRPr="00F7115C">
        <w:t xml:space="preserve"> SSZ od centra Pardubic, mezi Pohránovem (místní část obce Srch) a Doubravicemi (místní část Pardubic) v těsné blízkosti Pohránovského rybníka, který není součástí lokality. Území je z jihozápadu ohraničeno silnicí Doubravice - Hrádek, z východu železniční tratí Pardubice - Hradec Králové.  Desítky imag, až stovka larev lesáka rumělkového (</w:t>
      </w:r>
      <w:r w:rsidRPr="00F7115C">
        <w:rPr>
          <w:i/>
        </w:rPr>
        <w:t>Cucujus cinnaberinus</w:t>
      </w:r>
      <w:r w:rsidRPr="00F7115C">
        <w:t xml:space="preserve">) se vyskytují v topolových torzech (usychající a polámané stromy po vichřici) a pařezech. Lokalita je významným hnízdištěm a především tahovou zastávkou celé řady ptáků. Populaci </w:t>
      </w:r>
      <w:r w:rsidRPr="00F7115C">
        <w:rPr>
          <w:i/>
        </w:rPr>
        <w:t>Cucujus cinnaberinus</w:t>
      </w:r>
      <w:r w:rsidRPr="00F7115C">
        <w:t xml:space="preserve"> by ohrozilo odstranění padlých a "nemocných" starých stromů jako potenciálního zdroje "nákazy" produkčního lesa houbovými chorobami a škůdci a holosečný způsob těžby</w:t>
      </w:r>
      <w:r>
        <w:t>.</w:t>
      </w:r>
    </w:p>
    <w:p w:rsidR="0022641B" w:rsidRDefault="0022641B" w:rsidP="00A06CC3">
      <w:pPr>
        <w:pStyle w:val="Nadpis2"/>
      </w:pPr>
      <w:bookmarkStart w:id="271" w:name="_Toc390958714"/>
      <w:r>
        <w:t>Významné krajinné prvky</w:t>
      </w:r>
      <w:bookmarkEnd w:id="271"/>
    </w:p>
    <w:p w:rsidR="0022641B" w:rsidRDefault="0022641B" w:rsidP="00BC49BB">
      <w:r w:rsidRPr="00F7115C">
        <w:t>Pojem Významný krajinný prvek (dále jen VKP) je definován §3 zákona č. 114/1992 Sb. v platném znění jako ekologicky, geomorfologicky nebo esteticky hodnotná část krajiny, která utváří její typický vzhled nebo přispívá k udržení její stability. VKP jsou lesy, rašeliniště, vodní toky, rybníky, jezera, údolní nivy. Dále jsou jimi jiné části krajiny, které zaregistruje podle § 6 orgán ochrany přírody jako VKP, zejména mokřady, stepní trávníky, remízy, meze, trvalé travní plochy, naleziště nerostů a zkamenělin, umělé i přirozené skalní útvary, výchozy a odkryvy. Mohou jimi být i cenné plochy porostů sídelních útvarů včetně historických zahrad a parků. Ke stavební činnosti ovlivňující VKP je nezbytný souhlas orgánu ochrany přírody.</w:t>
      </w:r>
    </w:p>
    <w:p w:rsidR="00BC49BB" w:rsidRDefault="00BC49BB" w:rsidP="00BC49BB">
      <w:pPr>
        <w:rPr>
          <w:szCs w:val="20"/>
        </w:rPr>
      </w:pPr>
      <w:r w:rsidRPr="00BC49BB">
        <w:rPr>
          <w:szCs w:val="20"/>
        </w:rPr>
        <w:t>Modernizovaná trať postupně prochází od Hradce Králové do Pardubic těmito významnými krajinnými prvky dle §3 zákona č.114/1992 Sb.</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134"/>
        <w:gridCol w:w="3969"/>
        <w:gridCol w:w="2126"/>
      </w:tblGrid>
      <w:tr w:rsidR="001950E6" w:rsidRPr="00AF04B9" w:rsidTr="00504C42">
        <w:tc>
          <w:tcPr>
            <w:tcW w:w="9356" w:type="dxa"/>
            <w:gridSpan w:val="4"/>
            <w:shd w:val="clear" w:color="auto" w:fill="FFFFFF" w:themeFill="background1"/>
          </w:tcPr>
          <w:p w:rsidR="001950E6" w:rsidRPr="00714409" w:rsidRDefault="00E85547" w:rsidP="00504C42">
            <w:pPr>
              <w:pStyle w:val="Titulek"/>
            </w:pPr>
            <w:bookmarkStart w:id="272" w:name="_Toc390958776"/>
            <w:bookmarkStart w:id="273" w:name="_Ref334173435"/>
            <w:bookmarkStart w:id="274" w:name="_Toc391034580"/>
            <w:r w:rsidRPr="00714409">
              <w:t xml:space="preserve">Tab. </w:t>
            </w:r>
            <w:r w:rsidR="000E79AE">
              <w:fldChar w:fldCharType="begin"/>
            </w:r>
            <w:r w:rsidR="000E79AE">
              <w:instrText xml:space="preserve"> STYLEREF 1 \s </w:instrText>
            </w:r>
            <w:r w:rsidR="000E79AE">
              <w:fldChar w:fldCharType="separate"/>
            </w:r>
            <w:r w:rsidR="003843F3">
              <w:rPr>
                <w:noProof/>
              </w:rPr>
              <w:t>6</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2</w:t>
            </w:r>
            <w:r w:rsidR="000E79AE">
              <w:fldChar w:fldCharType="end"/>
            </w:r>
            <w:bookmarkEnd w:id="273"/>
            <w:r w:rsidR="001950E6" w:rsidRPr="00714409">
              <w:t>: Křížení s VKP podle §3 Zákona č. 114/1992 Sb.</w:t>
            </w:r>
            <w:bookmarkEnd w:id="272"/>
            <w:bookmarkEnd w:id="274"/>
          </w:p>
        </w:tc>
      </w:tr>
      <w:tr w:rsidR="00BC49BB" w:rsidRPr="00AF04B9" w:rsidTr="00504C42">
        <w:tc>
          <w:tcPr>
            <w:tcW w:w="2127" w:type="dxa"/>
            <w:tcBorders>
              <w:bottom w:val="single" w:sz="12" w:space="0" w:color="auto"/>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Název dílčího toku</w:t>
            </w:r>
          </w:p>
        </w:tc>
        <w:tc>
          <w:tcPr>
            <w:tcW w:w="1134" w:type="dxa"/>
            <w:tcBorders>
              <w:left w:val="single" w:sz="12" w:space="0" w:color="auto"/>
              <w:bottom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Id toku</w:t>
            </w:r>
          </w:p>
        </w:tc>
        <w:tc>
          <w:tcPr>
            <w:tcW w:w="3969" w:type="dxa"/>
            <w:tcBorders>
              <w:bottom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Správce</w:t>
            </w:r>
          </w:p>
        </w:tc>
        <w:tc>
          <w:tcPr>
            <w:tcW w:w="2126" w:type="dxa"/>
            <w:tcBorders>
              <w:bottom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Povodí</w:t>
            </w:r>
          </w:p>
        </w:tc>
      </w:tr>
      <w:tr w:rsidR="00BC49BB" w:rsidRPr="00AF04B9" w:rsidTr="00504C42">
        <w:tc>
          <w:tcPr>
            <w:tcW w:w="2127" w:type="dxa"/>
            <w:tcBorders>
              <w:top w:val="single" w:sz="12" w:space="0" w:color="auto"/>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Borovinka</w:t>
            </w:r>
          </w:p>
        </w:tc>
        <w:tc>
          <w:tcPr>
            <w:tcW w:w="1134" w:type="dxa"/>
            <w:tcBorders>
              <w:top w:val="single" w:sz="12" w:space="0" w:color="auto"/>
              <w:left w:val="single" w:sz="12" w:space="0" w:color="auto"/>
            </w:tcBorders>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10174775</w:t>
            </w:r>
          </w:p>
        </w:tc>
        <w:tc>
          <w:tcPr>
            <w:tcW w:w="3969" w:type="dxa"/>
            <w:tcBorders>
              <w:top w:val="single" w:sz="12" w:space="0" w:color="auto"/>
            </w:tcBorders>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Správce ostatní</w:t>
            </w:r>
          </w:p>
        </w:tc>
        <w:tc>
          <w:tcPr>
            <w:tcW w:w="2126" w:type="dxa"/>
            <w:tcBorders>
              <w:top w:val="single" w:sz="12" w:space="0" w:color="auto"/>
            </w:tcBorders>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1-03-01-009</w:t>
            </w:r>
          </w:p>
        </w:tc>
      </w:tr>
      <w:tr w:rsidR="00BC49BB" w:rsidRPr="00AF04B9" w:rsidTr="00504C42">
        <w:tc>
          <w:tcPr>
            <w:tcW w:w="2127" w:type="dxa"/>
            <w:tcBorders>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bezejmenný tok</w:t>
            </w:r>
          </w:p>
        </w:tc>
        <w:tc>
          <w:tcPr>
            <w:tcW w:w="1134" w:type="dxa"/>
            <w:tcBorders>
              <w:left w:val="single" w:sz="12" w:space="0" w:color="auto"/>
            </w:tcBorders>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10172043</w:t>
            </w:r>
          </w:p>
        </w:tc>
        <w:tc>
          <w:tcPr>
            <w:tcW w:w="3969" w:type="dxa"/>
            <w:shd w:val="clear" w:color="auto" w:fill="FFFFFF" w:themeFill="background1"/>
          </w:tcPr>
          <w:p w:rsidR="00BC49BB" w:rsidRPr="00504C42" w:rsidRDefault="00BC49BB" w:rsidP="00504C42">
            <w:pPr>
              <w:spacing w:before="0" w:after="0" w:line="264" w:lineRule="auto"/>
              <w:rPr>
                <w:rFonts w:cs="Tahoma"/>
                <w:sz w:val="18"/>
                <w:szCs w:val="18"/>
                <w:vertAlign w:val="superscript"/>
              </w:rPr>
            </w:pPr>
            <w:r w:rsidRPr="00504C42">
              <w:rPr>
                <w:rFonts w:cs="Tahoma"/>
                <w:sz w:val="18"/>
                <w:szCs w:val="18"/>
              </w:rPr>
              <w:t xml:space="preserve">Správce vlastník </w:t>
            </w:r>
            <w:r w:rsidR="008B1E4F" w:rsidRPr="00504C42">
              <w:rPr>
                <w:rFonts w:cs="Tahoma"/>
                <w:sz w:val="18"/>
                <w:szCs w:val="18"/>
              </w:rPr>
              <w:t>hlavního odvodňovacího zařízení (dále jen HOZ)</w:t>
            </w:r>
          </w:p>
        </w:tc>
        <w:tc>
          <w:tcPr>
            <w:tcW w:w="2126"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1-03-01-009</w:t>
            </w:r>
          </w:p>
        </w:tc>
      </w:tr>
      <w:tr w:rsidR="00BC49BB" w:rsidRPr="00AF04B9" w:rsidTr="00504C42">
        <w:tc>
          <w:tcPr>
            <w:tcW w:w="2127" w:type="dxa"/>
            <w:tcBorders>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bezejmenný tok</w:t>
            </w:r>
          </w:p>
        </w:tc>
        <w:tc>
          <w:tcPr>
            <w:tcW w:w="1134" w:type="dxa"/>
            <w:tcBorders>
              <w:left w:val="single" w:sz="12" w:space="0" w:color="auto"/>
            </w:tcBorders>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10172044</w:t>
            </w:r>
          </w:p>
        </w:tc>
        <w:tc>
          <w:tcPr>
            <w:tcW w:w="3969"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Správce ostatní</w:t>
            </w:r>
          </w:p>
        </w:tc>
        <w:tc>
          <w:tcPr>
            <w:tcW w:w="2126"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1-03-01-009</w:t>
            </w:r>
          </w:p>
        </w:tc>
      </w:tr>
      <w:tr w:rsidR="00BC49BB" w:rsidRPr="00AF04B9" w:rsidTr="00504C42">
        <w:tc>
          <w:tcPr>
            <w:tcW w:w="2127" w:type="dxa"/>
            <w:tcBorders>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Malý Labský náhon</w:t>
            </w:r>
          </w:p>
        </w:tc>
        <w:tc>
          <w:tcPr>
            <w:tcW w:w="1134" w:type="dxa"/>
            <w:tcBorders>
              <w:left w:val="single" w:sz="12" w:space="0" w:color="auto"/>
            </w:tcBorders>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10100978</w:t>
            </w:r>
          </w:p>
        </w:tc>
        <w:tc>
          <w:tcPr>
            <w:tcW w:w="3969"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Správce P</w:t>
            </w:r>
            <w:r w:rsidR="008B1E4F" w:rsidRPr="00504C42">
              <w:rPr>
                <w:rFonts w:cs="Tahoma"/>
                <w:sz w:val="18"/>
                <w:szCs w:val="18"/>
              </w:rPr>
              <w:t>ovodí Labe</w:t>
            </w:r>
          </w:p>
        </w:tc>
        <w:tc>
          <w:tcPr>
            <w:tcW w:w="2126"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1-03-01-008</w:t>
            </w:r>
          </w:p>
        </w:tc>
      </w:tr>
      <w:tr w:rsidR="00BC49BB" w:rsidRPr="00AF04B9" w:rsidTr="00504C42">
        <w:tc>
          <w:tcPr>
            <w:tcW w:w="2127" w:type="dxa"/>
            <w:tcBorders>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Plačický potok</w:t>
            </w:r>
          </w:p>
        </w:tc>
        <w:tc>
          <w:tcPr>
            <w:tcW w:w="1134" w:type="dxa"/>
            <w:tcBorders>
              <w:left w:val="single" w:sz="12" w:space="0" w:color="auto"/>
            </w:tcBorders>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10185425</w:t>
            </w:r>
          </w:p>
        </w:tc>
        <w:tc>
          <w:tcPr>
            <w:tcW w:w="3969"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 xml:space="preserve">Správce </w:t>
            </w:r>
            <w:r w:rsidR="008B1E4F" w:rsidRPr="00504C42">
              <w:rPr>
                <w:rFonts w:cs="Tahoma"/>
                <w:sz w:val="18"/>
                <w:szCs w:val="18"/>
              </w:rPr>
              <w:t>Povodí Labe</w:t>
            </w:r>
          </w:p>
        </w:tc>
        <w:tc>
          <w:tcPr>
            <w:tcW w:w="2126"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1-03-01-017</w:t>
            </w:r>
          </w:p>
        </w:tc>
      </w:tr>
      <w:tr w:rsidR="00BC49BB" w:rsidRPr="00AF04B9" w:rsidTr="00504C42">
        <w:tc>
          <w:tcPr>
            <w:tcW w:w="2127" w:type="dxa"/>
            <w:tcBorders>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bezejmenný tok</w:t>
            </w:r>
          </w:p>
        </w:tc>
        <w:tc>
          <w:tcPr>
            <w:tcW w:w="1134" w:type="dxa"/>
            <w:tcBorders>
              <w:left w:val="single" w:sz="12" w:space="0" w:color="auto"/>
            </w:tcBorders>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10172102</w:t>
            </w:r>
          </w:p>
        </w:tc>
        <w:tc>
          <w:tcPr>
            <w:tcW w:w="3969"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Správce vlastník HOZ</w:t>
            </w:r>
          </w:p>
        </w:tc>
        <w:tc>
          <w:tcPr>
            <w:tcW w:w="2126"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1-03-01-019/1</w:t>
            </w:r>
          </w:p>
        </w:tc>
      </w:tr>
      <w:tr w:rsidR="00BC49BB" w:rsidRPr="00AF04B9" w:rsidTr="00504C42">
        <w:tc>
          <w:tcPr>
            <w:tcW w:w="2127" w:type="dxa"/>
            <w:tcBorders>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bezejmenný tok</w:t>
            </w:r>
          </w:p>
        </w:tc>
        <w:tc>
          <w:tcPr>
            <w:tcW w:w="1134" w:type="dxa"/>
            <w:tcBorders>
              <w:left w:val="single" w:sz="12" w:space="0" w:color="auto"/>
            </w:tcBorders>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10172093</w:t>
            </w:r>
          </w:p>
        </w:tc>
        <w:tc>
          <w:tcPr>
            <w:tcW w:w="3969"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Správce vlastník HOZ</w:t>
            </w:r>
          </w:p>
        </w:tc>
        <w:tc>
          <w:tcPr>
            <w:tcW w:w="2126"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1-03-01-019/1</w:t>
            </w:r>
          </w:p>
        </w:tc>
      </w:tr>
      <w:tr w:rsidR="00BC49BB" w:rsidTr="00504C42">
        <w:tc>
          <w:tcPr>
            <w:tcW w:w="2127" w:type="dxa"/>
            <w:tcBorders>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bezejmenný tok</w:t>
            </w:r>
          </w:p>
        </w:tc>
        <w:tc>
          <w:tcPr>
            <w:tcW w:w="1134" w:type="dxa"/>
            <w:tcBorders>
              <w:left w:val="single" w:sz="12" w:space="0" w:color="auto"/>
            </w:tcBorders>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10172094</w:t>
            </w:r>
          </w:p>
        </w:tc>
        <w:tc>
          <w:tcPr>
            <w:tcW w:w="3969"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Správce vlastník HOZ</w:t>
            </w:r>
          </w:p>
        </w:tc>
        <w:tc>
          <w:tcPr>
            <w:tcW w:w="2126"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1-03-01-019/2</w:t>
            </w:r>
          </w:p>
        </w:tc>
      </w:tr>
      <w:tr w:rsidR="00BC49BB" w:rsidTr="00504C42">
        <w:tc>
          <w:tcPr>
            <w:tcW w:w="2127" w:type="dxa"/>
            <w:tcBorders>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bezejmenný tok</w:t>
            </w:r>
          </w:p>
        </w:tc>
        <w:tc>
          <w:tcPr>
            <w:tcW w:w="1134" w:type="dxa"/>
            <w:tcBorders>
              <w:left w:val="single" w:sz="12" w:space="0" w:color="auto"/>
            </w:tcBorders>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10172114</w:t>
            </w:r>
          </w:p>
        </w:tc>
        <w:tc>
          <w:tcPr>
            <w:tcW w:w="3969"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Správce vlastník HOZ</w:t>
            </w:r>
          </w:p>
        </w:tc>
        <w:tc>
          <w:tcPr>
            <w:tcW w:w="2126"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1-03-01-019/2</w:t>
            </w:r>
          </w:p>
        </w:tc>
      </w:tr>
      <w:tr w:rsidR="00BC49BB" w:rsidTr="00504C42">
        <w:tc>
          <w:tcPr>
            <w:tcW w:w="2127" w:type="dxa"/>
            <w:tcBorders>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Opatovický kanál</w:t>
            </w:r>
          </w:p>
        </w:tc>
        <w:tc>
          <w:tcPr>
            <w:tcW w:w="1134" w:type="dxa"/>
            <w:tcBorders>
              <w:left w:val="single" w:sz="12" w:space="0" w:color="auto"/>
            </w:tcBorders>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10100146</w:t>
            </w:r>
          </w:p>
        </w:tc>
        <w:tc>
          <w:tcPr>
            <w:tcW w:w="3969"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 xml:space="preserve">Správce </w:t>
            </w:r>
            <w:r w:rsidR="008B1E4F" w:rsidRPr="00504C42">
              <w:rPr>
                <w:rFonts w:cs="Tahoma"/>
                <w:sz w:val="18"/>
                <w:szCs w:val="18"/>
              </w:rPr>
              <w:t>Povodí Labe</w:t>
            </w:r>
          </w:p>
        </w:tc>
        <w:tc>
          <w:tcPr>
            <w:tcW w:w="2126"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1-03-04-063-065</w:t>
            </w:r>
          </w:p>
        </w:tc>
      </w:tr>
      <w:tr w:rsidR="00BC49BB" w:rsidRPr="00AF04B9" w:rsidTr="00504C42">
        <w:tc>
          <w:tcPr>
            <w:tcW w:w="2127" w:type="dxa"/>
            <w:tcBorders>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bezejmenný tok</w:t>
            </w:r>
          </w:p>
        </w:tc>
        <w:tc>
          <w:tcPr>
            <w:tcW w:w="1134" w:type="dxa"/>
            <w:tcBorders>
              <w:left w:val="single" w:sz="12" w:space="0" w:color="auto"/>
            </w:tcBorders>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10174452</w:t>
            </w:r>
          </w:p>
        </w:tc>
        <w:tc>
          <w:tcPr>
            <w:tcW w:w="3969"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Správce L</w:t>
            </w:r>
            <w:r w:rsidR="008B1E4F" w:rsidRPr="00504C42">
              <w:rPr>
                <w:rFonts w:cs="Tahoma"/>
                <w:sz w:val="18"/>
                <w:szCs w:val="18"/>
              </w:rPr>
              <w:t xml:space="preserve">esy </w:t>
            </w:r>
            <w:r w:rsidRPr="00504C42">
              <w:rPr>
                <w:rFonts w:cs="Tahoma"/>
                <w:sz w:val="18"/>
                <w:szCs w:val="18"/>
              </w:rPr>
              <w:t>Č</w:t>
            </w:r>
            <w:r w:rsidR="008B1E4F" w:rsidRPr="00504C42">
              <w:rPr>
                <w:rFonts w:cs="Tahoma"/>
                <w:sz w:val="18"/>
                <w:szCs w:val="18"/>
              </w:rPr>
              <w:t>eské rep.</w:t>
            </w:r>
          </w:p>
        </w:tc>
        <w:tc>
          <w:tcPr>
            <w:tcW w:w="2126"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1-03-04-029</w:t>
            </w:r>
          </w:p>
        </w:tc>
      </w:tr>
      <w:tr w:rsidR="00BC49BB" w:rsidRPr="00AF04B9" w:rsidTr="00504C42">
        <w:tc>
          <w:tcPr>
            <w:tcW w:w="2127" w:type="dxa"/>
            <w:tcBorders>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bezejmenný tok</w:t>
            </w:r>
          </w:p>
        </w:tc>
        <w:tc>
          <w:tcPr>
            <w:tcW w:w="1134" w:type="dxa"/>
            <w:tcBorders>
              <w:left w:val="single" w:sz="12" w:space="0" w:color="auto"/>
            </w:tcBorders>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10174341</w:t>
            </w:r>
          </w:p>
        </w:tc>
        <w:tc>
          <w:tcPr>
            <w:tcW w:w="3969"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 xml:space="preserve">Správce </w:t>
            </w:r>
            <w:r w:rsidR="008B1E4F" w:rsidRPr="00504C42">
              <w:rPr>
                <w:rFonts w:cs="Tahoma"/>
                <w:sz w:val="18"/>
                <w:szCs w:val="18"/>
              </w:rPr>
              <w:t>Povodí Labe</w:t>
            </w:r>
          </w:p>
        </w:tc>
        <w:tc>
          <w:tcPr>
            <w:tcW w:w="2126" w:type="dxa"/>
            <w:shd w:val="clear" w:color="auto" w:fill="FFFFFF" w:themeFill="background1"/>
          </w:tcPr>
          <w:p w:rsidR="00BC49BB" w:rsidRPr="00504C42" w:rsidRDefault="00BC49BB" w:rsidP="00504C42">
            <w:pPr>
              <w:spacing w:before="0" w:after="0" w:line="264" w:lineRule="auto"/>
              <w:rPr>
                <w:rFonts w:cs="Tahoma"/>
                <w:sz w:val="18"/>
                <w:szCs w:val="18"/>
              </w:rPr>
            </w:pPr>
            <w:r w:rsidRPr="00504C42">
              <w:rPr>
                <w:rFonts w:cs="Tahoma"/>
                <w:sz w:val="18"/>
                <w:szCs w:val="18"/>
              </w:rPr>
              <w:t>1-03-04-029</w:t>
            </w:r>
          </w:p>
        </w:tc>
      </w:tr>
      <w:tr w:rsidR="00BC49BB" w:rsidRPr="00AF04B9" w:rsidTr="00504C42">
        <w:tc>
          <w:tcPr>
            <w:tcW w:w="2127" w:type="dxa"/>
            <w:tcBorders>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Velká strouha</w:t>
            </w:r>
          </w:p>
        </w:tc>
        <w:tc>
          <w:tcPr>
            <w:tcW w:w="1134" w:type="dxa"/>
            <w:tcBorders>
              <w:left w:val="single" w:sz="12" w:space="0" w:color="auto"/>
            </w:tcBorders>
          </w:tcPr>
          <w:p w:rsidR="00BC49BB" w:rsidRPr="00504C42" w:rsidRDefault="00BC49BB" w:rsidP="00504C42">
            <w:pPr>
              <w:spacing w:before="0" w:after="0" w:line="264" w:lineRule="auto"/>
              <w:rPr>
                <w:rFonts w:cs="Tahoma"/>
                <w:sz w:val="18"/>
                <w:szCs w:val="18"/>
              </w:rPr>
            </w:pPr>
            <w:r w:rsidRPr="00504C42">
              <w:rPr>
                <w:rFonts w:cs="Tahoma"/>
                <w:sz w:val="18"/>
                <w:szCs w:val="18"/>
              </w:rPr>
              <w:t>10100488</w:t>
            </w:r>
          </w:p>
        </w:tc>
        <w:tc>
          <w:tcPr>
            <w:tcW w:w="3969" w:type="dxa"/>
          </w:tcPr>
          <w:p w:rsidR="00BC49BB" w:rsidRPr="00504C42" w:rsidRDefault="00BC49BB" w:rsidP="00504C42">
            <w:pPr>
              <w:spacing w:before="0" w:after="0" w:line="264" w:lineRule="auto"/>
              <w:rPr>
                <w:rFonts w:cs="Tahoma"/>
                <w:sz w:val="18"/>
                <w:szCs w:val="18"/>
              </w:rPr>
            </w:pPr>
            <w:r w:rsidRPr="00504C42">
              <w:rPr>
                <w:rFonts w:cs="Tahoma"/>
                <w:sz w:val="18"/>
                <w:szCs w:val="18"/>
              </w:rPr>
              <w:t xml:space="preserve">Správce </w:t>
            </w:r>
            <w:r w:rsidR="008B1E4F" w:rsidRPr="00504C42">
              <w:rPr>
                <w:rFonts w:cs="Tahoma"/>
                <w:sz w:val="18"/>
                <w:szCs w:val="18"/>
              </w:rPr>
              <w:t>Povodí Labe</w:t>
            </w:r>
          </w:p>
        </w:tc>
        <w:tc>
          <w:tcPr>
            <w:tcW w:w="2126" w:type="dxa"/>
          </w:tcPr>
          <w:p w:rsidR="00BC49BB" w:rsidRPr="00504C42" w:rsidRDefault="00BC49BB" w:rsidP="00504C42">
            <w:pPr>
              <w:spacing w:before="0" w:after="0" w:line="264" w:lineRule="auto"/>
              <w:rPr>
                <w:rFonts w:cs="Tahoma"/>
                <w:sz w:val="18"/>
                <w:szCs w:val="18"/>
              </w:rPr>
            </w:pPr>
            <w:r w:rsidRPr="00504C42">
              <w:rPr>
                <w:rFonts w:cs="Tahoma"/>
                <w:sz w:val="18"/>
                <w:szCs w:val="18"/>
              </w:rPr>
              <w:t>1-03-04-029</w:t>
            </w:r>
          </w:p>
        </w:tc>
      </w:tr>
      <w:tr w:rsidR="00BC49BB" w:rsidRPr="00AF04B9" w:rsidTr="00504C42">
        <w:tc>
          <w:tcPr>
            <w:tcW w:w="2127" w:type="dxa"/>
            <w:tcBorders>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bezejmenný tok</w:t>
            </w:r>
          </w:p>
        </w:tc>
        <w:tc>
          <w:tcPr>
            <w:tcW w:w="1134" w:type="dxa"/>
            <w:tcBorders>
              <w:left w:val="single" w:sz="12" w:space="0" w:color="auto"/>
            </w:tcBorders>
          </w:tcPr>
          <w:p w:rsidR="00BC49BB" w:rsidRPr="00504C42" w:rsidRDefault="00BC49BB" w:rsidP="00504C42">
            <w:pPr>
              <w:spacing w:before="0" w:after="0" w:line="264" w:lineRule="auto"/>
              <w:rPr>
                <w:rFonts w:cs="Tahoma"/>
                <w:sz w:val="18"/>
                <w:szCs w:val="18"/>
              </w:rPr>
            </w:pPr>
            <w:r w:rsidRPr="00504C42">
              <w:rPr>
                <w:rFonts w:cs="Tahoma"/>
                <w:sz w:val="18"/>
                <w:szCs w:val="18"/>
              </w:rPr>
              <w:t>10174354</w:t>
            </w:r>
          </w:p>
        </w:tc>
        <w:tc>
          <w:tcPr>
            <w:tcW w:w="3969" w:type="dxa"/>
          </w:tcPr>
          <w:p w:rsidR="00BC49BB" w:rsidRPr="00504C42" w:rsidRDefault="00BC49BB" w:rsidP="00504C42">
            <w:pPr>
              <w:spacing w:before="0" w:after="0" w:line="264" w:lineRule="auto"/>
              <w:rPr>
                <w:rFonts w:cs="Tahoma"/>
                <w:sz w:val="18"/>
                <w:szCs w:val="18"/>
              </w:rPr>
            </w:pPr>
            <w:r w:rsidRPr="00504C42">
              <w:rPr>
                <w:rFonts w:cs="Tahoma"/>
                <w:sz w:val="18"/>
                <w:szCs w:val="18"/>
              </w:rPr>
              <w:t>Správce vlastník HOZ</w:t>
            </w:r>
          </w:p>
        </w:tc>
        <w:tc>
          <w:tcPr>
            <w:tcW w:w="2126" w:type="dxa"/>
          </w:tcPr>
          <w:p w:rsidR="00BC49BB" w:rsidRPr="00504C42" w:rsidRDefault="00BC49BB" w:rsidP="00504C42">
            <w:pPr>
              <w:spacing w:before="0" w:after="0" w:line="264" w:lineRule="auto"/>
              <w:rPr>
                <w:rFonts w:cs="Tahoma"/>
                <w:sz w:val="18"/>
                <w:szCs w:val="18"/>
              </w:rPr>
            </w:pPr>
            <w:r w:rsidRPr="00504C42">
              <w:rPr>
                <w:rFonts w:cs="Tahoma"/>
                <w:sz w:val="18"/>
                <w:szCs w:val="18"/>
              </w:rPr>
              <w:t>1-03-04-029</w:t>
            </w:r>
          </w:p>
        </w:tc>
      </w:tr>
      <w:tr w:rsidR="00BC49BB" w:rsidRPr="00AF04B9" w:rsidTr="00504C42">
        <w:tc>
          <w:tcPr>
            <w:tcW w:w="2127" w:type="dxa"/>
            <w:tcBorders>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Brozanský potok</w:t>
            </w:r>
          </w:p>
        </w:tc>
        <w:tc>
          <w:tcPr>
            <w:tcW w:w="1134" w:type="dxa"/>
            <w:tcBorders>
              <w:left w:val="single" w:sz="12" w:space="0" w:color="auto"/>
            </w:tcBorders>
          </w:tcPr>
          <w:p w:rsidR="00BC49BB" w:rsidRPr="00504C42" w:rsidRDefault="00BC49BB" w:rsidP="00504C42">
            <w:pPr>
              <w:spacing w:before="0" w:after="0" w:line="264" w:lineRule="auto"/>
              <w:rPr>
                <w:rFonts w:cs="Tahoma"/>
                <w:sz w:val="18"/>
                <w:szCs w:val="18"/>
              </w:rPr>
            </w:pPr>
            <w:r w:rsidRPr="00504C42">
              <w:rPr>
                <w:rFonts w:cs="Tahoma"/>
                <w:sz w:val="18"/>
                <w:szCs w:val="18"/>
              </w:rPr>
              <w:t>10185481</w:t>
            </w:r>
          </w:p>
        </w:tc>
        <w:tc>
          <w:tcPr>
            <w:tcW w:w="3969" w:type="dxa"/>
          </w:tcPr>
          <w:p w:rsidR="00BC49BB" w:rsidRPr="00504C42" w:rsidRDefault="00BC49BB" w:rsidP="00504C42">
            <w:pPr>
              <w:spacing w:before="0" w:after="0" w:line="264" w:lineRule="auto"/>
              <w:rPr>
                <w:rFonts w:cs="Tahoma"/>
                <w:sz w:val="18"/>
                <w:szCs w:val="18"/>
              </w:rPr>
            </w:pPr>
            <w:r w:rsidRPr="00504C42">
              <w:rPr>
                <w:rFonts w:cs="Tahoma"/>
                <w:sz w:val="18"/>
                <w:szCs w:val="18"/>
              </w:rPr>
              <w:t xml:space="preserve">Správce </w:t>
            </w:r>
            <w:r w:rsidR="008B1E4F" w:rsidRPr="00504C42">
              <w:rPr>
                <w:rFonts w:cs="Tahoma"/>
                <w:sz w:val="18"/>
                <w:szCs w:val="18"/>
              </w:rPr>
              <w:t>Povodí Labe</w:t>
            </w:r>
          </w:p>
        </w:tc>
        <w:tc>
          <w:tcPr>
            <w:tcW w:w="2126" w:type="dxa"/>
          </w:tcPr>
          <w:p w:rsidR="00BC49BB" w:rsidRPr="00504C42" w:rsidRDefault="00BC49BB" w:rsidP="00504C42">
            <w:pPr>
              <w:spacing w:before="0" w:after="0" w:line="264" w:lineRule="auto"/>
              <w:rPr>
                <w:rFonts w:cs="Tahoma"/>
                <w:sz w:val="18"/>
                <w:szCs w:val="18"/>
              </w:rPr>
            </w:pPr>
            <w:r w:rsidRPr="00504C42">
              <w:rPr>
                <w:rFonts w:cs="Tahoma"/>
                <w:sz w:val="18"/>
                <w:szCs w:val="18"/>
              </w:rPr>
              <w:t>1-03-04-030</w:t>
            </w:r>
          </w:p>
        </w:tc>
      </w:tr>
      <w:tr w:rsidR="00BC49BB" w:rsidTr="00504C42">
        <w:tc>
          <w:tcPr>
            <w:tcW w:w="2127" w:type="dxa"/>
            <w:tcBorders>
              <w:right w:val="single" w:sz="12" w:space="0" w:color="auto"/>
            </w:tcBorders>
            <w:shd w:val="clear" w:color="auto" w:fill="D9D9D9" w:themeFill="background1" w:themeFillShade="D9"/>
          </w:tcPr>
          <w:p w:rsidR="00BC49BB" w:rsidRPr="00504C42" w:rsidRDefault="00BC49BB" w:rsidP="00504C42">
            <w:pPr>
              <w:spacing w:before="0" w:after="0" w:line="264" w:lineRule="auto"/>
              <w:rPr>
                <w:rFonts w:cs="Tahoma"/>
                <w:sz w:val="18"/>
                <w:szCs w:val="18"/>
              </w:rPr>
            </w:pPr>
            <w:r w:rsidRPr="00504C42">
              <w:rPr>
                <w:rFonts w:cs="Tahoma"/>
                <w:sz w:val="18"/>
                <w:szCs w:val="18"/>
              </w:rPr>
              <w:t>Labe</w:t>
            </w:r>
          </w:p>
        </w:tc>
        <w:tc>
          <w:tcPr>
            <w:tcW w:w="1134" w:type="dxa"/>
            <w:tcBorders>
              <w:left w:val="single" w:sz="12" w:space="0" w:color="auto"/>
            </w:tcBorders>
          </w:tcPr>
          <w:p w:rsidR="00BC49BB" w:rsidRPr="00504C42" w:rsidRDefault="00BC49BB" w:rsidP="00504C42">
            <w:pPr>
              <w:spacing w:before="0" w:after="0" w:line="264" w:lineRule="auto"/>
              <w:rPr>
                <w:rFonts w:cs="Tahoma"/>
                <w:sz w:val="18"/>
                <w:szCs w:val="18"/>
              </w:rPr>
            </w:pPr>
            <w:r w:rsidRPr="00504C42">
              <w:rPr>
                <w:rFonts w:cs="Tahoma"/>
                <w:sz w:val="18"/>
                <w:szCs w:val="18"/>
              </w:rPr>
              <w:t>10100002</w:t>
            </w:r>
          </w:p>
        </w:tc>
        <w:tc>
          <w:tcPr>
            <w:tcW w:w="3969" w:type="dxa"/>
          </w:tcPr>
          <w:p w:rsidR="00BC49BB" w:rsidRPr="00504C42" w:rsidRDefault="00BC49BB" w:rsidP="00504C42">
            <w:pPr>
              <w:spacing w:before="0" w:after="0" w:line="264" w:lineRule="auto"/>
              <w:rPr>
                <w:rFonts w:cs="Tahoma"/>
                <w:sz w:val="18"/>
                <w:szCs w:val="18"/>
              </w:rPr>
            </w:pPr>
            <w:r w:rsidRPr="00504C42">
              <w:rPr>
                <w:rFonts w:cs="Tahoma"/>
                <w:sz w:val="18"/>
                <w:szCs w:val="18"/>
              </w:rPr>
              <w:t xml:space="preserve">Správce </w:t>
            </w:r>
            <w:r w:rsidR="008B1E4F" w:rsidRPr="00504C42">
              <w:rPr>
                <w:rFonts w:cs="Tahoma"/>
                <w:sz w:val="18"/>
                <w:szCs w:val="18"/>
              </w:rPr>
              <w:t>Povodí Labe</w:t>
            </w:r>
          </w:p>
        </w:tc>
        <w:tc>
          <w:tcPr>
            <w:tcW w:w="2126" w:type="dxa"/>
          </w:tcPr>
          <w:p w:rsidR="00BC49BB" w:rsidRPr="00504C42" w:rsidRDefault="00BC49BB" w:rsidP="00504C42">
            <w:pPr>
              <w:spacing w:before="0" w:after="0" w:line="264" w:lineRule="auto"/>
              <w:rPr>
                <w:rFonts w:cs="Tahoma"/>
                <w:sz w:val="18"/>
                <w:szCs w:val="18"/>
              </w:rPr>
            </w:pPr>
            <w:r w:rsidRPr="00504C42">
              <w:rPr>
                <w:rFonts w:cs="Tahoma"/>
                <w:sz w:val="18"/>
                <w:szCs w:val="18"/>
              </w:rPr>
              <w:t>1-03-04-001</w:t>
            </w:r>
          </w:p>
        </w:tc>
      </w:tr>
    </w:tbl>
    <w:p w:rsidR="00BC49BB" w:rsidRDefault="001950E6" w:rsidP="001950E6">
      <w:pPr>
        <w:pStyle w:val="Nadpis2"/>
      </w:pPr>
      <w:bookmarkStart w:id="275" w:name="_Toc390958715"/>
      <w:r>
        <w:t>Vliv na krajinný ráz</w:t>
      </w:r>
      <w:bookmarkEnd w:id="275"/>
    </w:p>
    <w:p w:rsidR="001950E6" w:rsidRPr="00F7115C" w:rsidRDefault="001950E6" w:rsidP="001950E6">
      <w:r w:rsidRPr="00F7115C">
        <w:t>Ochrana krajinného rázu dle §12 zákona č.114/1992 Sb. o ochraně přírody a krajiny je významnou možností orgánů ochrany přírody regulovat či ovlivňovat výstavbu a využití území nejenom ve zvláště chráněných územích, ale i ve volné krajině.</w:t>
      </w:r>
    </w:p>
    <w:p w:rsidR="001950E6" w:rsidRPr="00F7115C" w:rsidRDefault="001950E6" w:rsidP="001950E6">
      <w:pPr>
        <w:rPr>
          <w:i/>
          <w:iCs/>
        </w:rPr>
      </w:pPr>
      <w:r w:rsidRPr="00F7115C">
        <w:rPr>
          <w:i/>
          <w:iCs/>
        </w:rPr>
        <w:t>Citace dle §12 zákona č.114/1992 Sb.</w:t>
      </w:r>
    </w:p>
    <w:p w:rsidR="001950E6" w:rsidRPr="00F7115C" w:rsidRDefault="001950E6" w:rsidP="001950E6">
      <w:pPr>
        <w:rPr>
          <w:i/>
          <w:iCs/>
        </w:rPr>
      </w:pPr>
      <w:r w:rsidRPr="00F7115C">
        <w:rPr>
          <w:i/>
          <w:iCs/>
        </w:rPr>
        <w:t>Krajinný ráz, kterým je zejména přírodní, kulturní a historická charakteristika určitého místa či oblasti, je chráněn před činností snižující jeho estetickou a přírodní hodnotu. Zásahy do krajinného rázu, zejména umisťování a povolování staveb, mohou být prováděny pouze s ohledem na zachování významných krajinných prvků, zvláště chráněných území, kulturních dominant krajiny, harmonické měřítko a vztahy v krajině.</w:t>
      </w:r>
    </w:p>
    <w:p w:rsidR="001950E6" w:rsidRDefault="001950E6" w:rsidP="001950E6">
      <w:r w:rsidRPr="001950E6">
        <w:t>Úsek trati Hradec Králové</w:t>
      </w:r>
      <w:r>
        <w:t xml:space="preserve"> – </w:t>
      </w:r>
      <w:r w:rsidRPr="001950E6">
        <w:t>Pardubice</w:t>
      </w:r>
      <w:r>
        <w:t xml:space="preserve"> je </w:t>
      </w:r>
      <w:r w:rsidRPr="001950E6">
        <w:t xml:space="preserve">navržen v rovinaté krajině, která místy přechází do ploché pahorkatiny. Nadmořská výška v trase trati kolísá kolem </w:t>
      </w:r>
      <w:smartTag w:uri="urn:schemas-microsoft-com:office:smarttags" w:element="metricconverter">
        <w:smartTagPr>
          <w:attr w:name="ProductID" w:val="250 m"/>
        </w:smartTagPr>
        <w:r w:rsidRPr="001950E6">
          <w:t>250</w:t>
        </w:r>
        <w:r>
          <w:t xml:space="preserve"> </w:t>
        </w:r>
        <w:r w:rsidRPr="001950E6">
          <w:t>m</w:t>
        </w:r>
      </w:smartTag>
      <w:r w:rsidRPr="001950E6">
        <w:t>.</w:t>
      </w:r>
      <w:r>
        <w:t> </w:t>
      </w:r>
      <w:r w:rsidRPr="001950E6">
        <w:t>n.</w:t>
      </w:r>
      <w:r>
        <w:t> </w:t>
      </w:r>
      <w:r w:rsidRPr="001950E6">
        <w:t xml:space="preserve">m., nejvyšším bodem v blízkém okolí je Kunětická hora s výškou </w:t>
      </w:r>
      <w:smartTag w:uri="urn:schemas-microsoft-com:office:smarttags" w:element="metricconverter">
        <w:smartTagPr>
          <w:attr w:name="ProductID" w:val="307ﾠm"/>
        </w:smartTagPr>
        <w:r w:rsidRPr="001950E6">
          <w:t>307</w:t>
        </w:r>
        <w:r>
          <w:t> </w:t>
        </w:r>
        <w:r w:rsidRPr="001950E6">
          <w:t>m</w:t>
        </w:r>
      </w:smartTag>
      <w:r w:rsidRPr="001950E6">
        <w:t>.</w:t>
      </w:r>
      <w:r>
        <w:t> </w:t>
      </w:r>
      <w:r w:rsidRPr="001950E6">
        <w:t>n.</w:t>
      </w:r>
      <w:r>
        <w:t> </w:t>
      </w:r>
      <w:r w:rsidRPr="001950E6">
        <w:t>m. Nová kolej bude vedena převážně na nízkých náspech a v úrovni okolního terénu a spíše výj</w:t>
      </w:r>
      <w:r>
        <w:t>i</w:t>
      </w:r>
      <w:r w:rsidRPr="001950E6">
        <w:t>mečně i v mělkém zářezu.</w:t>
      </w:r>
    </w:p>
    <w:p w:rsidR="001950E6" w:rsidRDefault="001950E6" w:rsidP="001950E6">
      <w:pPr>
        <w:pStyle w:val="Nadpis2"/>
      </w:pPr>
      <w:bookmarkStart w:id="276" w:name="_Toc390958716"/>
      <w:r>
        <w:t>Půda</w:t>
      </w:r>
      <w:bookmarkEnd w:id="276"/>
    </w:p>
    <w:p w:rsidR="001950E6" w:rsidRDefault="001950E6" w:rsidP="001950E6">
      <w:r>
        <w:t xml:space="preserve">Posuzované trasy záměru respektují stávající stopu. </w:t>
      </w:r>
      <w:r w:rsidRPr="009C51AD">
        <w:t>Rozsah odnímaných ploch zemědělské a lesní půdy je požadován pro zábory mimo drážní pozemek.</w:t>
      </w:r>
      <w:r>
        <w:t xml:space="preserve"> Jedná se především o zábory pro související přeložky komunikací, resp. podchodů pro pěší a zábory generované zvoukolejněním. Vyvolané zábory zemědělské a lesní půdy budou vyhodnoceny v navazujících stupních projektové dokumentace.</w:t>
      </w:r>
    </w:p>
    <w:p w:rsidR="001950E6" w:rsidRDefault="001950E6" w:rsidP="001950E6">
      <w:r>
        <w:t>Problematika záboru zemědělského půdního fondu bude detailně řešena v dalším stupni projektové dokumentace. Pro usek Stéblová</w:t>
      </w:r>
      <w:r w:rsidR="00124A7A">
        <w:t xml:space="preserve"> – </w:t>
      </w:r>
      <w:r>
        <w:t>Opatovice</w:t>
      </w:r>
      <w:r w:rsidR="00124A7A">
        <w:t xml:space="preserve"> na Labem</w:t>
      </w:r>
      <w:r>
        <w:t xml:space="preserve"> (stavba </w:t>
      </w:r>
      <w:r w:rsidRPr="00EA59FD">
        <w:t>Modernizace trati Hradec Králové – Pardubice – Chrudim 1.stavba, zdvoukolejnění úseku Stéblová – Opatovice nad Labem</w:t>
      </w:r>
      <w:r>
        <w:t>)</w:t>
      </w:r>
      <w:r w:rsidRPr="00EA59FD">
        <w:t xml:space="preserve"> </w:t>
      </w:r>
      <w:r>
        <w:t xml:space="preserve">již byla zpracována.  Vliv stavby na </w:t>
      </w:r>
      <w:r w:rsidR="00124A7A">
        <w:t xml:space="preserve">zemědělský půdní fond a pozemky určené k plnění funkcí lesa </w:t>
      </w:r>
      <w:r>
        <w:t xml:space="preserve">je uveden v </w:t>
      </w:r>
      <w:r w:rsidRPr="00500D11">
        <w:t xml:space="preserve">samostatné dokumentaci  B.9. – „Trvalé a dočasné zábory pozemků ze </w:t>
      </w:r>
      <w:r w:rsidR="00124A7A">
        <w:t>zemědělského půdního fondu a pozemků určených k plnění funkcí lesa</w:t>
      </w:r>
      <w:r w:rsidRPr="00500D11">
        <w:t>“, jej</w:t>
      </w:r>
      <w:r>
        <w:t>ichž</w:t>
      </w:r>
      <w:r w:rsidRPr="00500D11">
        <w:t xml:space="preserve"> součástí je i pedologický průzkum.</w:t>
      </w:r>
      <w:r w:rsidRPr="00EA59FD">
        <w:t xml:space="preserve"> Dokumentace je zpracována v souladu s platnou legislativou - zákon č. 334/1992 Sb. o ochraně zemědělského půdního fondu, v platném znění, a vyhláškou č. 13/1994 Sb, kterou se upravují některé podrobnosti ochrany zemědělského půdního fondu. V dokumentaci je uveden výpočet odvodů za odnětí ze zemědělského půdního fondu, bilance skrývky a mapové zpracování.</w:t>
      </w:r>
    </w:p>
    <w:p w:rsidR="00B117DF" w:rsidRDefault="00B117DF" w:rsidP="00B117DF">
      <w:pPr>
        <w:pStyle w:val="Nadpis2"/>
      </w:pPr>
      <w:bookmarkStart w:id="277" w:name="_Toc390958717"/>
      <w:r>
        <w:t>Vlivy na památky a archeologické nálezy</w:t>
      </w:r>
      <w:bookmarkEnd w:id="277"/>
    </w:p>
    <w:p w:rsidR="00B117DF" w:rsidRDefault="00B117DF" w:rsidP="000D62F1">
      <w:pPr>
        <w:pStyle w:val="Nadpis3"/>
        <w:ind w:hanging="8234"/>
      </w:pPr>
      <w:r>
        <w:t>Archeologie</w:t>
      </w:r>
    </w:p>
    <w:p w:rsidR="00B117DF" w:rsidRPr="00F7115C" w:rsidRDefault="00B117DF" w:rsidP="00B117DF">
      <w:r w:rsidRPr="00F7115C">
        <w:t>Území, na kterém se stavba uskuteční je nutné pokládat za území s archeologickými nálezy ve smyslu §22 odst. 2, zákona č. 20/1997 Sb., je nutno pro stavbu zajistit archeologický dozor, dle vyjádření N</w:t>
      </w:r>
      <w:r>
        <w:t xml:space="preserve">árodního památkového ústavu </w:t>
      </w:r>
      <w:r w:rsidRPr="00F7115C">
        <w:t>v Pardubicích (</w:t>
      </w:r>
      <w:r w:rsidR="003267F4">
        <w:t>kopie zařazena v dokladové části</w:t>
      </w:r>
      <w:r w:rsidRPr="00F7115C">
        <w:t xml:space="preserve">).  </w:t>
      </w:r>
    </w:p>
    <w:p w:rsidR="00631EAB" w:rsidRDefault="00B117DF" w:rsidP="00D20948">
      <w:pPr>
        <w:numPr>
          <w:ilvl w:val="0"/>
          <w:numId w:val="26"/>
        </w:numPr>
        <w:suppressAutoHyphens w:val="0"/>
        <w:spacing w:before="0" w:after="0" w:line="240" w:lineRule="auto"/>
        <w:ind w:hanging="720"/>
      </w:pPr>
      <w:r w:rsidRPr="00F7115C">
        <w:t>hlásit případné archeologické nálezy</w:t>
      </w:r>
    </w:p>
    <w:p w:rsidR="00631EAB" w:rsidRDefault="00B117DF" w:rsidP="00D20948">
      <w:pPr>
        <w:numPr>
          <w:ilvl w:val="0"/>
          <w:numId w:val="25"/>
        </w:numPr>
        <w:suppressAutoHyphens w:val="0"/>
        <w:spacing w:before="0" w:after="0" w:line="240" w:lineRule="auto"/>
        <w:ind w:hanging="720"/>
      </w:pPr>
      <w:r w:rsidRPr="00F7115C">
        <w:t>umožnit záchranný archeologický výzkum</w:t>
      </w:r>
    </w:p>
    <w:p w:rsidR="00631EAB" w:rsidRDefault="00B117DF" w:rsidP="00D20948">
      <w:pPr>
        <w:numPr>
          <w:ilvl w:val="0"/>
          <w:numId w:val="25"/>
        </w:numPr>
        <w:suppressAutoHyphens w:val="0"/>
        <w:spacing w:before="0" w:after="0" w:line="240" w:lineRule="auto"/>
        <w:ind w:hanging="720"/>
      </w:pPr>
      <w:r w:rsidRPr="00F7115C">
        <w:t>zajistit archeologický dozor</w:t>
      </w:r>
    </w:p>
    <w:p w:rsidR="00631EAB" w:rsidRDefault="00B117DF" w:rsidP="00D20948">
      <w:pPr>
        <w:numPr>
          <w:ilvl w:val="0"/>
          <w:numId w:val="25"/>
        </w:numPr>
        <w:suppressAutoHyphens w:val="0"/>
        <w:spacing w:before="0" w:after="0" w:line="240" w:lineRule="auto"/>
        <w:ind w:hanging="720"/>
      </w:pPr>
      <w:r w:rsidRPr="00F7115C">
        <w:t>úhrada záchranného archeologického výzkumu se řídí ustanovením §22 odst. 2 zákona č.20/1987Sb</w:t>
      </w:r>
    </w:p>
    <w:p w:rsidR="00631EAB" w:rsidRDefault="00B117DF" w:rsidP="00D20948">
      <w:pPr>
        <w:numPr>
          <w:ilvl w:val="0"/>
          <w:numId w:val="25"/>
        </w:numPr>
        <w:suppressAutoHyphens w:val="0"/>
        <w:spacing w:before="0" w:after="0" w:line="240" w:lineRule="auto"/>
        <w:ind w:hanging="720"/>
      </w:pPr>
      <w:r w:rsidRPr="00F7115C">
        <w:t xml:space="preserve">stavebník zkontaktuje některé z archeologických pracovišť, které je v dotčeném území oprávněno provádět záchranný archeologický výzkum. Nejpozději 30 dnů před zahájením zemních prací bude s vybraným pracovištěm uzavřena dohoda o podmínkách </w:t>
      </w:r>
      <w:r w:rsidR="00501992">
        <w:t>záchranného archeologického výzkumu</w:t>
      </w:r>
      <w:r w:rsidRPr="00F7115C">
        <w:t>. Stavebník bude N</w:t>
      </w:r>
      <w:r w:rsidR="00501992">
        <w:t xml:space="preserve">árodní památkový ústav </w:t>
      </w:r>
      <w:r w:rsidRPr="00F7115C">
        <w:t xml:space="preserve">v Pardubicích a </w:t>
      </w:r>
      <w:r w:rsidR="00501992">
        <w:t>K</w:t>
      </w:r>
      <w:r w:rsidRPr="00F7115C">
        <w:t>rajský úřad informovat, s kým dohodu uzavřel.</w:t>
      </w:r>
    </w:p>
    <w:p w:rsidR="00631EAB" w:rsidRDefault="00B117DF" w:rsidP="00D20948">
      <w:pPr>
        <w:numPr>
          <w:ilvl w:val="0"/>
          <w:numId w:val="25"/>
        </w:numPr>
        <w:suppressAutoHyphens w:val="0"/>
        <w:spacing w:before="0" w:after="0" w:line="240" w:lineRule="auto"/>
        <w:ind w:hanging="720"/>
      </w:pPr>
      <w:r w:rsidRPr="00F7115C">
        <w:t xml:space="preserve">Stavebník předloží archeologem vyhotovenou závěrečnou zprávu jako doklad záchranného výzkumu a to zástupcům státní správy, při kolaudačním řízení. </w:t>
      </w:r>
    </w:p>
    <w:p w:rsidR="00B117DF" w:rsidRPr="00F7115C" w:rsidRDefault="00B117DF" w:rsidP="00B117DF">
      <w:pPr>
        <w:pStyle w:val="Style1"/>
        <w:rPr>
          <w:highlight w:val="yellow"/>
        </w:rPr>
      </w:pPr>
    </w:p>
    <w:p w:rsidR="00B117DF" w:rsidRPr="00F7115C" w:rsidRDefault="00501992" w:rsidP="00B117DF">
      <w:pPr>
        <w:rPr>
          <w:i/>
        </w:rPr>
      </w:pPr>
      <w:r>
        <w:rPr>
          <w:i/>
        </w:rPr>
        <w:t xml:space="preserve">Citace </w:t>
      </w:r>
      <w:r w:rsidR="00B117DF" w:rsidRPr="00F7115C">
        <w:rPr>
          <w:i/>
        </w:rPr>
        <w:t xml:space="preserve">odst.2 </w:t>
      </w:r>
      <w:r>
        <w:rPr>
          <w:i/>
        </w:rPr>
        <w:t>§</w:t>
      </w:r>
      <w:r w:rsidR="00B117DF" w:rsidRPr="00F7115C">
        <w:rPr>
          <w:i/>
        </w:rPr>
        <w:t>22 zákon</w:t>
      </w:r>
      <w:r>
        <w:rPr>
          <w:i/>
        </w:rPr>
        <w:t>a</w:t>
      </w:r>
      <w:r w:rsidR="00B117DF" w:rsidRPr="00F7115C">
        <w:rPr>
          <w:i/>
        </w:rPr>
        <w:t xml:space="preserve"> č.20/1987 Sb.</w:t>
      </w:r>
      <w:r>
        <w:rPr>
          <w:i/>
        </w:rPr>
        <w:t>:</w:t>
      </w:r>
    </w:p>
    <w:p w:rsidR="00B117DF" w:rsidRDefault="00B117DF" w:rsidP="00B117DF">
      <w:pPr>
        <w:rPr>
          <w:i/>
        </w:rPr>
      </w:pPr>
      <w:r w:rsidRPr="00192001">
        <w:rPr>
          <w:i/>
        </w:rPr>
        <w:t>Má-li se provádět stavební činnost na území s archeologickými nálezy, jsou stavebníci již od doby přípravy stavby povinni tento záměr oznámit Archeologickému ústavu a umožnit jemu nebo oprávněné organizaci provést na dotčeném území záchranný archeologický výzkum. Je-li stavebníkem právnická osoba nebo fyzická osoba, při jejímž podnikání vznikla nutnost archeologického výzkumu, hradí náklady záchranného archeologického výzkumu tento stavebník, jinak hradí náklady organizace provádějící archeologický výzkum.</w:t>
      </w:r>
    </w:p>
    <w:p w:rsidR="002E1CD4" w:rsidRDefault="002E1CD4">
      <w:pPr>
        <w:suppressAutoHyphens w:val="0"/>
        <w:spacing w:before="0" w:after="0" w:line="240" w:lineRule="auto"/>
        <w:jc w:val="left"/>
        <w:rPr>
          <w:b/>
          <w:bCs/>
          <w:sz w:val="24"/>
        </w:rPr>
      </w:pPr>
      <w:r>
        <w:br w:type="page"/>
      </w:r>
    </w:p>
    <w:p w:rsidR="00501992" w:rsidRDefault="00501992" w:rsidP="000D62F1">
      <w:pPr>
        <w:pStyle w:val="Nadpis3"/>
        <w:ind w:hanging="8234"/>
      </w:pPr>
      <w:r>
        <w:t>Památky</w:t>
      </w:r>
    </w:p>
    <w:p w:rsidR="00501992" w:rsidRPr="00501992" w:rsidRDefault="00501992" w:rsidP="00501992">
      <w:pPr>
        <w:rPr>
          <w:b/>
        </w:rPr>
      </w:pPr>
      <w:r w:rsidRPr="00501992">
        <w:rPr>
          <w:b/>
        </w:rPr>
        <w:t xml:space="preserve">Opatovický kanál </w:t>
      </w:r>
    </w:p>
    <w:p w:rsidR="00501992" w:rsidRDefault="00501992" w:rsidP="00501992">
      <w:r w:rsidRPr="00F7115C">
        <w:t xml:space="preserve">Opatovický kanál vytéká z Labe u Opatovického jezu </w:t>
      </w:r>
      <w:r>
        <w:t xml:space="preserve">blízko Opatovice nad Labem </w:t>
      </w:r>
      <w:r w:rsidRPr="00F7115C">
        <w:t xml:space="preserve">a do Labe ústí u Semína za Přeloučí. Byl vybudován v 1. polovině 16. století jako zdroj vody pro rozsáhlou rybníční soustavu Pardubického panství, ze které se zachovala do současnosti jenom torza. Nejrozsáhlejší zachovalá část jsou Bohdanečské rybníky. Opatovický kanál je v celé délce plně funkční. Opatovický kanál je nemovitou kulturní památkou zapsanou v seznamu nemovitých kulturních památek východočeského kraje, rejstříkové číslo 4411. Trať kříží Opatovický kanál mostním objektem SO 04-38-03 v km </w:t>
      </w:r>
      <w:smartTag w:uri="urn:schemas-microsoft-com:office:smarttags" w:element="metricconverter">
        <w:smartTagPr>
          <w:attr w:name="ProductID" w:val="12,849 a"/>
        </w:smartTagPr>
        <w:r w:rsidRPr="00F7115C">
          <w:t>12,849</w:t>
        </w:r>
        <w:r>
          <w:t xml:space="preserve"> a</w:t>
        </w:r>
      </w:smartTag>
      <w:r>
        <w:t xml:space="preserve"> lávkou pro pěší SO 04-38-09</w:t>
      </w:r>
      <w:r w:rsidRPr="00F7115C">
        <w:t>.</w:t>
      </w:r>
    </w:p>
    <w:p w:rsidR="00501992" w:rsidRDefault="00501992" w:rsidP="00501992">
      <w:pPr>
        <w:pStyle w:val="Nadpis2"/>
      </w:pPr>
      <w:bookmarkStart w:id="278" w:name="_Toc390958718"/>
      <w:r>
        <w:t>Voda</w:t>
      </w:r>
      <w:bookmarkEnd w:id="278"/>
    </w:p>
    <w:p w:rsidR="00501992" w:rsidRDefault="00501992" w:rsidP="000D62F1">
      <w:pPr>
        <w:pStyle w:val="Nadpis3"/>
        <w:ind w:hanging="8234"/>
      </w:pPr>
      <w:r>
        <w:t>Povrchové vody</w:t>
      </w:r>
    </w:p>
    <w:p w:rsidR="00501992" w:rsidRDefault="00501992" w:rsidP="00501992">
      <w:pPr>
        <w:pStyle w:val="Nadpis4"/>
      </w:pPr>
      <w:r>
        <w:t>Hydrologická povodí</w:t>
      </w:r>
    </w:p>
    <w:p w:rsidR="00501992" w:rsidRDefault="00501992" w:rsidP="00501992">
      <w:r w:rsidRPr="005B1EC5">
        <w:t>Zájmové území stavby leží v povodí Labe od Orlice po Loučnou (čhp 1-03-01), v povodí Labe od Chrudimky po Doubravu (čhp 1-03-04)</w:t>
      </w:r>
      <w:r>
        <w:t xml:space="preserve">. </w:t>
      </w:r>
      <w:r w:rsidRPr="005B1EC5">
        <w:t>Modernizovaná trať postupně prochází od Hradce Králové do Pardubic</w:t>
      </w:r>
      <w:r>
        <w:t xml:space="preserve"> </w:t>
      </w:r>
      <w:r w:rsidRPr="005B1EC5">
        <w:t>dílčími povodími</w:t>
      </w:r>
      <w:r>
        <w:t xml:space="preserve">, které jsou uvedeny výše v </w:t>
      </w:r>
      <w:r w:rsidR="00AC5CDF">
        <w:fldChar w:fldCharType="begin"/>
      </w:r>
      <w:r>
        <w:instrText xml:space="preserve"> REF _Ref334173435 \h </w:instrText>
      </w:r>
      <w:r w:rsidR="00AC5CDF">
        <w:fldChar w:fldCharType="separate"/>
      </w:r>
      <w:r w:rsidR="003843F3" w:rsidRPr="00714409">
        <w:t xml:space="preserve">Tab. </w:t>
      </w:r>
      <w:r w:rsidR="003843F3">
        <w:rPr>
          <w:noProof/>
        </w:rPr>
        <w:t>6</w:t>
      </w:r>
      <w:r w:rsidR="003843F3">
        <w:noBreakHyphen/>
      </w:r>
      <w:r w:rsidR="003843F3">
        <w:rPr>
          <w:noProof/>
        </w:rPr>
        <w:t>2</w:t>
      </w:r>
      <w:r w:rsidR="00AC5CDF">
        <w:fldChar w:fldCharType="end"/>
      </w:r>
    </w:p>
    <w:p w:rsidR="00501992" w:rsidRPr="0031582D" w:rsidRDefault="00501992" w:rsidP="00501992">
      <w:pPr>
        <w:pStyle w:val="Nadpis4"/>
      </w:pPr>
      <w:r w:rsidRPr="0031582D">
        <w:t>Vodní toky</w:t>
      </w:r>
    </w:p>
    <w:p w:rsidR="00501992" w:rsidRPr="002F1F65" w:rsidRDefault="00501992" w:rsidP="00501992">
      <w:r w:rsidRPr="00E72264">
        <w:t>Křížený vodní tok Opatovický kanál je dle vyhlášky č. 470/2001 Sb. zařazen mezi významné vodní toky. Ostatní křížené vodoteče jsou drobnými vodními toky.</w:t>
      </w:r>
    </w:p>
    <w:p w:rsidR="00501992" w:rsidRDefault="00501992" w:rsidP="00501992">
      <w:r w:rsidRPr="002F1F65">
        <w:t xml:space="preserve">Koryta vodotečí jsou vyvinutá úměrně velikosti povodí, mimo intravilány jsou neupravená, s proměnlivým průtočným profilem a doprovodnými břehovými porosty. </w:t>
      </w:r>
    </w:p>
    <w:p w:rsidR="00501992" w:rsidRPr="00E72264" w:rsidRDefault="00501992" w:rsidP="00501992">
      <w:pPr>
        <w:pStyle w:val="Nadpis4"/>
      </w:pPr>
      <w:r w:rsidRPr="00E72264">
        <w:t>Záplavová území</w:t>
      </w:r>
    </w:p>
    <w:p w:rsidR="00501992" w:rsidRPr="00BD6F43" w:rsidRDefault="00501992" w:rsidP="00BD6F43">
      <w:r w:rsidRPr="00E72264">
        <w:t>Na kříženém drobném vodním toku Plačický potok je úředně stanoveno záplavové území.</w:t>
      </w:r>
      <w:r>
        <w:t xml:space="preserve"> </w:t>
      </w:r>
      <w:r w:rsidRPr="00E72264">
        <w:t>Záplavové území bylo stanoveno Magistrátem města Hradec Králové v r. 2008 na návrh správce toku</w:t>
      </w:r>
      <w:r w:rsidR="00BD6F43">
        <w:t xml:space="preserve">, kterým je Zemědělská a vodohospodářská správa, </w:t>
      </w:r>
      <w:r w:rsidRPr="00E72264">
        <w:t xml:space="preserve">oblast </w:t>
      </w:r>
      <w:r w:rsidR="00BD6F43">
        <w:t>P</w:t>
      </w:r>
      <w:r w:rsidRPr="00E72264">
        <w:t>ovodí Labe, územní pracoviště Hradec Králové v ř. km 2,426 – 6,900 v</w:t>
      </w:r>
      <w:r w:rsidR="00BD6F43">
        <w:t> </w:t>
      </w:r>
      <w:r w:rsidRPr="00E72264">
        <w:t>k</w:t>
      </w:r>
      <w:r w:rsidR="00BD6F43">
        <w:t xml:space="preserve">atastrálních územích </w:t>
      </w:r>
      <w:r w:rsidRPr="00E72264">
        <w:t>Březhrad a Plačice. Záplavové území je stanoveno pro povodně při průtocích Q</w:t>
      </w:r>
      <w:r w:rsidRPr="00E72264">
        <w:rPr>
          <w:vertAlign w:val="subscript"/>
        </w:rPr>
        <w:t>5</w:t>
      </w:r>
      <w:r w:rsidRPr="00E72264">
        <w:t>, Q</w:t>
      </w:r>
      <w:r w:rsidRPr="00E72264">
        <w:rPr>
          <w:vertAlign w:val="subscript"/>
        </w:rPr>
        <w:t>20</w:t>
      </w:r>
      <w:r w:rsidRPr="00E72264">
        <w:t xml:space="preserve"> a Q</w:t>
      </w:r>
      <w:r w:rsidRPr="00E72264">
        <w:rPr>
          <w:vertAlign w:val="subscript"/>
        </w:rPr>
        <w:t>100</w:t>
      </w:r>
      <w:r w:rsidRPr="00E72264">
        <w:t xml:space="preserve"> včetně aktivní zóny</w:t>
      </w:r>
    </w:p>
    <w:p w:rsidR="00501992" w:rsidRPr="00E72264" w:rsidRDefault="00501992" w:rsidP="00BD6F43">
      <w:pPr>
        <w:pStyle w:val="Nadpis4"/>
      </w:pPr>
      <w:r w:rsidRPr="00E72264">
        <w:t>Ochranná pásma povrchových vodních zdrojů</w:t>
      </w:r>
    </w:p>
    <w:p w:rsidR="00501992" w:rsidRPr="00BD6F43" w:rsidRDefault="00501992" w:rsidP="00BD6F43">
      <w:r w:rsidRPr="00CD0F1B">
        <w:t xml:space="preserve">Stavba se nenachází v žádném ochranném pásmu povrchového vodního zdroje. Nejbližší takto chráněný zdroj je vodní zdroj Oplatil, který je od území stavby vzdálen cca </w:t>
      </w:r>
      <w:smartTag w:uri="urn:schemas-microsoft-com:office:smarttags" w:element="metricconverter">
        <w:smartTagPr>
          <w:attr w:name="ProductID" w:val="1,2 km"/>
        </w:smartTagPr>
        <w:r w:rsidRPr="00CD0F1B">
          <w:t>1,2 km</w:t>
        </w:r>
      </w:smartTag>
      <w:r w:rsidRPr="00CD0F1B">
        <w:t xml:space="preserve"> západně v k.ú. Stéblová.</w:t>
      </w:r>
    </w:p>
    <w:p w:rsidR="00D7005E" w:rsidRDefault="00D7005E">
      <w:pPr>
        <w:suppressAutoHyphens w:val="0"/>
        <w:spacing w:before="0" w:after="0" w:line="240" w:lineRule="auto"/>
        <w:jc w:val="left"/>
        <w:rPr>
          <w:bCs/>
          <w:szCs w:val="28"/>
          <w:u w:val="single"/>
        </w:rPr>
      </w:pPr>
      <w:r>
        <w:br w:type="page"/>
      </w:r>
    </w:p>
    <w:p w:rsidR="00501992" w:rsidRPr="00EA59FD" w:rsidRDefault="00501992" w:rsidP="00BD6F43">
      <w:pPr>
        <w:pStyle w:val="Nadpis4"/>
      </w:pPr>
      <w:r w:rsidRPr="00EA59FD">
        <w:t>Ochranná pásma podzemních vodních zdrojů (OPVZ)</w:t>
      </w:r>
    </w:p>
    <w:p w:rsidR="00501992" w:rsidRPr="00EA59FD" w:rsidRDefault="00501992" w:rsidP="00501992">
      <w:r w:rsidRPr="00EA59FD">
        <w:t>Vlastní stavba modernizace trati zasahuje do následujících ochranných pásem podzemních vodních zdrojů.</w:t>
      </w:r>
    </w:p>
    <w:p w:rsidR="00501992" w:rsidRPr="00BD6F43" w:rsidRDefault="00501992" w:rsidP="00BD6F43">
      <w:pPr>
        <w:rPr>
          <w:b/>
        </w:rPr>
      </w:pPr>
      <w:r w:rsidRPr="00BD6F43">
        <w:rPr>
          <w:b/>
        </w:rPr>
        <w:t>Jímací území Hrobice – Čeperka – OPVZ II. stupně</w:t>
      </w:r>
    </w:p>
    <w:p w:rsidR="00501992" w:rsidRPr="00CD0F1B" w:rsidRDefault="00501992" w:rsidP="00BD6F43">
      <w:r w:rsidRPr="00CD0F1B">
        <w:t>- kontakt se stavbou - cca km staničení 10,5 – 12,8 trať prochází OPVZ II. stupně</w:t>
      </w:r>
    </w:p>
    <w:p w:rsidR="00501992" w:rsidRPr="00CD0F1B" w:rsidRDefault="00501992" w:rsidP="00BD6F43">
      <w:r w:rsidRPr="00CD0F1B">
        <w:t>- katastrální území Čeperka, Hrobice, Podůlšany</w:t>
      </w:r>
    </w:p>
    <w:p w:rsidR="00501992" w:rsidRPr="00CD0F1B" w:rsidRDefault="00501992" w:rsidP="00BD6F43">
      <w:r w:rsidRPr="00CD0F1B">
        <w:t>- hydrogeologický rajón svrchní vrstvy 1122 – Kvartér Labe po Pardubice, hydrogeologický rajón základní vrstvy 4360 – Labská křída</w:t>
      </w:r>
    </w:p>
    <w:p w:rsidR="00501992" w:rsidRDefault="00501992" w:rsidP="00BD6F43">
      <w:r w:rsidRPr="00CD0F1B">
        <w:t xml:space="preserve">- </w:t>
      </w:r>
      <w:r w:rsidR="00BD6F43">
        <w:t xml:space="preserve">číslo hydrologického pořadí </w:t>
      </w:r>
      <w:r w:rsidRPr="00CD0F1B">
        <w:t>ČHP 1-03-04-029 (Velká strouha), 1-03-04-039 (Povodí od Gigantu)</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85"/>
      </w:tblGrid>
      <w:tr w:rsidR="00BD6F43" w:rsidRPr="00FF21CB" w:rsidTr="00504C42">
        <w:trPr>
          <w:cantSplit/>
        </w:trPr>
        <w:tc>
          <w:tcPr>
            <w:tcW w:w="9385" w:type="dxa"/>
          </w:tcPr>
          <w:p w:rsidR="00BD6F43" w:rsidRPr="00714409" w:rsidRDefault="00E85547" w:rsidP="00504C42">
            <w:pPr>
              <w:pStyle w:val="Titulek"/>
              <w:rPr>
                <w:i/>
                <w:sz w:val="24"/>
              </w:rPr>
            </w:pPr>
            <w:bookmarkStart w:id="279" w:name="_Toc390958856"/>
            <w:r w:rsidRPr="00714409">
              <w:t xml:space="preserve">Obr. </w:t>
            </w:r>
            <w:r w:rsidR="00AC5CDF" w:rsidRPr="00714409">
              <w:fldChar w:fldCharType="begin"/>
            </w:r>
            <w:r w:rsidRPr="00714409">
              <w:instrText xml:space="preserve"> STYLEREF 1 \s </w:instrText>
            </w:r>
            <w:r w:rsidR="00AC5CDF" w:rsidRPr="00714409">
              <w:fldChar w:fldCharType="separate"/>
            </w:r>
            <w:r w:rsidR="003843F3">
              <w:rPr>
                <w:noProof/>
              </w:rPr>
              <w:t>6</w:t>
            </w:r>
            <w:r w:rsidR="00AC5CDF" w:rsidRPr="00714409">
              <w:fldChar w:fldCharType="end"/>
            </w:r>
            <w:r w:rsidRPr="00714409">
              <w:noBreakHyphen/>
            </w:r>
            <w:r w:rsidR="00AC5CDF" w:rsidRPr="00714409">
              <w:fldChar w:fldCharType="begin"/>
            </w:r>
            <w:r w:rsidRPr="00714409">
              <w:instrText xml:space="preserve"> SEQ Obr. \* ARABIC \s 1 </w:instrText>
            </w:r>
            <w:r w:rsidR="00AC5CDF" w:rsidRPr="00714409">
              <w:fldChar w:fldCharType="separate"/>
            </w:r>
            <w:r w:rsidR="003843F3">
              <w:rPr>
                <w:noProof/>
              </w:rPr>
              <w:t>2</w:t>
            </w:r>
            <w:r w:rsidR="00AC5CDF" w:rsidRPr="00714409">
              <w:fldChar w:fldCharType="end"/>
            </w:r>
            <w:r w:rsidR="00BD6F43" w:rsidRPr="00714409">
              <w:t>: Zákres ochranných pásem I. a II. stupně jímacího území Hrobice – Čeperka včetně umístění jednotlivých vodních zdrojů</w:t>
            </w:r>
            <w:bookmarkEnd w:id="279"/>
          </w:p>
        </w:tc>
      </w:tr>
      <w:tr w:rsidR="00BD6F43" w:rsidRPr="00FF21CB" w:rsidTr="00D7005E">
        <w:trPr>
          <w:cantSplit/>
          <w:trHeight w:val="6611"/>
        </w:trPr>
        <w:tc>
          <w:tcPr>
            <w:tcW w:w="9385" w:type="dxa"/>
            <w:vAlign w:val="center"/>
          </w:tcPr>
          <w:p w:rsidR="00BD6F43" w:rsidRPr="00714409" w:rsidRDefault="004E4D1F" w:rsidP="00D7005E">
            <w:pPr>
              <w:spacing w:before="0" w:after="0" w:line="240" w:lineRule="auto"/>
              <w:jc w:val="center"/>
            </w:pPr>
            <w:r>
              <w:rPr>
                <w:noProof/>
                <w:lang w:eastAsia="cs-CZ"/>
              </w:rPr>
              <w:drawing>
                <wp:anchor distT="0" distB="0" distL="114300" distR="114300" simplePos="0" relativeHeight="251653632" behindDoc="0" locked="0" layoutInCell="1" allowOverlap="1" wp14:anchorId="0EFD3CF7" wp14:editId="2418842F">
                  <wp:simplePos x="0" y="0"/>
                  <wp:positionH relativeFrom="column">
                    <wp:posOffset>736600</wp:posOffset>
                  </wp:positionH>
                  <wp:positionV relativeFrom="paragraph">
                    <wp:posOffset>43180</wp:posOffset>
                  </wp:positionV>
                  <wp:extent cx="3430800" cy="4096800"/>
                  <wp:effectExtent l="0" t="0" r="0" b="0"/>
                  <wp:wrapTopAndBottom/>
                  <wp:docPr id="131" name="obrázek 131" descr="06_02_VaK_Pardub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06_02_VaK_Pardubice"/>
                          <pic:cNvPicPr>
                            <a:picLocks noChangeAspect="1" noChangeArrowheads="1"/>
                          </pic:cNvPicPr>
                        </pic:nvPicPr>
                        <pic:blipFill>
                          <a:blip r:embed="rId105" cstate="print">
                            <a:extLst>
                              <a:ext uri="{28A0092B-C50C-407E-A947-70E740481C1C}">
                                <a14:useLocalDpi xmlns:a14="http://schemas.microsoft.com/office/drawing/2010/main" val="0"/>
                              </a:ext>
                            </a:extLst>
                          </a:blip>
                          <a:srcRect l="7344" t="19041" r="1695" b="4129"/>
                          <a:stretch>
                            <a:fillRect/>
                          </a:stretch>
                        </pic:blipFill>
                        <pic:spPr bwMode="auto">
                          <a:xfrm>
                            <a:off x="0" y="0"/>
                            <a:ext cx="3430800" cy="40968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rsidR="00501992" w:rsidRPr="00BD6F43" w:rsidRDefault="00501992" w:rsidP="00BD6F43">
      <w:pPr>
        <w:rPr>
          <w:szCs w:val="20"/>
        </w:rPr>
      </w:pPr>
      <w:r w:rsidRPr="00BD6F43">
        <w:rPr>
          <w:szCs w:val="20"/>
        </w:rPr>
        <w:t>Správcem tohoto významného vodního zdroje, který spolu s dalšími zdroji (povrchový zdroj Oplatil, jímací území Nemošice, studna v Lázních Bohdaneč a prameniště Mařenka u Vysoké u Holic) zásobuje pitnou vodou skupinový vodovod Pardubice (120 561 obyvatel) jsou Vodovody a kanalizace Pardubice a.s.</w:t>
      </w:r>
      <w:r w:rsidR="00BD6F43">
        <w:rPr>
          <w:szCs w:val="20"/>
        </w:rPr>
        <w:t xml:space="preserve"> </w:t>
      </w:r>
      <w:r w:rsidRPr="00BD6F43">
        <w:rPr>
          <w:szCs w:val="20"/>
        </w:rPr>
        <w:t xml:space="preserve">V ochranném pásmu je umístěna soustava vrtaných studní, ze kterých je voda odváděna přes centrální studny do úpravny vody Hrobice.  </w:t>
      </w:r>
    </w:p>
    <w:p w:rsidR="00D7005E" w:rsidRDefault="00D7005E">
      <w:pPr>
        <w:suppressAutoHyphens w:val="0"/>
        <w:spacing w:before="0" w:after="0" w:line="240" w:lineRule="auto"/>
        <w:jc w:val="left"/>
        <w:rPr>
          <w:b/>
        </w:rPr>
      </w:pPr>
      <w:r>
        <w:rPr>
          <w:b/>
        </w:rPr>
        <w:br w:type="page"/>
      </w:r>
    </w:p>
    <w:p w:rsidR="00501992" w:rsidRPr="00BD6F43" w:rsidRDefault="00501992" w:rsidP="00BD6F43">
      <w:pPr>
        <w:rPr>
          <w:b/>
        </w:rPr>
      </w:pPr>
      <w:r w:rsidRPr="00BD6F43">
        <w:rPr>
          <w:b/>
        </w:rPr>
        <w:t>Lázně Bohdaneč - Ochranné pásmo přírodního léčivého zdroje peloidu „Libišany“</w:t>
      </w:r>
    </w:p>
    <w:p w:rsidR="00501992" w:rsidRPr="00CD0F1B" w:rsidRDefault="00501992" w:rsidP="00501992">
      <w:r w:rsidRPr="00CD0F1B">
        <w:t xml:space="preserve">- kontakt se stavbou – vzdálenost od trati </w:t>
      </w:r>
      <w:smartTag w:uri="urn:schemas-microsoft-com:office:smarttags" w:element="metricconverter">
        <w:smartTagPr>
          <w:attr w:name="ProductID" w:val="600 m"/>
        </w:smartTagPr>
        <w:r w:rsidRPr="00CD0F1B">
          <w:t>600 m</w:t>
        </w:r>
      </w:smartTag>
      <w:r w:rsidRPr="00CD0F1B">
        <w:t xml:space="preserve"> západně (v úrovni staničení km 14,65 – 16,7)</w:t>
      </w:r>
    </w:p>
    <w:p w:rsidR="00501992" w:rsidRPr="00CD0F1B" w:rsidRDefault="00501992" w:rsidP="00501992">
      <w:r w:rsidRPr="00CD0F1B">
        <w:t>- katastrální území Pohřebačka, Libišany</w:t>
      </w:r>
    </w:p>
    <w:p w:rsidR="00501992" w:rsidRPr="00CD0F1B" w:rsidRDefault="00501992" w:rsidP="00501992">
      <w:r w:rsidRPr="00CD0F1B">
        <w:t>- hydrogeologický rajón 1122 – Kvartér Labe po Pardubice</w:t>
      </w:r>
    </w:p>
    <w:p w:rsidR="00501992" w:rsidRDefault="00501992" w:rsidP="00BD6F43">
      <w:r w:rsidRPr="00CD0F1B">
        <w:t xml:space="preserve">- </w:t>
      </w:r>
      <w:r w:rsidR="00BD6F43">
        <w:t>číslo hydrologického pořadí</w:t>
      </w:r>
      <w:r w:rsidRPr="00CD0F1B">
        <w:t xml:space="preserve"> 1-03-01-019 </w:t>
      </w:r>
    </w:p>
    <w:p w:rsidR="00501992" w:rsidRPr="00BD6F43" w:rsidRDefault="00501992" w:rsidP="00BD6F43">
      <w:pPr>
        <w:rPr>
          <w:b/>
        </w:rPr>
      </w:pPr>
      <w:r w:rsidRPr="00BD6F43">
        <w:rPr>
          <w:b/>
        </w:rPr>
        <w:t>Chráněná oblast přirozené akumulace vod</w:t>
      </w:r>
    </w:p>
    <w:p w:rsidR="00BF0C2A" w:rsidRDefault="00501992" w:rsidP="00BD6F43">
      <w:r w:rsidRPr="002F1F65">
        <w:t>Zájmové území stavby neleží v</w:t>
      </w:r>
      <w:r w:rsidR="00BD6F43">
        <w:t> žádné chráněné oblasti přirozené akumulace vod</w:t>
      </w:r>
    </w:p>
    <w:p w:rsidR="00501992" w:rsidRDefault="00BF0C2A" w:rsidP="00BF0C2A">
      <w:pPr>
        <w:pStyle w:val="Nadpis2"/>
      </w:pPr>
      <w:bookmarkStart w:id="280" w:name="_Toc390958719"/>
      <w:r>
        <w:t>Hluk</w:t>
      </w:r>
      <w:bookmarkEnd w:id="280"/>
    </w:p>
    <w:p w:rsidR="00426813" w:rsidRDefault="00BF0C2A" w:rsidP="00C605F7">
      <w:pPr>
        <w:sectPr w:rsidR="00426813" w:rsidSect="00426813">
          <w:footerReference w:type="default" r:id="rId106"/>
          <w:footnotePr>
            <w:pos w:val="beneathText"/>
          </w:footnotePr>
          <w:pgSz w:w="11905" w:h="16837" w:code="9"/>
          <w:pgMar w:top="1492" w:right="1134" w:bottom="1134" w:left="1418" w:header="709" w:footer="215" w:gutter="0"/>
          <w:cols w:space="708"/>
          <w:docGrid w:linePitch="360"/>
        </w:sectPr>
      </w:pPr>
      <w:r w:rsidRPr="00D7005E">
        <w:t xml:space="preserve">Problematika z oblasti hluku bude zpracovaná dle  platné legislativy v dalším stupni projektové dokumentace. Pro usek Stéblová - Opatovice nad Labem již byla zpracována samostatná dokumentace Hodnocení vlivu a vibrací ke stavbě </w:t>
      </w:r>
      <w:r w:rsidR="00CB6C6D" w:rsidRPr="00D7005E">
        <w:t>„</w:t>
      </w:r>
      <w:r w:rsidRPr="00D7005E">
        <w:t>Modernizace trati Hradec Králové – Pardubice – Chrudim 1.stavba, zdvoukolejnění úseku Stéblová – Opatovice nad Labem</w:t>
      </w:r>
      <w:r w:rsidR="00CB6C6D" w:rsidRPr="00D7005E">
        <w:t>“</w:t>
      </w:r>
      <w:r w:rsidRPr="00D7005E">
        <w:t>, hodnocení vlivů stavby na životní prost</w:t>
      </w:r>
      <w:r w:rsidR="00426813" w:rsidRPr="00D7005E">
        <w:t>ředí</w:t>
      </w:r>
      <w:r w:rsidR="00426813">
        <w:t>.</w:t>
      </w:r>
    </w:p>
    <w:p w:rsidR="00225B27" w:rsidRDefault="00225B27" w:rsidP="006A637B">
      <w:pPr>
        <w:pStyle w:val="Nadpis1"/>
        <w:tabs>
          <w:tab w:val="clear" w:pos="716"/>
          <w:tab w:val="num" w:pos="567"/>
        </w:tabs>
        <w:ind w:hanging="716"/>
      </w:pPr>
      <w:bookmarkStart w:id="281" w:name="_Toc390958720"/>
      <w:r>
        <w:t>Ekonomické hodnocení</w:t>
      </w:r>
      <w:bookmarkEnd w:id="281"/>
    </w:p>
    <w:p w:rsidR="00E4210A" w:rsidRDefault="00A0403D" w:rsidP="00D7005E">
      <w:r w:rsidRPr="00A0403D">
        <w:t>Ekonomické hodnocení projektu „</w:t>
      </w:r>
      <w:r w:rsidR="00E4210A">
        <w:t>Modernizace trati Hradec Králové – Pardubice – Chrudim, studie proveditelnosti Hradec Králové - Pardubice</w:t>
      </w:r>
      <w:r w:rsidRPr="00A0403D">
        <w:t xml:space="preserve">“ je zpracováno jak pro finanční, tak pro ekonomickou analýzu metodou nákladovo - výnosové analýzy (Cost Benefit Analysis - CBA). Pro každý rok hodnocení projektu jsou porovnávány finanční toky varianty „s projektem“ a varianty „bez projektu“. </w:t>
      </w:r>
      <w:r w:rsidRPr="00394556">
        <w:t xml:space="preserve">Varianta „s projektem“ má </w:t>
      </w:r>
      <w:r w:rsidR="00983968" w:rsidRPr="00394556">
        <w:t xml:space="preserve">dvě </w:t>
      </w:r>
      <w:r w:rsidRPr="00394556">
        <w:t>variant</w:t>
      </w:r>
      <w:r w:rsidR="00983968" w:rsidRPr="00394556">
        <w:t>y</w:t>
      </w:r>
      <w:r w:rsidR="00AF5425" w:rsidRPr="00394556">
        <w:t xml:space="preserve"> (jejichž základní parametry byly stabilizovány ve schválené p</w:t>
      </w:r>
      <w:r w:rsidR="00AF5425" w:rsidRPr="00394556">
        <w:rPr>
          <w:rFonts w:hint="eastAsia"/>
        </w:rPr>
        <w:t>ů</w:t>
      </w:r>
      <w:r w:rsidR="00AF5425" w:rsidRPr="00394556">
        <w:t xml:space="preserve">vodní verzi studie - </w:t>
      </w:r>
      <w:r w:rsidR="00AF5425" w:rsidRPr="00394556">
        <w:rPr>
          <w:lang w:val="sk-SK"/>
        </w:rPr>
        <w:t xml:space="preserve">Modernizace trati Hradec Králové – Pardubice – Chrudim, Studie proveditelnosti Hradec Králové – Pardubice; SUDOP </w:t>
      </w:r>
      <w:r w:rsidR="00754294" w:rsidRPr="00394556">
        <w:rPr>
          <w:lang w:val="sk-SK"/>
        </w:rPr>
        <w:t>PRAHA</w:t>
      </w:r>
      <w:r w:rsidR="00AF5425" w:rsidRPr="00394556">
        <w:rPr>
          <w:lang w:val="sk-SK"/>
        </w:rPr>
        <w:t xml:space="preserve">, verze </w:t>
      </w:r>
      <w:r w:rsidR="00983968" w:rsidRPr="00394556">
        <w:rPr>
          <w:lang w:val="sk-SK"/>
        </w:rPr>
        <w:t>říjen</w:t>
      </w:r>
      <w:r w:rsidR="00AF5425" w:rsidRPr="00394556">
        <w:rPr>
          <w:lang w:val="sk-SK"/>
        </w:rPr>
        <w:t xml:space="preserve"> 2013</w:t>
      </w:r>
      <w:r w:rsidR="00AF5425" w:rsidRPr="00394556">
        <w:t>)</w:t>
      </w:r>
      <w:r w:rsidRPr="00A0403D">
        <w:t xml:space="preserve">, v závislosti na technickém a technologickém řešení jednotlivých částí řešeného úseku. </w:t>
      </w:r>
      <w:r w:rsidR="00E4210A">
        <w:t>Zásadní význam má ve většině variant úsek Stéblová – Opatovice n.L., u nějž se ve všech projektových variantách vyjma minimální počítá se zdvoukolejněním a s tím souvisí mnoho dalších efektů a přínosů</w:t>
      </w:r>
      <w:r w:rsidR="002D4988">
        <w:t>.</w:t>
      </w:r>
    </w:p>
    <w:p w:rsidR="00A0403D" w:rsidRDefault="00A0403D" w:rsidP="00E4210A">
      <w:r w:rsidRPr="00A0403D">
        <w:t xml:space="preserve">Pro účely zpracování investičních nákladů a mimořádných provozních nákladů na údržbu a opravy infrastruktury („stav bez projektu“) je potom úsek </w:t>
      </w:r>
      <w:r w:rsidR="00E4210A">
        <w:t>Hradec Králové - Pardubice</w:t>
      </w:r>
      <w:r w:rsidRPr="00A0403D">
        <w:t xml:space="preserve"> rozdělen na </w:t>
      </w:r>
      <w:r w:rsidR="00E4210A">
        <w:t>několik</w:t>
      </w:r>
      <w:r w:rsidRPr="00A0403D">
        <w:t xml:space="preserve"> dílčí</w:t>
      </w:r>
      <w:r w:rsidR="00E4210A">
        <w:t>ch</w:t>
      </w:r>
      <w:r w:rsidRPr="00A0403D">
        <w:t xml:space="preserve"> úsek</w:t>
      </w:r>
      <w:r w:rsidR="00E4210A">
        <w:t>ů</w:t>
      </w:r>
      <w:r w:rsidRPr="00A0403D">
        <w:t>. Výsledné varianty, které jsou v ekonomickém hodnocení zkoumány</w:t>
      </w:r>
      <w:r w:rsidR="00E4210A">
        <w:t xml:space="preserve"> (a některé jejich parametry),</w:t>
      </w:r>
      <w:r w:rsidRPr="00A0403D">
        <w:t xml:space="preserve"> vycházejí z</w:t>
      </w:r>
      <w:r w:rsidR="00E4210A">
        <w:t xml:space="preserve"> </w:t>
      </w:r>
      <w:r w:rsidR="00AF5425">
        <w:t>původní aktualizované studie (viz výše) a zohledňují nejnovější změny</w:t>
      </w:r>
      <w:r w:rsidRPr="00A0403D">
        <w:t xml:space="preserve">. Technické a dopravně-technologické parametry jednotlivých variant jsou podrobněji popsány v kapitole </w:t>
      </w:r>
      <w:r w:rsidRPr="004D35C5">
        <w:t>„</w:t>
      </w:r>
      <w:r w:rsidR="00B52A13">
        <w:fldChar w:fldCharType="begin"/>
      </w:r>
      <w:r w:rsidR="00B52A13">
        <w:instrText xml:space="preserve"> REF _Ref323134388 \r \h  \* MERGEFORMAT </w:instrText>
      </w:r>
      <w:r w:rsidR="00B52A13">
        <w:fldChar w:fldCharType="separate"/>
      </w:r>
      <w:r w:rsidR="003843F3">
        <w:t>3</w:t>
      </w:r>
      <w:r w:rsidR="00B52A13">
        <w:fldChar w:fldCharType="end"/>
      </w:r>
      <w:r w:rsidR="004D35C5" w:rsidRPr="004D35C5">
        <w:t xml:space="preserve"> - </w:t>
      </w:r>
      <w:r w:rsidR="00B52A13">
        <w:fldChar w:fldCharType="begin"/>
      </w:r>
      <w:r w:rsidR="00B52A13">
        <w:instrText xml:space="preserve"> REF _Ref323134394 \h  \* MERGEFORMAT </w:instrText>
      </w:r>
      <w:r w:rsidR="00B52A13">
        <w:fldChar w:fldCharType="separate"/>
      </w:r>
      <w:r w:rsidR="003843F3">
        <w:t>Technické řešení</w:t>
      </w:r>
      <w:r w:rsidR="00B52A13">
        <w:fldChar w:fldCharType="end"/>
      </w:r>
      <w:r w:rsidRPr="004D35C5">
        <w:t>“ a „</w:t>
      </w:r>
      <w:r w:rsidR="00B52A13">
        <w:fldChar w:fldCharType="begin"/>
      </w:r>
      <w:r w:rsidR="00B52A13">
        <w:instrText xml:space="preserve"> REF _Ref323134431 \r \h  \* MERGEFORMAT </w:instrText>
      </w:r>
      <w:r w:rsidR="00B52A13">
        <w:fldChar w:fldCharType="separate"/>
      </w:r>
      <w:r w:rsidR="003843F3">
        <w:t>4</w:t>
      </w:r>
      <w:r w:rsidR="00B52A13">
        <w:fldChar w:fldCharType="end"/>
      </w:r>
      <w:r w:rsidR="004D35C5" w:rsidRPr="004D35C5">
        <w:t xml:space="preserve"> - </w:t>
      </w:r>
      <w:r w:rsidR="00B52A13">
        <w:fldChar w:fldCharType="begin"/>
      </w:r>
      <w:r w:rsidR="00B52A13">
        <w:instrText xml:space="preserve"> REF _Ref323134435 \h  \* MERGEFORMAT </w:instrText>
      </w:r>
      <w:r w:rsidR="00B52A13">
        <w:fldChar w:fldCharType="separate"/>
      </w:r>
      <w:r w:rsidR="003843F3" w:rsidRPr="00405637">
        <w:t>Dopravně-technologická část</w:t>
      </w:r>
      <w:r w:rsidR="00B52A13">
        <w:fldChar w:fldCharType="end"/>
      </w:r>
      <w:r w:rsidRPr="00A0403D">
        <w:t xml:space="preserve">“. </w:t>
      </w:r>
    </w:p>
    <w:p w:rsidR="00787127" w:rsidRPr="00C90180" w:rsidRDefault="00AF5425" w:rsidP="00787127">
      <w:r>
        <w:rPr>
          <w:u w:val="single"/>
        </w:rPr>
        <w:t>Změny v rozsahu řešení variant oproti původní studii</w:t>
      </w:r>
      <w:r w:rsidR="00787127" w:rsidRPr="00394556">
        <w:rPr>
          <w:u w:val="single"/>
        </w:rPr>
        <w:t>:</w:t>
      </w:r>
      <w:r w:rsidR="00787127" w:rsidRPr="00394556">
        <w:t xml:space="preserve"> </w:t>
      </w:r>
      <w:r w:rsidR="00983968" w:rsidRPr="00394556">
        <w:t>Z p</w:t>
      </w:r>
      <w:r w:rsidRPr="00394556">
        <w:rPr>
          <w:rFonts w:hint="eastAsia"/>
        </w:rPr>
        <w:t>ů</w:t>
      </w:r>
      <w:r w:rsidRPr="00394556">
        <w:t>vodn</w:t>
      </w:r>
      <w:r w:rsidRPr="00394556">
        <w:rPr>
          <w:rFonts w:hint="eastAsia"/>
        </w:rPr>
        <w:t>ě</w:t>
      </w:r>
      <w:r w:rsidRPr="00394556">
        <w:t xml:space="preserve"> uvažovan</w:t>
      </w:r>
      <w:r w:rsidR="00983968" w:rsidRPr="00394556">
        <w:t>ých</w:t>
      </w:r>
      <w:r w:rsidRPr="00394556">
        <w:t xml:space="preserve"> a hodnocen</w:t>
      </w:r>
      <w:r w:rsidR="00983968" w:rsidRPr="00394556">
        <w:t>ých</w:t>
      </w:r>
      <w:r w:rsidRPr="00394556">
        <w:t xml:space="preserve"> variant Minimální, St</w:t>
      </w:r>
      <w:r w:rsidRPr="00394556">
        <w:rPr>
          <w:rFonts w:hint="eastAsia"/>
        </w:rPr>
        <w:t>ř</w:t>
      </w:r>
      <w:r w:rsidRPr="00394556">
        <w:t>ed 1, St</w:t>
      </w:r>
      <w:r w:rsidRPr="00394556">
        <w:rPr>
          <w:rFonts w:hint="eastAsia"/>
        </w:rPr>
        <w:t>ř</w:t>
      </w:r>
      <w:r w:rsidRPr="00394556">
        <w:t>ed 2 a Maximální z</w:t>
      </w:r>
      <w:r w:rsidRPr="00394556">
        <w:rPr>
          <w:rFonts w:hint="eastAsia"/>
        </w:rPr>
        <w:t>ů</w:t>
      </w:r>
      <w:r w:rsidRPr="00394556">
        <w:t>stávají zachovány</w:t>
      </w:r>
      <w:r w:rsidR="00983968" w:rsidRPr="00394556">
        <w:t xml:space="preserve"> varianty Minimální a Maximální. K tomu přistupuje Etapa, která svým rozsahem odpovídá variantě Střed 1, to znamená zahrnuje modernizaci úseku Stéblová – Opatovice nad Labem (mimo). </w:t>
      </w:r>
    </w:p>
    <w:p w:rsidR="00787127" w:rsidRPr="00C90180" w:rsidRDefault="007E1249" w:rsidP="00787127">
      <w:r>
        <w:t>V ekonomickém hodnocení jsou tedy uvažovány následující varianty.</w:t>
      </w:r>
    </w:p>
    <w:p w:rsidR="00A0403D" w:rsidRPr="00212F42" w:rsidRDefault="00A0403D" w:rsidP="00A0403D">
      <w:pPr>
        <w:rPr>
          <w:b/>
        </w:rPr>
      </w:pPr>
      <w:r w:rsidRPr="00212F42">
        <w:rPr>
          <w:b/>
        </w:rPr>
        <w:t>Varianta bez projektu</w:t>
      </w:r>
    </w:p>
    <w:p w:rsidR="00A0403D" w:rsidRPr="004A6F25" w:rsidRDefault="00A0403D" w:rsidP="00A0403D">
      <w:pPr>
        <w:rPr>
          <w:highlight w:val="yellow"/>
        </w:rPr>
      </w:pPr>
      <w:r w:rsidRPr="00212F42">
        <w:t>Tato varianta nepředpokládá žádné investice,</w:t>
      </w:r>
      <w:r w:rsidR="00D006BF" w:rsidRPr="00212F42">
        <w:t xml:space="preserve"> díky kterým by se měnily kvalitativní parametry trati (zvyšování traťové rychlosti, zlepšování zabezpečovacího zařízení apod.).</w:t>
      </w:r>
      <w:r w:rsidRPr="00212F42">
        <w:t xml:space="preserve"> </w:t>
      </w:r>
      <w:r w:rsidR="00D006BF" w:rsidRPr="00212F42">
        <w:t>P</w:t>
      </w:r>
      <w:r w:rsidRPr="00212F42">
        <w:t xml:space="preserve">ředpokládá </w:t>
      </w:r>
      <w:r w:rsidR="00D006BF" w:rsidRPr="00212F42">
        <w:t xml:space="preserve">pouze </w:t>
      </w:r>
      <w:r w:rsidRPr="00212F42">
        <w:t>režim vkládání finančních prostředků nutných pro zajištění provozuschopnosti (údržba, opravy) v rámci infrastruktury, jejíž rozsah a parametry odpovídají stávajícímu stavu.</w:t>
      </w:r>
      <w:r w:rsidR="00212F42" w:rsidRPr="00212F42">
        <w:t xml:space="preserve"> </w:t>
      </w:r>
      <w:r w:rsidR="008A02A6">
        <w:t xml:space="preserve">Vzhledem ke stavu zabezpečovacího zařízení se v rámci varianty bez projetu předpokládá jeho zásadní výměna v letech 2018, resp. 2034, což bude mít za následek i úsporu zaměstnanců v tomto stavu. </w:t>
      </w:r>
      <w:r w:rsidR="00212F42" w:rsidRPr="00212F42">
        <w:t>Varianta „bez projektu“ je varianta, která slouží pro účely srovnání v ekonomickém hodnocení a modeluje vývoj úseku trati v případě, že nedojde k hodnocené investici.</w:t>
      </w:r>
      <w:r w:rsidR="00DE78F7">
        <w:t xml:space="preserve"> Podrobněji je technické řešení této varianty popsáno v kapitole „</w:t>
      </w:r>
      <w:r w:rsidR="00AC5CDF">
        <w:fldChar w:fldCharType="begin"/>
      </w:r>
      <w:r w:rsidR="00DE78F7">
        <w:instrText xml:space="preserve"> REF _Ref323192774 \r \h </w:instrText>
      </w:r>
      <w:r w:rsidR="00AC5CDF">
        <w:fldChar w:fldCharType="separate"/>
      </w:r>
      <w:r w:rsidR="003843F3">
        <w:t>3.2</w:t>
      </w:r>
      <w:r w:rsidR="00AC5CDF">
        <w:fldChar w:fldCharType="end"/>
      </w:r>
      <w:r w:rsidR="00DE78F7">
        <w:t xml:space="preserve"> - </w:t>
      </w:r>
      <w:r w:rsidR="00AC5CDF">
        <w:fldChar w:fldCharType="begin"/>
      </w:r>
      <w:r w:rsidR="00DE78F7">
        <w:instrText xml:space="preserve"> REF _Ref323192777 \h </w:instrText>
      </w:r>
      <w:r w:rsidR="00AC5CDF">
        <w:fldChar w:fldCharType="separate"/>
      </w:r>
      <w:r w:rsidR="003843F3">
        <w:t>Varianta Bez projektu</w:t>
      </w:r>
      <w:r w:rsidR="00AC5CDF">
        <w:fldChar w:fldCharType="end"/>
      </w:r>
      <w:r w:rsidR="00DE78F7">
        <w:t>“.</w:t>
      </w:r>
    </w:p>
    <w:p w:rsidR="00A0403D" w:rsidRPr="00371F8C" w:rsidRDefault="00A0403D" w:rsidP="00A0403D">
      <w:pPr>
        <w:rPr>
          <w:b/>
        </w:rPr>
      </w:pPr>
      <w:r w:rsidRPr="00371F8C">
        <w:rPr>
          <w:b/>
        </w:rPr>
        <w:t>Varianta projektová Minimální</w:t>
      </w:r>
    </w:p>
    <w:p w:rsidR="00A0403D" w:rsidRPr="00371F8C" w:rsidRDefault="00A0403D" w:rsidP="00D7005E">
      <w:r w:rsidRPr="00371F8C">
        <w:t xml:space="preserve">Minimální projektová varianta předpokládá částečné zlepšení stávajícího stavu (především z hlediska bezpečnosti a komfortu cestujících) při minimálních </w:t>
      </w:r>
      <w:r w:rsidR="00371F8C" w:rsidRPr="00371F8C">
        <w:t xml:space="preserve">investičních </w:t>
      </w:r>
      <w:r w:rsidRPr="00371F8C">
        <w:t>nákladech. Tato varianta spočívá v</w:t>
      </w:r>
      <w:r w:rsidR="00371F8C" w:rsidRPr="00371F8C">
        <w:t> </w:t>
      </w:r>
      <w:r w:rsidRPr="00371F8C">
        <w:t xml:space="preserve">uvedení traťových úseků do tzv. </w:t>
      </w:r>
      <w:r w:rsidR="00371F8C" w:rsidRPr="00371F8C">
        <w:t>„</w:t>
      </w:r>
      <w:r w:rsidRPr="00371F8C">
        <w:t>normového stavu</w:t>
      </w:r>
      <w:r w:rsidR="00371F8C" w:rsidRPr="00371F8C">
        <w:t>“</w:t>
      </w:r>
      <w:r w:rsidRPr="00371F8C">
        <w:t xml:space="preserve"> (především z hlediska parametrů nástupišť a přístupů k nim, třídy zatížení, prostorové průchodnosti). V celém úseku zůstává trať jednokolejná (a přirozeně i elektrizovaná 3kV stejnosměrnou napěťovou soustavou), doko</w:t>
      </w:r>
      <w:r w:rsidR="00371F8C" w:rsidRPr="00371F8C">
        <w:t>nčeno</w:t>
      </w:r>
      <w:r w:rsidRPr="00371F8C">
        <w:t xml:space="preserve"> je v celé délce traťové zabezpečení prostřednictvím automatického hradla a trať odpovídá stávajícím rych</w:t>
      </w:r>
      <w:r w:rsidR="00371F8C" w:rsidRPr="00371F8C">
        <w:t>lostním a kapacitním parametrům</w:t>
      </w:r>
      <w:r w:rsidR="0090180C">
        <w:t>, nejsou budovány nové zastávky</w:t>
      </w:r>
      <w:r w:rsidRPr="00371F8C">
        <w:t>.</w:t>
      </w:r>
      <w:r w:rsidR="00371F8C">
        <w:t xml:space="preserve"> Tato varianta se jen mírně liší od varianty bez projektu a provedená opatření nemají zásadní vliv na budoucí přepravní proudy.</w:t>
      </w:r>
      <w:r w:rsidR="008A02A6">
        <w:t xml:space="preserve"> Z hlediska provozních nákladů dojde k odlišnému vývoji u nákladů na provozní zaměstnance, kde se úpravy zabezpečovacího zařízení budou realizovat hned na začátku hodnocení, tedy dříve než ve variantě Bez projektu a v mírně vyšším rozsahu.</w:t>
      </w:r>
      <w:r w:rsidR="00DE78F7">
        <w:t xml:space="preserve"> Podrobněji je technické řešení této varianty popsáno v</w:t>
      </w:r>
      <w:r w:rsidR="00D7005E">
        <w:t> </w:t>
      </w:r>
      <w:r w:rsidR="00DE78F7">
        <w:t>kapitole</w:t>
      </w:r>
      <w:r w:rsidR="00D7005E">
        <w:t xml:space="preserve"> „</w:t>
      </w:r>
      <w:r w:rsidR="00D7005E">
        <w:fldChar w:fldCharType="begin"/>
      </w:r>
      <w:r w:rsidR="00D7005E">
        <w:instrText xml:space="preserve"> REF _Ref386564493 \w \h </w:instrText>
      </w:r>
      <w:r w:rsidR="00D7005E">
        <w:fldChar w:fldCharType="separate"/>
      </w:r>
      <w:r w:rsidR="003843F3">
        <w:t>3.3</w:t>
      </w:r>
      <w:r w:rsidR="00D7005E">
        <w:fldChar w:fldCharType="end"/>
      </w:r>
      <w:r w:rsidR="00D7005E">
        <w:t xml:space="preserve"> - </w:t>
      </w:r>
      <w:r w:rsidR="00D7005E">
        <w:fldChar w:fldCharType="begin"/>
      </w:r>
      <w:r w:rsidR="00D7005E">
        <w:instrText xml:space="preserve"> REF _Ref386564505 \h </w:instrText>
      </w:r>
      <w:r w:rsidR="00D7005E">
        <w:fldChar w:fldCharType="separate"/>
      </w:r>
      <w:r w:rsidR="003843F3" w:rsidRPr="00D7005E">
        <w:t>Varianta projektová Minimální</w:t>
      </w:r>
      <w:r w:rsidR="00D7005E">
        <w:fldChar w:fldCharType="end"/>
      </w:r>
      <w:r w:rsidR="00D7005E">
        <w:fldChar w:fldCharType="begin"/>
      </w:r>
      <w:r w:rsidR="00D7005E">
        <w:instrText xml:space="preserve"> REF _Ref386564354 \w \h  \* MERGEFORMAT </w:instrText>
      </w:r>
      <w:r w:rsidR="00D7005E">
        <w:fldChar w:fldCharType="separate"/>
      </w:r>
      <w:r w:rsidR="003843F3">
        <w:t>3.3</w:t>
      </w:r>
      <w:r w:rsidR="00D7005E">
        <w:fldChar w:fldCharType="end"/>
      </w:r>
      <w:r w:rsidR="00D7005E">
        <w:t>“</w:t>
      </w:r>
      <w:r w:rsidR="00DE78F7">
        <w:t>.</w:t>
      </w:r>
    </w:p>
    <w:p w:rsidR="00A0403D" w:rsidRPr="004E6BA9" w:rsidRDefault="00754294" w:rsidP="00A0403D">
      <w:pPr>
        <w:rPr>
          <w:b/>
        </w:rPr>
      </w:pPr>
      <w:r>
        <w:rPr>
          <w:b/>
        </w:rPr>
        <w:t>Etapa (varianty Maximální)</w:t>
      </w:r>
    </w:p>
    <w:p w:rsidR="00A0403D" w:rsidRPr="00DE78F7" w:rsidRDefault="00A0403D" w:rsidP="00A0403D">
      <w:r w:rsidRPr="00394556">
        <w:t>Sou</w:t>
      </w:r>
      <w:r w:rsidRPr="00394556">
        <w:rPr>
          <w:rFonts w:hint="eastAsia"/>
        </w:rPr>
        <w:t>čá</w:t>
      </w:r>
      <w:r w:rsidRPr="00394556">
        <w:t xml:space="preserve">stí této </w:t>
      </w:r>
      <w:r w:rsidR="00394556">
        <w:t xml:space="preserve">etapy </w:t>
      </w:r>
      <w:r w:rsidRPr="00394556">
        <w:t>varianty</w:t>
      </w:r>
      <w:r w:rsidR="00394556">
        <w:t xml:space="preserve"> Maximální</w:t>
      </w:r>
      <w:r w:rsidRPr="00394556">
        <w:t xml:space="preserve"> </w:t>
      </w:r>
      <w:r w:rsidRPr="00DE78F7">
        <w:t>je stavba „Modernizace trati Hradec Králové – Pardubice – Chrudim, 1. stavba, zdvoukolejnění úseku Stéb</w:t>
      </w:r>
      <w:r w:rsidR="004E6BA9" w:rsidRPr="00DE78F7">
        <w:t>lová – Opatovice nad Labem“ (pro niž je</w:t>
      </w:r>
      <w:r w:rsidRPr="00DE78F7">
        <w:t xml:space="preserve"> zpracována a aktualizován </w:t>
      </w:r>
      <w:r w:rsidR="008C757D" w:rsidRPr="00DE78F7">
        <w:t>p</w:t>
      </w:r>
      <w:r w:rsidR="008C757D">
        <w:t>rojekt</w:t>
      </w:r>
      <w:r w:rsidR="008C757D" w:rsidRPr="00DE78F7">
        <w:t xml:space="preserve"> </w:t>
      </w:r>
      <w:r w:rsidR="008C757D">
        <w:t>stavby</w:t>
      </w:r>
      <w:r w:rsidR="008C757D" w:rsidRPr="00DE78F7">
        <w:t xml:space="preserve"> </w:t>
      </w:r>
      <w:r w:rsidR="00DE78F7" w:rsidRPr="00DE78F7">
        <w:t>z</w:t>
      </w:r>
      <w:r w:rsidR="004E6BA9" w:rsidRPr="00DE78F7">
        <w:t> ro</w:t>
      </w:r>
      <w:r w:rsidR="00DE78F7" w:rsidRPr="00DE78F7">
        <w:t>ku</w:t>
      </w:r>
      <w:r w:rsidR="004E6BA9" w:rsidRPr="00DE78F7">
        <w:t xml:space="preserve"> </w:t>
      </w:r>
      <w:r w:rsidR="008C757D" w:rsidRPr="00DE78F7">
        <w:t>20</w:t>
      </w:r>
      <w:r w:rsidR="008C757D">
        <w:t>13</w:t>
      </w:r>
      <w:r w:rsidRPr="00DE78F7">
        <w:t>)</w:t>
      </w:r>
      <w:r w:rsidR="004E6BA9" w:rsidRPr="00DE78F7">
        <w:t>.</w:t>
      </w:r>
      <w:r w:rsidRPr="00DE78F7">
        <w:t xml:space="preserve"> </w:t>
      </w:r>
      <w:r w:rsidR="004E6BA9" w:rsidRPr="00DE78F7">
        <w:t>V tomto úseku se předpokládá</w:t>
      </w:r>
      <w:r w:rsidRPr="00DE78F7">
        <w:t xml:space="preserve"> zvýšení rychlosti na </w:t>
      </w:r>
      <w:smartTag w:uri="urn:schemas-microsoft-com:office:smarttags" w:element="metricconverter">
        <w:smartTagPr>
          <w:attr w:name="ProductID" w:val="160 km/h"/>
        </w:smartTagPr>
        <w:r w:rsidRPr="00DE78F7">
          <w:t>160 km/h</w:t>
        </w:r>
      </w:smartTag>
      <w:r w:rsidRPr="00DE78F7">
        <w:t xml:space="preserve">, přidání druhé koleje a traťové zabezpečení prostřednictvím autobloku. </w:t>
      </w:r>
      <w:r w:rsidR="008C757D">
        <w:t>V</w:t>
      </w:r>
      <w:r w:rsidRPr="00DE78F7">
        <w:t xml:space="preserve"> obou krajních navazujících </w:t>
      </w:r>
      <w:r w:rsidR="008C757D" w:rsidRPr="00DE78F7">
        <w:t>úse</w:t>
      </w:r>
      <w:r w:rsidR="008C757D">
        <w:t>cích</w:t>
      </w:r>
      <w:r w:rsidR="008C757D" w:rsidRPr="00DE78F7">
        <w:t xml:space="preserve"> </w:t>
      </w:r>
      <w:r w:rsidRPr="00DE78F7">
        <w:t xml:space="preserve">(Pardubice – Stéblová, Hradec Králové – Opatovice) se </w:t>
      </w:r>
      <w:r w:rsidR="008C757D">
        <w:t>v</w:t>
      </w:r>
      <w:r w:rsidR="00DE78F7" w:rsidRPr="00DE78F7">
        <w:t xml:space="preserve"> ekonomickém hodnocení pro </w:t>
      </w:r>
      <w:r w:rsidRPr="00DE78F7">
        <w:t>tyto úseky předpoklád</w:t>
      </w:r>
      <w:r w:rsidR="00DE78F7" w:rsidRPr="00DE78F7">
        <w:t>á</w:t>
      </w:r>
      <w:r w:rsidRPr="00DE78F7">
        <w:t xml:space="preserve"> </w:t>
      </w:r>
      <w:r w:rsidR="00DE78F7" w:rsidRPr="00DE78F7">
        <w:t>provedení opatření v rozsahu</w:t>
      </w:r>
      <w:r w:rsidRPr="00DE78F7">
        <w:t xml:space="preserve"> varianty Bez projektu (</w:t>
      </w:r>
      <w:r w:rsidR="00DE78F7" w:rsidRPr="00DE78F7">
        <w:t xml:space="preserve">nepočítá se s žádným kvalitativním zlepšením parametrů ostatních úseků a </w:t>
      </w:r>
      <w:r w:rsidRPr="00DE78F7">
        <w:t>varianta tak může být etapou jakékoliv z dalších variant.</w:t>
      </w:r>
      <w:r w:rsidR="00DE78F7" w:rsidRPr="00DE78F7">
        <w:t xml:space="preserve"> Z hlediska přepravních proudů dochází díky zvýšení rychlosti a kapacity trati ke zlepšení nabídky vlaků a následnému růstu přepravní poptávky. </w:t>
      </w:r>
      <w:r w:rsidR="00DE78F7" w:rsidRPr="00394556">
        <w:t>Podrobn</w:t>
      </w:r>
      <w:r w:rsidR="00DE78F7" w:rsidRPr="00394556">
        <w:rPr>
          <w:rFonts w:hint="eastAsia"/>
        </w:rPr>
        <w:t>ě</w:t>
      </w:r>
      <w:r w:rsidR="00DE78F7" w:rsidRPr="00394556">
        <w:t xml:space="preserve">ji je tato varianta z technického hlediska popsána v kapitole </w:t>
      </w:r>
      <w:r w:rsidR="00DE78F7" w:rsidRPr="00394556">
        <w:rPr>
          <w:rFonts w:hint="eastAsia"/>
        </w:rPr>
        <w:t>„</w:t>
      </w:r>
      <w:r w:rsidR="00D7005E">
        <w:fldChar w:fldCharType="begin"/>
      </w:r>
      <w:r w:rsidR="00D7005E">
        <w:instrText xml:space="preserve"> </w:instrText>
      </w:r>
      <w:r w:rsidR="00D7005E">
        <w:rPr>
          <w:rFonts w:hint="eastAsia"/>
        </w:rPr>
        <w:instrText>REF _Ref386456108 \w \h</w:instrText>
      </w:r>
      <w:r w:rsidR="00D7005E">
        <w:instrText xml:space="preserve"> </w:instrText>
      </w:r>
      <w:r w:rsidR="00D7005E">
        <w:fldChar w:fldCharType="separate"/>
      </w:r>
      <w:r w:rsidR="003843F3">
        <w:t>3.4</w:t>
      </w:r>
      <w:r w:rsidR="00D7005E">
        <w:fldChar w:fldCharType="end"/>
      </w:r>
      <w:r w:rsidR="00DE78F7" w:rsidRPr="00394556">
        <w:t>-</w:t>
      </w:r>
      <w:r w:rsidR="00394556">
        <w:fldChar w:fldCharType="begin"/>
      </w:r>
      <w:r w:rsidR="00394556">
        <w:instrText xml:space="preserve"> REF _Ref386456108 \h </w:instrText>
      </w:r>
      <w:r w:rsidR="00394556">
        <w:fldChar w:fldCharType="separate"/>
      </w:r>
      <w:r w:rsidR="003843F3" w:rsidRPr="00F5279A">
        <w:t>Etapa (varianty Maximální)</w:t>
      </w:r>
      <w:r w:rsidR="00394556">
        <w:fldChar w:fldCharType="end"/>
      </w:r>
      <w:r w:rsidR="00DE78F7" w:rsidRPr="00394556">
        <w:t>“.</w:t>
      </w:r>
    </w:p>
    <w:p w:rsidR="00A0403D" w:rsidRPr="00D25018" w:rsidRDefault="00A0403D" w:rsidP="00A0403D">
      <w:pPr>
        <w:rPr>
          <w:b/>
        </w:rPr>
      </w:pPr>
      <w:r w:rsidRPr="00D25018">
        <w:rPr>
          <w:b/>
        </w:rPr>
        <w:t>Varianta projektová Maximální</w:t>
      </w:r>
    </w:p>
    <w:p w:rsidR="00A0403D" w:rsidRDefault="00A0403D" w:rsidP="00A0403D">
      <w:r w:rsidRPr="00030248">
        <w:t xml:space="preserve">Maximální projektová varianta předpokládá největší rozsah stavebních úprav </w:t>
      </w:r>
      <w:r w:rsidRPr="00AA701E">
        <w:t>ze projektových</w:t>
      </w:r>
      <w:r w:rsidRPr="00030248">
        <w:t xml:space="preserve"> variant za předpokladu </w:t>
      </w:r>
      <w:r w:rsidR="00030248" w:rsidRPr="00030248">
        <w:t xml:space="preserve">vynaložení </w:t>
      </w:r>
      <w:r w:rsidRPr="00030248">
        <w:t xml:space="preserve">nejvyšších investičních nákladů. Představuje cílový stav železniční infrastruktury ve sledované oblasti, čili kompletní zdvoukolejnění úseku Pardubice hl. n. – Hradec Králové hl. n., v celém úseku rychlost </w:t>
      </w:r>
      <w:smartTag w:uri="urn:schemas-microsoft-com:office:smarttags" w:element="metricconverter">
        <w:smartTagPr>
          <w:attr w:name="ProductID" w:val="160 km/h"/>
        </w:smartTagPr>
        <w:r w:rsidRPr="00030248">
          <w:t>160 km/h</w:t>
        </w:r>
      </w:smartTag>
      <w:r w:rsidRPr="00030248">
        <w:t xml:space="preserve"> a traťové zabezpečení prostřednictvím automatického bloku. </w:t>
      </w:r>
      <w:r w:rsidR="00030248" w:rsidRPr="00030248">
        <w:t>Podrobněji je tato varianta z technického hlediska popsána v kapitole „</w:t>
      </w:r>
      <w:r w:rsidR="00B52A13">
        <w:fldChar w:fldCharType="begin"/>
      </w:r>
      <w:r w:rsidR="00B52A13">
        <w:instrText xml:space="preserve"> REF _Ref323195224 \r \h  \* MERGEFORMAT </w:instrText>
      </w:r>
      <w:r w:rsidR="00B52A13">
        <w:fldChar w:fldCharType="separate"/>
      </w:r>
      <w:r w:rsidR="003843F3">
        <w:t>3.5</w:t>
      </w:r>
      <w:r w:rsidR="00B52A13">
        <w:fldChar w:fldCharType="end"/>
      </w:r>
      <w:r w:rsidR="00030248" w:rsidRPr="00030248">
        <w:t xml:space="preserve"> - </w:t>
      </w:r>
      <w:r w:rsidR="00B52A13">
        <w:fldChar w:fldCharType="begin"/>
      </w:r>
      <w:r w:rsidR="00B52A13">
        <w:instrText xml:space="preserve"> REF _Ref323195233 \h  \* MERGEFORMAT </w:instrText>
      </w:r>
      <w:r w:rsidR="00B52A13">
        <w:fldChar w:fldCharType="separate"/>
      </w:r>
      <w:r w:rsidR="003843F3">
        <w:t>Varianta projektová Maximální</w:t>
      </w:r>
      <w:r w:rsidR="00B52A13">
        <w:fldChar w:fldCharType="end"/>
      </w:r>
      <w:r w:rsidR="00030248" w:rsidRPr="00030248">
        <w:t>“</w:t>
      </w:r>
      <w:r w:rsidR="00C3736B">
        <w:t>.</w:t>
      </w:r>
    </w:p>
    <w:p w:rsidR="00C3736B" w:rsidRPr="005252E5" w:rsidRDefault="00C3736B" w:rsidP="00C3736B">
      <w:pPr>
        <w:rPr>
          <w:b/>
        </w:rPr>
      </w:pPr>
      <w:r w:rsidRPr="005252E5">
        <w:rPr>
          <w:b/>
        </w:rPr>
        <w:t xml:space="preserve">Veškeré uvedené a hodnocené varianty vycházejí ze zadání </w:t>
      </w:r>
      <w:r w:rsidR="00FD46F7">
        <w:rPr>
          <w:b/>
        </w:rPr>
        <w:t xml:space="preserve">a původní schválené verze studie proveditelnosti </w:t>
      </w:r>
      <w:r w:rsidRPr="005252E5">
        <w:rPr>
          <w:b/>
        </w:rPr>
        <w:t>a vznikly na základě výchozích technických a dopravně-technologických návrhů, již zpracovaných předchozích dokumentací a jejich projednání se zadavatelem v průběhu zpracování projektu.</w:t>
      </w:r>
    </w:p>
    <w:p w:rsidR="00C3736B" w:rsidRPr="00A0403D" w:rsidRDefault="00C3736B" w:rsidP="00C3736B">
      <w:r>
        <w:t>Pro výše popsané varianty byla k</w:t>
      </w:r>
      <w:r w:rsidRPr="00956717">
        <w:t xml:space="preserve">romě technického a technologického řešení </w:t>
      </w:r>
      <w:r>
        <w:t xml:space="preserve">zpracována přepravní prognóza (viz popis hodnocených variant), </w:t>
      </w:r>
      <w:r w:rsidRPr="00956717">
        <w:t>jejíž výsledky vstupují do ekonomického hodnocení</w:t>
      </w:r>
      <w:r>
        <w:t>. Pro všechny varianty byla následně provedena finanční a ekonomická analýza a analýza citlivosti</w:t>
      </w:r>
      <w:r w:rsidR="00CC63DE">
        <w:t xml:space="preserve">, na jejímž základě je </w:t>
      </w:r>
      <w:r w:rsidR="00FD46F7">
        <w:t>vyhodnocena potřebnost zpracování</w:t>
      </w:r>
      <w:r w:rsidR="00CC63DE">
        <w:t xml:space="preserve"> kvantitativní analýz</w:t>
      </w:r>
      <w:r w:rsidR="00FD46F7">
        <w:t>y</w:t>
      </w:r>
      <w:r>
        <w:t xml:space="preserve"> rizik.</w:t>
      </w:r>
    </w:p>
    <w:p w:rsidR="00225B27" w:rsidRDefault="00225B27">
      <w:pPr>
        <w:pStyle w:val="Nadpis2"/>
      </w:pPr>
      <w:bookmarkStart w:id="282" w:name="_Ref323218250"/>
      <w:bookmarkStart w:id="283" w:name="_Ref323218253"/>
      <w:bookmarkStart w:id="284" w:name="_Toc390958721"/>
      <w:r>
        <w:t>Finanční analýza</w:t>
      </w:r>
      <w:bookmarkEnd w:id="282"/>
      <w:bookmarkEnd w:id="283"/>
      <w:bookmarkEnd w:id="284"/>
    </w:p>
    <w:p w:rsidR="006D2F9C" w:rsidRDefault="006D2F9C" w:rsidP="006D2F9C">
      <w:r>
        <w:t>Výpočty jsou založeny na analýze diferenčních nákladových a výnosových finančních toků provozovatele dráhy v době hodnocení projektu, dle materiálu „Aktualizace metodiky pro výpočet efektivnosti investic na SŽDC, s.o.“, 2009. Pro každý rok hodnocení projektu jsou porovnávány finanční toky příslušné varianty s projektem a varianty bez projektu. Jako finanční toky jsou hodnoceny investiční náklady, provozní náklady a příjmy. Z těchto finančních toků je vypracována tabulka cash-flow a z ní odvozeno finanční vnitřní výnosové procento (FRR) a finanční čistá současná hodnota (FNPV).</w:t>
      </w:r>
    </w:p>
    <w:p w:rsidR="006D2F9C" w:rsidRDefault="006D2F9C" w:rsidP="006D2F9C">
      <w:r>
        <w:t>Do finanční analýzy vstupují:</w:t>
      </w:r>
    </w:p>
    <w:p w:rsidR="00631EAB" w:rsidRDefault="006D2F9C" w:rsidP="00D20948">
      <w:pPr>
        <w:pStyle w:val="Odstavecseseznamem"/>
        <w:numPr>
          <w:ilvl w:val="0"/>
          <w:numId w:val="12"/>
        </w:numPr>
        <w:contextualSpacing/>
      </w:pPr>
      <w:r>
        <w:t>investiční náklady,</w:t>
      </w:r>
    </w:p>
    <w:p w:rsidR="00631EAB" w:rsidRDefault="006D2F9C" w:rsidP="00D20948">
      <w:pPr>
        <w:pStyle w:val="Odstavecseseznamem"/>
        <w:numPr>
          <w:ilvl w:val="0"/>
          <w:numId w:val="12"/>
        </w:numPr>
        <w:contextualSpacing/>
      </w:pPr>
      <w:r>
        <w:t>provozní náklady železniční dopravy (náklady na údržbu a opravy železniční infrastruktury, provozní náklady na řízení dopravy),</w:t>
      </w:r>
    </w:p>
    <w:p w:rsidR="00631EAB" w:rsidRDefault="006D2F9C" w:rsidP="00D20948">
      <w:pPr>
        <w:pStyle w:val="Odstavecseseznamem"/>
        <w:numPr>
          <w:ilvl w:val="0"/>
          <w:numId w:val="12"/>
        </w:numPr>
        <w:contextualSpacing/>
      </w:pPr>
      <w:r>
        <w:t xml:space="preserve">příjmy z poplatku za použití dopravní cesty a </w:t>
      </w:r>
      <w:r w:rsidR="009F5096">
        <w:t>prodeje kapacity dopravní cesty,</w:t>
      </w:r>
    </w:p>
    <w:p w:rsidR="00631EAB" w:rsidRDefault="009F5096" w:rsidP="00D20948">
      <w:pPr>
        <w:pStyle w:val="Odstavecseseznamem"/>
        <w:numPr>
          <w:ilvl w:val="0"/>
          <w:numId w:val="12"/>
        </w:numPr>
        <w:contextualSpacing/>
      </w:pPr>
      <w:r>
        <w:t>příjmy z hospodaření s vyzískaným materiálem.</w:t>
      </w:r>
    </w:p>
    <w:p w:rsidR="006D2F9C" w:rsidRDefault="006D2F9C" w:rsidP="006D2F9C">
      <w:r>
        <w:t>Dodatečné příjmy z prodeje nebo pronájmu zboží, pozemků a budov ani dodatečné příjmy z poplatků za služby do hodnocení zahrnuty nejsou, protože v případě řešeného traťového úseku nejsou relevantní.</w:t>
      </w:r>
    </w:p>
    <w:p w:rsidR="006D2F9C" w:rsidRDefault="006D2F9C" w:rsidP="006D2F9C">
      <w:r>
        <w:t>Analýza je sestavena pro fázi výstavby a fázi provozu v délce trvání 30 let (201</w:t>
      </w:r>
      <w:r w:rsidR="009F5096">
        <w:t>4</w:t>
      </w:r>
      <w:r>
        <w:t xml:space="preserve"> až 204</w:t>
      </w:r>
      <w:r w:rsidR="009F5096">
        <w:t>3</w:t>
      </w:r>
      <w:r>
        <w:t xml:space="preserve">). Finanční toky provozní fáze (kromě nákladů na údržbu a opravy infrastruktury) jsou vyjádřeny ve všech variantách od prvního roku provozu po předpokládaném dokončení traťového úseku </w:t>
      </w:r>
      <w:r w:rsidR="009F5096">
        <w:t>Stéblová</w:t>
      </w:r>
      <w:r>
        <w:t xml:space="preserve"> – </w:t>
      </w:r>
      <w:r w:rsidR="009F5096">
        <w:t xml:space="preserve">Opatovice </w:t>
      </w:r>
      <w:r>
        <w:t>n.</w:t>
      </w:r>
      <w:r w:rsidR="009F5096">
        <w:t xml:space="preserve"> L.,</w:t>
      </w:r>
      <w:r w:rsidR="00A03BEF">
        <w:t xml:space="preserve"> t</w:t>
      </w:r>
      <w:r>
        <w:t xml:space="preserve">j. od roku 2016. </w:t>
      </w:r>
      <w:r w:rsidRPr="00AA701E">
        <w:t>V</w:t>
      </w:r>
      <w:r w:rsidR="009F5096" w:rsidRPr="00AA701E">
        <w:t>e</w:t>
      </w:r>
      <w:r w:rsidRPr="00AA701E">
        <w:t xml:space="preserve">  </w:t>
      </w:r>
      <w:r w:rsidR="009E270E">
        <w:t>variantě</w:t>
      </w:r>
      <w:r w:rsidR="009F5096">
        <w:t xml:space="preserve"> Maximální</w:t>
      </w:r>
      <w:r>
        <w:t xml:space="preserve"> pokračuje investiční fáze i po roce 2015 rekonstrukcí </w:t>
      </w:r>
      <w:r w:rsidR="009F5096">
        <w:t>dalších traťových úseků a stanic</w:t>
      </w:r>
      <w:r>
        <w:t xml:space="preserve">, ale souběžně jsou v těchto letech již uvažovány přínosy z dokončeného </w:t>
      </w:r>
      <w:r w:rsidR="009F5096">
        <w:t>zdvoukolejněného</w:t>
      </w:r>
      <w:r>
        <w:t xml:space="preserve"> úseku. Všechny finanční toky jsou vztaženy k cenové úrovni r. </w:t>
      </w:r>
      <w:r w:rsidR="00750435">
        <w:t>2013</w:t>
      </w:r>
      <w:r>
        <w:t xml:space="preserve">, tj. roku zpracování </w:t>
      </w:r>
      <w:r w:rsidR="00750435">
        <w:t xml:space="preserve">aktualizace </w:t>
      </w:r>
      <w:r>
        <w:t>studie proveditelnosti. Při výpočtu čisté současné hodnoty je ve finanční analýze použita diskontní sazba 5 % (dle materiálu Evropské komise „Metodické pokyny pro provedení analýzy nákladů a výnosů“ pro nové programové období 2007 – 2013).</w:t>
      </w:r>
    </w:p>
    <w:p w:rsidR="00C3736B" w:rsidRPr="00C3736B" w:rsidRDefault="006D2F9C" w:rsidP="006D2F9C">
      <w:r>
        <w:t>V následujících kapitolách jsou stanoveny hodnoty jednotlivých finančních toků, které jsou použity pro sestavení finanční analýzy.</w:t>
      </w:r>
    </w:p>
    <w:p w:rsidR="00225B27" w:rsidRDefault="00225B27" w:rsidP="000D62F1">
      <w:pPr>
        <w:pStyle w:val="Nadpis3"/>
        <w:ind w:hanging="8234"/>
      </w:pPr>
      <w:bookmarkStart w:id="285" w:name="_Ref323218164"/>
      <w:r>
        <w:t>Investiční náklady</w:t>
      </w:r>
      <w:bookmarkEnd w:id="285"/>
    </w:p>
    <w:p w:rsidR="00FE5BEA" w:rsidRPr="00FE5BEA" w:rsidRDefault="00FE5BEA" w:rsidP="00FE5BEA">
      <w:r w:rsidRPr="00FE5BEA">
        <w:t xml:space="preserve">Investiční náklady projektových variant jsou sestaveny v CÚ </w:t>
      </w:r>
      <w:r w:rsidR="00750435" w:rsidRPr="00FE5BEA">
        <w:t>201</w:t>
      </w:r>
      <w:r w:rsidR="00750435">
        <w:t>3</w:t>
      </w:r>
      <w:r w:rsidRPr="00FE5BEA">
        <w:t>, pro hodnoty celkových investičních nákladů (dále jen CIN) a celkových investičních nákladů bez rezervy (dále jen CIN bez rezervy).</w:t>
      </w:r>
    </w:p>
    <w:p w:rsidR="00FE5BEA" w:rsidRPr="00FE5BEA" w:rsidRDefault="00FE5BEA" w:rsidP="00FE5BEA">
      <w:r w:rsidRPr="00FE5BEA">
        <w:t>Investiční náklady (na úrovni CIN) byly přiřazeny k jednotlivým letům výstavby. Dle metodického pokynu, obsaženého v nařízení Komise (ES) č. 846/2009, se investiční náklady v ekonomickém hodnocení uvažují bez rezervy.</w:t>
      </w:r>
    </w:p>
    <w:p w:rsidR="00356BA9" w:rsidRDefault="00FE5BEA" w:rsidP="00FE5BEA">
      <w:r w:rsidRPr="00FE5BEA">
        <w:t>V následujících tabulkách jsou uvedeny investiční náklady projektových variant na úrovni CIN a CIN bez rezervy včetně rozdělení celkových nákladů jednotlivých variant do let.</w:t>
      </w:r>
    </w:p>
    <w:tbl>
      <w:tblPr>
        <w:tblW w:w="9334" w:type="dxa"/>
        <w:jc w:val="center"/>
        <w:tblInd w:w="-13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45"/>
        <w:gridCol w:w="1529"/>
        <w:gridCol w:w="1530"/>
        <w:gridCol w:w="1530"/>
      </w:tblGrid>
      <w:tr w:rsidR="001E1BB7" w:rsidTr="001571B3">
        <w:trPr>
          <w:jc w:val="center"/>
        </w:trPr>
        <w:tc>
          <w:tcPr>
            <w:tcW w:w="9334" w:type="dxa"/>
            <w:gridSpan w:val="4"/>
            <w:tcBorders>
              <w:bottom w:val="single" w:sz="4" w:space="0" w:color="000000"/>
            </w:tcBorders>
          </w:tcPr>
          <w:p w:rsidR="006819BA" w:rsidRDefault="001E1BB7" w:rsidP="001571B3">
            <w:pPr>
              <w:pStyle w:val="Titulek"/>
              <w:rPr>
                <w:rFonts w:eastAsia="Arial Unicode MS"/>
                <w:color w:val="FF0000"/>
              </w:rPr>
            </w:pPr>
            <w:bookmarkStart w:id="286" w:name="_Toc316377670"/>
            <w:bookmarkStart w:id="287" w:name="_Toc390958777"/>
            <w:bookmarkStart w:id="288" w:name="_Toc391034581"/>
            <w:r w:rsidRPr="001E1BB7">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w:t>
            </w:r>
            <w:r w:rsidR="000E79AE">
              <w:fldChar w:fldCharType="end"/>
            </w:r>
            <w:r w:rsidRPr="001E1BB7">
              <w:t xml:space="preserve">: Investiční náklady varianty </w:t>
            </w:r>
            <w:r>
              <w:t>Minimální</w:t>
            </w:r>
            <w:r w:rsidRPr="001E1BB7">
              <w:t xml:space="preserve"> v tis. Kč, CÚ </w:t>
            </w:r>
            <w:bookmarkEnd w:id="286"/>
            <w:r w:rsidR="00750435" w:rsidRPr="001E1BB7">
              <w:t>201</w:t>
            </w:r>
            <w:r w:rsidR="00750435">
              <w:t>3</w:t>
            </w:r>
            <w:bookmarkEnd w:id="287"/>
            <w:bookmarkEnd w:id="288"/>
          </w:p>
        </w:tc>
      </w:tr>
      <w:tr w:rsidR="001E1BB7" w:rsidTr="001571B3">
        <w:trPr>
          <w:jc w:val="center"/>
        </w:trPr>
        <w:tc>
          <w:tcPr>
            <w:tcW w:w="4745" w:type="dxa"/>
            <w:tcBorders>
              <w:bottom w:val="single" w:sz="12" w:space="0" w:color="auto"/>
              <w:right w:val="single" w:sz="12" w:space="0" w:color="auto"/>
            </w:tcBorders>
            <w:shd w:val="pct12" w:color="auto" w:fill="auto"/>
          </w:tcPr>
          <w:p w:rsidR="001E1BB7" w:rsidRPr="001571B3" w:rsidRDefault="001E1BB7" w:rsidP="001571B3">
            <w:pPr>
              <w:spacing w:before="0" w:after="0"/>
              <w:rPr>
                <w:rFonts w:eastAsia="Arial Unicode MS"/>
                <w:b/>
                <w:sz w:val="18"/>
              </w:rPr>
            </w:pPr>
            <w:r w:rsidRPr="001571B3">
              <w:rPr>
                <w:rFonts w:eastAsia="Arial Unicode MS"/>
                <w:b/>
                <w:sz w:val="18"/>
              </w:rPr>
              <w:t>rok</w:t>
            </w:r>
          </w:p>
        </w:tc>
        <w:tc>
          <w:tcPr>
            <w:tcW w:w="1529" w:type="dxa"/>
            <w:tcBorders>
              <w:left w:val="single" w:sz="12" w:space="0" w:color="auto"/>
              <w:bottom w:val="single" w:sz="12" w:space="0" w:color="auto"/>
            </w:tcBorders>
            <w:shd w:val="pct12" w:color="auto" w:fill="auto"/>
            <w:vAlign w:val="center"/>
          </w:tcPr>
          <w:p w:rsidR="001E1BB7" w:rsidRPr="001571B3" w:rsidRDefault="001E1BB7" w:rsidP="001571B3">
            <w:pPr>
              <w:spacing w:before="0" w:after="0"/>
              <w:ind w:right="221"/>
              <w:jc w:val="right"/>
              <w:rPr>
                <w:rFonts w:eastAsia="Arial Unicode MS"/>
                <w:b/>
                <w:sz w:val="18"/>
              </w:rPr>
            </w:pPr>
            <w:r w:rsidRPr="001571B3">
              <w:rPr>
                <w:rFonts w:eastAsia="Arial Unicode MS"/>
                <w:b/>
                <w:sz w:val="18"/>
              </w:rPr>
              <w:t>2014</w:t>
            </w:r>
          </w:p>
        </w:tc>
        <w:tc>
          <w:tcPr>
            <w:tcW w:w="1530" w:type="dxa"/>
            <w:tcBorders>
              <w:bottom w:val="single" w:sz="12" w:space="0" w:color="auto"/>
            </w:tcBorders>
            <w:shd w:val="pct12" w:color="auto" w:fill="auto"/>
            <w:vAlign w:val="center"/>
          </w:tcPr>
          <w:p w:rsidR="001E1BB7" w:rsidRPr="001571B3" w:rsidRDefault="001E1BB7" w:rsidP="001571B3">
            <w:pPr>
              <w:spacing w:before="0" w:after="0"/>
              <w:ind w:right="221"/>
              <w:jc w:val="right"/>
              <w:rPr>
                <w:rFonts w:eastAsia="Arial Unicode MS"/>
                <w:b/>
                <w:sz w:val="18"/>
              </w:rPr>
            </w:pPr>
            <w:r w:rsidRPr="001571B3">
              <w:rPr>
                <w:rFonts w:eastAsia="Arial Unicode MS"/>
                <w:b/>
                <w:sz w:val="18"/>
              </w:rPr>
              <w:t>2015</w:t>
            </w:r>
          </w:p>
        </w:tc>
        <w:tc>
          <w:tcPr>
            <w:tcW w:w="1530" w:type="dxa"/>
            <w:tcBorders>
              <w:bottom w:val="single" w:sz="12" w:space="0" w:color="auto"/>
            </w:tcBorders>
            <w:shd w:val="pct12" w:color="auto" w:fill="auto"/>
            <w:vAlign w:val="center"/>
          </w:tcPr>
          <w:p w:rsidR="001E1BB7" w:rsidRPr="001571B3" w:rsidRDefault="001E1BB7" w:rsidP="001571B3">
            <w:pPr>
              <w:spacing w:before="0" w:after="0"/>
              <w:ind w:right="221"/>
              <w:jc w:val="right"/>
              <w:rPr>
                <w:rFonts w:eastAsia="Arial Unicode MS"/>
                <w:b/>
                <w:sz w:val="18"/>
              </w:rPr>
            </w:pPr>
            <w:r w:rsidRPr="001571B3">
              <w:rPr>
                <w:rFonts w:eastAsia="Arial Unicode MS"/>
                <w:b/>
                <w:sz w:val="18"/>
              </w:rPr>
              <w:t>CELKEM</w:t>
            </w:r>
          </w:p>
        </w:tc>
      </w:tr>
      <w:tr w:rsidR="009748BD" w:rsidTr="001571B3">
        <w:trPr>
          <w:jc w:val="center"/>
        </w:trPr>
        <w:tc>
          <w:tcPr>
            <w:tcW w:w="4745" w:type="dxa"/>
            <w:tcBorders>
              <w:top w:val="single" w:sz="12" w:space="0" w:color="auto"/>
              <w:right w:val="single" w:sz="12" w:space="0" w:color="auto"/>
            </w:tcBorders>
            <w:shd w:val="pct12" w:color="auto" w:fill="auto"/>
          </w:tcPr>
          <w:p w:rsidR="009748BD" w:rsidRPr="001571B3" w:rsidRDefault="009748BD" w:rsidP="001571B3">
            <w:pPr>
              <w:spacing w:before="0" w:after="0"/>
              <w:rPr>
                <w:rFonts w:eastAsia="Arial Unicode MS"/>
                <w:sz w:val="18"/>
              </w:rPr>
            </w:pPr>
            <w:r w:rsidRPr="001571B3">
              <w:rPr>
                <w:rFonts w:eastAsia="Arial Unicode MS"/>
                <w:sz w:val="18"/>
              </w:rPr>
              <w:t>Přípravná a projektová dokumentace</w:t>
            </w:r>
          </w:p>
        </w:tc>
        <w:tc>
          <w:tcPr>
            <w:tcW w:w="1529" w:type="dxa"/>
            <w:tcBorders>
              <w:top w:val="single" w:sz="12" w:space="0" w:color="auto"/>
              <w:left w:val="single" w:sz="12" w:space="0" w:color="auto"/>
            </w:tcBorders>
            <w:vAlign w:val="center"/>
          </w:tcPr>
          <w:p w:rsidR="009748BD" w:rsidRPr="001571B3" w:rsidRDefault="009748BD" w:rsidP="001571B3">
            <w:pPr>
              <w:spacing w:before="0" w:after="0"/>
              <w:ind w:right="221"/>
              <w:jc w:val="right"/>
              <w:rPr>
                <w:rFonts w:eastAsia="Arial Unicode MS"/>
                <w:sz w:val="18"/>
              </w:rPr>
            </w:pPr>
            <w:r w:rsidRPr="001571B3">
              <w:rPr>
                <w:rFonts w:eastAsia="Arial Unicode MS"/>
                <w:sz w:val="18"/>
              </w:rPr>
              <w:t>164 314</w:t>
            </w:r>
          </w:p>
        </w:tc>
        <w:tc>
          <w:tcPr>
            <w:tcW w:w="1530" w:type="dxa"/>
            <w:tcBorders>
              <w:top w:val="single" w:sz="12" w:space="0" w:color="auto"/>
            </w:tcBorders>
            <w:vAlign w:val="center"/>
          </w:tcPr>
          <w:p w:rsidR="009748BD" w:rsidRPr="001571B3" w:rsidRDefault="009748BD" w:rsidP="001571B3">
            <w:pPr>
              <w:spacing w:before="0" w:after="0"/>
              <w:ind w:right="221"/>
              <w:jc w:val="right"/>
              <w:rPr>
                <w:rFonts w:eastAsia="Arial Unicode MS"/>
                <w:sz w:val="18"/>
              </w:rPr>
            </w:pPr>
            <w:r w:rsidRPr="001571B3">
              <w:rPr>
                <w:rFonts w:eastAsia="Arial Unicode MS"/>
                <w:sz w:val="18"/>
              </w:rPr>
              <w:t>8 648</w:t>
            </w:r>
          </w:p>
        </w:tc>
        <w:tc>
          <w:tcPr>
            <w:tcW w:w="1530" w:type="dxa"/>
            <w:tcBorders>
              <w:top w:val="single" w:sz="12" w:space="0" w:color="auto"/>
            </w:tcBorders>
            <w:vAlign w:val="center"/>
          </w:tcPr>
          <w:p w:rsidR="009748BD" w:rsidRPr="001571B3" w:rsidRDefault="009748BD" w:rsidP="001571B3">
            <w:pPr>
              <w:spacing w:before="0" w:after="0"/>
              <w:ind w:right="221"/>
              <w:jc w:val="right"/>
              <w:rPr>
                <w:rFonts w:eastAsia="Arial Unicode MS"/>
                <w:bCs/>
                <w:kern w:val="28"/>
                <w:sz w:val="18"/>
              </w:rPr>
            </w:pPr>
            <w:r w:rsidRPr="001571B3">
              <w:rPr>
                <w:rFonts w:eastAsia="Arial Unicode MS"/>
                <w:sz w:val="18"/>
              </w:rPr>
              <w:t>172 962</w:t>
            </w:r>
          </w:p>
        </w:tc>
      </w:tr>
      <w:tr w:rsidR="009748BD" w:rsidTr="001571B3">
        <w:trPr>
          <w:jc w:val="center"/>
        </w:trPr>
        <w:tc>
          <w:tcPr>
            <w:tcW w:w="4745" w:type="dxa"/>
            <w:tcBorders>
              <w:right w:val="single" w:sz="12" w:space="0" w:color="auto"/>
            </w:tcBorders>
            <w:shd w:val="pct12" w:color="auto" w:fill="auto"/>
          </w:tcPr>
          <w:p w:rsidR="009748BD" w:rsidRPr="001571B3" w:rsidRDefault="009748BD" w:rsidP="001571B3">
            <w:pPr>
              <w:spacing w:before="0" w:after="0"/>
              <w:rPr>
                <w:rFonts w:eastAsia="Arial Unicode MS"/>
                <w:sz w:val="18"/>
              </w:rPr>
            </w:pPr>
            <w:r w:rsidRPr="001571B3">
              <w:rPr>
                <w:rFonts w:eastAsia="Arial Unicode MS"/>
                <w:sz w:val="18"/>
              </w:rPr>
              <w:t>Stavby a konstrukce</w:t>
            </w:r>
          </w:p>
        </w:tc>
        <w:tc>
          <w:tcPr>
            <w:tcW w:w="1529" w:type="dxa"/>
            <w:tcBorders>
              <w:left w:val="single" w:sz="12" w:space="0" w:color="auto"/>
            </w:tcBorders>
            <w:vAlign w:val="center"/>
          </w:tcPr>
          <w:p w:rsidR="009748BD" w:rsidRPr="001571B3" w:rsidRDefault="009748BD" w:rsidP="001571B3">
            <w:pPr>
              <w:spacing w:before="0" w:after="0"/>
              <w:ind w:right="221"/>
              <w:jc w:val="right"/>
              <w:rPr>
                <w:rFonts w:eastAsia="Arial Unicode MS"/>
                <w:sz w:val="18"/>
              </w:rPr>
            </w:pPr>
            <w:r w:rsidRPr="001571B3">
              <w:rPr>
                <w:rFonts w:eastAsia="Arial Unicode MS"/>
                <w:sz w:val="18"/>
              </w:rPr>
              <w:t>670 505</w:t>
            </w:r>
          </w:p>
        </w:tc>
        <w:tc>
          <w:tcPr>
            <w:tcW w:w="1530" w:type="dxa"/>
            <w:vAlign w:val="center"/>
          </w:tcPr>
          <w:p w:rsidR="009748BD" w:rsidRPr="001571B3" w:rsidRDefault="009748BD" w:rsidP="001571B3">
            <w:pPr>
              <w:spacing w:before="0" w:after="0"/>
              <w:ind w:right="221"/>
              <w:jc w:val="right"/>
              <w:rPr>
                <w:rFonts w:eastAsia="Arial Unicode MS"/>
                <w:sz w:val="18"/>
              </w:rPr>
            </w:pPr>
            <w:r w:rsidRPr="001571B3">
              <w:rPr>
                <w:rFonts w:eastAsia="Arial Unicode MS"/>
                <w:sz w:val="18"/>
              </w:rPr>
              <w:t>1 245 223</w:t>
            </w:r>
          </w:p>
        </w:tc>
        <w:tc>
          <w:tcPr>
            <w:tcW w:w="1530" w:type="dxa"/>
            <w:vAlign w:val="center"/>
          </w:tcPr>
          <w:p w:rsidR="009748BD" w:rsidRPr="001571B3" w:rsidRDefault="009748BD" w:rsidP="001571B3">
            <w:pPr>
              <w:spacing w:before="0" w:after="0"/>
              <w:ind w:right="221"/>
              <w:jc w:val="right"/>
              <w:rPr>
                <w:rFonts w:eastAsia="Arial Unicode MS"/>
                <w:sz w:val="18"/>
              </w:rPr>
            </w:pPr>
            <w:r w:rsidRPr="001571B3">
              <w:rPr>
                <w:rFonts w:eastAsia="Arial Unicode MS"/>
                <w:sz w:val="18"/>
              </w:rPr>
              <w:t>1 915 728</w:t>
            </w:r>
          </w:p>
        </w:tc>
      </w:tr>
      <w:tr w:rsidR="009748BD" w:rsidTr="001571B3">
        <w:trPr>
          <w:jc w:val="center"/>
        </w:trPr>
        <w:tc>
          <w:tcPr>
            <w:tcW w:w="4745" w:type="dxa"/>
            <w:tcBorders>
              <w:right w:val="single" w:sz="12" w:space="0" w:color="auto"/>
            </w:tcBorders>
            <w:shd w:val="pct12" w:color="auto" w:fill="auto"/>
          </w:tcPr>
          <w:p w:rsidR="009748BD" w:rsidRPr="001571B3" w:rsidRDefault="009748BD" w:rsidP="001571B3">
            <w:pPr>
              <w:spacing w:before="0" w:after="0"/>
              <w:rPr>
                <w:rFonts w:eastAsia="Arial Unicode MS"/>
                <w:sz w:val="18"/>
              </w:rPr>
            </w:pPr>
            <w:r w:rsidRPr="001571B3">
              <w:rPr>
                <w:rFonts w:eastAsia="Arial Unicode MS"/>
                <w:sz w:val="18"/>
              </w:rPr>
              <w:t>Technická asistence, propagace, dozor</w:t>
            </w:r>
          </w:p>
        </w:tc>
        <w:tc>
          <w:tcPr>
            <w:tcW w:w="1529" w:type="dxa"/>
            <w:tcBorders>
              <w:left w:val="single" w:sz="12" w:space="0" w:color="auto"/>
              <w:bottom w:val="single" w:sz="4" w:space="0" w:color="000000"/>
            </w:tcBorders>
            <w:vAlign w:val="center"/>
          </w:tcPr>
          <w:p w:rsidR="009748BD" w:rsidRPr="001571B3" w:rsidRDefault="009748BD" w:rsidP="001571B3">
            <w:pPr>
              <w:spacing w:before="0" w:after="0"/>
              <w:ind w:right="221"/>
              <w:jc w:val="right"/>
              <w:rPr>
                <w:rFonts w:eastAsia="Arial Unicode MS"/>
                <w:sz w:val="18"/>
              </w:rPr>
            </w:pPr>
            <w:r w:rsidRPr="001571B3">
              <w:rPr>
                <w:rFonts w:eastAsia="Arial Unicode MS"/>
                <w:sz w:val="18"/>
              </w:rPr>
              <w:t>21 651</w:t>
            </w:r>
          </w:p>
        </w:tc>
        <w:tc>
          <w:tcPr>
            <w:tcW w:w="1530" w:type="dxa"/>
            <w:tcBorders>
              <w:bottom w:val="single" w:sz="4" w:space="0" w:color="000000"/>
            </w:tcBorders>
            <w:vAlign w:val="center"/>
          </w:tcPr>
          <w:p w:rsidR="009748BD" w:rsidRPr="001571B3" w:rsidRDefault="009748BD" w:rsidP="001571B3">
            <w:pPr>
              <w:spacing w:before="0" w:after="0"/>
              <w:ind w:right="221"/>
              <w:jc w:val="right"/>
              <w:rPr>
                <w:rFonts w:eastAsia="Arial Unicode MS"/>
                <w:sz w:val="18"/>
              </w:rPr>
            </w:pPr>
            <w:r w:rsidRPr="001571B3">
              <w:rPr>
                <w:rFonts w:eastAsia="Arial Unicode MS"/>
                <w:sz w:val="18"/>
              </w:rPr>
              <w:t>21 651</w:t>
            </w:r>
          </w:p>
        </w:tc>
        <w:tc>
          <w:tcPr>
            <w:tcW w:w="1530" w:type="dxa"/>
            <w:tcBorders>
              <w:bottom w:val="single" w:sz="4" w:space="0" w:color="000000"/>
            </w:tcBorders>
            <w:vAlign w:val="center"/>
          </w:tcPr>
          <w:p w:rsidR="009748BD" w:rsidRPr="001571B3" w:rsidRDefault="009748BD" w:rsidP="001571B3">
            <w:pPr>
              <w:spacing w:before="0" w:after="0"/>
              <w:ind w:right="221"/>
              <w:jc w:val="right"/>
              <w:rPr>
                <w:rFonts w:eastAsia="Arial Unicode MS"/>
                <w:sz w:val="18"/>
              </w:rPr>
            </w:pPr>
            <w:r w:rsidRPr="001571B3">
              <w:rPr>
                <w:rFonts w:ascii="Arial" w:hAnsi="Arial" w:cs="Arial"/>
                <w:color w:val="000000"/>
                <w:sz w:val="18"/>
                <w:szCs w:val="18"/>
              </w:rPr>
              <w:t>43 302</w:t>
            </w:r>
          </w:p>
        </w:tc>
      </w:tr>
      <w:tr w:rsidR="009748BD" w:rsidTr="001571B3">
        <w:trPr>
          <w:jc w:val="center"/>
        </w:trPr>
        <w:tc>
          <w:tcPr>
            <w:tcW w:w="4745" w:type="dxa"/>
            <w:tcBorders>
              <w:right w:val="single" w:sz="12" w:space="0" w:color="auto"/>
            </w:tcBorders>
            <w:shd w:val="pct12" w:color="auto" w:fill="auto"/>
          </w:tcPr>
          <w:p w:rsidR="009748BD" w:rsidRPr="001571B3" w:rsidRDefault="009748BD" w:rsidP="001571B3">
            <w:pPr>
              <w:spacing w:before="0" w:after="0"/>
              <w:rPr>
                <w:rFonts w:eastAsia="Arial Unicode MS"/>
                <w:b/>
                <w:sz w:val="18"/>
              </w:rPr>
            </w:pPr>
            <w:r w:rsidRPr="001571B3">
              <w:rPr>
                <w:rFonts w:eastAsia="Arial Unicode MS"/>
                <w:b/>
                <w:sz w:val="18"/>
              </w:rPr>
              <w:t>CELKEM (CIN bez rezervy)</w:t>
            </w:r>
          </w:p>
        </w:tc>
        <w:tc>
          <w:tcPr>
            <w:tcW w:w="1529" w:type="dxa"/>
            <w:tcBorders>
              <w:left w:val="single" w:sz="12" w:space="0" w:color="auto"/>
            </w:tcBorders>
            <w:shd w:val="pct12" w:color="auto" w:fill="auto"/>
            <w:vAlign w:val="center"/>
          </w:tcPr>
          <w:p w:rsidR="009748BD" w:rsidRPr="001571B3" w:rsidRDefault="009748BD" w:rsidP="001571B3">
            <w:pPr>
              <w:spacing w:before="0" w:after="0"/>
              <w:ind w:right="221"/>
              <w:jc w:val="right"/>
              <w:rPr>
                <w:rFonts w:eastAsia="Arial Unicode MS"/>
                <w:b/>
                <w:sz w:val="18"/>
              </w:rPr>
            </w:pPr>
            <w:r w:rsidRPr="001571B3">
              <w:rPr>
                <w:rFonts w:eastAsia="Arial Unicode MS"/>
                <w:b/>
                <w:sz w:val="18"/>
              </w:rPr>
              <w:t>856 469</w:t>
            </w:r>
          </w:p>
        </w:tc>
        <w:tc>
          <w:tcPr>
            <w:tcW w:w="1530" w:type="dxa"/>
            <w:shd w:val="pct12" w:color="auto" w:fill="auto"/>
            <w:vAlign w:val="center"/>
          </w:tcPr>
          <w:p w:rsidR="009748BD" w:rsidRPr="001571B3" w:rsidRDefault="009748BD" w:rsidP="001571B3">
            <w:pPr>
              <w:spacing w:before="0" w:after="0"/>
              <w:ind w:right="221"/>
              <w:jc w:val="right"/>
              <w:rPr>
                <w:rFonts w:eastAsia="Arial Unicode MS"/>
                <w:b/>
                <w:sz w:val="18"/>
              </w:rPr>
            </w:pPr>
            <w:r w:rsidRPr="001571B3">
              <w:rPr>
                <w:rFonts w:eastAsia="Arial Unicode MS"/>
                <w:b/>
                <w:sz w:val="18"/>
              </w:rPr>
              <w:t>1 275 522</w:t>
            </w:r>
          </w:p>
        </w:tc>
        <w:tc>
          <w:tcPr>
            <w:tcW w:w="1530" w:type="dxa"/>
            <w:shd w:val="pct12" w:color="auto" w:fill="auto"/>
            <w:vAlign w:val="center"/>
          </w:tcPr>
          <w:p w:rsidR="009748BD" w:rsidRPr="001571B3" w:rsidRDefault="009748BD" w:rsidP="001571B3">
            <w:pPr>
              <w:spacing w:before="0" w:after="0"/>
              <w:ind w:right="221"/>
              <w:jc w:val="right"/>
              <w:rPr>
                <w:rFonts w:eastAsia="Arial Unicode MS"/>
                <w:b/>
                <w:sz w:val="18"/>
              </w:rPr>
            </w:pPr>
            <w:r w:rsidRPr="001571B3">
              <w:rPr>
                <w:rFonts w:eastAsia="Arial Unicode MS"/>
                <w:b/>
                <w:sz w:val="18"/>
              </w:rPr>
              <w:t>2 131 992</w:t>
            </w:r>
          </w:p>
        </w:tc>
      </w:tr>
      <w:tr w:rsidR="009748BD" w:rsidTr="001571B3">
        <w:trPr>
          <w:jc w:val="center"/>
        </w:trPr>
        <w:tc>
          <w:tcPr>
            <w:tcW w:w="4745" w:type="dxa"/>
            <w:tcBorders>
              <w:bottom w:val="single" w:sz="12" w:space="0" w:color="auto"/>
              <w:right w:val="single" w:sz="12" w:space="0" w:color="auto"/>
            </w:tcBorders>
            <w:shd w:val="pct12" w:color="auto" w:fill="auto"/>
          </w:tcPr>
          <w:p w:rsidR="009748BD" w:rsidRPr="001571B3" w:rsidRDefault="009748BD" w:rsidP="001571B3">
            <w:pPr>
              <w:spacing w:before="0" w:after="0"/>
              <w:rPr>
                <w:rFonts w:eastAsia="Arial Unicode MS"/>
                <w:sz w:val="18"/>
              </w:rPr>
            </w:pPr>
            <w:r w:rsidRPr="001571B3">
              <w:rPr>
                <w:rFonts w:eastAsia="Arial Unicode MS"/>
                <w:sz w:val="18"/>
              </w:rPr>
              <w:t>Rezerva</w:t>
            </w:r>
          </w:p>
        </w:tc>
        <w:tc>
          <w:tcPr>
            <w:tcW w:w="1529" w:type="dxa"/>
            <w:tcBorders>
              <w:left w:val="single" w:sz="12" w:space="0" w:color="auto"/>
              <w:bottom w:val="single" w:sz="12" w:space="0" w:color="auto"/>
            </w:tcBorders>
            <w:vAlign w:val="center"/>
          </w:tcPr>
          <w:p w:rsidR="009748BD" w:rsidRPr="001571B3" w:rsidRDefault="009748BD" w:rsidP="001571B3">
            <w:pPr>
              <w:spacing w:before="0" w:after="0"/>
              <w:ind w:right="221"/>
              <w:jc w:val="right"/>
              <w:rPr>
                <w:rFonts w:eastAsia="Arial Unicode MS"/>
                <w:sz w:val="18"/>
              </w:rPr>
            </w:pPr>
            <w:r w:rsidRPr="001571B3">
              <w:rPr>
                <w:rFonts w:eastAsia="Arial Unicode MS"/>
                <w:sz w:val="18"/>
              </w:rPr>
              <w:t>95 359</w:t>
            </w:r>
          </w:p>
        </w:tc>
        <w:tc>
          <w:tcPr>
            <w:tcW w:w="1530" w:type="dxa"/>
            <w:tcBorders>
              <w:bottom w:val="single" w:sz="12" w:space="0" w:color="auto"/>
            </w:tcBorders>
            <w:vAlign w:val="center"/>
          </w:tcPr>
          <w:p w:rsidR="009748BD" w:rsidRPr="001571B3" w:rsidRDefault="009748BD" w:rsidP="001571B3">
            <w:pPr>
              <w:spacing w:before="0" w:after="0"/>
              <w:ind w:right="221"/>
              <w:jc w:val="right"/>
              <w:rPr>
                <w:rFonts w:eastAsia="Arial Unicode MS"/>
                <w:sz w:val="18"/>
              </w:rPr>
            </w:pPr>
            <w:r w:rsidRPr="001571B3">
              <w:rPr>
                <w:rFonts w:eastAsia="Arial Unicode MS"/>
                <w:sz w:val="18"/>
              </w:rPr>
              <w:t>95 359</w:t>
            </w:r>
          </w:p>
        </w:tc>
        <w:tc>
          <w:tcPr>
            <w:tcW w:w="1530" w:type="dxa"/>
            <w:tcBorders>
              <w:bottom w:val="single" w:sz="12" w:space="0" w:color="auto"/>
            </w:tcBorders>
            <w:vAlign w:val="center"/>
          </w:tcPr>
          <w:p w:rsidR="009748BD" w:rsidRPr="001571B3" w:rsidRDefault="009748BD" w:rsidP="001571B3">
            <w:pPr>
              <w:spacing w:before="0" w:after="0"/>
              <w:ind w:right="221"/>
              <w:jc w:val="right"/>
              <w:rPr>
                <w:rFonts w:eastAsia="Arial Unicode MS"/>
                <w:sz w:val="18"/>
              </w:rPr>
            </w:pPr>
            <w:r w:rsidRPr="001571B3">
              <w:rPr>
                <w:rFonts w:eastAsia="Arial Unicode MS"/>
                <w:sz w:val="18"/>
              </w:rPr>
              <w:t>190 718</w:t>
            </w:r>
          </w:p>
        </w:tc>
      </w:tr>
      <w:tr w:rsidR="009748BD" w:rsidTr="001571B3">
        <w:trPr>
          <w:jc w:val="center"/>
        </w:trPr>
        <w:tc>
          <w:tcPr>
            <w:tcW w:w="4745" w:type="dxa"/>
            <w:tcBorders>
              <w:top w:val="single" w:sz="12" w:space="0" w:color="auto"/>
              <w:right w:val="single" w:sz="12" w:space="0" w:color="auto"/>
            </w:tcBorders>
            <w:shd w:val="pct12" w:color="auto" w:fill="auto"/>
          </w:tcPr>
          <w:p w:rsidR="009748BD" w:rsidRPr="001571B3" w:rsidRDefault="009748BD" w:rsidP="001571B3">
            <w:pPr>
              <w:spacing w:before="0" w:after="0"/>
              <w:rPr>
                <w:rFonts w:eastAsia="Arial Unicode MS"/>
                <w:b/>
                <w:sz w:val="18"/>
              </w:rPr>
            </w:pPr>
            <w:r w:rsidRPr="001571B3">
              <w:rPr>
                <w:rFonts w:eastAsia="Arial Unicode MS"/>
                <w:b/>
                <w:sz w:val="18"/>
              </w:rPr>
              <w:t>CELKEM (CIN)</w:t>
            </w:r>
          </w:p>
        </w:tc>
        <w:tc>
          <w:tcPr>
            <w:tcW w:w="1529" w:type="dxa"/>
            <w:tcBorders>
              <w:top w:val="single" w:sz="12" w:space="0" w:color="auto"/>
              <w:left w:val="single" w:sz="12" w:space="0" w:color="auto"/>
            </w:tcBorders>
            <w:shd w:val="pct12" w:color="auto" w:fill="auto"/>
            <w:vAlign w:val="center"/>
          </w:tcPr>
          <w:p w:rsidR="009748BD" w:rsidRPr="001571B3" w:rsidRDefault="009748BD" w:rsidP="001571B3">
            <w:pPr>
              <w:spacing w:before="0" w:after="0"/>
              <w:ind w:right="221"/>
              <w:jc w:val="right"/>
              <w:rPr>
                <w:rFonts w:eastAsia="Arial Unicode MS"/>
                <w:b/>
                <w:sz w:val="18"/>
              </w:rPr>
            </w:pPr>
            <w:r w:rsidRPr="001571B3">
              <w:rPr>
                <w:rFonts w:eastAsia="Arial Unicode MS"/>
                <w:b/>
                <w:sz w:val="18"/>
              </w:rPr>
              <w:t>951 829</w:t>
            </w:r>
          </w:p>
        </w:tc>
        <w:tc>
          <w:tcPr>
            <w:tcW w:w="1530" w:type="dxa"/>
            <w:tcBorders>
              <w:top w:val="single" w:sz="12" w:space="0" w:color="auto"/>
            </w:tcBorders>
            <w:shd w:val="pct12" w:color="auto" w:fill="auto"/>
            <w:vAlign w:val="center"/>
          </w:tcPr>
          <w:p w:rsidR="009748BD" w:rsidRPr="001571B3" w:rsidRDefault="009748BD" w:rsidP="001571B3">
            <w:pPr>
              <w:spacing w:before="0" w:after="0"/>
              <w:ind w:right="221"/>
              <w:jc w:val="right"/>
              <w:rPr>
                <w:rFonts w:eastAsia="Arial Unicode MS"/>
                <w:b/>
                <w:sz w:val="18"/>
              </w:rPr>
            </w:pPr>
            <w:r w:rsidRPr="001571B3">
              <w:rPr>
                <w:rFonts w:eastAsia="Arial Unicode MS"/>
                <w:b/>
                <w:sz w:val="18"/>
              </w:rPr>
              <w:t>1 370 881</w:t>
            </w:r>
          </w:p>
        </w:tc>
        <w:tc>
          <w:tcPr>
            <w:tcW w:w="1530" w:type="dxa"/>
            <w:tcBorders>
              <w:top w:val="single" w:sz="12" w:space="0" w:color="auto"/>
            </w:tcBorders>
            <w:shd w:val="pct12" w:color="auto" w:fill="auto"/>
            <w:vAlign w:val="center"/>
          </w:tcPr>
          <w:p w:rsidR="009748BD" w:rsidRPr="001571B3" w:rsidRDefault="009748BD" w:rsidP="001571B3">
            <w:pPr>
              <w:spacing w:before="0" w:after="0"/>
              <w:ind w:right="221"/>
              <w:jc w:val="right"/>
              <w:rPr>
                <w:rFonts w:eastAsia="Arial Unicode MS"/>
                <w:b/>
                <w:sz w:val="18"/>
              </w:rPr>
            </w:pPr>
            <w:r w:rsidRPr="001571B3">
              <w:rPr>
                <w:rFonts w:eastAsia="Arial Unicode MS"/>
                <w:b/>
                <w:sz w:val="18"/>
              </w:rPr>
              <w:t>2 322 710</w:t>
            </w:r>
          </w:p>
        </w:tc>
      </w:tr>
    </w:tbl>
    <w:p w:rsidR="001E1BB7" w:rsidRDefault="001E1BB7" w:rsidP="00FE5BEA"/>
    <w:tbl>
      <w:tblPr>
        <w:tblW w:w="9334" w:type="dxa"/>
        <w:jc w:val="center"/>
        <w:tblInd w:w="-10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63"/>
        <w:gridCol w:w="1523"/>
        <w:gridCol w:w="1524"/>
        <w:gridCol w:w="1524"/>
      </w:tblGrid>
      <w:tr w:rsidR="00AD725F" w:rsidTr="001571B3">
        <w:trPr>
          <w:jc w:val="center"/>
        </w:trPr>
        <w:tc>
          <w:tcPr>
            <w:tcW w:w="9334" w:type="dxa"/>
            <w:gridSpan w:val="4"/>
            <w:tcBorders>
              <w:bottom w:val="single" w:sz="4" w:space="0" w:color="000000"/>
            </w:tcBorders>
          </w:tcPr>
          <w:p w:rsidR="006819BA" w:rsidRDefault="00AD725F" w:rsidP="001571B3">
            <w:pPr>
              <w:pStyle w:val="Titulek"/>
              <w:rPr>
                <w:rFonts w:eastAsia="Arial Unicode MS"/>
                <w:color w:val="FF0000"/>
              </w:rPr>
            </w:pPr>
            <w:bookmarkStart w:id="289" w:name="_Toc390958778"/>
            <w:bookmarkStart w:id="290" w:name="_Toc391034582"/>
            <w:r w:rsidRPr="00AA701E">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2</w:t>
            </w:r>
            <w:r w:rsidR="000E79AE">
              <w:fldChar w:fldCharType="end"/>
            </w:r>
            <w:r w:rsidRPr="00AA701E">
              <w:t xml:space="preserve">: Investiční náklady varianty </w:t>
            </w:r>
            <w:r w:rsidR="009E270E" w:rsidRPr="00AA701E">
              <w:t>Etapa</w:t>
            </w:r>
            <w:r w:rsidRPr="00AA701E">
              <w:t xml:space="preserve"> v tis. Kč, CÚ </w:t>
            </w:r>
            <w:r w:rsidR="00750435" w:rsidRPr="00AA701E">
              <w:t>2013</w:t>
            </w:r>
            <w:bookmarkEnd w:id="289"/>
            <w:bookmarkEnd w:id="290"/>
          </w:p>
        </w:tc>
      </w:tr>
      <w:tr w:rsidR="00AD725F" w:rsidTr="001571B3">
        <w:trPr>
          <w:jc w:val="center"/>
        </w:trPr>
        <w:tc>
          <w:tcPr>
            <w:tcW w:w="4763" w:type="dxa"/>
            <w:tcBorders>
              <w:bottom w:val="single" w:sz="12" w:space="0" w:color="auto"/>
              <w:right w:val="single" w:sz="12" w:space="0" w:color="auto"/>
            </w:tcBorders>
            <w:shd w:val="pct12" w:color="auto" w:fill="auto"/>
          </w:tcPr>
          <w:p w:rsidR="00AD725F" w:rsidRPr="001571B3" w:rsidRDefault="00AD725F" w:rsidP="001571B3">
            <w:pPr>
              <w:spacing w:before="0" w:after="0"/>
              <w:rPr>
                <w:rFonts w:eastAsia="Arial Unicode MS"/>
                <w:b/>
                <w:sz w:val="18"/>
                <w:szCs w:val="20"/>
              </w:rPr>
            </w:pPr>
            <w:r w:rsidRPr="001571B3">
              <w:rPr>
                <w:rFonts w:eastAsia="Arial Unicode MS"/>
                <w:b/>
                <w:sz w:val="18"/>
                <w:szCs w:val="20"/>
              </w:rPr>
              <w:t>rok</w:t>
            </w:r>
          </w:p>
        </w:tc>
        <w:tc>
          <w:tcPr>
            <w:tcW w:w="1523" w:type="dxa"/>
            <w:tcBorders>
              <w:left w:val="single" w:sz="12" w:space="0" w:color="auto"/>
              <w:bottom w:val="single" w:sz="12" w:space="0" w:color="auto"/>
            </w:tcBorders>
            <w:shd w:val="pct12" w:color="auto" w:fill="auto"/>
            <w:vAlign w:val="center"/>
          </w:tcPr>
          <w:p w:rsidR="00AD725F" w:rsidRPr="001571B3" w:rsidRDefault="00AD725F" w:rsidP="001571B3">
            <w:pPr>
              <w:spacing w:before="0" w:after="0"/>
              <w:ind w:right="233"/>
              <w:jc w:val="right"/>
              <w:rPr>
                <w:rFonts w:eastAsia="Arial Unicode MS"/>
                <w:b/>
                <w:sz w:val="18"/>
                <w:szCs w:val="20"/>
              </w:rPr>
            </w:pPr>
            <w:r w:rsidRPr="001571B3">
              <w:rPr>
                <w:rFonts w:eastAsia="Arial Unicode MS"/>
                <w:b/>
                <w:sz w:val="18"/>
                <w:szCs w:val="20"/>
              </w:rPr>
              <w:t>2014</w:t>
            </w:r>
          </w:p>
        </w:tc>
        <w:tc>
          <w:tcPr>
            <w:tcW w:w="1524" w:type="dxa"/>
            <w:tcBorders>
              <w:bottom w:val="single" w:sz="12" w:space="0" w:color="auto"/>
            </w:tcBorders>
            <w:shd w:val="pct12" w:color="auto" w:fill="auto"/>
            <w:vAlign w:val="center"/>
          </w:tcPr>
          <w:p w:rsidR="00AD725F" w:rsidRPr="001571B3" w:rsidRDefault="00AD725F" w:rsidP="001571B3">
            <w:pPr>
              <w:spacing w:before="0" w:after="0"/>
              <w:ind w:right="233"/>
              <w:jc w:val="right"/>
              <w:rPr>
                <w:rFonts w:eastAsia="Arial Unicode MS"/>
                <w:b/>
                <w:sz w:val="18"/>
                <w:szCs w:val="20"/>
              </w:rPr>
            </w:pPr>
            <w:r w:rsidRPr="001571B3">
              <w:rPr>
                <w:rFonts w:eastAsia="Arial Unicode MS"/>
                <w:b/>
                <w:sz w:val="18"/>
                <w:szCs w:val="20"/>
              </w:rPr>
              <w:t>2015</w:t>
            </w:r>
          </w:p>
        </w:tc>
        <w:tc>
          <w:tcPr>
            <w:tcW w:w="1524" w:type="dxa"/>
            <w:tcBorders>
              <w:bottom w:val="single" w:sz="12" w:space="0" w:color="auto"/>
            </w:tcBorders>
            <w:shd w:val="pct12" w:color="auto" w:fill="auto"/>
            <w:vAlign w:val="center"/>
          </w:tcPr>
          <w:p w:rsidR="00AD725F" w:rsidRPr="001571B3" w:rsidRDefault="00AD725F" w:rsidP="001571B3">
            <w:pPr>
              <w:spacing w:before="0" w:after="0"/>
              <w:ind w:right="233"/>
              <w:jc w:val="right"/>
              <w:rPr>
                <w:rFonts w:eastAsia="Arial Unicode MS"/>
                <w:b/>
                <w:sz w:val="18"/>
                <w:szCs w:val="20"/>
              </w:rPr>
            </w:pPr>
            <w:r w:rsidRPr="001571B3">
              <w:rPr>
                <w:rFonts w:eastAsia="Arial Unicode MS"/>
                <w:b/>
                <w:sz w:val="18"/>
                <w:szCs w:val="20"/>
              </w:rPr>
              <w:t>CELKEM</w:t>
            </w:r>
          </w:p>
        </w:tc>
      </w:tr>
      <w:tr w:rsidR="006972B9" w:rsidTr="001571B3">
        <w:trPr>
          <w:jc w:val="center"/>
        </w:trPr>
        <w:tc>
          <w:tcPr>
            <w:tcW w:w="4763" w:type="dxa"/>
            <w:tcBorders>
              <w:top w:val="single" w:sz="12" w:space="0" w:color="auto"/>
              <w:right w:val="single" w:sz="12" w:space="0" w:color="auto"/>
            </w:tcBorders>
            <w:shd w:val="pct12" w:color="auto" w:fill="auto"/>
          </w:tcPr>
          <w:p w:rsidR="006972B9" w:rsidRPr="001E1BB7" w:rsidRDefault="006972B9" w:rsidP="001571B3">
            <w:pPr>
              <w:spacing w:before="0" w:after="0"/>
              <w:rPr>
                <w:rFonts w:eastAsia="Arial Unicode MS"/>
                <w:sz w:val="18"/>
                <w:szCs w:val="20"/>
              </w:rPr>
            </w:pPr>
            <w:r w:rsidRPr="001E1BB7">
              <w:rPr>
                <w:rFonts w:eastAsia="Arial Unicode MS"/>
                <w:sz w:val="18"/>
                <w:szCs w:val="20"/>
              </w:rPr>
              <w:t>Přípravná a projektová dokumentace</w:t>
            </w:r>
          </w:p>
        </w:tc>
        <w:tc>
          <w:tcPr>
            <w:tcW w:w="1523" w:type="dxa"/>
            <w:tcBorders>
              <w:top w:val="single" w:sz="12" w:space="0" w:color="auto"/>
              <w:left w:val="single" w:sz="12" w:space="0" w:color="auto"/>
            </w:tcBorders>
            <w:vAlign w:val="center"/>
          </w:tcPr>
          <w:p w:rsidR="006972B9" w:rsidRPr="005851BE" w:rsidRDefault="006972B9" w:rsidP="001571B3">
            <w:pPr>
              <w:spacing w:before="0" w:after="0"/>
              <w:ind w:right="233"/>
              <w:jc w:val="right"/>
              <w:rPr>
                <w:rFonts w:eastAsia="Arial Unicode MS"/>
                <w:sz w:val="18"/>
                <w:szCs w:val="20"/>
              </w:rPr>
            </w:pPr>
            <w:r w:rsidRPr="00930685">
              <w:rPr>
                <w:rFonts w:eastAsia="Arial Unicode MS"/>
                <w:sz w:val="18"/>
                <w:szCs w:val="20"/>
              </w:rPr>
              <w:t>68 357</w:t>
            </w:r>
          </w:p>
        </w:tc>
        <w:tc>
          <w:tcPr>
            <w:tcW w:w="1524" w:type="dxa"/>
            <w:tcBorders>
              <w:top w:val="single" w:sz="12" w:space="0" w:color="auto"/>
            </w:tcBorders>
            <w:vAlign w:val="center"/>
          </w:tcPr>
          <w:p w:rsidR="006972B9" w:rsidRPr="005851BE" w:rsidRDefault="006972B9" w:rsidP="001571B3">
            <w:pPr>
              <w:spacing w:before="0" w:after="0"/>
              <w:ind w:right="233"/>
              <w:jc w:val="right"/>
              <w:rPr>
                <w:rFonts w:eastAsia="Arial Unicode MS"/>
                <w:sz w:val="18"/>
                <w:szCs w:val="20"/>
              </w:rPr>
            </w:pPr>
            <w:r w:rsidRPr="00930685">
              <w:rPr>
                <w:rFonts w:eastAsia="Arial Unicode MS"/>
                <w:sz w:val="18"/>
                <w:szCs w:val="20"/>
              </w:rPr>
              <w:t>4 152</w:t>
            </w:r>
          </w:p>
        </w:tc>
        <w:tc>
          <w:tcPr>
            <w:tcW w:w="1524" w:type="dxa"/>
            <w:tcBorders>
              <w:top w:val="single" w:sz="12" w:space="0" w:color="auto"/>
            </w:tcBorders>
            <w:vAlign w:val="center"/>
          </w:tcPr>
          <w:p w:rsidR="006972B9" w:rsidRPr="005851BE" w:rsidRDefault="006972B9" w:rsidP="001571B3">
            <w:pPr>
              <w:spacing w:before="0" w:after="0"/>
              <w:ind w:right="233"/>
              <w:jc w:val="right"/>
              <w:rPr>
                <w:rFonts w:eastAsia="Arial Unicode MS"/>
                <w:sz w:val="18"/>
                <w:szCs w:val="20"/>
              </w:rPr>
            </w:pPr>
            <w:r w:rsidRPr="00930685">
              <w:rPr>
                <w:rFonts w:eastAsia="Arial Unicode MS"/>
                <w:sz w:val="18"/>
                <w:szCs w:val="20"/>
              </w:rPr>
              <w:t>72 509</w:t>
            </w:r>
          </w:p>
        </w:tc>
      </w:tr>
      <w:tr w:rsidR="006972B9" w:rsidTr="001571B3">
        <w:trPr>
          <w:jc w:val="center"/>
        </w:trPr>
        <w:tc>
          <w:tcPr>
            <w:tcW w:w="4763" w:type="dxa"/>
            <w:tcBorders>
              <w:right w:val="single" w:sz="12" w:space="0" w:color="auto"/>
            </w:tcBorders>
            <w:shd w:val="pct12" w:color="auto" w:fill="auto"/>
          </w:tcPr>
          <w:p w:rsidR="006972B9" w:rsidRPr="001E1BB7" w:rsidRDefault="006972B9" w:rsidP="001571B3">
            <w:pPr>
              <w:spacing w:before="0" w:after="0"/>
              <w:rPr>
                <w:rFonts w:eastAsia="Arial Unicode MS"/>
                <w:sz w:val="18"/>
                <w:szCs w:val="20"/>
              </w:rPr>
            </w:pPr>
            <w:r>
              <w:rPr>
                <w:rFonts w:eastAsia="Arial Unicode MS"/>
                <w:sz w:val="18"/>
                <w:szCs w:val="20"/>
              </w:rPr>
              <w:t>Zábory pozemků</w:t>
            </w:r>
          </w:p>
        </w:tc>
        <w:tc>
          <w:tcPr>
            <w:tcW w:w="1523" w:type="dxa"/>
            <w:tcBorders>
              <w:left w:val="single" w:sz="12" w:space="0" w:color="auto"/>
            </w:tcBorders>
            <w:vAlign w:val="center"/>
          </w:tcPr>
          <w:p w:rsidR="006972B9" w:rsidRPr="005851BE" w:rsidRDefault="006972B9" w:rsidP="001571B3">
            <w:pPr>
              <w:spacing w:before="0" w:after="0"/>
              <w:ind w:right="233"/>
              <w:jc w:val="right"/>
              <w:rPr>
                <w:rFonts w:eastAsia="Arial Unicode MS"/>
                <w:sz w:val="18"/>
                <w:szCs w:val="20"/>
              </w:rPr>
            </w:pPr>
            <w:r w:rsidRPr="00930685">
              <w:rPr>
                <w:rFonts w:eastAsia="Arial Unicode MS"/>
                <w:sz w:val="18"/>
                <w:szCs w:val="20"/>
              </w:rPr>
              <w:t>27 743</w:t>
            </w:r>
          </w:p>
        </w:tc>
        <w:tc>
          <w:tcPr>
            <w:tcW w:w="1524" w:type="dxa"/>
            <w:vAlign w:val="center"/>
          </w:tcPr>
          <w:p w:rsidR="006972B9" w:rsidRPr="005851BE" w:rsidRDefault="006972B9" w:rsidP="001571B3">
            <w:pPr>
              <w:spacing w:before="0" w:after="0"/>
              <w:ind w:right="233"/>
              <w:jc w:val="right"/>
              <w:rPr>
                <w:rFonts w:eastAsia="Arial Unicode MS"/>
                <w:sz w:val="18"/>
                <w:szCs w:val="20"/>
              </w:rPr>
            </w:pPr>
            <w:r w:rsidRPr="00930685">
              <w:rPr>
                <w:rFonts w:eastAsia="Arial Unicode MS"/>
                <w:sz w:val="18"/>
                <w:szCs w:val="20"/>
              </w:rPr>
              <w:t>45</w:t>
            </w:r>
          </w:p>
        </w:tc>
        <w:tc>
          <w:tcPr>
            <w:tcW w:w="1524" w:type="dxa"/>
            <w:vAlign w:val="center"/>
          </w:tcPr>
          <w:p w:rsidR="006972B9" w:rsidRPr="005851BE" w:rsidRDefault="006972B9" w:rsidP="001571B3">
            <w:pPr>
              <w:spacing w:before="0" w:after="0"/>
              <w:ind w:right="233"/>
              <w:jc w:val="right"/>
              <w:rPr>
                <w:rFonts w:eastAsia="Arial Unicode MS"/>
                <w:sz w:val="18"/>
                <w:szCs w:val="20"/>
              </w:rPr>
            </w:pPr>
            <w:r w:rsidRPr="00930685">
              <w:rPr>
                <w:rFonts w:eastAsia="Arial Unicode MS"/>
                <w:sz w:val="18"/>
                <w:szCs w:val="20"/>
              </w:rPr>
              <w:t>27 788</w:t>
            </w:r>
          </w:p>
        </w:tc>
      </w:tr>
      <w:tr w:rsidR="006972B9" w:rsidTr="001571B3">
        <w:trPr>
          <w:jc w:val="center"/>
        </w:trPr>
        <w:tc>
          <w:tcPr>
            <w:tcW w:w="4763" w:type="dxa"/>
            <w:tcBorders>
              <w:right w:val="single" w:sz="12" w:space="0" w:color="auto"/>
            </w:tcBorders>
            <w:shd w:val="pct12" w:color="auto" w:fill="auto"/>
          </w:tcPr>
          <w:p w:rsidR="006972B9" w:rsidRDefault="006972B9" w:rsidP="001571B3">
            <w:pPr>
              <w:spacing w:before="0" w:after="0"/>
              <w:rPr>
                <w:rFonts w:eastAsia="Arial Unicode MS"/>
                <w:sz w:val="18"/>
                <w:szCs w:val="20"/>
              </w:rPr>
            </w:pPr>
            <w:r w:rsidRPr="001E1BB7">
              <w:rPr>
                <w:rFonts w:eastAsia="Arial Unicode MS"/>
                <w:sz w:val="18"/>
                <w:szCs w:val="20"/>
              </w:rPr>
              <w:t>Stavby a konstrukce</w:t>
            </w:r>
          </w:p>
        </w:tc>
        <w:tc>
          <w:tcPr>
            <w:tcW w:w="1523" w:type="dxa"/>
            <w:tcBorders>
              <w:left w:val="single" w:sz="12" w:space="0" w:color="auto"/>
            </w:tcBorders>
            <w:vAlign w:val="center"/>
          </w:tcPr>
          <w:p w:rsidR="006972B9" w:rsidRPr="005851BE" w:rsidRDefault="006972B9" w:rsidP="001571B3">
            <w:pPr>
              <w:spacing w:before="0" w:after="0"/>
              <w:ind w:right="233"/>
              <w:jc w:val="right"/>
              <w:rPr>
                <w:rFonts w:eastAsia="Arial Unicode MS"/>
                <w:sz w:val="18"/>
                <w:szCs w:val="20"/>
              </w:rPr>
            </w:pPr>
            <w:r w:rsidRPr="00930685">
              <w:rPr>
                <w:rFonts w:eastAsia="Arial Unicode MS"/>
                <w:sz w:val="18"/>
                <w:szCs w:val="20"/>
              </w:rPr>
              <w:t>630 433</w:t>
            </w:r>
          </w:p>
        </w:tc>
        <w:tc>
          <w:tcPr>
            <w:tcW w:w="1524" w:type="dxa"/>
            <w:vAlign w:val="center"/>
          </w:tcPr>
          <w:p w:rsidR="006972B9" w:rsidRPr="005851BE" w:rsidRDefault="006972B9" w:rsidP="001571B3">
            <w:pPr>
              <w:spacing w:before="0" w:after="0"/>
              <w:ind w:right="233"/>
              <w:jc w:val="right"/>
              <w:rPr>
                <w:rFonts w:eastAsia="Arial Unicode MS"/>
                <w:sz w:val="18"/>
                <w:szCs w:val="20"/>
              </w:rPr>
            </w:pPr>
            <w:r w:rsidRPr="00930685">
              <w:rPr>
                <w:rFonts w:eastAsia="Arial Unicode MS"/>
                <w:sz w:val="18"/>
                <w:szCs w:val="20"/>
              </w:rPr>
              <w:t>172 677</w:t>
            </w:r>
          </w:p>
        </w:tc>
        <w:tc>
          <w:tcPr>
            <w:tcW w:w="1524" w:type="dxa"/>
            <w:vAlign w:val="center"/>
          </w:tcPr>
          <w:p w:rsidR="006972B9" w:rsidRPr="005851BE" w:rsidRDefault="006972B9" w:rsidP="001571B3">
            <w:pPr>
              <w:spacing w:before="0" w:after="0"/>
              <w:ind w:right="233"/>
              <w:jc w:val="right"/>
              <w:rPr>
                <w:rFonts w:eastAsia="Arial Unicode MS"/>
                <w:sz w:val="18"/>
                <w:szCs w:val="20"/>
              </w:rPr>
            </w:pPr>
            <w:r w:rsidRPr="00930685">
              <w:rPr>
                <w:rFonts w:eastAsia="Arial Unicode MS"/>
                <w:sz w:val="18"/>
                <w:szCs w:val="20"/>
              </w:rPr>
              <w:t>803 110</w:t>
            </w:r>
          </w:p>
        </w:tc>
      </w:tr>
      <w:tr w:rsidR="006972B9" w:rsidTr="001571B3">
        <w:trPr>
          <w:jc w:val="center"/>
        </w:trPr>
        <w:tc>
          <w:tcPr>
            <w:tcW w:w="4763" w:type="dxa"/>
            <w:tcBorders>
              <w:right w:val="single" w:sz="12" w:space="0" w:color="auto"/>
            </w:tcBorders>
            <w:shd w:val="pct12" w:color="auto" w:fill="auto"/>
          </w:tcPr>
          <w:p w:rsidR="006972B9" w:rsidRPr="001E1BB7" w:rsidRDefault="006972B9" w:rsidP="001571B3">
            <w:pPr>
              <w:spacing w:before="0" w:after="0"/>
              <w:rPr>
                <w:rFonts w:eastAsia="Arial Unicode MS"/>
                <w:sz w:val="18"/>
                <w:szCs w:val="20"/>
              </w:rPr>
            </w:pPr>
            <w:r w:rsidRPr="001E1BB7">
              <w:rPr>
                <w:rFonts w:eastAsia="Arial Unicode MS"/>
                <w:sz w:val="18"/>
                <w:szCs w:val="20"/>
              </w:rPr>
              <w:t>Technická asistence, propagace, dozor</w:t>
            </w:r>
          </w:p>
        </w:tc>
        <w:tc>
          <w:tcPr>
            <w:tcW w:w="1523" w:type="dxa"/>
            <w:tcBorders>
              <w:left w:val="single" w:sz="12" w:space="0" w:color="auto"/>
              <w:bottom w:val="single" w:sz="4" w:space="0" w:color="000000"/>
            </w:tcBorders>
            <w:vAlign w:val="center"/>
          </w:tcPr>
          <w:p w:rsidR="006972B9" w:rsidRPr="005851BE" w:rsidRDefault="006972B9" w:rsidP="001571B3">
            <w:pPr>
              <w:spacing w:before="0" w:after="0"/>
              <w:ind w:right="233"/>
              <w:jc w:val="right"/>
              <w:rPr>
                <w:rFonts w:eastAsia="Arial Unicode MS"/>
                <w:sz w:val="18"/>
                <w:szCs w:val="20"/>
              </w:rPr>
            </w:pPr>
            <w:r w:rsidRPr="00930685">
              <w:rPr>
                <w:rFonts w:eastAsia="Arial Unicode MS"/>
                <w:sz w:val="18"/>
                <w:szCs w:val="20"/>
              </w:rPr>
              <w:t>11 692</w:t>
            </w:r>
          </w:p>
        </w:tc>
        <w:tc>
          <w:tcPr>
            <w:tcW w:w="1524" w:type="dxa"/>
            <w:tcBorders>
              <w:bottom w:val="single" w:sz="4" w:space="0" w:color="000000"/>
            </w:tcBorders>
            <w:vAlign w:val="center"/>
          </w:tcPr>
          <w:p w:rsidR="006972B9" w:rsidRPr="005851BE" w:rsidRDefault="006972B9" w:rsidP="001571B3">
            <w:pPr>
              <w:spacing w:before="0" w:after="0"/>
              <w:ind w:right="233"/>
              <w:jc w:val="right"/>
              <w:rPr>
                <w:rFonts w:eastAsia="Arial Unicode MS"/>
                <w:sz w:val="18"/>
                <w:szCs w:val="20"/>
              </w:rPr>
            </w:pPr>
            <w:r w:rsidRPr="00930685">
              <w:rPr>
                <w:rFonts w:eastAsia="Arial Unicode MS"/>
                <w:sz w:val="18"/>
                <w:szCs w:val="20"/>
              </w:rPr>
              <w:t>6 461</w:t>
            </w:r>
          </w:p>
        </w:tc>
        <w:tc>
          <w:tcPr>
            <w:tcW w:w="1524" w:type="dxa"/>
            <w:tcBorders>
              <w:bottom w:val="single" w:sz="4" w:space="0" w:color="000000"/>
            </w:tcBorders>
            <w:vAlign w:val="center"/>
          </w:tcPr>
          <w:p w:rsidR="006972B9" w:rsidRPr="005851BE" w:rsidRDefault="006972B9" w:rsidP="001571B3">
            <w:pPr>
              <w:spacing w:before="0" w:after="0"/>
              <w:ind w:right="233"/>
              <w:jc w:val="right"/>
              <w:rPr>
                <w:rFonts w:eastAsia="Arial Unicode MS"/>
                <w:sz w:val="18"/>
                <w:szCs w:val="20"/>
              </w:rPr>
            </w:pPr>
            <w:r w:rsidRPr="00930685">
              <w:rPr>
                <w:rFonts w:eastAsia="Arial Unicode MS"/>
                <w:sz w:val="18"/>
                <w:szCs w:val="20"/>
              </w:rPr>
              <w:t>18 153</w:t>
            </w:r>
          </w:p>
        </w:tc>
      </w:tr>
      <w:tr w:rsidR="006972B9" w:rsidTr="001571B3">
        <w:trPr>
          <w:jc w:val="center"/>
        </w:trPr>
        <w:tc>
          <w:tcPr>
            <w:tcW w:w="4763" w:type="dxa"/>
            <w:tcBorders>
              <w:right w:val="single" w:sz="12" w:space="0" w:color="auto"/>
            </w:tcBorders>
            <w:shd w:val="pct12" w:color="auto" w:fill="auto"/>
          </w:tcPr>
          <w:p w:rsidR="006972B9" w:rsidRPr="001571B3" w:rsidRDefault="006972B9" w:rsidP="001571B3">
            <w:pPr>
              <w:spacing w:before="0" w:after="0"/>
              <w:rPr>
                <w:rFonts w:eastAsia="Arial Unicode MS"/>
                <w:b/>
                <w:sz w:val="18"/>
                <w:szCs w:val="20"/>
              </w:rPr>
            </w:pPr>
            <w:r w:rsidRPr="001571B3">
              <w:rPr>
                <w:rFonts w:eastAsia="Arial Unicode MS"/>
                <w:b/>
                <w:sz w:val="18"/>
                <w:szCs w:val="20"/>
              </w:rPr>
              <w:t>CELKEM (CIN bez rezervy)</w:t>
            </w:r>
          </w:p>
        </w:tc>
        <w:tc>
          <w:tcPr>
            <w:tcW w:w="1523" w:type="dxa"/>
            <w:tcBorders>
              <w:left w:val="single" w:sz="12" w:space="0" w:color="auto"/>
            </w:tcBorders>
            <w:shd w:val="pct12" w:color="auto" w:fill="auto"/>
            <w:vAlign w:val="center"/>
          </w:tcPr>
          <w:p w:rsidR="006972B9" w:rsidRPr="001571B3" w:rsidRDefault="006972B9" w:rsidP="001571B3">
            <w:pPr>
              <w:spacing w:before="0" w:after="0"/>
              <w:ind w:right="233"/>
              <w:jc w:val="right"/>
              <w:rPr>
                <w:rFonts w:eastAsia="Arial Unicode MS"/>
                <w:b/>
                <w:sz w:val="18"/>
                <w:szCs w:val="20"/>
              </w:rPr>
            </w:pPr>
            <w:r w:rsidRPr="001571B3">
              <w:rPr>
                <w:rFonts w:eastAsia="Arial Unicode MS"/>
                <w:b/>
                <w:sz w:val="18"/>
                <w:szCs w:val="20"/>
              </w:rPr>
              <w:t>738 225</w:t>
            </w:r>
          </w:p>
        </w:tc>
        <w:tc>
          <w:tcPr>
            <w:tcW w:w="1524" w:type="dxa"/>
            <w:shd w:val="pct12" w:color="auto" w:fill="auto"/>
            <w:vAlign w:val="center"/>
          </w:tcPr>
          <w:p w:rsidR="006972B9" w:rsidRPr="001571B3" w:rsidRDefault="006972B9" w:rsidP="001571B3">
            <w:pPr>
              <w:spacing w:before="0" w:after="0"/>
              <w:ind w:right="233"/>
              <w:jc w:val="right"/>
              <w:rPr>
                <w:rFonts w:eastAsia="Arial Unicode MS"/>
                <w:b/>
                <w:sz w:val="18"/>
                <w:szCs w:val="20"/>
              </w:rPr>
            </w:pPr>
            <w:r w:rsidRPr="001571B3">
              <w:rPr>
                <w:rFonts w:eastAsia="Arial Unicode MS"/>
                <w:b/>
                <w:sz w:val="18"/>
                <w:szCs w:val="20"/>
              </w:rPr>
              <w:t>183 336</w:t>
            </w:r>
          </w:p>
        </w:tc>
        <w:tc>
          <w:tcPr>
            <w:tcW w:w="1524" w:type="dxa"/>
            <w:shd w:val="pct12" w:color="auto" w:fill="auto"/>
            <w:vAlign w:val="center"/>
          </w:tcPr>
          <w:p w:rsidR="006972B9" w:rsidRPr="001571B3" w:rsidRDefault="006972B9" w:rsidP="001571B3">
            <w:pPr>
              <w:spacing w:before="0" w:after="0"/>
              <w:ind w:right="233"/>
              <w:jc w:val="right"/>
              <w:rPr>
                <w:rFonts w:eastAsia="Arial Unicode MS"/>
                <w:b/>
                <w:sz w:val="18"/>
                <w:szCs w:val="20"/>
              </w:rPr>
            </w:pPr>
            <w:r w:rsidRPr="001571B3">
              <w:rPr>
                <w:rFonts w:eastAsia="Arial Unicode MS"/>
                <w:b/>
                <w:sz w:val="18"/>
                <w:szCs w:val="20"/>
              </w:rPr>
              <w:t>921 561</w:t>
            </w:r>
          </w:p>
        </w:tc>
      </w:tr>
      <w:tr w:rsidR="006972B9" w:rsidTr="001571B3">
        <w:trPr>
          <w:jc w:val="center"/>
        </w:trPr>
        <w:tc>
          <w:tcPr>
            <w:tcW w:w="4763" w:type="dxa"/>
            <w:tcBorders>
              <w:bottom w:val="single" w:sz="12" w:space="0" w:color="auto"/>
              <w:right w:val="single" w:sz="12" w:space="0" w:color="auto"/>
            </w:tcBorders>
            <w:shd w:val="pct12" w:color="auto" w:fill="auto"/>
          </w:tcPr>
          <w:p w:rsidR="006972B9" w:rsidRPr="001E1BB7" w:rsidRDefault="006972B9" w:rsidP="001571B3">
            <w:pPr>
              <w:spacing w:before="0" w:after="0"/>
              <w:rPr>
                <w:rFonts w:eastAsia="Arial Unicode MS"/>
                <w:sz w:val="18"/>
                <w:szCs w:val="20"/>
              </w:rPr>
            </w:pPr>
            <w:r w:rsidRPr="001E1BB7">
              <w:rPr>
                <w:rFonts w:eastAsia="Arial Unicode MS"/>
                <w:sz w:val="18"/>
                <w:szCs w:val="20"/>
              </w:rPr>
              <w:t>Rezerva</w:t>
            </w:r>
          </w:p>
        </w:tc>
        <w:tc>
          <w:tcPr>
            <w:tcW w:w="1523" w:type="dxa"/>
            <w:tcBorders>
              <w:left w:val="single" w:sz="12" w:space="0" w:color="auto"/>
              <w:bottom w:val="single" w:sz="12" w:space="0" w:color="auto"/>
            </w:tcBorders>
            <w:vAlign w:val="center"/>
          </w:tcPr>
          <w:p w:rsidR="006972B9" w:rsidRPr="005851BE" w:rsidRDefault="006972B9" w:rsidP="001571B3">
            <w:pPr>
              <w:spacing w:before="0" w:after="0"/>
              <w:ind w:right="233"/>
              <w:jc w:val="right"/>
              <w:rPr>
                <w:rFonts w:eastAsia="Arial Unicode MS"/>
                <w:sz w:val="18"/>
                <w:szCs w:val="20"/>
              </w:rPr>
            </w:pPr>
            <w:r w:rsidRPr="00930685">
              <w:rPr>
                <w:rFonts w:eastAsia="Arial Unicode MS"/>
                <w:sz w:val="18"/>
                <w:szCs w:val="20"/>
              </w:rPr>
              <w:t>62 821</w:t>
            </w:r>
          </w:p>
        </w:tc>
        <w:tc>
          <w:tcPr>
            <w:tcW w:w="1524" w:type="dxa"/>
            <w:tcBorders>
              <w:bottom w:val="single" w:sz="12" w:space="0" w:color="auto"/>
            </w:tcBorders>
            <w:vAlign w:val="center"/>
          </w:tcPr>
          <w:p w:rsidR="006972B9" w:rsidRPr="005851BE" w:rsidRDefault="006972B9" w:rsidP="001571B3">
            <w:pPr>
              <w:spacing w:before="0" w:after="0"/>
              <w:ind w:right="233"/>
              <w:jc w:val="right"/>
              <w:rPr>
                <w:rFonts w:eastAsia="Arial Unicode MS"/>
                <w:sz w:val="18"/>
                <w:szCs w:val="20"/>
              </w:rPr>
            </w:pPr>
            <w:r w:rsidRPr="00930685">
              <w:rPr>
                <w:rFonts w:eastAsia="Arial Unicode MS"/>
                <w:sz w:val="18"/>
                <w:szCs w:val="20"/>
              </w:rPr>
              <w:t>17 132</w:t>
            </w:r>
          </w:p>
        </w:tc>
        <w:tc>
          <w:tcPr>
            <w:tcW w:w="1524" w:type="dxa"/>
            <w:tcBorders>
              <w:bottom w:val="single" w:sz="12" w:space="0" w:color="auto"/>
            </w:tcBorders>
            <w:vAlign w:val="center"/>
          </w:tcPr>
          <w:p w:rsidR="006972B9" w:rsidRPr="005851BE" w:rsidRDefault="006972B9" w:rsidP="001571B3">
            <w:pPr>
              <w:spacing w:before="0" w:after="0"/>
              <w:ind w:right="233"/>
              <w:jc w:val="right"/>
              <w:rPr>
                <w:rFonts w:eastAsia="Arial Unicode MS"/>
                <w:sz w:val="18"/>
                <w:szCs w:val="20"/>
              </w:rPr>
            </w:pPr>
            <w:r w:rsidRPr="00930685">
              <w:rPr>
                <w:rFonts w:eastAsia="Arial Unicode MS"/>
                <w:sz w:val="18"/>
                <w:szCs w:val="20"/>
              </w:rPr>
              <w:t>79 953</w:t>
            </w:r>
          </w:p>
        </w:tc>
      </w:tr>
      <w:tr w:rsidR="006972B9" w:rsidTr="001571B3">
        <w:trPr>
          <w:jc w:val="center"/>
        </w:trPr>
        <w:tc>
          <w:tcPr>
            <w:tcW w:w="4763" w:type="dxa"/>
            <w:tcBorders>
              <w:top w:val="single" w:sz="12" w:space="0" w:color="auto"/>
              <w:right w:val="single" w:sz="12" w:space="0" w:color="auto"/>
            </w:tcBorders>
            <w:shd w:val="pct12" w:color="auto" w:fill="auto"/>
          </w:tcPr>
          <w:p w:rsidR="006972B9" w:rsidRPr="001571B3" w:rsidRDefault="006972B9" w:rsidP="001571B3">
            <w:pPr>
              <w:spacing w:before="0" w:after="0"/>
              <w:rPr>
                <w:rFonts w:eastAsia="Arial Unicode MS"/>
                <w:b/>
                <w:sz w:val="18"/>
                <w:szCs w:val="20"/>
              </w:rPr>
            </w:pPr>
            <w:r w:rsidRPr="001571B3">
              <w:rPr>
                <w:rFonts w:eastAsia="Arial Unicode MS"/>
                <w:b/>
                <w:sz w:val="18"/>
                <w:szCs w:val="20"/>
              </w:rPr>
              <w:t>CELKEM (CIN)</w:t>
            </w:r>
          </w:p>
        </w:tc>
        <w:tc>
          <w:tcPr>
            <w:tcW w:w="1523" w:type="dxa"/>
            <w:tcBorders>
              <w:top w:val="single" w:sz="12" w:space="0" w:color="auto"/>
              <w:left w:val="single" w:sz="12" w:space="0" w:color="auto"/>
            </w:tcBorders>
            <w:shd w:val="pct12" w:color="auto" w:fill="auto"/>
            <w:vAlign w:val="center"/>
          </w:tcPr>
          <w:p w:rsidR="006972B9" w:rsidRPr="001571B3" w:rsidRDefault="006972B9" w:rsidP="001571B3">
            <w:pPr>
              <w:spacing w:before="0" w:after="0"/>
              <w:ind w:right="233"/>
              <w:jc w:val="right"/>
              <w:rPr>
                <w:rFonts w:eastAsia="Arial Unicode MS"/>
                <w:b/>
                <w:sz w:val="18"/>
                <w:szCs w:val="20"/>
              </w:rPr>
            </w:pPr>
            <w:r w:rsidRPr="001571B3">
              <w:rPr>
                <w:rFonts w:eastAsia="Arial Unicode MS"/>
                <w:b/>
                <w:sz w:val="18"/>
                <w:szCs w:val="20"/>
              </w:rPr>
              <w:t>801 046</w:t>
            </w:r>
          </w:p>
        </w:tc>
        <w:tc>
          <w:tcPr>
            <w:tcW w:w="1524" w:type="dxa"/>
            <w:tcBorders>
              <w:top w:val="single" w:sz="12" w:space="0" w:color="auto"/>
            </w:tcBorders>
            <w:shd w:val="pct12" w:color="auto" w:fill="auto"/>
            <w:vAlign w:val="center"/>
          </w:tcPr>
          <w:p w:rsidR="006972B9" w:rsidRPr="001571B3" w:rsidRDefault="006972B9" w:rsidP="001571B3">
            <w:pPr>
              <w:spacing w:before="0" w:after="0"/>
              <w:ind w:right="233"/>
              <w:jc w:val="right"/>
              <w:rPr>
                <w:rFonts w:eastAsia="Arial Unicode MS"/>
                <w:b/>
                <w:sz w:val="18"/>
                <w:szCs w:val="20"/>
              </w:rPr>
            </w:pPr>
            <w:r w:rsidRPr="001571B3">
              <w:rPr>
                <w:rFonts w:eastAsia="Arial Unicode MS"/>
                <w:b/>
                <w:sz w:val="18"/>
                <w:szCs w:val="20"/>
              </w:rPr>
              <w:t>200 468</w:t>
            </w:r>
          </w:p>
        </w:tc>
        <w:tc>
          <w:tcPr>
            <w:tcW w:w="1524" w:type="dxa"/>
            <w:tcBorders>
              <w:top w:val="single" w:sz="12" w:space="0" w:color="auto"/>
            </w:tcBorders>
            <w:shd w:val="pct12" w:color="auto" w:fill="auto"/>
            <w:vAlign w:val="center"/>
          </w:tcPr>
          <w:p w:rsidR="006972B9" w:rsidRPr="001571B3" w:rsidRDefault="006972B9" w:rsidP="001571B3">
            <w:pPr>
              <w:spacing w:before="0" w:after="0"/>
              <w:ind w:right="233"/>
              <w:jc w:val="right"/>
              <w:rPr>
                <w:rFonts w:eastAsia="Arial Unicode MS"/>
                <w:b/>
                <w:sz w:val="18"/>
                <w:szCs w:val="20"/>
              </w:rPr>
            </w:pPr>
            <w:r w:rsidRPr="001571B3">
              <w:rPr>
                <w:rFonts w:eastAsia="Arial Unicode MS"/>
                <w:b/>
                <w:sz w:val="18"/>
                <w:szCs w:val="20"/>
              </w:rPr>
              <w:t>1 001 514</w:t>
            </w:r>
          </w:p>
        </w:tc>
      </w:tr>
    </w:tbl>
    <w:p w:rsidR="00AD725F" w:rsidRDefault="00AD725F" w:rsidP="00FE5BEA"/>
    <w:p w:rsidR="001571B3" w:rsidRDefault="001571B3">
      <w:r>
        <w:rPr>
          <w:b/>
        </w:rPr>
        <w:br w:type="page"/>
      </w:r>
    </w:p>
    <w:tbl>
      <w:tblPr>
        <w:tblW w:w="936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1541"/>
        <w:gridCol w:w="869"/>
        <w:gridCol w:w="869"/>
        <w:gridCol w:w="870"/>
        <w:gridCol w:w="869"/>
        <w:gridCol w:w="870"/>
        <w:gridCol w:w="869"/>
        <w:gridCol w:w="870"/>
        <w:gridCol w:w="869"/>
        <w:gridCol w:w="870"/>
      </w:tblGrid>
      <w:tr w:rsidR="009A3A68" w:rsidTr="001571B3">
        <w:trPr>
          <w:cantSplit/>
          <w:jc w:val="center"/>
        </w:trPr>
        <w:tc>
          <w:tcPr>
            <w:tcW w:w="9366" w:type="dxa"/>
            <w:gridSpan w:val="10"/>
            <w:tcBorders>
              <w:bottom w:val="single" w:sz="4" w:space="0" w:color="000000"/>
            </w:tcBorders>
          </w:tcPr>
          <w:p w:rsidR="006819BA" w:rsidRDefault="009A3A68" w:rsidP="001571B3">
            <w:pPr>
              <w:pStyle w:val="Titulek"/>
              <w:rPr>
                <w:rFonts w:eastAsia="Arial Unicode MS"/>
                <w:color w:val="FF0000"/>
              </w:rPr>
            </w:pPr>
            <w:bookmarkStart w:id="291" w:name="_Toc390958779"/>
            <w:bookmarkStart w:id="292" w:name="_Toc391034583"/>
            <w:r w:rsidRPr="009A3A68">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3</w:t>
            </w:r>
            <w:r w:rsidR="000E79AE">
              <w:fldChar w:fldCharType="end"/>
            </w:r>
            <w:r w:rsidRPr="009A3A68">
              <w:t xml:space="preserve">: Investiční náklady varianty </w:t>
            </w:r>
            <w:r>
              <w:t>Maximální</w:t>
            </w:r>
            <w:r w:rsidRPr="009A3A68">
              <w:t xml:space="preserve"> v tis. Kč, CÚ </w:t>
            </w:r>
            <w:r w:rsidR="002E1750" w:rsidRPr="009A3A68">
              <w:t>201</w:t>
            </w:r>
            <w:r w:rsidR="002E1750">
              <w:t>3</w:t>
            </w:r>
            <w:bookmarkEnd w:id="291"/>
            <w:bookmarkEnd w:id="292"/>
          </w:p>
        </w:tc>
      </w:tr>
      <w:tr w:rsidR="009A3A68" w:rsidTr="001571B3">
        <w:trPr>
          <w:cantSplit/>
          <w:jc w:val="center"/>
        </w:trPr>
        <w:tc>
          <w:tcPr>
            <w:tcW w:w="1541" w:type="dxa"/>
            <w:tcBorders>
              <w:bottom w:val="single" w:sz="12" w:space="0" w:color="auto"/>
            </w:tcBorders>
            <w:shd w:val="pct12" w:color="auto" w:fill="auto"/>
          </w:tcPr>
          <w:p w:rsidR="009A3A68" w:rsidRPr="001571B3" w:rsidRDefault="009A3A68" w:rsidP="001571B3">
            <w:pPr>
              <w:spacing w:before="0" w:after="0"/>
              <w:rPr>
                <w:rFonts w:eastAsia="Arial Unicode MS" w:cs="Tahoma"/>
                <w:b/>
                <w:sz w:val="18"/>
                <w:szCs w:val="18"/>
              </w:rPr>
            </w:pPr>
            <w:r w:rsidRPr="001571B3">
              <w:rPr>
                <w:rFonts w:eastAsia="Arial Unicode MS" w:cs="Tahoma"/>
                <w:b/>
                <w:sz w:val="18"/>
                <w:szCs w:val="18"/>
              </w:rPr>
              <w:t>rok</w:t>
            </w:r>
          </w:p>
        </w:tc>
        <w:tc>
          <w:tcPr>
            <w:tcW w:w="869" w:type="dxa"/>
            <w:tcBorders>
              <w:bottom w:val="single" w:sz="12" w:space="0" w:color="auto"/>
            </w:tcBorders>
            <w:shd w:val="pct12" w:color="auto" w:fill="auto"/>
            <w:vAlign w:val="center"/>
          </w:tcPr>
          <w:p w:rsidR="009A3A68" w:rsidRPr="001571B3" w:rsidRDefault="009A3A68" w:rsidP="001571B3">
            <w:pPr>
              <w:spacing w:before="0" w:after="0"/>
              <w:ind w:right="-7"/>
              <w:jc w:val="right"/>
              <w:rPr>
                <w:rFonts w:eastAsia="Arial Unicode MS" w:cs="Tahoma"/>
                <w:b/>
                <w:sz w:val="18"/>
                <w:szCs w:val="18"/>
              </w:rPr>
            </w:pPr>
            <w:r w:rsidRPr="001571B3">
              <w:rPr>
                <w:rFonts w:eastAsia="Arial Unicode MS" w:cs="Tahoma"/>
                <w:b/>
                <w:sz w:val="18"/>
                <w:szCs w:val="18"/>
              </w:rPr>
              <w:t>2014</w:t>
            </w:r>
          </w:p>
        </w:tc>
        <w:tc>
          <w:tcPr>
            <w:tcW w:w="869" w:type="dxa"/>
            <w:tcBorders>
              <w:bottom w:val="single" w:sz="12" w:space="0" w:color="auto"/>
            </w:tcBorders>
            <w:shd w:val="pct12" w:color="auto" w:fill="auto"/>
            <w:vAlign w:val="center"/>
          </w:tcPr>
          <w:p w:rsidR="009A3A68" w:rsidRPr="001571B3" w:rsidRDefault="009A3A68" w:rsidP="001571B3">
            <w:pPr>
              <w:spacing w:before="0" w:after="0"/>
              <w:ind w:right="-7"/>
              <w:jc w:val="right"/>
              <w:rPr>
                <w:rFonts w:eastAsia="Arial Unicode MS" w:cs="Tahoma"/>
                <w:b/>
                <w:sz w:val="18"/>
                <w:szCs w:val="18"/>
              </w:rPr>
            </w:pPr>
            <w:r w:rsidRPr="001571B3">
              <w:rPr>
                <w:rFonts w:eastAsia="Arial Unicode MS" w:cs="Tahoma"/>
                <w:b/>
                <w:sz w:val="18"/>
                <w:szCs w:val="18"/>
              </w:rPr>
              <w:t>2015</w:t>
            </w:r>
          </w:p>
        </w:tc>
        <w:tc>
          <w:tcPr>
            <w:tcW w:w="870" w:type="dxa"/>
            <w:tcBorders>
              <w:bottom w:val="single" w:sz="12" w:space="0" w:color="auto"/>
            </w:tcBorders>
            <w:shd w:val="pct12" w:color="auto" w:fill="auto"/>
            <w:vAlign w:val="center"/>
          </w:tcPr>
          <w:p w:rsidR="009A3A68" w:rsidRPr="001571B3" w:rsidRDefault="009A3A68" w:rsidP="001571B3">
            <w:pPr>
              <w:spacing w:before="0" w:after="0"/>
              <w:ind w:right="-7"/>
              <w:jc w:val="right"/>
              <w:rPr>
                <w:rFonts w:eastAsia="Arial Unicode MS" w:cs="Tahoma"/>
                <w:b/>
                <w:sz w:val="18"/>
                <w:szCs w:val="18"/>
              </w:rPr>
            </w:pPr>
            <w:r w:rsidRPr="001571B3">
              <w:rPr>
                <w:rFonts w:eastAsia="Arial Unicode MS" w:cs="Tahoma"/>
                <w:b/>
                <w:sz w:val="18"/>
                <w:szCs w:val="18"/>
              </w:rPr>
              <w:t>2016</w:t>
            </w:r>
          </w:p>
        </w:tc>
        <w:tc>
          <w:tcPr>
            <w:tcW w:w="869" w:type="dxa"/>
            <w:tcBorders>
              <w:bottom w:val="single" w:sz="12" w:space="0" w:color="auto"/>
            </w:tcBorders>
            <w:shd w:val="pct12" w:color="auto" w:fill="auto"/>
            <w:vAlign w:val="center"/>
          </w:tcPr>
          <w:p w:rsidR="009A3A68" w:rsidRPr="001571B3" w:rsidRDefault="009A3A68" w:rsidP="001571B3">
            <w:pPr>
              <w:spacing w:before="0" w:after="0"/>
              <w:ind w:right="-7"/>
              <w:jc w:val="right"/>
              <w:rPr>
                <w:rFonts w:eastAsia="Arial Unicode MS" w:cs="Tahoma"/>
                <w:b/>
                <w:sz w:val="18"/>
                <w:szCs w:val="18"/>
              </w:rPr>
            </w:pPr>
            <w:r w:rsidRPr="001571B3">
              <w:rPr>
                <w:rFonts w:eastAsia="Arial Unicode MS" w:cs="Tahoma"/>
                <w:b/>
                <w:sz w:val="18"/>
                <w:szCs w:val="18"/>
              </w:rPr>
              <w:t>2017</w:t>
            </w:r>
          </w:p>
        </w:tc>
        <w:tc>
          <w:tcPr>
            <w:tcW w:w="870" w:type="dxa"/>
            <w:tcBorders>
              <w:bottom w:val="single" w:sz="12" w:space="0" w:color="auto"/>
            </w:tcBorders>
            <w:shd w:val="pct12" w:color="auto" w:fill="auto"/>
            <w:vAlign w:val="center"/>
          </w:tcPr>
          <w:p w:rsidR="009A3A68" w:rsidRPr="001571B3" w:rsidRDefault="009A3A68" w:rsidP="001571B3">
            <w:pPr>
              <w:spacing w:before="0" w:after="0"/>
              <w:ind w:right="-7"/>
              <w:jc w:val="right"/>
              <w:rPr>
                <w:rFonts w:eastAsia="Arial Unicode MS" w:cs="Tahoma"/>
                <w:b/>
                <w:sz w:val="18"/>
                <w:szCs w:val="18"/>
              </w:rPr>
            </w:pPr>
            <w:r w:rsidRPr="001571B3">
              <w:rPr>
                <w:rFonts w:eastAsia="Arial Unicode MS" w:cs="Tahoma"/>
                <w:b/>
                <w:sz w:val="18"/>
                <w:szCs w:val="18"/>
              </w:rPr>
              <w:t>2018</w:t>
            </w:r>
          </w:p>
        </w:tc>
        <w:tc>
          <w:tcPr>
            <w:tcW w:w="869" w:type="dxa"/>
            <w:tcBorders>
              <w:bottom w:val="single" w:sz="12" w:space="0" w:color="auto"/>
            </w:tcBorders>
            <w:shd w:val="pct12" w:color="auto" w:fill="auto"/>
            <w:vAlign w:val="center"/>
          </w:tcPr>
          <w:p w:rsidR="009A3A68" w:rsidRPr="001571B3" w:rsidRDefault="009A3A68" w:rsidP="001571B3">
            <w:pPr>
              <w:spacing w:before="0" w:after="0"/>
              <w:ind w:right="-7"/>
              <w:jc w:val="right"/>
              <w:rPr>
                <w:rFonts w:eastAsia="Arial Unicode MS" w:cs="Tahoma"/>
                <w:b/>
                <w:sz w:val="18"/>
                <w:szCs w:val="18"/>
              </w:rPr>
            </w:pPr>
            <w:r w:rsidRPr="001571B3">
              <w:rPr>
                <w:rFonts w:eastAsia="Arial Unicode MS" w:cs="Tahoma"/>
                <w:b/>
                <w:sz w:val="18"/>
                <w:szCs w:val="18"/>
              </w:rPr>
              <w:t>2019</w:t>
            </w:r>
          </w:p>
        </w:tc>
        <w:tc>
          <w:tcPr>
            <w:tcW w:w="870" w:type="dxa"/>
            <w:tcBorders>
              <w:bottom w:val="single" w:sz="12" w:space="0" w:color="auto"/>
            </w:tcBorders>
            <w:shd w:val="pct12" w:color="auto" w:fill="auto"/>
            <w:vAlign w:val="center"/>
          </w:tcPr>
          <w:p w:rsidR="009A3A68" w:rsidRPr="001571B3" w:rsidRDefault="009A3A68" w:rsidP="001571B3">
            <w:pPr>
              <w:spacing w:before="0" w:after="0"/>
              <w:ind w:right="-7"/>
              <w:jc w:val="right"/>
              <w:rPr>
                <w:rFonts w:eastAsia="Arial Unicode MS" w:cs="Tahoma"/>
                <w:b/>
                <w:sz w:val="18"/>
                <w:szCs w:val="18"/>
              </w:rPr>
            </w:pPr>
            <w:r w:rsidRPr="001571B3">
              <w:rPr>
                <w:rFonts w:eastAsia="Arial Unicode MS" w:cs="Tahoma"/>
                <w:b/>
                <w:sz w:val="18"/>
                <w:szCs w:val="18"/>
              </w:rPr>
              <w:t>2020</w:t>
            </w:r>
          </w:p>
        </w:tc>
        <w:tc>
          <w:tcPr>
            <w:tcW w:w="869" w:type="dxa"/>
            <w:tcBorders>
              <w:bottom w:val="single" w:sz="12" w:space="0" w:color="auto"/>
            </w:tcBorders>
            <w:shd w:val="pct12" w:color="auto" w:fill="auto"/>
            <w:vAlign w:val="center"/>
          </w:tcPr>
          <w:p w:rsidR="009A3A68" w:rsidRPr="001571B3" w:rsidRDefault="009A3A68" w:rsidP="001571B3">
            <w:pPr>
              <w:spacing w:before="0" w:after="0"/>
              <w:ind w:right="-7"/>
              <w:jc w:val="right"/>
              <w:rPr>
                <w:rFonts w:eastAsia="Arial Unicode MS" w:cs="Tahoma"/>
                <w:b/>
                <w:sz w:val="18"/>
                <w:szCs w:val="18"/>
              </w:rPr>
            </w:pPr>
            <w:r w:rsidRPr="001571B3">
              <w:rPr>
                <w:rFonts w:eastAsia="Arial Unicode MS" w:cs="Tahoma"/>
                <w:b/>
                <w:sz w:val="18"/>
                <w:szCs w:val="18"/>
              </w:rPr>
              <w:t>2021</w:t>
            </w:r>
          </w:p>
        </w:tc>
        <w:tc>
          <w:tcPr>
            <w:tcW w:w="870" w:type="dxa"/>
            <w:tcBorders>
              <w:bottom w:val="single" w:sz="12" w:space="0" w:color="auto"/>
            </w:tcBorders>
            <w:shd w:val="pct12" w:color="auto" w:fill="auto"/>
            <w:vAlign w:val="center"/>
          </w:tcPr>
          <w:p w:rsidR="009A3A68" w:rsidRPr="001571B3" w:rsidRDefault="009A3A68" w:rsidP="001571B3">
            <w:pPr>
              <w:spacing w:before="0" w:after="0"/>
              <w:ind w:right="-7"/>
              <w:jc w:val="right"/>
              <w:rPr>
                <w:rFonts w:eastAsia="Arial Unicode MS" w:cs="Tahoma"/>
                <w:b/>
                <w:sz w:val="18"/>
                <w:szCs w:val="18"/>
              </w:rPr>
            </w:pPr>
            <w:r w:rsidRPr="001571B3">
              <w:rPr>
                <w:rFonts w:eastAsia="Arial Unicode MS" w:cs="Tahoma"/>
                <w:b/>
                <w:sz w:val="18"/>
                <w:szCs w:val="18"/>
              </w:rPr>
              <w:t>CELKEM</w:t>
            </w:r>
          </w:p>
        </w:tc>
      </w:tr>
      <w:tr w:rsidR="00CD2D14" w:rsidTr="001571B3">
        <w:trPr>
          <w:cantSplit/>
          <w:jc w:val="center"/>
        </w:trPr>
        <w:tc>
          <w:tcPr>
            <w:tcW w:w="1541" w:type="dxa"/>
            <w:tcBorders>
              <w:top w:val="single" w:sz="12" w:space="0" w:color="auto"/>
            </w:tcBorders>
            <w:shd w:val="pct12" w:color="auto" w:fill="auto"/>
            <w:vAlign w:val="bottom"/>
          </w:tcPr>
          <w:p w:rsidR="00CD2D14" w:rsidRPr="001571B3" w:rsidRDefault="00CD2D14" w:rsidP="001571B3">
            <w:pPr>
              <w:spacing w:before="0" w:after="0"/>
              <w:jc w:val="left"/>
              <w:rPr>
                <w:rFonts w:eastAsia="Arial Unicode MS" w:cs="Tahoma"/>
                <w:sz w:val="18"/>
                <w:szCs w:val="18"/>
              </w:rPr>
            </w:pPr>
            <w:r w:rsidRPr="001571B3">
              <w:rPr>
                <w:rFonts w:eastAsia="Arial Unicode MS" w:cs="Tahoma"/>
                <w:sz w:val="18"/>
                <w:szCs w:val="18"/>
              </w:rPr>
              <w:t>Příp. a proj. dokumentace</w:t>
            </w:r>
          </w:p>
        </w:tc>
        <w:tc>
          <w:tcPr>
            <w:tcW w:w="869" w:type="dxa"/>
            <w:tcBorders>
              <w:top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68 828</w:t>
            </w:r>
          </w:p>
        </w:tc>
        <w:tc>
          <w:tcPr>
            <w:tcW w:w="869" w:type="dxa"/>
            <w:tcBorders>
              <w:top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76 073</w:t>
            </w:r>
          </w:p>
        </w:tc>
        <w:tc>
          <w:tcPr>
            <w:tcW w:w="870" w:type="dxa"/>
            <w:tcBorders>
              <w:top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76 073</w:t>
            </w:r>
          </w:p>
        </w:tc>
        <w:tc>
          <w:tcPr>
            <w:tcW w:w="869" w:type="dxa"/>
            <w:tcBorders>
              <w:top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76 073</w:t>
            </w:r>
          </w:p>
        </w:tc>
        <w:tc>
          <w:tcPr>
            <w:tcW w:w="870" w:type="dxa"/>
            <w:tcBorders>
              <w:top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36 225</w:t>
            </w:r>
          </w:p>
        </w:tc>
        <w:tc>
          <w:tcPr>
            <w:tcW w:w="869" w:type="dxa"/>
            <w:tcBorders>
              <w:top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28 980</w:t>
            </w:r>
          </w:p>
        </w:tc>
        <w:tc>
          <w:tcPr>
            <w:tcW w:w="870" w:type="dxa"/>
            <w:tcBorders>
              <w:top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0</w:t>
            </w:r>
          </w:p>
        </w:tc>
        <w:tc>
          <w:tcPr>
            <w:tcW w:w="869" w:type="dxa"/>
            <w:tcBorders>
              <w:top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0</w:t>
            </w:r>
          </w:p>
        </w:tc>
        <w:tc>
          <w:tcPr>
            <w:tcW w:w="870" w:type="dxa"/>
            <w:tcBorders>
              <w:top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362 254</w:t>
            </w:r>
          </w:p>
        </w:tc>
      </w:tr>
      <w:tr w:rsidR="00CD2D14" w:rsidTr="001571B3">
        <w:trPr>
          <w:cantSplit/>
          <w:jc w:val="center"/>
        </w:trPr>
        <w:tc>
          <w:tcPr>
            <w:tcW w:w="1541" w:type="dxa"/>
            <w:shd w:val="pct12" w:color="auto" w:fill="auto"/>
            <w:vAlign w:val="bottom"/>
          </w:tcPr>
          <w:p w:rsidR="00CD2D14" w:rsidRPr="001571B3" w:rsidRDefault="00CD2D14" w:rsidP="001571B3">
            <w:pPr>
              <w:spacing w:before="0" w:after="0"/>
              <w:jc w:val="left"/>
              <w:rPr>
                <w:rFonts w:eastAsia="Arial Unicode MS" w:cs="Tahoma"/>
                <w:sz w:val="18"/>
                <w:szCs w:val="18"/>
              </w:rPr>
            </w:pPr>
            <w:r w:rsidRPr="001571B3">
              <w:rPr>
                <w:rFonts w:eastAsia="Arial Unicode MS" w:cs="Tahoma"/>
                <w:sz w:val="18"/>
                <w:szCs w:val="18"/>
              </w:rPr>
              <w:t>Zábory pozemků</w:t>
            </w:r>
          </w:p>
        </w:tc>
        <w:tc>
          <w:tcPr>
            <w:tcW w:w="869"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27 821</w:t>
            </w:r>
          </w:p>
        </w:tc>
        <w:tc>
          <w:tcPr>
            <w:tcW w:w="869"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6 801</w:t>
            </w:r>
          </w:p>
        </w:tc>
        <w:tc>
          <w:tcPr>
            <w:tcW w:w="870"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6 801</w:t>
            </w:r>
          </w:p>
        </w:tc>
        <w:tc>
          <w:tcPr>
            <w:tcW w:w="869"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6 801</w:t>
            </w:r>
          </w:p>
        </w:tc>
        <w:tc>
          <w:tcPr>
            <w:tcW w:w="870"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6 801</w:t>
            </w:r>
          </w:p>
        </w:tc>
        <w:tc>
          <w:tcPr>
            <w:tcW w:w="869"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6 801</w:t>
            </w:r>
          </w:p>
        </w:tc>
        <w:tc>
          <w:tcPr>
            <w:tcW w:w="870"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0</w:t>
            </w:r>
          </w:p>
        </w:tc>
        <w:tc>
          <w:tcPr>
            <w:tcW w:w="869"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0</w:t>
            </w:r>
          </w:p>
        </w:tc>
        <w:tc>
          <w:tcPr>
            <w:tcW w:w="870"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61 824</w:t>
            </w:r>
          </w:p>
        </w:tc>
      </w:tr>
      <w:tr w:rsidR="00CD2D14" w:rsidTr="001571B3">
        <w:trPr>
          <w:cantSplit/>
          <w:jc w:val="center"/>
        </w:trPr>
        <w:tc>
          <w:tcPr>
            <w:tcW w:w="1541" w:type="dxa"/>
            <w:shd w:val="pct12" w:color="auto" w:fill="auto"/>
            <w:vAlign w:val="bottom"/>
          </w:tcPr>
          <w:p w:rsidR="00CD2D14" w:rsidRPr="001571B3" w:rsidRDefault="00CD2D14" w:rsidP="001571B3">
            <w:pPr>
              <w:spacing w:before="0" w:after="0"/>
              <w:jc w:val="left"/>
              <w:rPr>
                <w:rFonts w:eastAsia="Arial Unicode MS" w:cs="Tahoma"/>
                <w:sz w:val="18"/>
                <w:szCs w:val="18"/>
              </w:rPr>
            </w:pPr>
            <w:r w:rsidRPr="001571B3">
              <w:rPr>
                <w:rFonts w:eastAsia="Arial Unicode MS" w:cs="Tahoma"/>
                <w:sz w:val="18"/>
                <w:szCs w:val="18"/>
              </w:rPr>
              <w:t xml:space="preserve">Stavby a konstrukce </w:t>
            </w:r>
          </w:p>
        </w:tc>
        <w:tc>
          <w:tcPr>
            <w:tcW w:w="869"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601 850</w:t>
            </w:r>
          </w:p>
        </w:tc>
        <w:tc>
          <w:tcPr>
            <w:tcW w:w="869"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601 850</w:t>
            </w:r>
          </w:p>
        </w:tc>
        <w:tc>
          <w:tcPr>
            <w:tcW w:w="870"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601 850</w:t>
            </w:r>
          </w:p>
        </w:tc>
        <w:tc>
          <w:tcPr>
            <w:tcW w:w="869"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601 850</w:t>
            </w:r>
          </w:p>
        </w:tc>
        <w:tc>
          <w:tcPr>
            <w:tcW w:w="870"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601 850</w:t>
            </w:r>
          </w:p>
        </w:tc>
        <w:tc>
          <w:tcPr>
            <w:tcW w:w="869"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401 233</w:t>
            </w:r>
          </w:p>
        </w:tc>
        <w:tc>
          <w:tcPr>
            <w:tcW w:w="870"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401 233</w:t>
            </w:r>
          </w:p>
        </w:tc>
        <w:tc>
          <w:tcPr>
            <w:tcW w:w="869"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200 617</w:t>
            </w:r>
          </w:p>
        </w:tc>
        <w:tc>
          <w:tcPr>
            <w:tcW w:w="870" w:type="dxa"/>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4 012 334</w:t>
            </w:r>
          </w:p>
        </w:tc>
      </w:tr>
      <w:tr w:rsidR="00CD2D14" w:rsidTr="001571B3">
        <w:trPr>
          <w:cantSplit/>
          <w:jc w:val="center"/>
        </w:trPr>
        <w:tc>
          <w:tcPr>
            <w:tcW w:w="1541" w:type="dxa"/>
            <w:shd w:val="pct12" w:color="auto" w:fill="auto"/>
            <w:vAlign w:val="bottom"/>
          </w:tcPr>
          <w:p w:rsidR="00CD2D14" w:rsidRPr="001571B3" w:rsidRDefault="00CD2D14" w:rsidP="001571B3">
            <w:pPr>
              <w:spacing w:before="0" w:after="0"/>
              <w:jc w:val="left"/>
              <w:rPr>
                <w:rFonts w:eastAsia="Arial Unicode MS" w:cs="Tahoma"/>
                <w:sz w:val="18"/>
                <w:szCs w:val="18"/>
              </w:rPr>
            </w:pPr>
            <w:r w:rsidRPr="001571B3">
              <w:rPr>
                <w:rFonts w:eastAsia="Arial Unicode MS" w:cs="Tahoma"/>
                <w:sz w:val="18"/>
                <w:szCs w:val="18"/>
              </w:rPr>
              <w:t>Tech. asist., prop., dozor</w:t>
            </w:r>
          </w:p>
        </w:tc>
        <w:tc>
          <w:tcPr>
            <w:tcW w:w="869" w:type="dxa"/>
            <w:tcBorders>
              <w:bottom w:val="single" w:sz="4" w:space="0" w:color="000000"/>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9 069</w:t>
            </w:r>
          </w:p>
        </w:tc>
        <w:tc>
          <w:tcPr>
            <w:tcW w:w="869" w:type="dxa"/>
            <w:tcBorders>
              <w:bottom w:val="single" w:sz="4" w:space="0" w:color="000000"/>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13 604</w:t>
            </w:r>
          </w:p>
        </w:tc>
        <w:tc>
          <w:tcPr>
            <w:tcW w:w="870" w:type="dxa"/>
            <w:tcBorders>
              <w:bottom w:val="single" w:sz="4" w:space="0" w:color="000000"/>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13 604</w:t>
            </w:r>
          </w:p>
        </w:tc>
        <w:tc>
          <w:tcPr>
            <w:tcW w:w="869" w:type="dxa"/>
            <w:tcBorders>
              <w:bottom w:val="single" w:sz="4" w:space="0" w:color="000000"/>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13 604</w:t>
            </w:r>
          </w:p>
        </w:tc>
        <w:tc>
          <w:tcPr>
            <w:tcW w:w="870" w:type="dxa"/>
            <w:tcBorders>
              <w:bottom w:val="single" w:sz="4" w:space="0" w:color="000000"/>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13 604</w:t>
            </w:r>
          </w:p>
        </w:tc>
        <w:tc>
          <w:tcPr>
            <w:tcW w:w="869" w:type="dxa"/>
            <w:tcBorders>
              <w:bottom w:val="single" w:sz="4" w:space="0" w:color="000000"/>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13 604</w:t>
            </w:r>
          </w:p>
        </w:tc>
        <w:tc>
          <w:tcPr>
            <w:tcW w:w="870" w:type="dxa"/>
            <w:tcBorders>
              <w:bottom w:val="single" w:sz="4" w:space="0" w:color="000000"/>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9 069</w:t>
            </w:r>
          </w:p>
        </w:tc>
        <w:tc>
          <w:tcPr>
            <w:tcW w:w="869" w:type="dxa"/>
            <w:tcBorders>
              <w:bottom w:val="single" w:sz="4" w:space="0" w:color="000000"/>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4 535</w:t>
            </w:r>
          </w:p>
        </w:tc>
        <w:tc>
          <w:tcPr>
            <w:tcW w:w="870" w:type="dxa"/>
            <w:tcBorders>
              <w:bottom w:val="single" w:sz="4" w:space="0" w:color="000000"/>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90 693</w:t>
            </w:r>
          </w:p>
        </w:tc>
      </w:tr>
      <w:tr w:rsidR="00CD2D14" w:rsidTr="001571B3">
        <w:trPr>
          <w:cantSplit/>
          <w:jc w:val="center"/>
        </w:trPr>
        <w:tc>
          <w:tcPr>
            <w:tcW w:w="1541" w:type="dxa"/>
            <w:shd w:val="pct12" w:color="auto" w:fill="auto"/>
            <w:vAlign w:val="bottom"/>
          </w:tcPr>
          <w:p w:rsidR="00CD2D14" w:rsidRPr="001571B3" w:rsidRDefault="00CD2D14" w:rsidP="001571B3">
            <w:pPr>
              <w:spacing w:before="0" w:after="0"/>
              <w:jc w:val="left"/>
              <w:rPr>
                <w:rFonts w:eastAsia="Arial Unicode MS" w:cs="Tahoma"/>
                <w:b/>
                <w:sz w:val="16"/>
                <w:szCs w:val="16"/>
              </w:rPr>
            </w:pPr>
            <w:r w:rsidRPr="001571B3">
              <w:rPr>
                <w:rFonts w:eastAsia="Arial Unicode MS" w:cs="Tahoma"/>
                <w:b/>
                <w:sz w:val="16"/>
                <w:szCs w:val="16"/>
              </w:rPr>
              <w:t>CELKEM (CIN bez rez.)</w:t>
            </w:r>
          </w:p>
        </w:tc>
        <w:tc>
          <w:tcPr>
            <w:tcW w:w="869" w:type="dxa"/>
            <w:shd w:val="pct12" w:color="auto" w:fill="auto"/>
            <w:vAlign w:val="center"/>
          </w:tcPr>
          <w:p w:rsidR="00CD2D14" w:rsidRPr="001571B3" w:rsidRDefault="00CD2D14" w:rsidP="001571B3">
            <w:pPr>
              <w:spacing w:before="0" w:after="0"/>
              <w:ind w:right="-7"/>
              <w:jc w:val="right"/>
              <w:rPr>
                <w:rFonts w:eastAsia="Arial Unicode MS" w:cs="Tahoma"/>
                <w:b/>
                <w:sz w:val="16"/>
                <w:szCs w:val="17"/>
              </w:rPr>
            </w:pPr>
            <w:r w:rsidRPr="001571B3">
              <w:rPr>
                <w:rFonts w:eastAsia="Arial Unicode MS" w:cs="Tahoma"/>
                <w:b/>
                <w:sz w:val="16"/>
                <w:szCs w:val="17"/>
              </w:rPr>
              <w:t>707 568</w:t>
            </w:r>
          </w:p>
        </w:tc>
        <w:tc>
          <w:tcPr>
            <w:tcW w:w="869" w:type="dxa"/>
            <w:shd w:val="pct12" w:color="auto" w:fill="auto"/>
            <w:vAlign w:val="center"/>
          </w:tcPr>
          <w:p w:rsidR="00CD2D14" w:rsidRPr="001571B3" w:rsidRDefault="00CD2D14" w:rsidP="001571B3">
            <w:pPr>
              <w:spacing w:before="0" w:after="0"/>
              <w:ind w:right="-7"/>
              <w:jc w:val="right"/>
              <w:rPr>
                <w:rFonts w:eastAsia="Arial Unicode MS" w:cs="Tahoma"/>
                <w:b/>
                <w:sz w:val="16"/>
                <w:szCs w:val="17"/>
              </w:rPr>
            </w:pPr>
            <w:r w:rsidRPr="001571B3">
              <w:rPr>
                <w:rFonts w:eastAsia="Arial Unicode MS" w:cs="Tahoma"/>
                <w:b/>
                <w:sz w:val="16"/>
                <w:szCs w:val="17"/>
              </w:rPr>
              <w:t>698 328</w:t>
            </w:r>
          </w:p>
        </w:tc>
        <w:tc>
          <w:tcPr>
            <w:tcW w:w="870" w:type="dxa"/>
            <w:shd w:val="pct12" w:color="auto" w:fill="auto"/>
            <w:vAlign w:val="center"/>
          </w:tcPr>
          <w:p w:rsidR="00CD2D14" w:rsidRPr="001571B3" w:rsidRDefault="00CD2D14" w:rsidP="001571B3">
            <w:pPr>
              <w:spacing w:before="0" w:after="0"/>
              <w:ind w:right="-7"/>
              <w:jc w:val="right"/>
              <w:rPr>
                <w:rFonts w:eastAsia="Arial Unicode MS" w:cs="Tahoma"/>
                <w:b/>
                <w:sz w:val="16"/>
                <w:szCs w:val="17"/>
              </w:rPr>
            </w:pPr>
            <w:r w:rsidRPr="001571B3">
              <w:rPr>
                <w:rFonts w:eastAsia="Arial Unicode MS" w:cs="Tahoma"/>
                <w:b/>
                <w:sz w:val="16"/>
                <w:szCs w:val="17"/>
              </w:rPr>
              <w:t>698 328</w:t>
            </w:r>
          </w:p>
        </w:tc>
        <w:tc>
          <w:tcPr>
            <w:tcW w:w="869" w:type="dxa"/>
            <w:shd w:val="pct12" w:color="auto" w:fill="auto"/>
            <w:vAlign w:val="center"/>
          </w:tcPr>
          <w:p w:rsidR="00CD2D14" w:rsidRPr="001571B3" w:rsidRDefault="00CD2D14" w:rsidP="001571B3">
            <w:pPr>
              <w:spacing w:before="0" w:after="0"/>
              <w:ind w:right="-7"/>
              <w:jc w:val="right"/>
              <w:rPr>
                <w:rFonts w:eastAsia="Arial Unicode MS" w:cs="Tahoma"/>
                <w:b/>
                <w:sz w:val="16"/>
                <w:szCs w:val="17"/>
              </w:rPr>
            </w:pPr>
            <w:r w:rsidRPr="001571B3">
              <w:rPr>
                <w:rFonts w:eastAsia="Arial Unicode MS" w:cs="Tahoma"/>
                <w:b/>
                <w:sz w:val="16"/>
                <w:szCs w:val="17"/>
              </w:rPr>
              <w:t>698 328</w:t>
            </w:r>
          </w:p>
        </w:tc>
        <w:tc>
          <w:tcPr>
            <w:tcW w:w="870" w:type="dxa"/>
            <w:shd w:val="pct12" w:color="auto" w:fill="auto"/>
            <w:vAlign w:val="center"/>
          </w:tcPr>
          <w:p w:rsidR="00CD2D14" w:rsidRPr="001571B3" w:rsidRDefault="00CD2D14" w:rsidP="001571B3">
            <w:pPr>
              <w:spacing w:before="0" w:after="0"/>
              <w:ind w:right="-7"/>
              <w:jc w:val="right"/>
              <w:rPr>
                <w:rFonts w:eastAsia="Arial Unicode MS" w:cs="Tahoma"/>
                <w:b/>
                <w:sz w:val="16"/>
                <w:szCs w:val="17"/>
              </w:rPr>
            </w:pPr>
            <w:r w:rsidRPr="001571B3">
              <w:rPr>
                <w:rFonts w:eastAsia="Arial Unicode MS" w:cs="Tahoma"/>
                <w:b/>
                <w:sz w:val="16"/>
                <w:szCs w:val="17"/>
              </w:rPr>
              <w:t>658 480</w:t>
            </w:r>
          </w:p>
        </w:tc>
        <w:tc>
          <w:tcPr>
            <w:tcW w:w="869" w:type="dxa"/>
            <w:shd w:val="pct12" w:color="auto" w:fill="auto"/>
            <w:vAlign w:val="center"/>
          </w:tcPr>
          <w:p w:rsidR="00CD2D14" w:rsidRPr="001571B3" w:rsidRDefault="00CD2D14" w:rsidP="001571B3">
            <w:pPr>
              <w:spacing w:before="0" w:after="0"/>
              <w:ind w:right="-7"/>
              <w:jc w:val="right"/>
              <w:rPr>
                <w:rFonts w:eastAsia="Arial Unicode MS" w:cs="Tahoma"/>
                <w:b/>
                <w:sz w:val="16"/>
                <w:szCs w:val="17"/>
              </w:rPr>
            </w:pPr>
            <w:r w:rsidRPr="001571B3">
              <w:rPr>
                <w:rFonts w:eastAsia="Arial Unicode MS" w:cs="Tahoma"/>
                <w:b/>
                <w:sz w:val="16"/>
                <w:szCs w:val="17"/>
              </w:rPr>
              <w:t>450 618</w:t>
            </w:r>
          </w:p>
        </w:tc>
        <w:tc>
          <w:tcPr>
            <w:tcW w:w="870" w:type="dxa"/>
            <w:shd w:val="pct12" w:color="auto" w:fill="auto"/>
            <w:vAlign w:val="center"/>
          </w:tcPr>
          <w:p w:rsidR="00CD2D14" w:rsidRPr="001571B3" w:rsidRDefault="00CD2D14" w:rsidP="001571B3">
            <w:pPr>
              <w:spacing w:before="0" w:after="0"/>
              <w:ind w:right="-7"/>
              <w:jc w:val="right"/>
              <w:rPr>
                <w:rFonts w:eastAsia="Arial Unicode MS" w:cs="Tahoma"/>
                <w:b/>
                <w:sz w:val="16"/>
                <w:szCs w:val="17"/>
              </w:rPr>
            </w:pPr>
            <w:r w:rsidRPr="001571B3">
              <w:rPr>
                <w:rFonts w:eastAsia="Arial Unicode MS" w:cs="Tahoma"/>
                <w:b/>
                <w:sz w:val="16"/>
                <w:szCs w:val="17"/>
              </w:rPr>
              <w:t>410 303</w:t>
            </w:r>
          </w:p>
        </w:tc>
        <w:tc>
          <w:tcPr>
            <w:tcW w:w="869" w:type="dxa"/>
            <w:shd w:val="pct12" w:color="auto" w:fill="auto"/>
            <w:vAlign w:val="center"/>
          </w:tcPr>
          <w:p w:rsidR="00CD2D14" w:rsidRPr="001571B3" w:rsidRDefault="00CD2D14" w:rsidP="001571B3">
            <w:pPr>
              <w:spacing w:before="0" w:after="0"/>
              <w:ind w:right="-7"/>
              <w:jc w:val="right"/>
              <w:rPr>
                <w:rFonts w:eastAsia="Arial Unicode MS" w:cs="Tahoma"/>
                <w:b/>
                <w:sz w:val="16"/>
                <w:szCs w:val="17"/>
              </w:rPr>
            </w:pPr>
            <w:r w:rsidRPr="001571B3">
              <w:rPr>
                <w:rFonts w:eastAsia="Arial Unicode MS" w:cs="Tahoma"/>
                <w:b/>
                <w:sz w:val="16"/>
                <w:szCs w:val="17"/>
              </w:rPr>
              <w:t>205 151</w:t>
            </w:r>
          </w:p>
        </w:tc>
        <w:tc>
          <w:tcPr>
            <w:tcW w:w="870" w:type="dxa"/>
            <w:shd w:val="pct12" w:color="auto" w:fill="auto"/>
            <w:vAlign w:val="center"/>
          </w:tcPr>
          <w:p w:rsidR="00CD2D14" w:rsidRPr="001571B3" w:rsidRDefault="00CD2D14" w:rsidP="001571B3">
            <w:pPr>
              <w:spacing w:before="0" w:after="0"/>
              <w:ind w:right="-7"/>
              <w:jc w:val="right"/>
              <w:rPr>
                <w:rFonts w:eastAsia="Arial Unicode MS" w:cs="Tahoma"/>
                <w:b/>
                <w:sz w:val="16"/>
                <w:szCs w:val="17"/>
              </w:rPr>
            </w:pPr>
            <w:r w:rsidRPr="001571B3">
              <w:rPr>
                <w:rFonts w:eastAsia="Arial Unicode MS" w:cs="Tahoma"/>
                <w:b/>
                <w:sz w:val="16"/>
                <w:szCs w:val="17"/>
              </w:rPr>
              <w:t>4 527 105</w:t>
            </w:r>
          </w:p>
        </w:tc>
      </w:tr>
      <w:tr w:rsidR="00CD2D14" w:rsidTr="001571B3">
        <w:trPr>
          <w:cantSplit/>
          <w:jc w:val="center"/>
        </w:trPr>
        <w:tc>
          <w:tcPr>
            <w:tcW w:w="1541" w:type="dxa"/>
            <w:tcBorders>
              <w:bottom w:val="single" w:sz="12" w:space="0" w:color="auto"/>
            </w:tcBorders>
            <w:shd w:val="pct12" w:color="auto" w:fill="auto"/>
            <w:vAlign w:val="bottom"/>
          </w:tcPr>
          <w:p w:rsidR="00CD2D14" w:rsidRPr="001571B3" w:rsidRDefault="00CD2D14" w:rsidP="001571B3">
            <w:pPr>
              <w:spacing w:before="0" w:after="0"/>
              <w:jc w:val="left"/>
              <w:rPr>
                <w:rFonts w:eastAsia="Arial Unicode MS" w:cs="Tahoma"/>
                <w:sz w:val="18"/>
                <w:szCs w:val="18"/>
              </w:rPr>
            </w:pPr>
            <w:r w:rsidRPr="001571B3">
              <w:rPr>
                <w:rFonts w:eastAsia="Arial Unicode MS" w:cs="Tahoma"/>
                <w:sz w:val="18"/>
                <w:szCs w:val="18"/>
              </w:rPr>
              <w:t>Rezerva</w:t>
            </w:r>
          </w:p>
        </w:tc>
        <w:tc>
          <w:tcPr>
            <w:tcW w:w="869" w:type="dxa"/>
            <w:tcBorders>
              <w:bottom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39 944</w:t>
            </w:r>
          </w:p>
        </w:tc>
        <w:tc>
          <w:tcPr>
            <w:tcW w:w="869" w:type="dxa"/>
            <w:tcBorders>
              <w:bottom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59 917</w:t>
            </w:r>
          </w:p>
        </w:tc>
        <w:tc>
          <w:tcPr>
            <w:tcW w:w="870" w:type="dxa"/>
            <w:tcBorders>
              <w:bottom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59 917</w:t>
            </w:r>
          </w:p>
        </w:tc>
        <w:tc>
          <w:tcPr>
            <w:tcW w:w="869" w:type="dxa"/>
            <w:tcBorders>
              <w:bottom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59 917</w:t>
            </w:r>
          </w:p>
        </w:tc>
        <w:tc>
          <w:tcPr>
            <w:tcW w:w="870" w:type="dxa"/>
            <w:tcBorders>
              <w:bottom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59 917</w:t>
            </w:r>
          </w:p>
        </w:tc>
        <w:tc>
          <w:tcPr>
            <w:tcW w:w="869" w:type="dxa"/>
            <w:tcBorders>
              <w:bottom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59 917</w:t>
            </w:r>
          </w:p>
        </w:tc>
        <w:tc>
          <w:tcPr>
            <w:tcW w:w="870" w:type="dxa"/>
            <w:tcBorders>
              <w:bottom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39 944</w:t>
            </w:r>
          </w:p>
        </w:tc>
        <w:tc>
          <w:tcPr>
            <w:tcW w:w="869" w:type="dxa"/>
            <w:tcBorders>
              <w:bottom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19 972</w:t>
            </w:r>
          </w:p>
        </w:tc>
        <w:tc>
          <w:tcPr>
            <w:tcW w:w="870" w:type="dxa"/>
            <w:tcBorders>
              <w:bottom w:val="single" w:sz="12" w:space="0" w:color="auto"/>
            </w:tcBorders>
            <w:vAlign w:val="center"/>
          </w:tcPr>
          <w:p w:rsidR="00CD2D14" w:rsidRPr="001571B3" w:rsidRDefault="00CD2D14" w:rsidP="001571B3">
            <w:pPr>
              <w:spacing w:before="0" w:after="0"/>
              <w:ind w:right="-7"/>
              <w:jc w:val="right"/>
              <w:rPr>
                <w:rFonts w:eastAsia="Arial Unicode MS" w:cs="Tahoma"/>
                <w:sz w:val="16"/>
                <w:szCs w:val="18"/>
              </w:rPr>
            </w:pPr>
            <w:r w:rsidRPr="001571B3">
              <w:rPr>
                <w:rFonts w:eastAsia="Arial Unicode MS" w:cs="Tahoma"/>
                <w:sz w:val="16"/>
                <w:szCs w:val="18"/>
              </w:rPr>
              <w:t>399 444</w:t>
            </w:r>
          </w:p>
        </w:tc>
      </w:tr>
      <w:tr w:rsidR="00CD2D14" w:rsidTr="001571B3">
        <w:trPr>
          <w:cantSplit/>
          <w:jc w:val="center"/>
        </w:trPr>
        <w:tc>
          <w:tcPr>
            <w:tcW w:w="1541" w:type="dxa"/>
            <w:tcBorders>
              <w:top w:val="single" w:sz="12" w:space="0" w:color="auto"/>
            </w:tcBorders>
            <w:shd w:val="pct12" w:color="auto" w:fill="auto"/>
            <w:vAlign w:val="bottom"/>
          </w:tcPr>
          <w:p w:rsidR="00CD2D14" w:rsidRPr="001571B3" w:rsidRDefault="00CD2D14" w:rsidP="001571B3">
            <w:pPr>
              <w:spacing w:before="0" w:after="0"/>
              <w:jc w:val="left"/>
              <w:rPr>
                <w:rFonts w:eastAsia="Arial Unicode MS" w:cs="Tahoma"/>
                <w:b/>
                <w:sz w:val="18"/>
                <w:szCs w:val="18"/>
              </w:rPr>
            </w:pPr>
            <w:r w:rsidRPr="001571B3">
              <w:rPr>
                <w:rFonts w:eastAsia="Arial Unicode MS" w:cs="Tahoma"/>
                <w:b/>
                <w:sz w:val="18"/>
                <w:szCs w:val="18"/>
              </w:rPr>
              <w:t>CELKEM (CIN)</w:t>
            </w:r>
          </w:p>
        </w:tc>
        <w:tc>
          <w:tcPr>
            <w:tcW w:w="869" w:type="dxa"/>
            <w:tcBorders>
              <w:top w:val="single" w:sz="12" w:space="0" w:color="auto"/>
            </w:tcBorders>
            <w:shd w:val="pct12" w:color="auto" w:fill="auto"/>
            <w:vAlign w:val="center"/>
          </w:tcPr>
          <w:p w:rsidR="00CD2D14" w:rsidRPr="001571B3" w:rsidRDefault="00CD2D14" w:rsidP="001571B3">
            <w:pPr>
              <w:spacing w:before="0" w:after="0"/>
              <w:ind w:right="-7"/>
              <w:jc w:val="right"/>
              <w:rPr>
                <w:rFonts w:eastAsia="Arial Unicode MS" w:cs="Tahoma"/>
                <w:b/>
                <w:sz w:val="16"/>
                <w:szCs w:val="18"/>
              </w:rPr>
            </w:pPr>
            <w:r w:rsidRPr="001571B3">
              <w:rPr>
                <w:rFonts w:eastAsia="Arial Unicode MS" w:cs="Tahoma"/>
                <w:b/>
                <w:sz w:val="16"/>
                <w:szCs w:val="18"/>
              </w:rPr>
              <w:t>747 513</w:t>
            </w:r>
          </w:p>
        </w:tc>
        <w:tc>
          <w:tcPr>
            <w:tcW w:w="869" w:type="dxa"/>
            <w:tcBorders>
              <w:top w:val="single" w:sz="12" w:space="0" w:color="auto"/>
            </w:tcBorders>
            <w:shd w:val="pct12" w:color="auto" w:fill="auto"/>
            <w:vAlign w:val="center"/>
          </w:tcPr>
          <w:p w:rsidR="00CD2D14" w:rsidRPr="001571B3" w:rsidRDefault="00CD2D14" w:rsidP="001571B3">
            <w:pPr>
              <w:spacing w:before="0" w:after="0"/>
              <w:ind w:right="-7"/>
              <w:jc w:val="right"/>
              <w:rPr>
                <w:rFonts w:eastAsia="Arial Unicode MS" w:cs="Tahoma"/>
                <w:b/>
                <w:sz w:val="16"/>
                <w:szCs w:val="18"/>
              </w:rPr>
            </w:pPr>
            <w:r w:rsidRPr="001571B3">
              <w:rPr>
                <w:rFonts w:eastAsia="Arial Unicode MS" w:cs="Tahoma"/>
                <w:b/>
                <w:sz w:val="16"/>
                <w:szCs w:val="18"/>
              </w:rPr>
              <w:t>758 245</w:t>
            </w:r>
          </w:p>
        </w:tc>
        <w:tc>
          <w:tcPr>
            <w:tcW w:w="870" w:type="dxa"/>
            <w:tcBorders>
              <w:top w:val="single" w:sz="12" w:space="0" w:color="auto"/>
            </w:tcBorders>
            <w:shd w:val="pct12" w:color="auto" w:fill="auto"/>
            <w:vAlign w:val="center"/>
          </w:tcPr>
          <w:p w:rsidR="00CD2D14" w:rsidRPr="001571B3" w:rsidRDefault="00CD2D14" w:rsidP="001571B3">
            <w:pPr>
              <w:spacing w:before="0" w:after="0"/>
              <w:ind w:right="-7"/>
              <w:jc w:val="right"/>
              <w:rPr>
                <w:rFonts w:eastAsia="Arial Unicode MS" w:cs="Tahoma"/>
                <w:b/>
                <w:sz w:val="16"/>
                <w:szCs w:val="18"/>
              </w:rPr>
            </w:pPr>
            <w:r w:rsidRPr="001571B3">
              <w:rPr>
                <w:rFonts w:eastAsia="Arial Unicode MS" w:cs="Tahoma"/>
                <w:b/>
                <w:sz w:val="16"/>
                <w:szCs w:val="18"/>
              </w:rPr>
              <w:t>758 245</w:t>
            </w:r>
          </w:p>
        </w:tc>
        <w:tc>
          <w:tcPr>
            <w:tcW w:w="869" w:type="dxa"/>
            <w:tcBorders>
              <w:top w:val="single" w:sz="12" w:space="0" w:color="auto"/>
            </w:tcBorders>
            <w:shd w:val="pct12" w:color="auto" w:fill="auto"/>
            <w:vAlign w:val="center"/>
          </w:tcPr>
          <w:p w:rsidR="00CD2D14" w:rsidRPr="001571B3" w:rsidRDefault="00CD2D14" w:rsidP="001571B3">
            <w:pPr>
              <w:spacing w:before="0" w:after="0"/>
              <w:ind w:right="-7"/>
              <w:jc w:val="right"/>
              <w:rPr>
                <w:rFonts w:eastAsia="Arial Unicode MS" w:cs="Tahoma"/>
                <w:b/>
                <w:sz w:val="16"/>
                <w:szCs w:val="18"/>
              </w:rPr>
            </w:pPr>
            <w:r w:rsidRPr="001571B3">
              <w:rPr>
                <w:rFonts w:eastAsia="Arial Unicode MS" w:cs="Tahoma"/>
                <w:b/>
                <w:sz w:val="16"/>
                <w:szCs w:val="18"/>
              </w:rPr>
              <w:t>758 245</w:t>
            </w:r>
          </w:p>
        </w:tc>
        <w:tc>
          <w:tcPr>
            <w:tcW w:w="870" w:type="dxa"/>
            <w:tcBorders>
              <w:top w:val="single" w:sz="12" w:space="0" w:color="auto"/>
            </w:tcBorders>
            <w:shd w:val="pct12" w:color="auto" w:fill="auto"/>
            <w:vAlign w:val="center"/>
          </w:tcPr>
          <w:p w:rsidR="00CD2D14" w:rsidRPr="001571B3" w:rsidRDefault="00CD2D14" w:rsidP="001571B3">
            <w:pPr>
              <w:spacing w:before="0" w:after="0"/>
              <w:ind w:right="-7"/>
              <w:jc w:val="right"/>
              <w:rPr>
                <w:rFonts w:eastAsia="Arial Unicode MS" w:cs="Tahoma"/>
                <w:b/>
                <w:sz w:val="16"/>
                <w:szCs w:val="18"/>
              </w:rPr>
            </w:pPr>
            <w:r w:rsidRPr="001571B3">
              <w:rPr>
                <w:rFonts w:eastAsia="Arial Unicode MS" w:cs="Tahoma"/>
                <w:b/>
                <w:sz w:val="16"/>
                <w:szCs w:val="18"/>
              </w:rPr>
              <w:t>718 397</w:t>
            </w:r>
          </w:p>
        </w:tc>
        <w:tc>
          <w:tcPr>
            <w:tcW w:w="869" w:type="dxa"/>
            <w:tcBorders>
              <w:top w:val="single" w:sz="12" w:space="0" w:color="auto"/>
            </w:tcBorders>
            <w:shd w:val="pct12" w:color="auto" w:fill="auto"/>
            <w:vAlign w:val="center"/>
          </w:tcPr>
          <w:p w:rsidR="00CD2D14" w:rsidRPr="001571B3" w:rsidRDefault="00CD2D14" w:rsidP="001571B3">
            <w:pPr>
              <w:spacing w:before="0" w:after="0"/>
              <w:ind w:right="-7"/>
              <w:jc w:val="right"/>
              <w:rPr>
                <w:rFonts w:eastAsia="Arial Unicode MS" w:cs="Tahoma"/>
                <w:b/>
                <w:sz w:val="16"/>
                <w:szCs w:val="18"/>
              </w:rPr>
            </w:pPr>
            <w:r w:rsidRPr="001571B3">
              <w:rPr>
                <w:rFonts w:eastAsia="Arial Unicode MS" w:cs="Tahoma"/>
                <w:b/>
                <w:sz w:val="16"/>
                <w:szCs w:val="18"/>
              </w:rPr>
              <w:t>510 535</w:t>
            </w:r>
          </w:p>
        </w:tc>
        <w:tc>
          <w:tcPr>
            <w:tcW w:w="870" w:type="dxa"/>
            <w:tcBorders>
              <w:top w:val="single" w:sz="12" w:space="0" w:color="auto"/>
            </w:tcBorders>
            <w:shd w:val="pct12" w:color="auto" w:fill="auto"/>
            <w:vAlign w:val="center"/>
          </w:tcPr>
          <w:p w:rsidR="00CD2D14" w:rsidRPr="001571B3" w:rsidRDefault="00CD2D14" w:rsidP="001571B3">
            <w:pPr>
              <w:spacing w:before="0" w:after="0"/>
              <w:ind w:right="-7"/>
              <w:jc w:val="right"/>
              <w:rPr>
                <w:rFonts w:eastAsia="Arial Unicode MS" w:cs="Tahoma"/>
                <w:b/>
                <w:sz w:val="16"/>
                <w:szCs w:val="18"/>
              </w:rPr>
            </w:pPr>
            <w:r w:rsidRPr="001571B3">
              <w:rPr>
                <w:rFonts w:eastAsia="Arial Unicode MS" w:cs="Tahoma"/>
                <w:b/>
                <w:sz w:val="16"/>
                <w:szCs w:val="18"/>
              </w:rPr>
              <w:t>450 247</w:t>
            </w:r>
          </w:p>
        </w:tc>
        <w:tc>
          <w:tcPr>
            <w:tcW w:w="869" w:type="dxa"/>
            <w:tcBorders>
              <w:top w:val="single" w:sz="12" w:space="0" w:color="auto"/>
            </w:tcBorders>
            <w:shd w:val="pct12" w:color="auto" w:fill="auto"/>
            <w:vAlign w:val="center"/>
          </w:tcPr>
          <w:p w:rsidR="00CD2D14" w:rsidRPr="001571B3" w:rsidRDefault="00CD2D14" w:rsidP="001571B3">
            <w:pPr>
              <w:spacing w:before="0" w:after="0"/>
              <w:ind w:right="-7"/>
              <w:jc w:val="right"/>
              <w:rPr>
                <w:rFonts w:eastAsia="Arial Unicode MS" w:cs="Tahoma"/>
                <w:b/>
                <w:sz w:val="16"/>
                <w:szCs w:val="18"/>
              </w:rPr>
            </w:pPr>
            <w:r w:rsidRPr="001571B3">
              <w:rPr>
                <w:rFonts w:eastAsia="Arial Unicode MS" w:cs="Tahoma"/>
                <w:b/>
                <w:sz w:val="16"/>
                <w:szCs w:val="18"/>
              </w:rPr>
              <w:t>225 124</w:t>
            </w:r>
          </w:p>
        </w:tc>
        <w:tc>
          <w:tcPr>
            <w:tcW w:w="870" w:type="dxa"/>
            <w:tcBorders>
              <w:top w:val="single" w:sz="12" w:space="0" w:color="auto"/>
            </w:tcBorders>
            <w:shd w:val="pct12" w:color="auto" w:fill="auto"/>
            <w:vAlign w:val="center"/>
          </w:tcPr>
          <w:p w:rsidR="00CD2D14" w:rsidRPr="001571B3" w:rsidRDefault="00CD2D14" w:rsidP="001571B3">
            <w:pPr>
              <w:spacing w:before="0" w:after="0"/>
              <w:ind w:right="-7"/>
              <w:jc w:val="right"/>
              <w:rPr>
                <w:rFonts w:eastAsia="Arial Unicode MS" w:cs="Tahoma"/>
                <w:b/>
                <w:sz w:val="16"/>
                <w:szCs w:val="18"/>
              </w:rPr>
            </w:pPr>
            <w:r w:rsidRPr="001571B3">
              <w:rPr>
                <w:rFonts w:eastAsia="Arial Unicode MS" w:cs="Tahoma"/>
                <w:b/>
                <w:sz w:val="16"/>
                <w:szCs w:val="18"/>
              </w:rPr>
              <w:t>4 926 549</w:t>
            </w:r>
          </w:p>
        </w:tc>
      </w:tr>
    </w:tbl>
    <w:p w:rsidR="007A46CE" w:rsidRDefault="007A46CE" w:rsidP="00FE5BEA">
      <w:r>
        <w:t>V následující tabulce jsou uvedeny investiční náklady jednotlivých variant v rozdělení dle profesí.</w:t>
      </w:r>
    </w:p>
    <w:tbl>
      <w:tblPr>
        <w:tblW w:w="9345" w:type="dxa"/>
        <w:jc w:val="center"/>
        <w:tblInd w:w="-14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94"/>
        <w:gridCol w:w="1517"/>
        <w:gridCol w:w="1517"/>
        <w:gridCol w:w="1517"/>
      </w:tblGrid>
      <w:tr w:rsidR="001571B3" w:rsidTr="006B659B">
        <w:trPr>
          <w:jc w:val="center"/>
        </w:trPr>
        <w:tc>
          <w:tcPr>
            <w:tcW w:w="9345" w:type="dxa"/>
            <w:gridSpan w:val="4"/>
            <w:tcBorders>
              <w:bottom w:val="single" w:sz="4" w:space="0" w:color="000000"/>
            </w:tcBorders>
          </w:tcPr>
          <w:p w:rsidR="001571B3" w:rsidRPr="00432131" w:rsidRDefault="001571B3" w:rsidP="001571B3">
            <w:pPr>
              <w:pStyle w:val="Titulek"/>
              <w:rPr>
                <w:rFonts w:eastAsia="Arial Unicode MS"/>
                <w:color w:val="FF0000"/>
              </w:rPr>
            </w:pPr>
            <w:bookmarkStart w:id="293" w:name="_Toc316377674"/>
            <w:bookmarkStart w:id="294" w:name="_Toc390958780"/>
            <w:bookmarkStart w:id="295" w:name="_Toc391034584"/>
            <w:r w:rsidRPr="00432131">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4</w:t>
            </w:r>
            <w:r w:rsidR="000E79AE">
              <w:fldChar w:fldCharType="end"/>
            </w:r>
            <w:r w:rsidRPr="00432131">
              <w:t>: Investiční náklady jednotlivých variant dle profesí v tis. Kč, CÚ 201</w:t>
            </w:r>
            <w:r>
              <w:t>3</w:t>
            </w:r>
            <w:bookmarkEnd w:id="293"/>
            <w:bookmarkEnd w:id="294"/>
            <w:bookmarkEnd w:id="295"/>
          </w:p>
        </w:tc>
      </w:tr>
      <w:tr w:rsidR="001571B3" w:rsidTr="006B659B">
        <w:trPr>
          <w:jc w:val="center"/>
        </w:trPr>
        <w:tc>
          <w:tcPr>
            <w:tcW w:w="4794" w:type="dxa"/>
            <w:tcBorders>
              <w:bottom w:val="single" w:sz="12" w:space="0" w:color="auto"/>
              <w:right w:val="single" w:sz="12" w:space="0" w:color="auto"/>
            </w:tcBorders>
            <w:shd w:val="clear" w:color="auto" w:fill="D9D9D9" w:themeFill="background1" w:themeFillShade="D9"/>
          </w:tcPr>
          <w:p w:rsidR="001571B3" w:rsidRPr="006B659B" w:rsidRDefault="001571B3" w:rsidP="006B659B">
            <w:pPr>
              <w:spacing w:before="0" w:after="0"/>
              <w:rPr>
                <w:rFonts w:eastAsia="Arial Unicode MS"/>
                <w:b/>
                <w:sz w:val="18"/>
                <w:szCs w:val="18"/>
              </w:rPr>
            </w:pPr>
            <w:r w:rsidRPr="006B659B">
              <w:rPr>
                <w:rFonts w:eastAsia="Arial Unicode MS"/>
                <w:b/>
                <w:sz w:val="18"/>
                <w:szCs w:val="18"/>
              </w:rPr>
              <w:t>varianta</w:t>
            </w:r>
          </w:p>
        </w:tc>
        <w:tc>
          <w:tcPr>
            <w:tcW w:w="1517" w:type="dxa"/>
            <w:tcBorders>
              <w:left w:val="single" w:sz="12" w:space="0" w:color="auto"/>
              <w:bottom w:val="single" w:sz="12" w:space="0" w:color="auto"/>
            </w:tcBorders>
            <w:shd w:val="clear" w:color="auto" w:fill="D9D9D9" w:themeFill="background1" w:themeFillShade="D9"/>
            <w:vAlign w:val="center"/>
          </w:tcPr>
          <w:p w:rsidR="001571B3" w:rsidRPr="006B659B" w:rsidRDefault="001571B3" w:rsidP="006B659B">
            <w:pPr>
              <w:spacing w:before="0" w:after="0"/>
              <w:ind w:right="253"/>
              <w:jc w:val="right"/>
              <w:rPr>
                <w:rFonts w:eastAsia="Arial Unicode MS"/>
                <w:b/>
                <w:sz w:val="18"/>
                <w:szCs w:val="18"/>
              </w:rPr>
            </w:pPr>
            <w:r w:rsidRPr="006B659B">
              <w:rPr>
                <w:rFonts w:eastAsia="Arial Unicode MS"/>
                <w:b/>
                <w:sz w:val="18"/>
                <w:szCs w:val="18"/>
              </w:rPr>
              <w:t>Miminální</w:t>
            </w:r>
          </w:p>
        </w:tc>
        <w:tc>
          <w:tcPr>
            <w:tcW w:w="1517" w:type="dxa"/>
            <w:tcBorders>
              <w:bottom w:val="single" w:sz="12" w:space="0" w:color="auto"/>
              <w:right w:val="single" w:sz="4" w:space="0" w:color="auto"/>
            </w:tcBorders>
            <w:shd w:val="clear" w:color="auto" w:fill="D9D9D9" w:themeFill="background1" w:themeFillShade="D9"/>
            <w:vAlign w:val="center"/>
          </w:tcPr>
          <w:p w:rsidR="001571B3" w:rsidRPr="006B659B" w:rsidRDefault="001571B3" w:rsidP="006B659B">
            <w:pPr>
              <w:spacing w:before="0" w:after="0"/>
              <w:ind w:right="253"/>
              <w:jc w:val="right"/>
              <w:rPr>
                <w:rFonts w:eastAsia="Arial Unicode MS"/>
                <w:b/>
                <w:sz w:val="18"/>
                <w:szCs w:val="18"/>
              </w:rPr>
            </w:pPr>
            <w:r w:rsidRPr="006B659B">
              <w:rPr>
                <w:rFonts w:eastAsia="Arial Unicode MS"/>
                <w:b/>
                <w:sz w:val="18"/>
                <w:szCs w:val="18"/>
              </w:rPr>
              <w:t>Etapa</w:t>
            </w:r>
          </w:p>
        </w:tc>
        <w:tc>
          <w:tcPr>
            <w:tcW w:w="1517" w:type="dxa"/>
            <w:tcBorders>
              <w:left w:val="single" w:sz="4" w:space="0" w:color="auto"/>
              <w:bottom w:val="single" w:sz="12" w:space="0" w:color="auto"/>
            </w:tcBorders>
            <w:shd w:val="clear" w:color="auto" w:fill="D9D9D9" w:themeFill="background1" w:themeFillShade="D9"/>
            <w:vAlign w:val="center"/>
          </w:tcPr>
          <w:p w:rsidR="001571B3" w:rsidRPr="006B659B" w:rsidRDefault="001571B3" w:rsidP="006B659B">
            <w:pPr>
              <w:spacing w:before="0" w:after="0"/>
              <w:ind w:right="253"/>
              <w:jc w:val="right"/>
              <w:rPr>
                <w:rFonts w:eastAsia="Arial Unicode MS"/>
                <w:b/>
                <w:sz w:val="18"/>
                <w:szCs w:val="18"/>
              </w:rPr>
            </w:pPr>
            <w:r w:rsidRPr="006B659B">
              <w:rPr>
                <w:rFonts w:eastAsia="Arial Unicode MS"/>
                <w:b/>
                <w:sz w:val="18"/>
                <w:szCs w:val="18"/>
              </w:rPr>
              <w:t>Maximální</w:t>
            </w:r>
          </w:p>
        </w:tc>
      </w:tr>
      <w:tr w:rsidR="001571B3" w:rsidTr="006B659B">
        <w:trPr>
          <w:jc w:val="center"/>
        </w:trPr>
        <w:tc>
          <w:tcPr>
            <w:tcW w:w="4794" w:type="dxa"/>
            <w:tcBorders>
              <w:top w:val="single" w:sz="12" w:space="0" w:color="auto"/>
              <w:right w:val="single" w:sz="12" w:space="0" w:color="auto"/>
            </w:tcBorders>
            <w:shd w:val="clear" w:color="auto" w:fill="D9D9D9" w:themeFill="background1" w:themeFillShade="D9"/>
          </w:tcPr>
          <w:p w:rsidR="001571B3" w:rsidRPr="006B659B" w:rsidRDefault="001571B3" w:rsidP="006B659B">
            <w:pPr>
              <w:spacing w:before="0" w:after="0"/>
              <w:rPr>
                <w:rFonts w:eastAsia="Arial Unicode MS"/>
                <w:sz w:val="18"/>
                <w:szCs w:val="18"/>
              </w:rPr>
            </w:pPr>
            <w:r w:rsidRPr="006B659B">
              <w:rPr>
                <w:rFonts w:eastAsia="Arial Unicode MS"/>
                <w:sz w:val="18"/>
                <w:szCs w:val="18"/>
              </w:rPr>
              <w:t>Zabezpečovací zařízení</w:t>
            </w:r>
          </w:p>
        </w:tc>
        <w:tc>
          <w:tcPr>
            <w:tcW w:w="1517" w:type="dxa"/>
            <w:tcBorders>
              <w:top w:val="single" w:sz="12" w:space="0" w:color="auto"/>
              <w:left w:val="single" w:sz="12" w:space="0" w:color="auto"/>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761 618</w:t>
            </w:r>
          </w:p>
        </w:tc>
        <w:tc>
          <w:tcPr>
            <w:tcW w:w="1517" w:type="dxa"/>
            <w:tcBorders>
              <w:top w:val="single" w:sz="12" w:space="0" w:color="auto"/>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137 250</w:t>
            </w:r>
          </w:p>
        </w:tc>
        <w:tc>
          <w:tcPr>
            <w:tcW w:w="1517" w:type="dxa"/>
            <w:tcBorders>
              <w:top w:val="single" w:sz="12" w:space="0" w:color="auto"/>
            </w:tcBorders>
            <w:vAlign w:val="center"/>
          </w:tcPr>
          <w:p w:rsidR="001571B3" w:rsidRPr="006B659B" w:rsidRDefault="001571B3" w:rsidP="006B659B">
            <w:pPr>
              <w:spacing w:before="0" w:after="0"/>
              <w:ind w:right="253"/>
              <w:jc w:val="right"/>
              <w:rPr>
                <w:rFonts w:eastAsia="Arial Unicode MS"/>
                <w:bCs/>
                <w:kern w:val="28"/>
                <w:sz w:val="18"/>
                <w:szCs w:val="18"/>
              </w:rPr>
            </w:pPr>
            <w:r w:rsidRPr="006B659B">
              <w:rPr>
                <w:rFonts w:eastAsia="Arial Unicode MS"/>
                <w:sz w:val="18"/>
                <w:szCs w:val="18"/>
              </w:rPr>
              <w:t>982 739</w:t>
            </w:r>
          </w:p>
        </w:tc>
      </w:tr>
      <w:tr w:rsidR="001571B3" w:rsidTr="006B659B">
        <w:trPr>
          <w:jc w:val="center"/>
        </w:trPr>
        <w:tc>
          <w:tcPr>
            <w:tcW w:w="4794" w:type="dxa"/>
            <w:tcBorders>
              <w:right w:val="single" w:sz="12" w:space="0" w:color="auto"/>
            </w:tcBorders>
            <w:shd w:val="clear" w:color="auto" w:fill="D9D9D9" w:themeFill="background1" w:themeFillShade="D9"/>
          </w:tcPr>
          <w:p w:rsidR="001571B3" w:rsidRPr="006B659B" w:rsidRDefault="001571B3" w:rsidP="006B659B">
            <w:pPr>
              <w:spacing w:before="0" w:after="0"/>
              <w:rPr>
                <w:rFonts w:eastAsia="Arial Unicode MS"/>
                <w:sz w:val="18"/>
                <w:szCs w:val="18"/>
              </w:rPr>
            </w:pPr>
            <w:r w:rsidRPr="006B659B">
              <w:rPr>
                <w:rFonts w:eastAsia="Arial Unicode MS"/>
                <w:sz w:val="18"/>
                <w:szCs w:val="18"/>
              </w:rPr>
              <w:t>Sdělovací zařízení</w:t>
            </w:r>
          </w:p>
        </w:tc>
        <w:tc>
          <w:tcPr>
            <w:tcW w:w="1517" w:type="dxa"/>
            <w:tcBorders>
              <w:left w:val="single" w:sz="12" w:space="0" w:color="auto"/>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39 817</w:t>
            </w:r>
          </w:p>
        </w:tc>
        <w:tc>
          <w:tcPr>
            <w:tcW w:w="1517" w:type="dxa"/>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38 745</w:t>
            </w:r>
          </w:p>
        </w:tc>
        <w:tc>
          <w:tcPr>
            <w:tcW w:w="1517" w:type="dxa"/>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119 325</w:t>
            </w:r>
          </w:p>
        </w:tc>
      </w:tr>
      <w:tr w:rsidR="001571B3" w:rsidTr="006B659B">
        <w:trPr>
          <w:jc w:val="center"/>
        </w:trPr>
        <w:tc>
          <w:tcPr>
            <w:tcW w:w="4794" w:type="dxa"/>
            <w:tcBorders>
              <w:right w:val="single" w:sz="12" w:space="0" w:color="auto"/>
            </w:tcBorders>
            <w:shd w:val="clear" w:color="auto" w:fill="D9D9D9" w:themeFill="background1" w:themeFillShade="D9"/>
          </w:tcPr>
          <w:p w:rsidR="001571B3" w:rsidRPr="006B659B" w:rsidRDefault="001571B3" w:rsidP="006B659B">
            <w:pPr>
              <w:spacing w:before="0" w:after="0"/>
              <w:rPr>
                <w:rFonts w:eastAsia="Arial Unicode MS"/>
                <w:sz w:val="18"/>
                <w:szCs w:val="18"/>
              </w:rPr>
            </w:pPr>
            <w:r w:rsidRPr="006B659B">
              <w:rPr>
                <w:rFonts w:eastAsia="Arial Unicode MS"/>
                <w:sz w:val="18"/>
                <w:szCs w:val="18"/>
              </w:rPr>
              <w:t>Silnoproudá zařízení</w:t>
            </w:r>
          </w:p>
        </w:tc>
        <w:tc>
          <w:tcPr>
            <w:tcW w:w="1517" w:type="dxa"/>
            <w:tcBorders>
              <w:left w:val="single" w:sz="12" w:space="0" w:color="auto"/>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27 631</w:t>
            </w:r>
          </w:p>
        </w:tc>
        <w:tc>
          <w:tcPr>
            <w:tcW w:w="1517" w:type="dxa"/>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17 898</w:t>
            </w:r>
          </w:p>
        </w:tc>
        <w:tc>
          <w:tcPr>
            <w:tcW w:w="1517" w:type="dxa"/>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78 892</w:t>
            </w:r>
          </w:p>
        </w:tc>
      </w:tr>
      <w:tr w:rsidR="001571B3" w:rsidTr="006B659B">
        <w:trPr>
          <w:jc w:val="center"/>
        </w:trPr>
        <w:tc>
          <w:tcPr>
            <w:tcW w:w="4794" w:type="dxa"/>
            <w:tcBorders>
              <w:right w:val="single" w:sz="12" w:space="0" w:color="auto"/>
            </w:tcBorders>
            <w:shd w:val="clear" w:color="auto" w:fill="D9D9D9" w:themeFill="background1" w:themeFillShade="D9"/>
          </w:tcPr>
          <w:p w:rsidR="001571B3" w:rsidRPr="006B659B" w:rsidRDefault="001571B3" w:rsidP="006B659B">
            <w:pPr>
              <w:spacing w:before="0" w:after="0"/>
              <w:rPr>
                <w:rFonts w:eastAsia="Arial Unicode MS"/>
                <w:sz w:val="18"/>
                <w:szCs w:val="18"/>
              </w:rPr>
            </w:pPr>
            <w:r w:rsidRPr="006B659B">
              <w:rPr>
                <w:rFonts w:eastAsia="Arial Unicode MS"/>
                <w:sz w:val="18"/>
                <w:szCs w:val="18"/>
              </w:rPr>
              <w:t>Železniční svršek a spodek</w:t>
            </w:r>
          </w:p>
        </w:tc>
        <w:tc>
          <w:tcPr>
            <w:tcW w:w="1517" w:type="dxa"/>
            <w:tcBorders>
              <w:left w:val="single" w:sz="12" w:space="0" w:color="auto"/>
              <w:bottom w:val="single" w:sz="4" w:space="0" w:color="000000"/>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664 465</w:t>
            </w:r>
          </w:p>
        </w:tc>
        <w:tc>
          <w:tcPr>
            <w:tcW w:w="1517" w:type="dxa"/>
            <w:tcBorders>
              <w:bottom w:val="single" w:sz="4" w:space="0" w:color="000000"/>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290 099</w:t>
            </w:r>
          </w:p>
        </w:tc>
        <w:tc>
          <w:tcPr>
            <w:tcW w:w="1517" w:type="dxa"/>
            <w:tcBorders>
              <w:bottom w:val="single" w:sz="4" w:space="0" w:color="000000"/>
            </w:tcBorders>
            <w:vAlign w:val="center"/>
          </w:tcPr>
          <w:p w:rsidR="001571B3" w:rsidRPr="006B659B" w:rsidRDefault="001571B3" w:rsidP="006B659B">
            <w:pPr>
              <w:spacing w:before="0" w:after="0"/>
              <w:ind w:right="253"/>
              <w:jc w:val="right"/>
              <w:rPr>
                <w:rFonts w:eastAsia="Arial Unicode MS"/>
                <w:bCs/>
                <w:kern w:val="28"/>
                <w:sz w:val="18"/>
                <w:szCs w:val="18"/>
              </w:rPr>
            </w:pPr>
            <w:r w:rsidRPr="006B659B">
              <w:rPr>
                <w:rFonts w:eastAsia="Arial Unicode MS"/>
                <w:sz w:val="18"/>
                <w:szCs w:val="18"/>
              </w:rPr>
              <w:t>1 527 580</w:t>
            </w:r>
          </w:p>
        </w:tc>
      </w:tr>
      <w:tr w:rsidR="001571B3" w:rsidTr="006B659B">
        <w:trPr>
          <w:jc w:val="center"/>
        </w:trPr>
        <w:tc>
          <w:tcPr>
            <w:tcW w:w="4794" w:type="dxa"/>
            <w:tcBorders>
              <w:right w:val="single" w:sz="12" w:space="0" w:color="auto"/>
            </w:tcBorders>
            <w:shd w:val="clear" w:color="auto" w:fill="D9D9D9" w:themeFill="background1" w:themeFillShade="D9"/>
          </w:tcPr>
          <w:p w:rsidR="001571B3" w:rsidRPr="006B659B" w:rsidRDefault="001571B3" w:rsidP="006B659B">
            <w:pPr>
              <w:spacing w:before="0" w:after="0"/>
              <w:rPr>
                <w:rFonts w:eastAsia="Arial Unicode MS"/>
                <w:sz w:val="18"/>
                <w:szCs w:val="18"/>
              </w:rPr>
            </w:pPr>
            <w:r w:rsidRPr="006B659B">
              <w:rPr>
                <w:rFonts w:eastAsia="Arial Unicode MS"/>
                <w:sz w:val="18"/>
                <w:szCs w:val="18"/>
              </w:rPr>
              <w:t>Mostky a propustky</w:t>
            </w:r>
          </w:p>
        </w:tc>
        <w:tc>
          <w:tcPr>
            <w:tcW w:w="1517" w:type="dxa"/>
            <w:tcBorders>
              <w:left w:val="single" w:sz="12" w:space="0" w:color="auto"/>
              <w:bottom w:val="single" w:sz="4" w:space="0" w:color="000000"/>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207 003</w:t>
            </w:r>
          </w:p>
        </w:tc>
        <w:tc>
          <w:tcPr>
            <w:tcW w:w="1517" w:type="dxa"/>
            <w:tcBorders>
              <w:bottom w:val="single" w:sz="4" w:space="0" w:color="000000"/>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51 157</w:t>
            </w:r>
          </w:p>
        </w:tc>
        <w:tc>
          <w:tcPr>
            <w:tcW w:w="1517" w:type="dxa"/>
            <w:tcBorders>
              <w:bottom w:val="single" w:sz="4" w:space="0" w:color="000000"/>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653 170</w:t>
            </w:r>
          </w:p>
        </w:tc>
      </w:tr>
      <w:tr w:rsidR="001571B3" w:rsidTr="006B659B">
        <w:trPr>
          <w:jc w:val="center"/>
        </w:trPr>
        <w:tc>
          <w:tcPr>
            <w:tcW w:w="4794" w:type="dxa"/>
            <w:tcBorders>
              <w:right w:val="single" w:sz="12" w:space="0" w:color="auto"/>
            </w:tcBorders>
            <w:shd w:val="clear" w:color="auto" w:fill="D9D9D9" w:themeFill="background1" w:themeFillShade="D9"/>
          </w:tcPr>
          <w:p w:rsidR="001571B3" w:rsidRPr="006B659B" w:rsidRDefault="001571B3" w:rsidP="006B659B">
            <w:pPr>
              <w:spacing w:before="0" w:after="0"/>
              <w:rPr>
                <w:rFonts w:eastAsia="Arial Unicode MS"/>
                <w:sz w:val="18"/>
                <w:szCs w:val="18"/>
              </w:rPr>
            </w:pPr>
            <w:r w:rsidRPr="006B659B">
              <w:rPr>
                <w:rFonts w:eastAsia="Arial Unicode MS"/>
                <w:sz w:val="18"/>
                <w:szCs w:val="18"/>
              </w:rPr>
              <w:t>Trakce</w:t>
            </w:r>
          </w:p>
        </w:tc>
        <w:tc>
          <w:tcPr>
            <w:tcW w:w="1517" w:type="dxa"/>
            <w:tcBorders>
              <w:left w:val="single" w:sz="12" w:space="0" w:color="auto"/>
              <w:bottom w:val="single" w:sz="4" w:space="0" w:color="000000"/>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185 909</w:t>
            </w:r>
          </w:p>
        </w:tc>
        <w:tc>
          <w:tcPr>
            <w:tcW w:w="1517" w:type="dxa"/>
            <w:tcBorders>
              <w:bottom w:val="single" w:sz="4" w:space="0" w:color="000000"/>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152 475</w:t>
            </w:r>
          </w:p>
        </w:tc>
        <w:tc>
          <w:tcPr>
            <w:tcW w:w="1517" w:type="dxa"/>
            <w:tcBorders>
              <w:bottom w:val="single" w:sz="4" w:space="0" w:color="000000"/>
            </w:tcBorders>
            <w:vAlign w:val="center"/>
          </w:tcPr>
          <w:p w:rsidR="001571B3" w:rsidRPr="006B659B" w:rsidRDefault="001571B3" w:rsidP="006B659B">
            <w:pPr>
              <w:spacing w:before="0" w:after="0"/>
              <w:ind w:right="253"/>
              <w:jc w:val="right"/>
              <w:rPr>
                <w:rFonts w:eastAsia="Arial Unicode MS"/>
                <w:bCs/>
                <w:kern w:val="28"/>
                <w:sz w:val="18"/>
                <w:szCs w:val="18"/>
              </w:rPr>
            </w:pPr>
            <w:r w:rsidRPr="006B659B">
              <w:rPr>
                <w:rFonts w:eastAsia="Arial Unicode MS"/>
                <w:sz w:val="18"/>
                <w:szCs w:val="18"/>
              </w:rPr>
              <w:t>439 313</w:t>
            </w:r>
          </w:p>
        </w:tc>
      </w:tr>
      <w:tr w:rsidR="001571B3" w:rsidTr="006B659B">
        <w:trPr>
          <w:jc w:val="center"/>
        </w:trPr>
        <w:tc>
          <w:tcPr>
            <w:tcW w:w="4794" w:type="dxa"/>
            <w:tcBorders>
              <w:right w:val="single" w:sz="12" w:space="0" w:color="auto"/>
            </w:tcBorders>
            <w:shd w:val="clear" w:color="auto" w:fill="D9D9D9" w:themeFill="background1" w:themeFillShade="D9"/>
          </w:tcPr>
          <w:p w:rsidR="001571B3" w:rsidRPr="006B659B" w:rsidRDefault="001571B3" w:rsidP="006B659B">
            <w:pPr>
              <w:spacing w:before="0" w:after="0"/>
              <w:rPr>
                <w:rFonts w:eastAsia="Arial Unicode MS"/>
                <w:sz w:val="18"/>
                <w:szCs w:val="18"/>
              </w:rPr>
            </w:pPr>
            <w:r w:rsidRPr="006B659B">
              <w:rPr>
                <w:rFonts w:eastAsia="Arial Unicode MS"/>
                <w:sz w:val="18"/>
                <w:szCs w:val="18"/>
              </w:rPr>
              <w:t>Inženýrské sítě</w:t>
            </w:r>
          </w:p>
        </w:tc>
        <w:tc>
          <w:tcPr>
            <w:tcW w:w="1517" w:type="dxa"/>
            <w:tcBorders>
              <w:left w:val="single" w:sz="12" w:space="0" w:color="auto"/>
              <w:bottom w:val="single" w:sz="4" w:space="0" w:color="000000"/>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16 178</w:t>
            </w:r>
          </w:p>
        </w:tc>
        <w:tc>
          <w:tcPr>
            <w:tcW w:w="1517" w:type="dxa"/>
            <w:tcBorders>
              <w:bottom w:val="single" w:sz="4" w:space="0" w:color="000000"/>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2 256</w:t>
            </w:r>
          </w:p>
        </w:tc>
        <w:tc>
          <w:tcPr>
            <w:tcW w:w="1517" w:type="dxa"/>
            <w:tcBorders>
              <w:bottom w:val="single" w:sz="4" w:space="0" w:color="000000"/>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52 918</w:t>
            </w:r>
          </w:p>
        </w:tc>
      </w:tr>
      <w:tr w:rsidR="001571B3" w:rsidTr="006B659B">
        <w:trPr>
          <w:jc w:val="center"/>
        </w:trPr>
        <w:tc>
          <w:tcPr>
            <w:tcW w:w="4794" w:type="dxa"/>
            <w:tcBorders>
              <w:right w:val="single" w:sz="12" w:space="0" w:color="auto"/>
            </w:tcBorders>
            <w:shd w:val="clear" w:color="auto" w:fill="D9D9D9" w:themeFill="background1" w:themeFillShade="D9"/>
          </w:tcPr>
          <w:p w:rsidR="001571B3" w:rsidRPr="006B659B" w:rsidRDefault="001571B3" w:rsidP="006B659B">
            <w:pPr>
              <w:spacing w:before="0" w:after="0"/>
              <w:rPr>
                <w:rFonts w:eastAsia="Arial Unicode MS"/>
                <w:sz w:val="18"/>
                <w:szCs w:val="18"/>
              </w:rPr>
            </w:pPr>
            <w:r w:rsidRPr="006B659B">
              <w:rPr>
                <w:rFonts w:eastAsia="Arial Unicode MS"/>
                <w:sz w:val="18"/>
                <w:szCs w:val="18"/>
              </w:rPr>
              <w:t>Pozemní stavby</w:t>
            </w:r>
          </w:p>
        </w:tc>
        <w:tc>
          <w:tcPr>
            <w:tcW w:w="1517" w:type="dxa"/>
            <w:tcBorders>
              <w:left w:val="single" w:sz="12" w:space="0" w:color="auto"/>
              <w:bottom w:val="single" w:sz="4" w:space="0" w:color="000000"/>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13 106</w:t>
            </w:r>
          </w:p>
        </w:tc>
        <w:tc>
          <w:tcPr>
            <w:tcW w:w="1517" w:type="dxa"/>
            <w:tcBorders>
              <w:bottom w:val="single" w:sz="4" w:space="0" w:color="000000"/>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7 670</w:t>
            </w:r>
          </w:p>
        </w:tc>
        <w:tc>
          <w:tcPr>
            <w:tcW w:w="1517" w:type="dxa"/>
            <w:tcBorders>
              <w:bottom w:val="single" w:sz="4" w:space="0" w:color="000000"/>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39 580</w:t>
            </w:r>
          </w:p>
        </w:tc>
      </w:tr>
      <w:tr w:rsidR="001571B3" w:rsidTr="006B659B">
        <w:trPr>
          <w:jc w:val="center"/>
        </w:trPr>
        <w:tc>
          <w:tcPr>
            <w:tcW w:w="4794" w:type="dxa"/>
            <w:tcBorders>
              <w:right w:val="single" w:sz="12" w:space="0" w:color="auto"/>
            </w:tcBorders>
            <w:shd w:val="clear" w:color="auto" w:fill="D9D9D9" w:themeFill="background1" w:themeFillShade="D9"/>
          </w:tcPr>
          <w:p w:rsidR="001571B3" w:rsidRPr="006B659B" w:rsidRDefault="001571B3" w:rsidP="006B659B">
            <w:pPr>
              <w:spacing w:before="0" w:after="0"/>
              <w:rPr>
                <w:rFonts w:eastAsia="Arial Unicode MS"/>
                <w:sz w:val="18"/>
                <w:szCs w:val="18"/>
              </w:rPr>
            </w:pPr>
            <w:r w:rsidRPr="006B659B">
              <w:rPr>
                <w:rFonts w:eastAsia="Arial Unicode MS"/>
                <w:sz w:val="18"/>
                <w:szCs w:val="18"/>
              </w:rPr>
              <w:t>Ochrana životního prostředí</w:t>
            </w:r>
          </w:p>
        </w:tc>
        <w:tc>
          <w:tcPr>
            <w:tcW w:w="1517" w:type="dxa"/>
            <w:tcBorders>
              <w:left w:val="single" w:sz="12" w:space="0" w:color="auto"/>
              <w:bottom w:val="single" w:sz="4" w:space="0" w:color="000000"/>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0</w:t>
            </w:r>
          </w:p>
        </w:tc>
        <w:tc>
          <w:tcPr>
            <w:tcW w:w="1517" w:type="dxa"/>
            <w:tcBorders>
              <w:bottom w:val="single" w:sz="4" w:space="0" w:color="000000"/>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83 935</w:t>
            </w:r>
          </w:p>
        </w:tc>
        <w:tc>
          <w:tcPr>
            <w:tcW w:w="1517" w:type="dxa"/>
            <w:tcBorders>
              <w:bottom w:val="single" w:sz="4" w:space="0" w:color="000000"/>
            </w:tcBorders>
            <w:vAlign w:val="center"/>
          </w:tcPr>
          <w:p w:rsidR="001571B3" w:rsidRPr="006B659B" w:rsidRDefault="001571B3" w:rsidP="006B659B">
            <w:pPr>
              <w:spacing w:before="0" w:after="0"/>
              <w:ind w:right="253"/>
              <w:jc w:val="right"/>
              <w:rPr>
                <w:rFonts w:eastAsia="Arial Unicode MS"/>
                <w:bCs/>
                <w:kern w:val="28"/>
                <w:sz w:val="18"/>
                <w:szCs w:val="18"/>
              </w:rPr>
            </w:pPr>
            <w:r w:rsidRPr="006B659B">
              <w:rPr>
                <w:rFonts w:eastAsia="Arial Unicode MS"/>
                <w:sz w:val="18"/>
                <w:szCs w:val="18"/>
              </w:rPr>
              <w:t>102 478</w:t>
            </w:r>
          </w:p>
        </w:tc>
      </w:tr>
      <w:tr w:rsidR="001571B3" w:rsidTr="006B659B">
        <w:trPr>
          <w:jc w:val="center"/>
        </w:trPr>
        <w:tc>
          <w:tcPr>
            <w:tcW w:w="4794" w:type="dxa"/>
            <w:tcBorders>
              <w:right w:val="single" w:sz="12" w:space="0" w:color="auto"/>
            </w:tcBorders>
            <w:shd w:val="clear" w:color="auto" w:fill="D9D9D9" w:themeFill="background1" w:themeFillShade="D9"/>
          </w:tcPr>
          <w:p w:rsidR="001571B3" w:rsidRPr="006B659B" w:rsidRDefault="001571B3" w:rsidP="006B659B">
            <w:pPr>
              <w:spacing w:before="0" w:after="0"/>
              <w:rPr>
                <w:rFonts w:eastAsia="Arial Unicode MS"/>
                <w:sz w:val="18"/>
                <w:szCs w:val="18"/>
              </w:rPr>
            </w:pPr>
            <w:r w:rsidRPr="006B659B">
              <w:rPr>
                <w:rFonts w:eastAsia="Arial Unicode MS"/>
                <w:sz w:val="18"/>
                <w:szCs w:val="18"/>
              </w:rPr>
              <w:t>Jiné náklady</w:t>
            </w:r>
          </w:p>
        </w:tc>
        <w:tc>
          <w:tcPr>
            <w:tcW w:w="1517" w:type="dxa"/>
            <w:tcBorders>
              <w:left w:val="single" w:sz="12" w:space="0" w:color="auto"/>
              <w:bottom w:val="single" w:sz="4" w:space="0" w:color="000000"/>
            </w:tcBorders>
            <w:vAlign w:val="center"/>
          </w:tcPr>
          <w:p w:rsidR="001571B3" w:rsidRPr="006B659B" w:rsidRDefault="001571B3" w:rsidP="006B659B">
            <w:pPr>
              <w:spacing w:before="0" w:after="0"/>
              <w:ind w:right="253"/>
              <w:jc w:val="right"/>
              <w:rPr>
                <w:rFonts w:eastAsia="Arial Unicode MS"/>
                <w:bCs/>
                <w:kern w:val="28"/>
                <w:sz w:val="18"/>
                <w:szCs w:val="18"/>
              </w:rPr>
            </w:pPr>
            <w:r w:rsidRPr="006B659B">
              <w:rPr>
                <w:rFonts w:eastAsia="Arial Unicode MS"/>
                <w:sz w:val="18"/>
                <w:szCs w:val="18"/>
              </w:rPr>
              <w:t>216 264</w:t>
            </w:r>
          </w:p>
        </w:tc>
        <w:tc>
          <w:tcPr>
            <w:tcW w:w="1517" w:type="dxa"/>
            <w:tcBorders>
              <w:bottom w:val="single" w:sz="4" w:space="0" w:color="000000"/>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140 076</w:t>
            </w:r>
          </w:p>
        </w:tc>
        <w:tc>
          <w:tcPr>
            <w:tcW w:w="1517" w:type="dxa"/>
            <w:tcBorders>
              <w:bottom w:val="single" w:sz="4" w:space="0" w:color="000000"/>
            </w:tcBorders>
            <w:vAlign w:val="center"/>
          </w:tcPr>
          <w:p w:rsidR="001571B3" w:rsidRPr="006B659B" w:rsidRDefault="001571B3" w:rsidP="006B659B">
            <w:pPr>
              <w:spacing w:before="0" w:after="0"/>
              <w:ind w:right="253"/>
              <w:jc w:val="right"/>
              <w:rPr>
                <w:rFonts w:eastAsia="Arial Unicode MS"/>
                <w:bCs/>
                <w:kern w:val="28"/>
                <w:sz w:val="18"/>
                <w:szCs w:val="18"/>
              </w:rPr>
            </w:pPr>
            <w:r w:rsidRPr="006B659B">
              <w:rPr>
                <w:rFonts w:eastAsia="Arial Unicode MS"/>
                <w:sz w:val="18"/>
                <w:szCs w:val="18"/>
              </w:rPr>
              <w:t>531 110</w:t>
            </w:r>
          </w:p>
        </w:tc>
      </w:tr>
      <w:tr w:rsidR="001571B3" w:rsidTr="006B659B">
        <w:trPr>
          <w:jc w:val="center"/>
        </w:trPr>
        <w:tc>
          <w:tcPr>
            <w:tcW w:w="4794" w:type="dxa"/>
            <w:tcBorders>
              <w:right w:val="single" w:sz="12" w:space="0" w:color="auto"/>
            </w:tcBorders>
            <w:shd w:val="clear" w:color="auto" w:fill="D9D9D9" w:themeFill="background1" w:themeFillShade="D9"/>
          </w:tcPr>
          <w:p w:rsidR="001571B3" w:rsidRPr="006B659B" w:rsidRDefault="001571B3" w:rsidP="006B659B">
            <w:pPr>
              <w:spacing w:before="0" w:after="0"/>
              <w:rPr>
                <w:rFonts w:eastAsia="Arial Unicode MS"/>
                <w:b/>
                <w:sz w:val="18"/>
                <w:szCs w:val="18"/>
              </w:rPr>
            </w:pPr>
            <w:r w:rsidRPr="006B659B">
              <w:rPr>
                <w:rFonts w:eastAsia="Arial Unicode MS"/>
                <w:b/>
                <w:sz w:val="18"/>
                <w:szCs w:val="18"/>
              </w:rPr>
              <w:t>CELKEM (CIN bez rezervy)</w:t>
            </w:r>
          </w:p>
        </w:tc>
        <w:tc>
          <w:tcPr>
            <w:tcW w:w="1517" w:type="dxa"/>
            <w:tcBorders>
              <w:left w:val="single" w:sz="12" w:space="0" w:color="auto"/>
            </w:tcBorders>
            <w:shd w:val="clear" w:color="auto" w:fill="D9D9D9" w:themeFill="background1" w:themeFillShade="D9"/>
            <w:vAlign w:val="center"/>
          </w:tcPr>
          <w:p w:rsidR="001571B3" w:rsidRPr="006B659B" w:rsidRDefault="001571B3" w:rsidP="006B659B">
            <w:pPr>
              <w:spacing w:before="0" w:after="0"/>
              <w:ind w:right="253"/>
              <w:jc w:val="right"/>
              <w:rPr>
                <w:rFonts w:eastAsia="Arial Unicode MS"/>
                <w:b/>
                <w:sz w:val="18"/>
                <w:szCs w:val="18"/>
              </w:rPr>
            </w:pPr>
            <w:r w:rsidRPr="006B659B">
              <w:rPr>
                <w:rFonts w:eastAsia="Arial Unicode MS"/>
                <w:b/>
                <w:sz w:val="18"/>
                <w:szCs w:val="18"/>
              </w:rPr>
              <w:t>2 131 992</w:t>
            </w:r>
          </w:p>
        </w:tc>
        <w:tc>
          <w:tcPr>
            <w:tcW w:w="1517" w:type="dxa"/>
            <w:shd w:val="clear" w:color="auto" w:fill="D9D9D9" w:themeFill="background1" w:themeFillShade="D9"/>
            <w:vAlign w:val="center"/>
          </w:tcPr>
          <w:p w:rsidR="001571B3" w:rsidRPr="006B659B" w:rsidRDefault="001571B3" w:rsidP="006B659B">
            <w:pPr>
              <w:spacing w:before="0" w:after="0"/>
              <w:ind w:right="253"/>
              <w:jc w:val="right"/>
              <w:rPr>
                <w:rFonts w:eastAsia="Arial Unicode MS"/>
                <w:b/>
                <w:sz w:val="18"/>
                <w:szCs w:val="18"/>
              </w:rPr>
            </w:pPr>
            <w:r w:rsidRPr="006B659B">
              <w:rPr>
                <w:rFonts w:eastAsia="Arial Unicode MS"/>
                <w:b/>
                <w:sz w:val="18"/>
                <w:szCs w:val="18"/>
              </w:rPr>
              <w:t>921 561</w:t>
            </w:r>
          </w:p>
        </w:tc>
        <w:tc>
          <w:tcPr>
            <w:tcW w:w="1517" w:type="dxa"/>
            <w:shd w:val="clear" w:color="auto" w:fill="D9D9D9" w:themeFill="background1" w:themeFillShade="D9"/>
            <w:vAlign w:val="center"/>
          </w:tcPr>
          <w:p w:rsidR="001571B3" w:rsidRPr="006B659B" w:rsidRDefault="001571B3" w:rsidP="006B659B">
            <w:pPr>
              <w:spacing w:before="0" w:after="0"/>
              <w:ind w:right="253"/>
              <w:jc w:val="right"/>
              <w:rPr>
                <w:rFonts w:eastAsia="Arial Unicode MS"/>
                <w:b/>
                <w:sz w:val="18"/>
                <w:szCs w:val="18"/>
              </w:rPr>
            </w:pPr>
            <w:r w:rsidRPr="006B659B">
              <w:rPr>
                <w:rFonts w:eastAsia="Arial Unicode MS"/>
                <w:b/>
                <w:sz w:val="18"/>
                <w:szCs w:val="18"/>
              </w:rPr>
              <w:t>4 527 105</w:t>
            </w:r>
          </w:p>
        </w:tc>
      </w:tr>
      <w:tr w:rsidR="001571B3" w:rsidTr="006B659B">
        <w:trPr>
          <w:jc w:val="center"/>
        </w:trPr>
        <w:tc>
          <w:tcPr>
            <w:tcW w:w="4794" w:type="dxa"/>
            <w:tcBorders>
              <w:bottom w:val="single" w:sz="12" w:space="0" w:color="auto"/>
              <w:right w:val="single" w:sz="12" w:space="0" w:color="auto"/>
            </w:tcBorders>
            <w:shd w:val="clear" w:color="auto" w:fill="D9D9D9" w:themeFill="background1" w:themeFillShade="D9"/>
          </w:tcPr>
          <w:p w:rsidR="001571B3" w:rsidRPr="006B659B" w:rsidRDefault="001571B3" w:rsidP="006B659B">
            <w:pPr>
              <w:spacing w:before="0" w:after="0"/>
              <w:rPr>
                <w:rFonts w:eastAsia="Arial Unicode MS"/>
                <w:sz w:val="18"/>
                <w:szCs w:val="18"/>
              </w:rPr>
            </w:pPr>
            <w:r w:rsidRPr="006B659B">
              <w:rPr>
                <w:rFonts w:eastAsia="Arial Unicode MS"/>
                <w:sz w:val="18"/>
                <w:szCs w:val="18"/>
              </w:rPr>
              <w:t>Rezerva</w:t>
            </w:r>
          </w:p>
        </w:tc>
        <w:tc>
          <w:tcPr>
            <w:tcW w:w="1517" w:type="dxa"/>
            <w:tcBorders>
              <w:left w:val="single" w:sz="12" w:space="0" w:color="auto"/>
              <w:bottom w:val="single" w:sz="12" w:space="0" w:color="auto"/>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190 718</w:t>
            </w:r>
          </w:p>
        </w:tc>
        <w:tc>
          <w:tcPr>
            <w:tcW w:w="1517" w:type="dxa"/>
            <w:tcBorders>
              <w:bottom w:val="single" w:sz="12" w:space="0" w:color="auto"/>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79 953</w:t>
            </w:r>
          </w:p>
        </w:tc>
        <w:tc>
          <w:tcPr>
            <w:tcW w:w="1517" w:type="dxa"/>
            <w:tcBorders>
              <w:bottom w:val="single" w:sz="12" w:space="0" w:color="auto"/>
            </w:tcBorders>
            <w:vAlign w:val="center"/>
          </w:tcPr>
          <w:p w:rsidR="001571B3" w:rsidRPr="006B659B" w:rsidRDefault="001571B3" w:rsidP="006B659B">
            <w:pPr>
              <w:spacing w:before="0" w:after="0"/>
              <w:ind w:right="253"/>
              <w:jc w:val="right"/>
              <w:rPr>
                <w:rFonts w:eastAsia="Arial Unicode MS"/>
                <w:sz w:val="18"/>
                <w:szCs w:val="18"/>
              </w:rPr>
            </w:pPr>
            <w:r w:rsidRPr="006B659B">
              <w:rPr>
                <w:rFonts w:eastAsia="Arial Unicode MS"/>
                <w:sz w:val="18"/>
                <w:szCs w:val="18"/>
              </w:rPr>
              <w:t>399 444</w:t>
            </w:r>
          </w:p>
        </w:tc>
      </w:tr>
      <w:tr w:rsidR="001571B3" w:rsidTr="006B659B">
        <w:trPr>
          <w:jc w:val="center"/>
        </w:trPr>
        <w:tc>
          <w:tcPr>
            <w:tcW w:w="4794" w:type="dxa"/>
            <w:tcBorders>
              <w:top w:val="single" w:sz="12" w:space="0" w:color="auto"/>
              <w:right w:val="single" w:sz="12" w:space="0" w:color="auto"/>
            </w:tcBorders>
            <w:shd w:val="clear" w:color="auto" w:fill="D9D9D9" w:themeFill="background1" w:themeFillShade="D9"/>
          </w:tcPr>
          <w:p w:rsidR="001571B3" w:rsidRPr="006B659B" w:rsidRDefault="001571B3" w:rsidP="006B659B">
            <w:pPr>
              <w:spacing w:before="0" w:after="0"/>
              <w:rPr>
                <w:rFonts w:eastAsia="Arial Unicode MS"/>
                <w:b/>
                <w:sz w:val="18"/>
                <w:szCs w:val="18"/>
              </w:rPr>
            </w:pPr>
            <w:r w:rsidRPr="006B659B">
              <w:rPr>
                <w:rFonts w:eastAsia="Arial Unicode MS"/>
                <w:b/>
                <w:sz w:val="18"/>
                <w:szCs w:val="18"/>
              </w:rPr>
              <w:t>CELKEM (CIN)</w:t>
            </w:r>
          </w:p>
        </w:tc>
        <w:tc>
          <w:tcPr>
            <w:tcW w:w="1517" w:type="dxa"/>
            <w:tcBorders>
              <w:top w:val="single" w:sz="12" w:space="0" w:color="auto"/>
              <w:left w:val="single" w:sz="12" w:space="0" w:color="auto"/>
            </w:tcBorders>
            <w:shd w:val="clear" w:color="auto" w:fill="D9D9D9" w:themeFill="background1" w:themeFillShade="D9"/>
            <w:vAlign w:val="center"/>
          </w:tcPr>
          <w:p w:rsidR="001571B3" w:rsidRPr="006B659B" w:rsidRDefault="001571B3" w:rsidP="006B659B">
            <w:pPr>
              <w:spacing w:before="0" w:after="0"/>
              <w:ind w:right="253"/>
              <w:jc w:val="right"/>
              <w:rPr>
                <w:rFonts w:eastAsia="Arial Unicode MS"/>
                <w:b/>
                <w:sz w:val="18"/>
                <w:szCs w:val="18"/>
              </w:rPr>
            </w:pPr>
            <w:r w:rsidRPr="006B659B">
              <w:rPr>
                <w:rFonts w:eastAsia="Arial Unicode MS"/>
                <w:b/>
                <w:sz w:val="18"/>
                <w:szCs w:val="18"/>
              </w:rPr>
              <w:t>2 322 710</w:t>
            </w:r>
          </w:p>
        </w:tc>
        <w:tc>
          <w:tcPr>
            <w:tcW w:w="1517" w:type="dxa"/>
            <w:tcBorders>
              <w:top w:val="single" w:sz="12" w:space="0" w:color="auto"/>
            </w:tcBorders>
            <w:shd w:val="clear" w:color="auto" w:fill="D9D9D9" w:themeFill="background1" w:themeFillShade="D9"/>
            <w:vAlign w:val="center"/>
          </w:tcPr>
          <w:p w:rsidR="001571B3" w:rsidRPr="006B659B" w:rsidRDefault="001571B3" w:rsidP="006B659B">
            <w:pPr>
              <w:spacing w:before="0" w:after="0"/>
              <w:ind w:right="253"/>
              <w:jc w:val="right"/>
              <w:rPr>
                <w:rFonts w:eastAsia="Arial Unicode MS"/>
                <w:b/>
                <w:sz w:val="18"/>
                <w:szCs w:val="18"/>
              </w:rPr>
            </w:pPr>
            <w:r w:rsidRPr="006B659B">
              <w:rPr>
                <w:rFonts w:eastAsia="Arial Unicode MS"/>
                <w:b/>
                <w:sz w:val="18"/>
                <w:szCs w:val="18"/>
              </w:rPr>
              <w:t>1 001 514</w:t>
            </w:r>
          </w:p>
        </w:tc>
        <w:tc>
          <w:tcPr>
            <w:tcW w:w="1517" w:type="dxa"/>
            <w:tcBorders>
              <w:top w:val="single" w:sz="12" w:space="0" w:color="auto"/>
            </w:tcBorders>
            <w:shd w:val="clear" w:color="auto" w:fill="D9D9D9" w:themeFill="background1" w:themeFillShade="D9"/>
            <w:vAlign w:val="center"/>
          </w:tcPr>
          <w:p w:rsidR="001571B3" w:rsidRPr="006B659B" w:rsidRDefault="001571B3" w:rsidP="006B659B">
            <w:pPr>
              <w:spacing w:before="0" w:after="0"/>
              <w:ind w:right="253"/>
              <w:jc w:val="right"/>
              <w:rPr>
                <w:rFonts w:eastAsia="Arial Unicode MS"/>
                <w:b/>
                <w:sz w:val="18"/>
                <w:szCs w:val="18"/>
              </w:rPr>
            </w:pPr>
            <w:r w:rsidRPr="006B659B">
              <w:rPr>
                <w:rFonts w:eastAsia="Arial Unicode MS"/>
                <w:b/>
                <w:sz w:val="18"/>
                <w:szCs w:val="18"/>
              </w:rPr>
              <w:t>4 926 549</w:t>
            </w:r>
          </w:p>
        </w:tc>
      </w:tr>
    </w:tbl>
    <w:p w:rsidR="00657233" w:rsidRDefault="00657233" w:rsidP="00657233">
      <w:r>
        <w:t>Pro potřeby CBA analýzy byla vyčíslena také zůstatková hodnota investice na konci hodnotícího období a nutné obnovovací investice (reinvestice) pro ty rozpočtové nákladové položky, jejichž doba životnosti skončí v průběhu hodnotícího období.</w:t>
      </w:r>
    </w:p>
    <w:p w:rsidR="00657233" w:rsidRDefault="00657233" w:rsidP="00657233">
      <w:r>
        <w:t>Zůstatková hodnota investice projektov</w:t>
      </w:r>
      <w:r w:rsidR="00AC7A1A">
        <w:t>ých</w:t>
      </w:r>
      <w:r>
        <w:t xml:space="preserve"> variant byla vyčíslena jako rozdílová hodnota mezi investičními náklady a sumou odpisů nákladů dle jednotlivých profesí (viz tabulku výše) za celé hodnotící období. Roční odpisy jednotlivých nákladových položek byly stanoveny podle směrnice SŽDC č. 12 z roku 2007 – třídění DLHM.</w:t>
      </w:r>
      <w:r w:rsidR="00AC7A1A">
        <w:t xml:space="preserve"> V případě </w:t>
      </w:r>
      <w:r w:rsidR="009E270E">
        <w:t>varianty</w:t>
      </w:r>
      <w:r w:rsidR="00AC7A1A">
        <w:t xml:space="preserve"> Maximální byla zůstatková hodnota z důvodu dlouhé investiční fáze a částečného uvedení dílčího úseku do provozu již v roce 2016 vypočtena po částech dle postupného uvádění do provozu.</w:t>
      </w:r>
    </w:p>
    <w:p w:rsidR="00657233" w:rsidRDefault="00657233" w:rsidP="00657233">
      <w:r>
        <w:t>Výsledná výše zůstatkové hodnoty pro jednotlivé varianty je:</w:t>
      </w:r>
    </w:p>
    <w:p w:rsidR="00631EAB" w:rsidRDefault="00657233" w:rsidP="00D20948">
      <w:pPr>
        <w:pStyle w:val="Odstavecseseznamem"/>
        <w:numPr>
          <w:ilvl w:val="0"/>
          <w:numId w:val="13"/>
        </w:numPr>
        <w:contextualSpacing/>
      </w:pPr>
      <w:r>
        <w:t xml:space="preserve">varianta </w:t>
      </w:r>
      <w:r w:rsidR="00AC7A1A">
        <w:t>Minimální</w:t>
      </w:r>
      <w:r w:rsidR="00460160">
        <w:tab/>
      </w:r>
      <w:r w:rsidR="006B659B">
        <w:tab/>
      </w:r>
      <w:r w:rsidR="00460160">
        <w:tab/>
      </w:r>
      <w:r w:rsidR="003B45EA">
        <w:rPr>
          <w:b/>
        </w:rPr>
        <w:t>110</w:t>
      </w:r>
      <w:r w:rsidR="003B45EA" w:rsidRPr="00D214D9">
        <w:rPr>
          <w:b/>
        </w:rPr>
        <w:t xml:space="preserve"> </w:t>
      </w:r>
      <w:r w:rsidR="003B45EA">
        <w:rPr>
          <w:b/>
        </w:rPr>
        <w:t>976</w:t>
      </w:r>
      <w:r w:rsidRPr="00D214D9">
        <w:rPr>
          <w:b/>
        </w:rPr>
        <w:t>,</w:t>
      </w:r>
      <w:r w:rsidR="003B45EA">
        <w:rPr>
          <w:b/>
        </w:rPr>
        <w:t>91</w:t>
      </w:r>
      <w:r w:rsidR="003B45EA">
        <w:t xml:space="preserve"> </w:t>
      </w:r>
      <w:r>
        <w:t>tis. Kč (v roce 204</w:t>
      </w:r>
      <w:r w:rsidR="00460160">
        <w:t>3</w:t>
      </w:r>
      <w:r>
        <w:t xml:space="preserve">, v CÚ </w:t>
      </w:r>
      <w:r w:rsidR="003B45EA">
        <w:t>2013</w:t>
      </w:r>
      <w:r>
        <w:t>)</w:t>
      </w:r>
    </w:p>
    <w:p w:rsidR="00631EAB" w:rsidRPr="00AE16FD" w:rsidRDefault="00657233" w:rsidP="006B659B">
      <w:pPr>
        <w:pStyle w:val="Odstavecseseznamem"/>
        <w:numPr>
          <w:ilvl w:val="0"/>
          <w:numId w:val="13"/>
        </w:numPr>
        <w:contextualSpacing/>
      </w:pPr>
      <w:r w:rsidRPr="00AE16FD">
        <w:t xml:space="preserve">varianta </w:t>
      </w:r>
      <w:r w:rsidR="009E270E">
        <w:t>Etapa</w:t>
      </w:r>
      <w:r>
        <w:tab/>
      </w:r>
      <w:r>
        <w:tab/>
      </w:r>
      <w:r w:rsidR="006B659B">
        <w:tab/>
      </w:r>
      <w:r w:rsidR="006B659B">
        <w:tab/>
      </w:r>
      <w:r w:rsidR="0024398B">
        <w:rPr>
          <w:b/>
        </w:rPr>
        <w:t>37</w:t>
      </w:r>
      <w:r w:rsidR="0024398B" w:rsidRPr="00D214D9">
        <w:rPr>
          <w:b/>
        </w:rPr>
        <w:t> </w:t>
      </w:r>
      <w:r w:rsidR="0024398B">
        <w:rPr>
          <w:b/>
        </w:rPr>
        <w:t>471</w:t>
      </w:r>
      <w:r w:rsidRPr="00D214D9">
        <w:rPr>
          <w:b/>
        </w:rPr>
        <w:t>,</w:t>
      </w:r>
      <w:r w:rsidR="0024398B">
        <w:rPr>
          <w:b/>
        </w:rPr>
        <w:t>96</w:t>
      </w:r>
      <w:r w:rsidR="0024398B" w:rsidRPr="00D214D9">
        <w:rPr>
          <w:b/>
        </w:rPr>
        <w:t xml:space="preserve"> </w:t>
      </w:r>
      <w:r>
        <w:t>tis. Kč (v roce 204</w:t>
      </w:r>
      <w:r w:rsidR="00460160">
        <w:t>3</w:t>
      </w:r>
      <w:r>
        <w:t xml:space="preserve">, v CÚ </w:t>
      </w:r>
      <w:r w:rsidR="003B45EA">
        <w:t>2013</w:t>
      </w:r>
      <w:r>
        <w:t>)</w:t>
      </w:r>
    </w:p>
    <w:p w:rsidR="00631EAB" w:rsidRDefault="00657233" w:rsidP="00D20948">
      <w:pPr>
        <w:pStyle w:val="Odstavecseseznamem"/>
        <w:numPr>
          <w:ilvl w:val="0"/>
          <w:numId w:val="13"/>
        </w:numPr>
        <w:contextualSpacing/>
      </w:pPr>
      <w:r>
        <w:t xml:space="preserve">varianta </w:t>
      </w:r>
      <w:r w:rsidR="00AC7A1A">
        <w:t>Maximální</w:t>
      </w:r>
      <w:r>
        <w:tab/>
      </w:r>
      <w:r w:rsidR="006B659B">
        <w:tab/>
      </w:r>
      <w:r>
        <w:tab/>
      </w:r>
      <w:r w:rsidR="003B45EA">
        <w:rPr>
          <w:b/>
        </w:rPr>
        <w:t>61</w:t>
      </w:r>
      <w:r w:rsidR="0024398B">
        <w:rPr>
          <w:b/>
        </w:rPr>
        <w:t>2</w:t>
      </w:r>
      <w:r w:rsidR="003B45EA" w:rsidRPr="00D214D9">
        <w:rPr>
          <w:b/>
        </w:rPr>
        <w:t> </w:t>
      </w:r>
      <w:r w:rsidR="0024398B">
        <w:rPr>
          <w:b/>
        </w:rPr>
        <w:t>869</w:t>
      </w:r>
      <w:r w:rsidRPr="00D214D9">
        <w:rPr>
          <w:b/>
        </w:rPr>
        <w:t>,</w:t>
      </w:r>
      <w:r w:rsidR="0024398B">
        <w:rPr>
          <w:b/>
        </w:rPr>
        <w:t>67</w:t>
      </w:r>
      <w:r w:rsidR="0024398B">
        <w:t xml:space="preserve"> </w:t>
      </w:r>
      <w:r>
        <w:t>tis. Kč (v roce 204</w:t>
      </w:r>
      <w:r w:rsidR="00460160">
        <w:t>3</w:t>
      </w:r>
      <w:r>
        <w:t xml:space="preserve">, v CÚ </w:t>
      </w:r>
      <w:r w:rsidR="003B45EA">
        <w:t>2013</w:t>
      </w:r>
      <w:r>
        <w:t>)</w:t>
      </w:r>
    </w:p>
    <w:p w:rsidR="00657233" w:rsidRPr="00356BA9" w:rsidRDefault="00657233" w:rsidP="00657233">
      <w:r w:rsidRPr="00E15454">
        <w:t>Reinvestice jsou uvažovány ve výši 60% hodnoty již odepsaných rozpočtových nákladových položek v</w:t>
      </w:r>
      <w:r>
        <w:t> </w:t>
      </w:r>
      <w:r w:rsidRPr="00E15454">
        <w:t xml:space="preserve">případě zabezpečovacího, sdělovacího a silnoproudého zařízení, resp. 7% pro ostatní položky a v CBA analýze byly zařazeny v příslušných letech </w:t>
      </w:r>
      <w:r>
        <w:t xml:space="preserve">po ukončení životnosti </w:t>
      </w:r>
      <w:r w:rsidRPr="00E15454">
        <w:t>do nákladů infrastruktury projektové varianty jako opravy.</w:t>
      </w:r>
    </w:p>
    <w:p w:rsidR="00225B27" w:rsidRDefault="00225B27" w:rsidP="000D62F1">
      <w:pPr>
        <w:pStyle w:val="Nadpis3"/>
        <w:ind w:hanging="8234"/>
      </w:pPr>
      <w:r>
        <w:t xml:space="preserve">Provozní náklady </w:t>
      </w:r>
      <w:r w:rsidR="00253611">
        <w:t>na řízení dopravy</w:t>
      </w:r>
    </w:p>
    <w:p w:rsidR="00090C9B" w:rsidRDefault="00090C9B" w:rsidP="00090C9B">
      <w:r>
        <w:t xml:space="preserve">Náklady na řízení dopravy vycházejí z počtu zaměstnanců zúčastněných na řízení dopravy a příslušných provozních režií odvozených od výše jejich mezd. Průměrné mzdové a režijní náklady byly převzaty z materiálu „Aktualizace metodiky efektivnosti investic na SŽDC s.o.“, </w:t>
      </w:r>
      <w:smartTag w:uri="urn:schemas-microsoft-com:office:smarttags" w:element="metricconverter">
        <w:smartTagPr>
          <w:attr w:name="ProductID" w:val="2009 a"/>
        </w:smartTagPr>
        <w:r>
          <w:t>2009 a</w:t>
        </w:r>
      </w:smartTag>
      <w:r>
        <w:t xml:space="preserve"> převedeny na CÚ </w:t>
      </w:r>
      <w:r w:rsidR="00AC2AFD">
        <w:t>2013</w:t>
      </w:r>
      <w:r>
        <w:t xml:space="preserve">. Celkové roční průměrné náklady dle jednotlivých profesí byly uvažovány v následující výši (v CÚ </w:t>
      </w:r>
      <w:r w:rsidR="00AC2AFD">
        <w:t>2013</w:t>
      </w:r>
      <w:r>
        <w:t>):</w:t>
      </w:r>
    </w:p>
    <w:p w:rsidR="00631EAB" w:rsidRDefault="00090C9B" w:rsidP="00D20948">
      <w:pPr>
        <w:pStyle w:val="Odstavecseseznamem"/>
        <w:numPr>
          <w:ilvl w:val="0"/>
          <w:numId w:val="14"/>
        </w:numPr>
        <w:contextualSpacing/>
      </w:pPr>
      <w:r>
        <w:t>výpravčí</w:t>
      </w:r>
      <w:r>
        <w:tab/>
      </w:r>
      <w:r>
        <w:tab/>
      </w:r>
      <w:r>
        <w:tab/>
      </w:r>
      <w:r>
        <w:tab/>
      </w:r>
      <w:r>
        <w:tab/>
      </w:r>
      <w:r w:rsidR="00B2603C">
        <w:t>776</w:t>
      </w:r>
      <w:r>
        <w:t>,</w:t>
      </w:r>
      <w:r w:rsidR="00B2603C">
        <w:t xml:space="preserve">73 </w:t>
      </w:r>
      <w:r>
        <w:t>tis. Kč/rok</w:t>
      </w:r>
      <w:r w:rsidR="00B2603C">
        <w:t>,</w:t>
      </w:r>
    </w:p>
    <w:p w:rsidR="00631EAB" w:rsidRDefault="00090C9B" w:rsidP="00D20948">
      <w:pPr>
        <w:pStyle w:val="Odstavecseseznamem"/>
        <w:numPr>
          <w:ilvl w:val="0"/>
          <w:numId w:val="14"/>
        </w:numPr>
        <w:contextualSpacing/>
      </w:pPr>
      <w:r>
        <w:t>operátor železniční dopravy</w:t>
      </w:r>
      <w:r>
        <w:tab/>
      </w:r>
      <w:r>
        <w:tab/>
      </w:r>
      <w:r>
        <w:tab/>
      </w:r>
      <w:r w:rsidR="00B2603C">
        <w:t>553</w:t>
      </w:r>
      <w:r>
        <w:t>,</w:t>
      </w:r>
      <w:r w:rsidR="00B2603C">
        <w:t xml:space="preserve">73 </w:t>
      </w:r>
      <w:r>
        <w:t>tis. Kč/rok</w:t>
      </w:r>
      <w:r w:rsidR="00B2603C">
        <w:t>,</w:t>
      </w:r>
    </w:p>
    <w:p w:rsidR="00631EAB" w:rsidRDefault="00090C9B" w:rsidP="00D20948">
      <w:pPr>
        <w:pStyle w:val="Odstavecseseznamem"/>
        <w:numPr>
          <w:ilvl w:val="0"/>
          <w:numId w:val="14"/>
        </w:numPr>
        <w:contextualSpacing/>
      </w:pPr>
      <w:r>
        <w:t>signalista</w:t>
      </w:r>
      <w:r w:rsidR="00B2603C">
        <w:t>, vedoucí posunu</w:t>
      </w:r>
      <w:r>
        <w:tab/>
      </w:r>
      <w:r>
        <w:tab/>
      </w:r>
      <w:r>
        <w:tab/>
      </w:r>
      <w:r w:rsidR="00B2603C">
        <w:t>592</w:t>
      </w:r>
      <w:r>
        <w:t>,</w:t>
      </w:r>
      <w:r w:rsidR="00B2603C">
        <w:t xml:space="preserve">51 </w:t>
      </w:r>
      <w:r>
        <w:t>tis. Kč/rok</w:t>
      </w:r>
      <w:r w:rsidR="00B2603C">
        <w:t>,</w:t>
      </w:r>
    </w:p>
    <w:p w:rsidR="00631EAB" w:rsidRDefault="00B2603C" w:rsidP="00D20948">
      <w:pPr>
        <w:pStyle w:val="Odstavecseseznamem"/>
        <w:numPr>
          <w:ilvl w:val="0"/>
          <w:numId w:val="14"/>
        </w:numPr>
        <w:contextualSpacing/>
      </w:pPr>
      <w:r>
        <w:t>posunovač</w:t>
      </w:r>
      <w:r>
        <w:tab/>
      </w:r>
      <w:r>
        <w:tab/>
      </w:r>
      <w:r w:rsidR="00090C9B">
        <w:tab/>
      </w:r>
      <w:r w:rsidR="00090C9B">
        <w:tab/>
      </w:r>
      <w:r w:rsidR="00090C9B">
        <w:tab/>
      </w:r>
      <w:r>
        <w:t>533</w:t>
      </w:r>
      <w:r w:rsidR="00AC2AFD">
        <w:t>,</w:t>
      </w:r>
      <w:r>
        <w:t xml:space="preserve">84 </w:t>
      </w:r>
      <w:r w:rsidR="00090C9B">
        <w:t>tis. Kč/rok</w:t>
      </w:r>
      <w:r>
        <w:t>,</w:t>
      </w:r>
    </w:p>
    <w:p w:rsidR="00631EAB" w:rsidRDefault="00090C9B" w:rsidP="00D20948">
      <w:pPr>
        <w:pStyle w:val="Odstavecseseznamem"/>
        <w:numPr>
          <w:ilvl w:val="0"/>
          <w:numId w:val="14"/>
        </w:numPr>
        <w:contextualSpacing/>
      </w:pPr>
      <w:r>
        <w:t>staniční dozorce</w:t>
      </w:r>
      <w:r>
        <w:tab/>
      </w:r>
      <w:r>
        <w:tab/>
      </w:r>
      <w:r>
        <w:tab/>
      </w:r>
      <w:r>
        <w:tab/>
        <w:t>5</w:t>
      </w:r>
      <w:r w:rsidR="00AC2AFD">
        <w:t>8</w:t>
      </w:r>
      <w:r>
        <w:t>5,</w:t>
      </w:r>
      <w:r w:rsidR="00AC2AFD">
        <w:t>3</w:t>
      </w:r>
      <w:r w:rsidR="003D67AE">
        <w:t>8</w:t>
      </w:r>
      <w:r>
        <w:t xml:space="preserve"> tis. Kč/rok</w:t>
      </w:r>
      <w:r w:rsidR="00B2603C">
        <w:t>,</w:t>
      </w:r>
    </w:p>
    <w:p w:rsidR="00631EAB" w:rsidRDefault="003D67AE" w:rsidP="00D20948">
      <w:pPr>
        <w:pStyle w:val="Odstavecseseznamem"/>
        <w:numPr>
          <w:ilvl w:val="0"/>
          <w:numId w:val="14"/>
        </w:numPr>
        <w:contextualSpacing/>
      </w:pPr>
      <w:r>
        <w:t>hradlař – hláskař</w:t>
      </w:r>
      <w:r>
        <w:tab/>
      </w:r>
      <w:r>
        <w:tab/>
      </w:r>
      <w:r>
        <w:tab/>
      </w:r>
      <w:r>
        <w:tab/>
      </w:r>
      <w:r w:rsidR="00AC2AFD">
        <w:t>546</w:t>
      </w:r>
      <w:r>
        <w:t>,</w:t>
      </w:r>
      <w:r w:rsidR="00AC2AFD">
        <w:t xml:space="preserve">16 </w:t>
      </w:r>
      <w:r>
        <w:t>tis. Kč/rok</w:t>
      </w:r>
      <w:r w:rsidR="00B2603C">
        <w:t>.</w:t>
      </w:r>
    </w:p>
    <w:p w:rsidR="003843F3" w:rsidRDefault="00090C9B">
      <w:pPr>
        <w:suppressAutoHyphens w:val="0"/>
        <w:spacing w:before="0" w:after="0" w:line="240" w:lineRule="auto"/>
        <w:jc w:val="left"/>
        <w:rPr>
          <w:rFonts w:cs="Arial"/>
          <w:b/>
          <w:bCs/>
          <w:iCs/>
          <w:sz w:val="28"/>
          <w:szCs w:val="28"/>
        </w:rPr>
      </w:pPr>
      <w:r>
        <w:t xml:space="preserve">Při stanovení personálních úspor zpracovatel vycházel ze současné personální potřeby a z výhledového (cílového) stavu stanoveného v kapitole </w:t>
      </w:r>
      <w:r w:rsidR="00536894">
        <w:t>„</w:t>
      </w:r>
      <w:r w:rsidR="00AC5CDF">
        <w:fldChar w:fldCharType="begin"/>
      </w:r>
      <w:r w:rsidR="00536894">
        <w:instrText xml:space="preserve"> REF _Ref323200912 \r \h </w:instrText>
      </w:r>
      <w:r w:rsidR="00AC5CDF">
        <w:fldChar w:fldCharType="separate"/>
      </w:r>
      <w:r w:rsidR="003843F3">
        <w:t>0</w:t>
      </w:r>
      <w:r w:rsidR="00AC5CDF">
        <w:fldChar w:fldCharType="end"/>
      </w:r>
      <w:r w:rsidR="00536894">
        <w:t xml:space="preserve"> </w:t>
      </w:r>
      <w:r>
        <w:t>-</w:t>
      </w:r>
      <w:r w:rsidR="00536894">
        <w:t xml:space="preserve"> </w:t>
      </w:r>
      <w:r w:rsidR="00AC5CDF">
        <w:fldChar w:fldCharType="begin"/>
      </w:r>
      <w:r w:rsidR="00536894">
        <w:instrText xml:space="preserve"> REF _Ref323200923 \h </w:instrText>
      </w:r>
      <w:r w:rsidR="00AC5CDF">
        <w:fldChar w:fldCharType="separate"/>
      </w:r>
      <w:r w:rsidR="003843F3">
        <w:br w:type="page"/>
      </w:r>
    </w:p>
    <w:p w:rsidR="00090C9B" w:rsidRDefault="003843F3" w:rsidP="00090C9B">
      <w:r>
        <w:t>Úspory dopravních zaměstnanců</w:t>
      </w:r>
      <w:r w:rsidR="00AC5CDF">
        <w:fldChar w:fldCharType="end"/>
      </w:r>
      <w:r w:rsidR="00536894">
        <w:t>“, kde jsou v tabulce přehledně shrnuty početní stavy zaměstnanců v jednotlivých variantách a z toho vyplývající úspory.</w:t>
      </w:r>
      <w:r w:rsidR="00090C9B">
        <w:t xml:space="preserve"> </w:t>
      </w:r>
      <w:r w:rsidR="00C571BB" w:rsidRPr="0008570F">
        <w:rPr>
          <w:b/>
        </w:rPr>
        <w:t>K úspoře</w:t>
      </w:r>
      <w:r w:rsidR="00C571BB">
        <w:t xml:space="preserve"> provozních zaměstnanců dochází </w:t>
      </w:r>
      <w:r w:rsidR="00C571BB" w:rsidRPr="00AE16FD">
        <w:rPr>
          <w:b/>
        </w:rPr>
        <w:t>ve</w:t>
      </w:r>
      <w:r w:rsidR="00B2603C" w:rsidRPr="00AE16FD">
        <w:rPr>
          <w:b/>
        </w:rPr>
        <w:t xml:space="preserve"> všech</w:t>
      </w:r>
      <w:r w:rsidR="00B2603C">
        <w:rPr>
          <w:b/>
        </w:rPr>
        <w:t xml:space="preserve"> projektových</w:t>
      </w:r>
      <w:r w:rsidR="00C571BB" w:rsidRPr="0008570F">
        <w:rPr>
          <w:b/>
        </w:rPr>
        <w:t xml:space="preserve"> variantách</w:t>
      </w:r>
      <w:r w:rsidR="00C571BB">
        <w:t>.</w:t>
      </w:r>
      <w:r w:rsidR="00B2603C">
        <w:t xml:space="preserve"> Ve </w:t>
      </w:r>
      <w:r w:rsidR="00B2603C" w:rsidRPr="00930685">
        <w:rPr>
          <w:b/>
        </w:rPr>
        <w:t>variant</w:t>
      </w:r>
      <w:r w:rsidR="00B2603C" w:rsidRPr="00930685">
        <w:rPr>
          <w:rFonts w:hint="eastAsia"/>
          <w:b/>
        </w:rPr>
        <w:t>ě</w:t>
      </w:r>
      <w:r w:rsidR="00B2603C" w:rsidRPr="00930685">
        <w:rPr>
          <w:b/>
        </w:rPr>
        <w:t xml:space="preserve"> Bez </w:t>
      </w:r>
      <w:r w:rsidR="00BE3112">
        <w:rPr>
          <w:b/>
        </w:rPr>
        <w:t>p</w:t>
      </w:r>
      <w:r w:rsidR="00B2603C" w:rsidRPr="00930685">
        <w:rPr>
          <w:b/>
        </w:rPr>
        <w:t>rojektu</w:t>
      </w:r>
      <w:r w:rsidR="00B2603C">
        <w:t xml:space="preserve"> je vzhledem k předpokládanému rozsahu oprav zabezpečovacího zařízení a možnostem jeho obnovy ve shodě se stávajícím stavem nutné uvažovat, že dojde k dílčí úspoře zaměstnanců rovněž. Konkrétně v letech 2018 a 2034 (jak je podrobněji popsáno ve výše zmíněné kapitole </w:t>
      </w:r>
      <w:r w:rsidR="00B2603C">
        <w:fldChar w:fldCharType="begin"/>
      </w:r>
      <w:r w:rsidR="00B2603C">
        <w:instrText xml:space="preserve"> REF _Ref323200912 \r \h </w:instrText>
      </w:r>
      <w:r w:rsidR="00B2603C">
        <w:fldChar w:fldCharType="separate"/>
      </w:r>
      <w:r>
        <w:t>0</w:t>
      </w:r>
      <w:r w:rsidR="00B2603C">
        <w:fldChar w:fldCharType="end"/>
      </w:r>
      <w:r w:rsidR="00B2603C">
        <w:t>).</w:t>
      </w:r>
      <w:r w:rsidR="0008570F">
        <w:t xml:space="preserve"> Úspora zaměstnanců v </w:t>
      </w:r>
      <w:r w:rsidR="00B2603C">
        <w:t xml:space="preserve">projektových </w:t>
      </w:r>
      <w:r w:rsidR="0008570F">
        <w:t xml:space="preserve">variantách </w:t>
      </w:r>
      <w:r w:rsidR="0008570F" w:rsidRPr="0008570F">
        <w:rPr>
          <w:b/>
        </w:rPr>
        <w:t>je uvažována po dokončení úseku Stéblová – Opatovice</w:t>
      </w:r>
      <w:r w:rsidR="002041DF">
        <w:rPr>
          <w:b/>
        </w:rPr>
        <w:t> </w:t>
      </w:r>
      <w:r w:rsidR="0008570F" w:rsidRPr="0008570F">
        <w:rPr>
          <w:b/>
        </w:rPr>
        <w:t>n.L.</w:t>
      </w:r>
      <w:r w:rsidR="0008570F">
        <w:t xml:space="preserve"> (</w:t>
      </w:r>
      <w:r w:rsidR="00AE16FD">
        <w:t xml:space="preserve">rozsah varianty Etapa </w:t>
      </w:r>
      <w:r w:rsidR="0008570F">
        <w:t xml:space="preserve">od roku 2016) a </w:t>
      </w:r>
      <w:r w:rsidR="009E270E">
        <w:t>ve variantě</w:t>
      </w:r>
      <w:r w:rsidR="0008570F">
        <w:t xml:space="preserve"> Maximální </w:t>
      </w:r>
      <w:r w:rsidR="0008570F" w:rsidRPr="0008570F">
        <w:rPr>
          <w:b/>
        </w:rPr>
        <w:t>další úspora po dokončení celé investice</w:t>
      </w:r>
      <w:r w:rsidR="0008570F">
        <w:t xml:space="preserve"> (od roku 2020, resp. 2022).</w:t>
      </w:r>
    </w:p>
    <w:p w:rsidR="00090C9B" w:rsidRDefault="00090C9B" w:rsidP="00090C9B">
      <w:r>
        <w:t>Na základě počtu pracovníků a měrných nákladů na jednoho pracovníka byly vyčísleny celkové náklady na řízení dopravy ve variantě bez projektu a projekt</w:t>
      </w:r>
      <w:r w:rsidR="00E44213">
        <w:t>ových</w:t>
      </w:r>
      <w:r>
        <w:t>. Měrné mzdové roční náklady byly zvyšovány do roku 2025 o 2,5% z důvodu zohlednění růstu HDP a přibližování výše mezd zemím EU, v dalších letech jsou měrné příjmy konstantní.</w:t>
      </w:r>
    </w:p>
    <w:p w:rsidR="00090C9B" w:rsidRDefault="00090C9B" w:rsidP="00090C9B">
      <w:r>
        <w:t xml:space="preserve">Protože realizací projektu dojde k úspoře zaměstnanců je nutné do ekonomického hodnocení zahrnout i náklady vynaložené na odstupné popřípadě náklady na rekvalifikaci těchto zaměstnanců. Tyto náklady (3 průměrné měsíční výdělky včetně zákonného pojištění) byly vyčísleny v cenové úrovni roku </w:t>
      </w:r>
      <w:r w:rsidR="00AC2AFD">
        <w:t>2013</w:t>
      </w:r>
      <w:r>
        <w:t xml:space="preserve">. Tyto náklady jsou přiřazeny k nákladům na řízení dopravy a to </w:t>
      </w:r>
      <w:r w:rsidR="00B2603C">
        <w:t>v roce 201</w:t>
      </w:r>
      <w:r w:rsidR="002041DF">
        <w:t>8</w:t>
      </w:r>
      <w:r w:rsidR="00B2603C">
        <w:t xml:space="preserve"> a 203</w:t>
      </w:r>
      <w:r w:rsidR="002041DF">
        <w:t>4</w:t>
      </w:r>
      <w:r w:rsidR="00B2603C">
        <w:t xml:space="preserve"> (varianta Bez projektu), </w:t>
      </w:r>
      <w:r w:rsidRPr="00B233F2">
        <w:t>v roce 2015 (varianta</w:t>
      </w:r>
      <w:r>
        <w:t xml:space="preserve"> </w:t>
      </w:r>
      <w:r w:rsidR="00B2603C">
        <w:t xml:space="preserve">Minimální a </w:t>
      </w:r>
      <w:r w:rsidR="009E270E">
        <w:t>Etapa</w:t>
      </w:r>
      <w:r>
        <w:t xml:space="preserve">), </w:t>
      </w:r>
      <w:r w:rsidR="00B233F2">
        <w:t xml:space="preserve">resp. v roce </w:t>
      </w:r>
      <w:smartTag w:uri="urn:schemas-microsoft-com:office:smarttags" w:element="metricconverter">
        <w:smartTagPr>
          <w:attr w:name="ProductID" w:val="2015 a"/>
        </w:smartTagPr>
        <w:r w:rsidR="00B233F2">
          <w:t>2015 a</w:t>
        </w:r>
      </w:smartTag>
      <w:r w:rsidR="00B233F2">
        <w:t xml:space="preserve"> 2021 (varianta Maximální)</w:t>
      </w:r>
      <w:r>
        <w:t xml:space="preserve"> tedy v posledním roce realizace stavb</w:t>
      </w:r>
      <w:r w:rsidR="0008570F">
        <w:t>y (resp. ucelené části stavby</w:t>
      </w:r>
      <w:r w:rsidR="00B2603C">
        <w:t xml:space="preserve"> nebo rekonstrukce</w:t>
      </w:r>
      <w:r w:rsidR="0008570F">
        <w:t>).</w:t>
      </w:r>
    </w:p>
    <w:p w:rsidR="00F77C5C" w:rsidRDefault="00F77C5C">
      <w:pPr>
        <w:suppressAutoHyphens w:val="0"/>
        <w:spacing w:before="0" w:after="0" w:line="240" w:lineRule="auto"/>
        <w:jc w:val="left"/>
      </w:pPr>
      <w:r>
        <w:br w:type="page"/>
      </w:r>
    </w:p>
    <w:p w:rsidR="00090C9B" w:rsidRDefault="00090C9B" w:rsidP="00090C9B">
      <w:r>
        <w:t>Celkový přehled nákladů na staniční zaměstnance a souvisejících nákladů je uveden v následující tabulce.</w:t>
      </w:r>
    </w:p>
    <w:tbl>
      <w:tblPr>
        <w:tblW w:w="9348" w:type="dxa"/>
        <w:jc w:val="center"/>
        <w:tblInd w:w="-18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8"/>
        <w:gridCol w:w="1947"/>
        <w:gridCol w:w="1948"/>
        <w:gridCol w:w="1947"/>
        <w:gridCol w:w="1948"/>
      </w:tblGrid>
      <w:tr w:rsidR="007F2F5E" w:rsidTr="00F77C5C">
        <w:trPr>
          <w:jc w:val="center"/>
        </w:trPr>
        <w:tc>
          <w:tcPr>
            <w:tcW w:w="9348" w:type="dxa"/>
            <w:gridSpan w:val="5"/>
            <w:tcBorders>
              <w:bottom w:val="single" w:sz="4" w:space="0" w:color="000000"/>
            </w:tcBorders>
          </w:tcPr>
          <w:p w:rsidR="007F2F5E" w:rsidRDefault="007F2F5E" w:rsidP="00F77C5C">
            <w:pPr>
              <w:pStyle w:val="Titulek"/>
              <w:rPr>
                <w:rFonts w:eastAsia="Arial Unicode MS"/>
                <w:color w:val="FF0000"/>
              </w:rPr>
            </w:pPr>
            <w:bookmarkStart w:id="296" w:name="_Toc316377675"/>
            <w:bookmarkStart w:id="297" w:name="_Toc390958781"/>
            <w:bookmarkStart w:id="298" w:name="_Toc391034585"/>
            <w:r w:rsidRPr="00AE16FD">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5</w:t>
            </w:r>
            <w:r w:rsidR="000E79AE">
              <w:fldChar w:fldCharType="end"/>
            </w:r>
            <w:r w:rsidRPr="00AE16FD">
              <w:t>: Náklady na řízení dopravy v tis. Kč (CÚ 2013)</w:t>
            </w:r>
            <w:bookmarkEnd w:id="296"/>
            <w:bookmarkEnd w:id="297"/>
            <w:bookmarkEnd w:id="298"/>
          </w:p>
        </w:tc>
      </w:tr>
      <w:tr w:rsidR="00F77C5C" w:rsidTr="00F77C5C">
        <w:trPr>
          <w:jc w:val="center"/>
        </w:trPr>
        <w:tc>
          <w:tcPr>
            <w:tcW w:w="1558" w:type="dxa"/>
            <w:tcBorders>
              <w:bottom w:val="single" w:sz="12" w:space="0" w:color="auto"/>
            </w:tcBorders>
            <w:shd w:val="pct12" w:color="auto" w:fill="auto"/>
            <w:vAlign w:val="center"/>
          </w:tcPr>
          <w:p w:rsidR="00F77C5C" w:rsidRPr="00F77C5C" w:rsidRDefault="00F77C5C" w:rsidP="00F77C5C">
            <w:pPr>
              <w:spacing w:before="0" w:after="0"/>
              <w:jc w:val="left"/>
              <w:rPr>
                <w:rFonts w:eastAsia="Arial Unicode MS"/>
                <w:b/>
                <w:sz w:val="18"/>
                <w:szCs w:val="18"/>
              </w:rPr>
            </w:pPr>
            <w:r w:rsidRPr="00F77C5C">
              <w:rPr>
                <w:rFonts w:eastAsia="Arial Unicode MS"/>
                <w:b/>
                <w:sz w:val="18"/>
                <w:szCs w:val="18"/>
              </w:rPr>
              <w:t>rok</w:t>
            </w:r>
          </w:p>
        </w:tc>
        <w:tc>
          <w:tcPr>
            <w:tcW w:w="1947" w:type="dxa"/>
            <w:tcBorders>
              <w:bottom w:val="single" w:sz="12" w:space="0" w:color="auto"/>
            </w:tcBorders>
            <w:shd w:val="pct12" w:color="auto" w:fill="auto"/>
            <w:vAlign w:val="center"/>
          </w:tcPr>
          <w:p w:rsidR="00F77C5C" w:rsidRPr="00F77C5C" w:rsidRDefault="00F77C5C" w:rsidP="00F77C5C">
            <w:pPr>
              <w:spacing w:before="0" w:after="0"/>
              <w:jc w:val="center"/>
              <w:rPr>
                <w:rFonts w:eastAsia="Arial Unicode MS"/>
                <w:b/>
                <w:bCs/>
                <w:kern w:val="28"/>
                <w:sz w:val="18"/>
                <w:szCs w:val="18"/>
              </w:rPr>
            </w:pPr>
            <w:r w:rsidRPr="00F77C5C">
              <w:rPr>
                <w:rFonts w:eastAsia="Arial Unicode MS"/>
                <w:b/>
                <w:sz w:val="18"/>
                <w:szCs w:val="18"/>
              </w:rPr>
              <w:t>bez projektu</w:t>
            </w:r>
          </w:p>
        </w:tc>
        <w:tc>
          <w:tcPr>
            <w:tcW w:w="1948" w:type="dxa"/>
            <w:tcBorders>
              <w:bottom w:val="single" w:sz="12" w:space="0" w:color="auto"/>
            </w:tcBorders>
            <w:shd w:val="pct12" w:color="auto" w:fill="auto"/>
            <w:vAlign w:val="center"/>
          </w:tcPr>
          <w:p w:rsidR="00F77C5C" w:rsidRPr="00F77C5C" w:rsidRDefault="00F77C5C" w:rsidP="00F77C5C">
            <w:pPr>
              <w:spacing w:before="0" w:after="0"/>
              <w:jc w:val="center"/>
              <w:rPr>
                <w:rFonts w:eastAsia="Arial Unicode MS"/>
                <w:b/>
                <w:sz w:val="18"/>
                <w:szCs w:val="18"/>
              </w:rPr>
            </w:pPr>
            <w:r w:rsidRPr="00F77C5C">
              <w:rPr>
                <w:rFonts w:eastAsia="Arial Unicode MS"/>
                <w:b/>
                <w:sz w:val="18"/>
                <w:szCs w:val="18"/>
              </w:rPr>
              <w:t>varianta Minimální</w:t>
            </w:r>
          </w:p>
        </w:tc>
        <w:tc>
          <w:tcPr>
            <w:tcW w:w="1947" w:type="dxa"/>
            <w:tcBorders>
              <w:bottom w:val="single" w:sz="12" w:space="0" w:color="auto"/>
            </w:tcBorders>
            <w:shd w:val="pct12" w:color="auto" w:fill="auto"/>
            <w:vAlign w:val="center"/>
          </w:tcPr>
          <w:p w:rsidR="00F77C5C" w:rsidRPr="00F77C5C" w:rsidRDefault="00F77C5C" w:rsidP="00F77C5C">
            <w:pPr>
              <w:spacing w:before="0" w:after="0"/>
              <w:jc w:val="center"/>
              <w:rPr>
                <w:rFonts w:eastAsia="Arial Unicode MS"/>
                <w:b/>
                <w:sz w:val="18"/>
                <w:szCs w:val="18"/>
              </w:rPr>
            </w:pPr>
            <w:r w:rsidRPr="00F77C5C">
              <w:rPr>
                <w:rFonts w:eastAsia="Arial Unicode MS"/>
                <w:b/>
                <w:sz w:val="18"/>
                <w:szCs w:val="18"/>
              </w:rPr>
              <w:t>varianta Etapa</w:t>
            </w:r>
          </w:p>
        </w:tc>
        <w:tc>
          <w:tcPr>
            <w:tcW w:w="1948" w:type="dxa"/>
            <w:tcBorders>
              <w:bottom w:val="single" w:sz="12" w:space="0" w:color="auto"/>
            </w:tcBorders>
            <w:shd w:val="pct12" w:color="auto" w:fill="auto"/>
            <w:vAlign w:val="center"/>
          </w:tcPr>
          <w:p w:rsidR="00F77C5C" w:rsidRPr="00F77C5C" w:rsidRDefault="00F77C5C" w:rsidP="00F77C5C">
            <w:pPr>
              <w:spacing w:before="0" w:after="0"/>
              <w:jc w:val="center"/>
              <w:rPr>
                <w:rFonts w:eastAsia="Arial Unicode MS"/>
                <w:b/>
                <w:sz w:val="18"/>
                <w:szCs w:val="18"/>
              </w:rPr>
            </w:pPr>
            <w:r w:rsidRPr="00F77C5C">
              <w:rPr>
                <w:rFonts w:eastAsia="Arial Unicode MS"/>
                <w:b/>
                <w:sz w:val="18"/>
                <w:szCs w:val="18"/>
              </w:rPr>
              <w:t>varianta Maximální</w:t>
            </w:r>
          </w:p>
        </w:tc>
      </w:tr>
      <w:tr w:rsidR="00F77C5C" w:rsidTr="00F77C5C">
        <w:trPr>
          <w:jc w:val="center"/>
        </w:trPr>
        <w:tc>
          <w:tcPr>
            <w:tcW w:w="1558" w:type="dxa"/>
            <w:tcBorders>
              <w:top w:val="single" w:sz="12" w:space="0" w:color="auto"/>
            </w:tcBorders>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2015</w:t>
            </w:r>
          </w:p>
        </w:tc>
        <w:tc>
          <w:tcPr>
            <w:tcW w:w="1947" w:type="dxa"/>
            <w:tcBorders>
              <w:top w:val="single" w:sz="12" w:space="0" w:color="auto"/>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0</w:t>
            </w:r>
          </w:p>
        </w:tc>
        <w:tc>
          <w:tcPr>
            <w:tcW w:w="1948" w:type="dxa"/>
            <w:tcBorders>
              <w:top w:val="single" w:sz="12" w:space="0" w:color="auto"/>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2 336</w:t>
            </w:r>
          </w:p>
        </w:tc>
        <w:tc>
          <w:tcPr>
            <w:tcW w:w="1947" w:type="dxa"/>
            <w:tcBorders>
              <w:top w:val="single" w:sz="12" w:space="0" w:color="auto"/>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2 053</w:t>
            </w:r>
          </w:p>
        </w:tc>
        <w:tc>
          <w:tcPr>
            <w:tcW w:w="1948" w:type="dxa"/>
            <w:tcBorders>
              <w:top w:val="single" w:sz="12" w:space="0" w:color="auto"/>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2 053</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2016</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59 309</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41 353</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43 519</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43 519</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2017</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60 792</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42 387</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44 607</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44 607</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2018</w:t>
            </w:r>
          </w:p>
        </w:tc>
        <w:tc>
          <w:tcPr>
            <w:tcW w:w="1947"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62 753</w:t>
            </w:r>
          </w:p>
        </w:tc>
        <w:tc>
          <w:tcPr>
            <w:tcW w:w="1948"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43 446</w:t>
            </w:r>
          </w:p>
        </w:tc>
        <w:tc>
          <w:tcPr>
            <w:tcW w:w="1947"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45 722</w:t>
            </w:r>
          </w:p>
        </w:tc>
        <w:tc>
          <w:tcPr>
            <w:tcW w:w="1948"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45 722</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2019</w:t>
            </w:r>
          </w:p>
        </w:tc>
        <w:tc>
          <w:tcPr>
            <w:tcW w:w="1947"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60 182</w:t>
            </w:r>
          </w:p>
        </w:tc>
        <w:tc>
          <w:tcPr>
            <w:tcW w:w="1948"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44 533</w:t>
            </w:r>
          </w:p>
        </w:tc>
        <w:tc>
          <w:tcPr>
            <w:tcW w:w="1947"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46 866</w:t>
            </w:r>
          </w:p>
        </w:tc>
        <w:tc>
          <w:tcPr>
            <w:tcW w:w="1948"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47 782</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2020</w:t>
            </w:r>
          </w:p>
        </w:tc>
        <w:tc>
          <w:tcPr>
            <w:tcW w:w="1947"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61 687</w:t>
            </w:r>
          </w:p>
        </w:tc>
        <w:tc>
          <w:tcPr>
            <w:tcW w:w="1948"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45 646</w:t>
            </w:r>
          </w:p>
        </w:tc>
        <w:tc>
          <w:tcPr>
            <w:tcW w:w="1947"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48 037</w:t>
            </w:r>
          </w:p>
        </w:tc>
        <w:tc>
          <w:tcPr>
            <w:tcW w:w="1948"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41 029</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2021</w:t>
            </w:r>
          </w:p>
        </w:tc>
        <w:tc>
          <w:tcPr>
            <w:tcW w:w="1947"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63 229</w:t>
            </w:r>
          </w:p>
        </w:tc>
        <w:tc>
          <w:tcPr>
            <w:tcW w:w="1948"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46 787</w:t>
            </w:r>
          </w:p>
        </w:tc>
        <w:tc>
          <w:tcPr>
            <w:tcW w:w="1947"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49 238</w:t>
            </w:r>
          </w:p>
        </w:tc>
        <w:tc>
          <w:tcPr>
            <w:tcW w:w="1948"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42 684</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2022</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64 810</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47 957</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50 469</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38 295</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2023</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66 430</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49 156</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51 731</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39 252</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2024</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68 091</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50 384</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53 024</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40 234</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2025</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69 793</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51 644</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54 350</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41 240</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2026</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69 793</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51 644</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54 350</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41 240</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2027</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69 793</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51 644</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54 350</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41 240</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2028</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69 793</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51 644</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54 350</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41 240</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2029</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69 793</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51 644</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54 350</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41 240</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2030</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69 793</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51 644</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54 350</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41 240</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2031</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69 793</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51 644</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54 350</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41 240</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2032</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69 793</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51 644</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54 350</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41 240</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2033</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69 793</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51 644</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54 350</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41 240</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2034</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71 097</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51 644</w:t>
            </w:r>
          </w:p>
        </w:tc>
        <w:tc>
          <w:tcPr>
            <w:tcW w:w="1947"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54 350</w:t>
            </w:r>
          </w:p>
        </w:tc>
        <w:tc>
          <w:tcPr>
            <w:tcW w:w="1948" w:type="dxa"/>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41 240</w:t>
            </w:r>
          </w:p>
        </w:tc>
      </w:tr>
      <w:tr w:rsidR="00F77C5C" w:rsidTr="00F77C5C">
        <w:trPr>
          <w:jc w:val="center"/>
        </w:trPr>
        <w:tc>
          <w:tcPr>
            <w:tcW w:w="1558" w:type="dxa"/>
            <w:shd w:val="pct12" w:color="auto" w:fill="auto"/>
          </w:tcPr>
          <w:p w:rsidR="00F77C5C" w:rsidRPr="00F77C5C" w:rsidRDefault="00F77C5C" w:rsidP="00F77C5C">
            <w:pPr>
              <w:spacing w:before="0" w:after="0"/>
              <w:rPr>
                <w:rFonts w:eastAsia="Arial Unicode MS"/>
                <w:sz w:val="18"/>
                <w:szCs w:val="18"/>
              </w:rPr>
            </w:pPr>
            <w:r w:rsidRPr="00F77C5C">
              <w:rPr>
                <w:rFonts w:eastAsia="Arial Unicode MS"/>
                <w:sz w:val="18"/>
                <w:szCs w:val="18"/>
              </w:rPr>
              <w:t>2035 - 2043</w:t>
            </w:r>
          </w:p>
        </w:tc>
        <w:tc>
          <w:tcPr>
            <w:tcW w:w="1947"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60 061</w:t>
            </w:r>
          </w:p>
        </w:tc>
        <w:tc>
          <w:tcPr>
            <w:tcW w:w="1948"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51 644</w:t>
            </w:r>
          </w:p>
        </w:tc>
        <w:tc>
          <w:tcPr>
            <w:tcW w:w="1947"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54 350</w:t>
            </w:r>
          </w:p>
        </w:tc>
        <w:tc>
          <w:tcPr>
            <w:tcW w:w="1948" w:type="dxa"/>
            <w:tcBorders>
              <w:bottom w:val="single" w:sz="4" w:space="0" w:color="000000"/>
            </w:tcBorders>
            <w:vAlign w:val="center"/>
          </w:tcPr>
          <w:p w:rsidR="00F77C5C" w:rsidRPr="00F77C5C" w:rsidRDefault="00F77C5C" w:rsidP="00F77C5C">
            <w:pPr>
              <w:spacing w:before="0" w:after="0"/>
              <w:ind w:right="280"/>
              <w:jc w:val="right"/>
              <w:rPr>
                <w:rFonts w:eastAsia="Arial Unicode MS"/>
                <w:sz w:val="18"/>
                <w:szCs w:val="18"/>
              </w:rPr>
            </w:pPr>
            <w:r w:rsidRPr="00F77C5C">
              <w:rPr>
                <w:rFonts w:eastAsia="Arial Unicode MS"/>
                <w:sz w:val="18"/>
                <w:szCs w:val="18"/>
              </w:rPr>
              <w:t>41 240</w:t>
            </w:r>
          </w:p>
        </w:tc>
      </w:tr>
    </w:tbl>
    <w:p w:rsidR="00396117" w:rsidRDefault="00396117" w:rsidP="000D62F1">
      <w:pPr>
        <w:pStyle w:val="Nadpis3"/>
        <w:ind w:hanging="8234"/>
      </w:pPr>
      <w:r>
        <w:t xml:space="preserve">Provozní náklady na </w:t>
      </w:r>
      <w:r w:rsidRPr="005224E3">
        <w:t>údržbu a opravy infrastruktury</w:t>
      </w:r>
    </w:p>
    <w:p w:rsidR="00396117" w:rsidRDefault="00D750BD" w:rsidP="00396117">
      <w:r>
        <w:t>Náklady na údržbu a opravy infrastruktury byly vyčísleny zvlášť pro jednotlivé projektové varianty a variantu bez projektu.</w:t>
      </w:r>
    </w:p>
    <w:p w:rsidR="00D750BD" w:rsidRPr="004E717A" w:rsidRDefault="00D750BD" w:rsidP="00D750BD">
      <w:pPr>
        <w:rPr>
          <w:b/>
        </w:rPr>
      </w:pPr>
      <w:r w:rsidRPr="004E717A">
        <w:rPr>
          <w:b/>
        </w:rPr>
        <w:t>Varianta bez projektu</w:t>
      </w:r>
    </w:p>
    <w:p w:rsidR="00D750BD" w:rsidRDefault="00D750BD" w:rsidP="00D750BD">
      <w:r>
        <w:t xml:space="preserve">Při výpočtu nákladů varianty bez projektu se vycházelo z podrobné analýzy současného stavu tratě.  Náklady varianty bez projektu byly sledovány zvlášť jako náklady na běžnou údržbu a pravidelné opravy infrastruktury. Do nákladů varianty bez projektu jsou rovněž započítány náklady na mimořádné opravy infrastruktury. </w:t>
      </w:r>
      <w:r w:rsidR="00833584">
        <w:t>Podrobněji je varianta bez projektu popsána v kapitole „</w:t>
      </w:r>
      <w:r w:rsidR="00AC5CDF">
        <w:fldChar w:fldCharType="begin"/>
      </w:r>
      <w:r w:rsidR="00833584">
        <w:instrText xml:space="preserve"> REF _Ref323206920 \r \h </w:instrText>
      </w:r>
      <w:r w:rsidR="00AC5CDF">
        <w:fldChar w:fldCharType="separate"/>
      </w:r>
      <w:r w:rsidR="003843F3">
        <w:t>3.2</w:t>
      </w:r>
      <w:r w:rsidR="00AC5CDF">
        <w:fldChar w:fldCharType="end"/>
      </w:r>
      <w:r w:rsidR="00833584">
        <w:t xml:space="preserve"> - </w:t>
      </w:r>
      <w:r w:rsidR="00AC5CDF">
        <w:fldChar w:fldCharType="begin"/>
      </w:r>
      <w:r w:rsidR="00833584">
        <w:instrText xml:space="preserve"> REF _Ref323206925 \h </w:instrText>
      </w:r>
      <w:r w:rsidR="00AC5CDF">
        <w:fldChar w:fldCharType="separate"/>
      </w:r>
      <w:r w:rsidR="003843F3">
        <w:t>Varianta Bez projektu</w:t>
      </w:r>
      <w:r w:rsidR="00AC5CDF">
        <w:fldChar w:fldCharType="end"/>
      </w:r>
      <w:r w:rsidR="00833584">
        <w:t xml:space="preserve">“. </w:t>
      </w:r>
      <w:r w:rsidR="001E2D7E">
        <w:t xml:space="preserve"> </w:t>
      </w:r>
      <w:r>
        <w:t xml:space="preserve">Celkové náklady na údržbu infrastruktury ve stavu bez projektu v CÚ </w:t>
      </w:r>
      <w:r w:rsidR="00EA59A5">
        <w:t xml:space="preserve">2013 </w:t>
      </w:r>
      <w:r>
        <w:t xml:space="preserve">za celé hodnocené období činí </w:t>
      </w:r>
      <w:r w:rsidR="00EA59A5">
        <w:rPr>
          <w:b/>
        </w:rPr>
        <w:t>511</w:t>
      </w:r>
      <w:r w:rsidR="00EA59A5" w:rsidRPr="004E717A">
        <w:rPr>
          <w:b/>
        </w:rPr>
        <w:t xml:space="preserve"> </w:t>
      </w:r>
      <w:r w:rsidR="00EA59A5">
        <w:rPr>
          <w:b/>
        </w:rPr>
        <w:t>406</w:t>
      </w:r>
      <w:r w:rsidR="00EA59A5">
        <w:t xml:space="preserve"> </w:t>
      </w:r>
      <w:r>
        <w:t xml:space="preserve">tis. Kč (náklady na údržbu), resp. </w:t>
      </w:r>
      <w:r w:rsidRPr="004E717A">
        <w:rPr>
          <w:b/>
        </w:rPr>
        <w:t xml:space="preserve">1 </w:t>
      </w:r>
      <w:r w:rsidR="006F13AA">
        <w:rPr>
          <w:b/>
        </w:rPr>
        <w:t>706</w:t>
      </w:r>
      <w:r w:rsidR="006F13AA" w:rsidRPr="004E717A">
        <w:rPr>
          <w:b/>
        </w:rPr>
        <w:t xml:space="preserve"> </w:t>
      </w:r>
      <w:r w:rsidR="006F13AA">
        <w:rPr>
          <w:b/>
        </w:rPr>
        <w:t>972</w:t>
      </w:r>
      <w:r w:rsidR="006F13AA">
        <w:t xml:space="preserve"> </w:t>
      </w:r>
      <w:r>
        <w:t>tis. Kč (náklady na mimořádné opravy). Tyto náklady jsou pro jednotlivé roky podrobněji vyčísleny v tabulce na konci této kapitoly.</w:t>
      </w:r>
    </w:p>
    <w:p w:rsidR="005550B4" w:rsidRPr="004E717A" w:rsidRDefault="005550B4" w:rsidP="005550B4">
      <w:pPr>
        <w:rPr>
          <w:b/>
        </w:rPr>
      </w:pPr>
      <w:r w:rsidRPr="004E717A">
        <w:rPr>
          <w:b/>
        </w:rPr>
        <w:t>Variant</w:t>
      </w:r>
      <w:r>
        <w:rPr>
          <w:b/>
        </w:rPr>
        <w:t>y</w:t>
      </w:r>
      <w:r w:rsidRPr="004E717A">
        <w:rPr>
          <w:b/>
        </w:rPr>
        <w:t xml:space="preserve"> s projektem</w:t>
      </w:r>
    </w:p>
    <w:p w:rsidR="005550B4" w:rsidRPr="00763BCE" w:rsidRDefault="005550B4" w:rsidP="005550B4">
      <w:r w:rsidRPr="00763BCE">
        <w:t>U nákladů variant s projektem byly jako základ výpočtu použity měrné náklady z materiálu „Aktualizace metodiky pro výpočet efektivnosti investic na SŽDC,</w:t>
      </w:r>
      <w:r w:rsidR="00E3660B">
        <w:t xml:space="preserve"> </w:t>
      </w:r>
      <w:r w:rsidRPr="00763BCE">
        <w:t>s.o.“, 2009, které odpovídají danému typu tratě (v CÚ 201</w:t>
      </w:r>
      <w:r w:rsidR="00EA59A5">
        <w:t>3</w:t>
      </w:r>
      <w:r w:rsidRPr="00763BCE">
        <w:t xml:space="preserve"> pro jednokolejnou celostátní trať v </w:t>
      </w:r>
      <w:r w:rsidR="00763BCE" w:rsidRPr="00763BCE">
        <w:t>elektrické</w:t>
      </w:r>
      <w:r w:rsidRPr="00763BCE">
        <w:t xml:space="preserve"> trakci (T</w:t>
      </w:r>
      <w:r w:rsidR="00763BCE" w:rsidRPr="00763BCE">
        <w:t>3</w:t>
      </w:r>
      <w:r w:rsidRPr="00763BCE">
        <w:t xml:space="preserve">) použita hodnota </w:t>
      </w:r>
      <w:r w:rsidR="00EA59A5">
        <w:rPr>
          <w:b/>
        </w:rPr>
        <w:t>708</w:t>
      </w:r>
      <w:r w:rsidRPr="00763BCE">
        <w:rPr>
          <w:b/>
        </w:rPr>
        <w:t>,</w:t>
      </w:r>
      <w:r w:rsidR="00EA59A5">
        <w:rPr>
          <w:b/>
        </w:rPr>
        <w:t>76</w:t>
      </w:r>
      <w:r w:rsidR="00EA59A5" w:rsidRPr="00763BCE">
        <w:rPr>
          <w:b/>
        </w:rPr>
        <w:t xml:space="preserve"> </w:t>
      </w:r>
      <w:r w:rsidRPr="00763BCE">
        <w:rPr>
          <w:b/>
        </w:rPr>
        <w:t>tis. Kč/km</w:t>
      </w:r>
      <w:r w:rsidR="00763BCE" w:rsidRPr="00763BCE">
        <w:rPr>
          <w:b/>
        </w:rPr>
        <w:t xml:space="preserve">, </w:t>
      </w:r>
      <w:r w:rsidR="00763BCE" w:rsidRPr="00763BCE">
        <w:t>resp.</w:t>
      </w:r>
      <w:r w:rsidR="00763BCE" w:rsidRPr="00763BCE">
        <w:rPr>
          <w:b/>
        </w:rPr>
        <w:t xml:space="preserve"> </w:t>
      </w:r>
      <w:r w:rsidR="00763BCE" w:rsidRPr="00763BCE">
        <w:t xml:space="preserve">pro dvoukolejnou celostátní trať v elektrické trakci nekoridorovou (T1) hodnota </w:t>
      </w:r>
      <w:r w:rsidR="00763BCE" w:rsidRPr="00763BCE">
        <w:rPr>
          <w:b/>
        </w:rPr>
        <w:t>1</w:t>
      </w:r>
      <w:r w:rsidR="00763BCE" w:rsidRPr="00763BCE">
        <w:t xml:space="preserve"> </w:t>
      </w:r>
      <w:r w:rsidR="00EA59A5">
        <w:rPr>
          <w:b/>
        </w:rPr>
        <w:t>421</w:t>
      </w:r>
      <w:r w:rsidR="00763BCE" w:rsidRPr="00763BCE">
        <w:rPr>
          <w:b/>
        </w:rPr>
        <w:t>,</w:t>
      </w:r>
      <w:r w:rsidR="00EA59A5">
        <w:rPr>
          <w:b/>
        </w:rPr>
        <w:t>03</w:t>
      </w:r>
      <w:r w:rsidR="00EA59A5" w:rsidRPr="00763BCE">
        <w:rPr>
          <w:b/>
        </w:rPr>
        <w:t xml:space="preserve"> </w:t>
      </w:r>
      <w:r w:rsidR="00763BCE" w:rsidRPr="00763BCE">
        <w:rPr>
          <w:b/>
        </w:rPr>
        <w:t>tis.</w:t>
      </w:r>
      <w:r w:rsidR="007C651E">
        <w:rPr>
          <w:b/>
        </w:rPr>
        <w:t> </w:t>
      </w:r>
      <w:r w:rsidR="00763BCE" w:rsidRPr="00763BCE">
        <w:rPr>
          <w:b/>
        </w:rPr>
        <w:t>Kč/km</w:t>
      </w:r>
      <w:r w:rsidRPr="00763BCE">
        <w:t xml:space="preserve">). Náklady na údržbu jsou v prvních pěti letech </w:t>
      </w:r>
      <w:r w:rsidR="00763BCE" w:rsidRPr="00763BCE">
        <w:t xml:space="preserve">od uvedení do provozu </w:t>
      </w:r>
      <w:r w:rsidRPr="00763BCE">
        <w:t xml:space="preserve">uvažovány konstantní, v dalších letech zohledňují postupné navyšování nákladů z důvodu opotřebovávání tratě a jejích zařízení (0,5 %/rok, resp. 1% ročně po vložení první reinvestice do konce hodnotícího období). </w:t>
      </w:r>
      <w:r w:rsidR="00763BCE" w:rsidRPr="00763BCE">
        <w:t xml:space="preserve">Ve </w:t>
      </w:r>
      <w:r w:rsidR="009E270E" w:rsidRPr="00763BCE">
        <w:t>variant</w:t>
      </w:r>
      <w:r w:rsidR="009E270E">
        <w:t>ě</w:t>
      </w:r>
      <w:r w:rsidR="009E270E" w:rsidRPr="00763BCE">
        <w:t xml:space="preserve"> </w:t>
      </w:r>
      <w:r w:rsidR="00763BCE" w:rsidRPr="00763BCE">
        <w:t xml:space="preserve">Maximální </w:t>
      </w:r>
      <w:r w:rsidR="009E270E">
        <w:t xml:space="preserve">a její Etapě </w:t>
      </w:r>
      <w:r w:rsidR="00763BCE" w:rsidRPr="00763BCE">
        <w:t xml:space="preserve">je uvažována pravidelná údržba ve stavu projektovém již od prvního roku hodnocení </w:t>
      </w:r>
      <w:r w:rsidR="00763BCE">
        <w:t>(během</w:t>
      </w:r>
      <w:r w:rsidR="00763BCE" w:rsidRPr="00763BCE">
        <w:t xml:space="preserve"> investiční fáz</w:t>
      </w:r>
      <w:r w:rsidR="00763BCE">
        <w:t>e</w:t>
      </w:r>
      <w:r w:rsidR="00763BCE" w:rsidRPr="00763BCE">
        <w:t>) pro ty úseky tratě, které nejsou aktuálně rekonstruovány.</w:t>
      </w:r>
      <w:r w:rsidR="00A92BD9">
        <w:t xml:space="preserve"> V ostatních úsecích se po dobu rekonstrukce předpokládají v projektovém stavu z důvodu rozestavěnosti </w:t>
      </w:r>
      <w:r w:rsidR="00EA59A5">
        <w:t xml:space="preserve">poloviční </w:t>
      </w:r>
      <w:r w:rsidR="00A92BD9">
        <w:t>náklady na pravidelnou údržbu.</w:t>
      </w:r>
      <w:r w:rsidR="00763BCE" w:rsidRPr="00763BCE">
        <w:t xml:space="preserve"> Po uvedení první části </w:t>
      </w:r>
      <w:r w:rsidR="00A92BD9">
        <w:t xml:space="preserve">investice </w:t>
      </w:r>
      <w:r w:rsidR="00763BCE" w:rsidRPr="00763BCE">
        <w:t>do provozu se potom tato část z hlediska údržby uvažuje jako nová (viz výše), ostatní úseky jsou řešeny podle jejich momentální rozestavěnosti.</w:t>
      </w:r>
      <w:r w:rsidR="00DF28BB">
        <w:t xml:space="preserve"> </w:t>
      </w:r>
      <w:r w:rsidR="00DF28BB" w:rsidRPr="005E46F3">
        <w:t xml:space="preserve">Ve </w:t>
      </w:r>
      <w:r w:rsidR="009E270E">
        <w:t>variantě</w:t>
      </w:r>
      <w:r w:rsidR="00DF28BB">
        <w:t xml:space="preserve"> Maximální </w:t>
      </w:r>
      <w:r w:rsidR="009E270E">
        <w:t xml:space="preserve">a její Etapě </w:t>
      </w:r>
      <w:r w:rsidR="00DF28BB">
        <w:t>dochází k nárůstu pravidelných provozních nákladů po realizaci investice z důvodu zdvoukolejnění některých úseků.</w:t>
      </w:r>
    </w:p>
    <w:p w:rsidR="00763BCE" w:rsidRPr="00263800" w:rsidRDefault="009E270E" w:rsidP="005550B4">
      <w:pPr>
        <w:rPr>
          <w:highlight w:val="yellow"/>
        </w:rPr>
      </w:pPr>
      <w:r w:rsidRPr="005E46F3">
        <w:t>V Etapě</w:t>
      </w:r>
      <w:r w:rsidR="00763BCE" w:rsidRPr="005E46F3">
        <w:t xml:space="preserve">, která </w:t>
      </w:r>
      <w:r w:rsidR="00763BCE" w:rsidRPr="005E46F3">
        <w:rPr>
          <w:rFonts w:hint="eastAsia"/>
        </w:rPr>
        <w:t>ř</w:t>
      </w:r>
      <w:r w:rsidR="00763BCE" w:rsidRPr="005E46F3">
        <w:t>eší investi</w:t>
      </w:r>
      <w:r w:rsidR="00763BCE" w:rsidRPr="005E46F3">
        <w:rPr>
          <w:rFonts w:hint="eastAsia"/>
        </w:rPr>
        <w:t>č</w:t>
      </w:r>
      <w:r w:rsidR="00763BCE" w:rsidRPr="005E46F3">
        <w:t>n</w:t>
      </w:r>
      <w:r w:rsidR="00763BCE" w:rsidRPr="005E46F3">
        <w:rPr>
          <w:rFonts w:hint="eastAsia"/>
        </w:rPr>
        <w:t>ě</w:t>
      </w:r>
      <w:r w:rsidR="00763BCE" w:rsidRPr="005E46F3">
        <w:t xml:space="preserve"> výhradn</w:t>
      </w:r>
      <w:r w:rsidR="00763BCE" w:rsidRPr="005E46F3">
        <w:rPr>
          <w:rFonts w:hint="eastAsia"/>
        </w:rPr>
        <w:t>ě</w:t>
      </w:r>
      <w:r w:rsidR="00763BCE" w:rsidRPr="005E46F3">
        <w:t xml:space="preserve"> úsek Stéblová – Opatovice n.L., se v ostatních úsecích uvažují b</w:t>
      </w:r>
      <w:r w:rsidR="00763BCE" w:rsidRPr="005E46F3">
        <w:rPr>
          <w:rFonts w:hint="eastAsia"/>
        </w:rPr>
        <w:t>ě</w:t>
      </w:r>
      <w:r w:rsidR="00763BCE" w:rsidRPr="005E46F3">
        <w:t>hem hodnotícího období náklady na mimo</w:t>
      </w:r>
      <w:r w:rsidR="00763BCE" w:rsidRPr="005E46F3">
        <w:rPr>
          <w:rFonts w:hint="eastAsia"/>
        </w:rPr>
        <w:t>řá</w:t>
      </w:r>
      <w:r w:rsidR="00763BCE" w:rsidRPr="005E46F3">
        <w:t>dné opravy v rozsahu varianty bez projektu.</w:t>
      </w:r>
    </w:p>
    <w:p w:rsidR="005550B4" w:rsidRPr="00763BCE" w:rsidRDefault="005550B4" w:rsidP="005550B4">
      <w:r w:rsidRPr="00763BCE">
        <w:t xml:space="preserve">K nákladům na údržbu infrastruktury projektových variant jsou přičleněny také tzv. náklady na „reinvestici“, tj. náklady, které bude nutno v průběhu hodnotícího období vynaložit na opravy vybraných nově vybudovaných objektů. Tyto náklady jsou uvažovány ve výši 60% z investičních nákladů na objekty v případě zabezpečovacího, sdělovacího a silnoproudého zařízení, resp. 7% pro ostatní položky, které během hodnotícího období skončí svou životnost. Reinvestice je vložena vždy následující rok po skončení životnosti příslušného zařízení. </w:t>
      </w:r>
    </w:p>
    <w:p w:rsidR="005550B4" w:rsidRDefault="005550B4" w:rsidP="005550B4">
      <w:r w:rsidRPr="00763BCE">
        <w:t>Souhrn celkových ročních nákladů na údržbu a opravy infrastruktury pro variantu bez projektu a projektové varianty je v následujících tabulkách.</w:t>
      </w:r>
    </w:p>
    <w:p w:rsidR="00EB65FD" w:rsidRDefault="00EB65FD">
      <w:r>
        <w:rPr>
          <w:b/>
        </w:rPr>
        <w:br w:type="page"/>
      </w:r>
    </w:p>
    <w:tbl>
      <w:tblPr>
        <w:tblW w:w="9339" w:type="dxa"/>
        <w:jc w:val="center"/>
        <w:tblInd w:w="-10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tblCellMar>
        <w:tblLook w:val="04A0" w:firstRow="1" w:lastRow="0" w:firstColumn="1" w:lastColumn="0" w:noHBand="0" w:noVBand="1"/>
      </w:tblPr>
      <w:tblGrid>
        <w:gridCol w:w="702"/>
        <w:gridCol w:w="1079"/>
        <w:gridCol w:w="1080"/>
        <w:gridCol w:w="1079"/>
        <w:gridCol w:w="1080"/>
        <w:gridCol w:w="1080"/>
        <w:gridCol w:w="1079"/>
        <w:gridCol w:w="1080"/>
        <w:gridCol w:w="1080"/>
      </w:tblGrid>
      <w:tr w:rsidR="00EB65FD" w:rsidTr="00EB65FD">
        <w:trPr>
          <w:cantSplit/>
          <w:jc w:val="center"/>
        </w:trPr>
        <w:tc>
          <w:tcPr>
            <w:tcW w:w="9339" w:type="dxa"/>
            <w:gridSpan w:val="9"/>
            <w:shd w:val="clear" w:color="auto" w:fill="FFFFFF" w:themeFill="background1"/>
          </w:tcPr>
          <w:p w:rsidR="00EB65FD" w:rsidRPr="00A92BD9" w:rsidRDefault="00EB65FD" w:rsidP="00EB65FD">
            <w:pPr>
              <w:pStyle w:val="Titulek"/>
              <w:rPr>
                <w:rFonts w:eastAsia="Arial Unicode MS" w:cs="Tahoma"/>
              </w:rPr>
            </w:pPr>
            <w:bookmarkStart w:id="299" w:name="_Toc390958782"/>
            <w:bookmarkStart w:id="300" w:name="_Toc391034586"/>
            <w:r w:rsidRPr="00AE16FD">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6</w:t>
            </w:r>
            <w:r w:rsidR="000E79AE">
              <w:fldChar w:fldCharType="end"/>
            </w:r>
            <w:r w:rsidRPr="00AE16FD">
              <w:t xml:space="preserve">: Náklady </w:t>
            </w:r>
            <w:r>
              <w:t xml:space="preserve">na údržbu a opravy infrastrukruty </w:t>
            </w:r>
            <w:r w:rsidRPr="00AE16FD">
              <w:t>v tis. Kč (CÚ 2013)</w:t>
            </w:r>
            <w:bookmarkEnd w:id="299"/>
            <w:bookmarkEnd w:id="300"/>
          </w:p>
        </w:tc>
      </w:tr>
      <w:tr w:rsidR="00EB65FD" w:rsidTr="00EB65FD">
        <w:trPr>
          <w:cantSplit/>
          <w:jc w:val="center"/>
        </w:trPr>
        <w:tc>
          <w:tcPr>
            <w:tcW w:w="702" w:type="dxa"/>
            <w:vMerge w:val="restart"/>
            <w:shd w:val="pct12" w:color="auto" w:fill="auto"/>
            <w:vAlign w:val="center"/>
          </w:tcPr>
          <w:p w:rsidR="00EB65FD" w:rsidRPr="00EB65FD" w:rsidRDefault="00EB65FD" w:rsidP="00EB65FD">
            <w:pPr>
              <w:spacing w:before="0" w:after="0"/>
              <w:jc w:val="center"/>
              <w:rPr>
                <w:rFonts w:eastAsia="Arial Unicode MS" w:cs="Tahoma"/>
                <w:b/>
                <w:sz w:val="18"/>
                <w:szCs w:val="18"/>
              </w:rPr>
            </w:pPr>
            <w:r w:rsidRPr="00EB65FD">
              <w:rPr>
                <w:rFonts w:eastAsia="Arial Unicode MS" w:cs="Tahoma"/>
                <w:b/>
                <w:sz w:val="18"/>
                <w:szCs w:val="18"/>
              </w:rPr>
              <w:t>rok</w:t>
            </w:r>
          </w:p>
        </w:tc>
        <w:tc>
          <w:tcPr>
            <w:tcW w:w="2159" w:type="dxa"/>
            <w:gridSpan w:val="2"/>
            <w:shd w:val="pct12" w:color="auto" w:fill="auto"/>
            <w:vAlign w:val="center"/>
          </w:tcPr>
          <w:p w:rsidR="00EB65FD" w:rsidRPr="00EB65FD" w:rsidRDefault="00EB65FD" w:rsidP="00EB65FD">
            <w:pPr>
              <w:spacing w:before="0" w:after="0"/>
              <w:jc w:val="center"/>
              <w:rPr>
                <w:rFonts w:eastAsia="Arial Unicode MS" w:cs="Tahoma"/>
                <w:b/>
                <w:sz w:val="18"/>
                <w:szCs w:val="18"/>
              </w:rPr>
            </w:pPr>
            <w:r w:rsidRPr="00EB65FD">
              <w:rPr>
                <w:rFonts w:eastAsia="Arial Unicode MS" w:cs="Tahoma"/>
                <w:b/>
                <w:sz w:val="18"/>
                <w:szCs w:val="18"/>
              </w:rPr>
              <w:t>bez projektu</w:t>
            </w:r>
          </w:p>
        </w:tc>
        <w:tc>
          <w:tcPr>
            <w:tcW w:w="2159" w:type="dxa"/>
            <w:gridSpan w:val="2"/>
            <w:shd w:val="pct12" w:color="auto" w:fill="auto"/>
            <w:vAlign w:val="center"/>
          </w:tcPr>
          <w:p w:rsidR="00EB65FD" w:rsidRPr="00EB65FD" w:rsidRDefault="00EB65FD" w:rsidP="00EB65FD">
            <w:pPr>
              <w:spacing w:before="0" w:after="0"/>
              <w:jc w:val="center"/>
              <w:rPr>
                <w:rFonts w:eastAsia="Arial Unicode MS" w:cs="Tahoma"/>
                <w:b/>
                <w:sz w:val="18"/>
                <w:szCs w:val="18"/>
              </w:rPr>
            </w:pPr>
            <w:r w:rsidRPr="00EB65FD">
              <w:rPr>
                <w:rFonts w:eastAsia="Arial Unicode MS" w:cs="Tahoma"/>
                <w:b/>
                <w:sz w:val="18"/>
                <w:szCs w:val="18"/>
              </w:rPr>
              <w:t>varianta Minimální</w:t>
            </w:r>
          </w:p>
        </w:tc>
        <w:tc>
          <w:tcPr>
            <w:tcW w:w="2159" w:type="dxa"/>
            <w:gridSpan w:val="2"/>
            <w:shd w:val="pct12" w:color="auto" w:fill="auto"/>
            <w:vAlign w:val="center"/>
          </w:tcPr>
          <w:p w:rsidR="00EB65FD" w:rsidRPr="00EB65FD" w:rsidRDefault="00EB65FD" w:rsidP="00EB65FD">
            <w:pPr>
              <w:spacing w:before="0" w:after="0"/>
              <w:jc w:val="center"/>
              <w:rPr>
                <w:rFonts w:eastAsia="Arial Unicode MS" w:cs="Tahoma"/>
                <w:b/>
                <w:sz w:val="18"/>
                <w:szCs w:val="18"/>
              </w:rPr>
            </w:pPr>
            <w:r w:rsidRPr="00EB65FD">
              <w:rPr>
                <w:rFonts w:eastAsia="Arial Unicode MS" w:cs="Tahoma"/>
                <w:b/>
                <w:sz w:val="18"/>
                <w:szCs w:val="18"/>
              </w:rPr>
              <w:t>Etapa</w:t>
            </w:r>
          </w:p>
        </w:tc>
        <w:tc>
          <w:tcPr>
            <w:tcW w:w="2160" w:type="dxa"/>
            <w:gridSpan w:val="2"/>
            <w:shd w:val="pct12" w:color="auto" w:fill="auto"/>
            <w:vAlign w:val="center"/>
          </w:tcPr>
          <w:p w:rsidR="00EB65FD" w:rsidRPr="00EB65FD" w:rsidRDefault="00EB65FD" w:rsidP="00EB65FD">
            <w:pPr>
              <w:spacing w:before="0" w:after="0"/>
              <w:jc w:val="center"/>
              <w:rPr>
                <w:rFonts w:eastAsia="Arial Unicode MS" w:cs="Tahoma"/>
                <w:b/>
                <w:sz w:val="18"/>
                <w:szCs w:val="18"/>
              </w:rPr>
            </w:pPr>
            <w:r w:rsidRPr="00EB65FD">
              <w:rPr>
                <w:rFonts w:eastAsia="Arial Unicode MS" w:cs="Tahoma"/>
                <w:b/>
                <w:sz w:val="18"/>
                <w:szCs w:val="18"/>
              </w:rPr>
              <w:t>varianta Maximální</w:t>
            </w:r>
          </w:p>
        </w:tc>
      </w:tr>
      <w:tr w:rsidR="00EB65FD" w:rsidTr="00EB65FD">
        <w:trPr>
          <w:cantSplit/>
          <w:jc w:val="center"/>
        </w:trPr>
        <w:tc>
          <w:tcPr>
            <w:tcW w:w="702" w:type="dxa"/>
            <w:vMerge/>
            <w:tcBorders>
              <w:bottom w:val="single" w:sz="12" w:space="0" w:color="auto"/>
            </w:tcBorders>
            <w:shd w:val="pct12" w:color="auto" w:fill="auto"/>
            <w:vAlign w:val="center"/>
          </w:tcPr>
          <w:p w:rsidR="00EB65FD" w:rsidRPr="00EB65FD" w:rsidRDefault="00EB65FD" w:rsidP="00EB65FD">
            <w:pPr>
              <w:spacing w:before="0" w:after="0"/>
              <w:jc w:val="center"/>
              <w:rPr>
                <w:rFonts w:eastAsia="Arial Unicode MS" w:cs="Tahoma"/>
                <w:b/>
                <w:sz w:val="18"/>
                <w:szCs w:val="18"/>
              </w:rPr>
            </w:pPr>
          </w:p>
        </w:tc>
        <w:tc>
          <w:tcPr>
            <w:tcW w:w="1079" w:type="dxa"/>
            <w:tcBorders>
              <w:bottom w:val="single" w:sz="12" w:space="0" w:color="auto"/>
            </w:tcBorders>
            <w:shd w:val="pct12" w:color="auto" w:fill="auto"/>
            <w:vAlign w:val="center"/>
          </w:tcPr>
          <w:p w:rsidR="00EB65FD" w:rsidRPr="00EB65FD" w:rsidRDefault="00EB65FD" w:rsidP="00EB65FD">
            <w:pPr>
              <w:spacing w:before="0" w:after="0"/>
              <w:jc w:val="center"/>
              <w:rPr>
                <w:rFonts w:eastAsia="Arial Unicode MS" w:cs="Tahoma"/>
                <w:b/>
                <w:sz w:val="18"/>
                <w:szCs w:val="18"/>
              </w:rPr>
            </w:pPr>
            <w:r w:rsidRPr="00EB65FD">
              <w:rPr>
                <w:rFonts w:eastAsia="Arial Unicode MS" w:cs="Tahoma"/>
                <w:b/>
                <w:sz w:val="18"/>
                <w:szCs w:val="18"/>
              </w:rPr>
              <w:t>údržba</w:t>
            </w:r>
          </w:p>
        </w:tc>
        <w:tc>
          <w:tcPr>
            <w:tcW w:w="1080" w:type="dxa"/>
            <w:tcBorders>
              <w:bottom w:val="single" w:sz="12" w:space="0" w:color="auto"/>
            </w:tcBorders>
            <w:shd w:val="pct12" w:color="auto" w:fill="auto"/>
            <w:vAlign w:val="center"/>
          </w:tcPr>
          <w:p w:rsidR="00EB65FD" w:rsidRPr="00EB65FD" w:rsidRDefault="00EB65FD" w:rsidP="00EB65FD">
            <w:pPr>
              <w:spacing w:before="0" w:after="0"/>
              <w:jc w:val="center"/>
              <w:rPr>
                <w:rFonts w:eastAsia="Arial Unicode MS" w:cs="Tahoma"/>
                <w:b/>
                <w:sz w:val="18"/>
                <w:szCs w:val="18"/>
              </w:rPr>
            </w:pPr>
            <w:r w:rsidRPr="00EB65FD">
              <w:rPr>
                <w:rFonts w:eastAsia="Arial Unicode MS" w:cs="Tahoma"/>
                <w:b/>
                <w:sz w:val="18"/>
                <w:szCs w:val="18"/>
              </w:rPr>
              <w:t>opravy</w:t>
            </w:r>
          </w:p>
        </w:tc>
        <w:tc>
          <w:tcPr>
            <w:tcW w:w="1079" w:type="dxa"/>
            <w:tcBorders>
              <w:bottom w:val="single" w:sz="12" w:space="0" w:color="auto"/>
            </w:tcBorders>
            <w:shd w:val="pct12" w:color="auto" w:fill="auto"/>
            <w:vAlign w:val="center"/>
          </w:tcPr>
          <w:p w:rsidR="00EB65FD" w:rsidRPr="00EB65FD" w:rsidRDefault="00EB65FD" w:rsidP="00EB65FD">
            <w:pPr>
              <w:spacing w:before="0" w:after="0"/>
              <w:jc w:val="center"/>
              <w:rPr>
                <w:rFonts w:eastAsia="Arial Unicode MS" w:cs="Tahoma"/>
                <w:b/>
                <w:sz w:val="18"/>
                <w:szCs w:val="18"/>
              </w:rPr>
            </w:pPr>
            <w:r w:rsidRPr="00EB65FD">
              <w:rPr>
                <w:rFonts w:eastAsia="Arial Unicode MS" w:cs="Tahoma"/>
                <w:b/>
                <w:sz w:val="18"/>
                <w:szCs w:val="18"/>
              </w:rPr>
              <w:t>údržba</w:t>
            </w:r>
          </w:p>
        </w:tc>
        <w:tc>
          <w:tcPr>
            <w:tcW w:w="1080" w:type="dxa"/>
            <w:tcBorders>
              <w:bottom w:val="single" w:sz="12" w:space="0" w:color="auto"/>
            </w:tcBorders>
            <w:shd w:val="pct12" w:color="auto" w:fill="auto"/>
            <w:vAlign w:val="center"/>
          </w:tcPr>
          <w:p w:rsidR="00EB65FD" w:rsidRPr="00EB65FD" w:rsidRDefault="00EB65FD" w:rsidP="00EB65FD">
            <w:pPr>
              <w:spacing w:before="0" w:after="0"/>
              <w:jc w:val="center"/>
              <w:rPr>
                <w:rFonts w:eastAsia="Arial Unicode MS" w:cs="Tahoma"/>
                <w:b/>
                <w:sz w:val="18"/>
                <w:szCs w:val="18"/>
              </w:rPr>
            </w:pPr>
            <w:r w:rsidRPr="00EB65FD">
              <w:rPr>
                <w:rFonts w:eastAsia="Arial Unicode MS" w:cs="Tahoma"/>
                <w:b/>
                <w:sz w:val="18"/>
                <w:szCs w:val="18"/>
              </w:rPr>
              <w:t>opravy</w:t>
            </w:r>
          </w:p>
        </w:tc>
        <w:tc>
          <w:tcPr>
            <w:tcW w:w="1080" w:type="dxa"/>
            <w:tcBorders>
              <w:bottom w:val="single" w:sz="12" w:space="0" w:color="auto"/>
            </w:tcBorders>
            <w:shd w:val="pct12" w:color="auto" w:fill="auto"/>
            <w:vAlign w:val="center"/>
          </w:tcPr>
          <w:p w:rsidR="00EB65FD" w:rsidRPr="00EB65FD" w:rsidRDefault="00EB65FD" w:rsidP="00EB65FD">
            <w:pPr>
              <w:spacing w:before="0" w:after="0"/>
              <w:jc w:val="center"/>
              <w:rPr>
                <w:rFonts w:eastAsia="Arial Unicode MS" w:cs="Tahoma"/>
                <w:b/>
                <w:sz w:val="18"/>
                <w:szCs w:val="18"/>
              </w:rPr>
            </w:pPr>
            <w:r w:rsidRPr="00EB65FD">
              <w:rPr>
                <w:rFonts w:eastAsia="Arial Unicode MS" w:cs="Tahoma"/>
                <w:b/>
                <w:sz w:val="18"/>
                <w:szCs w:val="18"/>
              </w:rPr>
              <w:t>údržba</w:t>
            </w:r>
          </w:p>
        </w:tc>
        <w:tc>
          <w:tcPr>
            <w:tcW w:w="1079" w:type="dxa"/>
            <w:tcBorders>
              <w:bottom w:val="single" w:sz="12" w:space="0" w:color="auto"/>
            </w:tcBorders>
            <w:shd w:val="pct12" w:color="auto" w:fill="auto"/>
            <w:vAlign w:val="center"/>
          </w:tcPr>
          <w:p w:rsidR="00EB65FD" w:rsidRPr="00EB65FD" w:rsidRDefault="00EB65FD" w:rsidP="00EB65FD">
            <w:pPr>
              <w:spacing w:before="0" w:after="0"/>
              <w:jc w:val="center"/>
              <w:rPr>
                <w:rFonts w:eastAsia="Arial Unicode MS" w:cs="Tahoma"/>
                <w:b/>
                <w:sz w:val="18"/>
                <w:szCs w:val="18"/>
              </w:rPr>
            </w:pPr>
            <w:r w:rsidRPr="00EB65FD">
              <w:rPr>
                <w:rFonts w:eastAsia="Arial Unicode MS" w:cs="Tahoma"/>
                <w:b/>
                <w:sz w:val="18"/>
                <w:szCs w:val="18"/>
              </w:rPr>
              <w:t>opravy</w:t>
            </w:r>
          </w:p>
        </w:tc>
        <w:tc>
          <w:tcPr>
            <w:tcW w:w="1080" w:type="dxa"/>
            <w:tcBorders>
              <w:bottom w:val="single" w:sz="12" w:space="0" w:color="auto"/>
            </w:tcBorders>
            <w:shd w:val="pct12" w:color="auto" w:fill="auto"/>
            <w:vAlign w:val="center"/>
          </w:tcPr>
          <w:p w:rsidR="00EB65FD" w:rsidRPr="00EB65FD" w:rsidRDefault="00EB65FD" w:rsidP="00EB65FD">
            <w:pPr>
              <w:spacing w:before="0" w:after="0"/>
              <w:jc w:val="center"/>
              <w:rPr>
                <w:rFonts w:eastAsia="Arial Unicode MS" w:cs="Tahoma"/>
                <w:b/>
                <w:sz w:val="18"/>
                <w:szCs w:val="18"/>
              </w:rPr>
            </w:pPr>
            <w:r w:rsidRPr="00EB65FD">
              <w:rPr>
                <w:rFonts w:eastAsia="Arial Unicode MS" w:cs="Tahoma"/>
                <w:b/>
                <w:sz w:val="18"/>
                <w:szCs w:val="18"/>
              </w:rPr>
              <w:t>údržba</w:t>
            </w:r>
          </w:p>
        </w:tc>
        <w:tc>
          <w:tcPr>
            <w:tcW w:w="1080" w:type="dxa"/>
            <w:tcBorders>
              <w:bottom w:val="single" w:sz="12" w:space="0" w:color="auto"/>
            </w:tcBorders>
            <w:shd w:val="pct12" w:color="auto" w:fill="auto"/>
            <w:vAlign w:val="center"/>
          </w:tcPr>
          <w:p w:rsidR="00EB65FD" w:rsidRPr="00EB65FD" w:rsidRDefault="00EB65FD" w:rsidP="00EB65FD">
            <w:pPr>
              <w:spacing w:before="0" w:after="0"/>
              <w:jc w:val="center"/>
              <w:rPr>
                <w:rFonts w:eastAsia="Arial Unicode MS" w:cs="Tahoma"/>
                <w:b/>
                <w:sz w:val="18"/>
                <w:szCs w:val="18"/>
              </w:rPr>
            </w:pPr>
            <w:r w:rsidRPr="00EB65FD">
              <w:rPr>
                <w:rFonts w:eastAsia="Arial Unicode MS" w:cs="Tahoma"/>
                <w:b/>
                <w:sz w:val="18"/>
                <w:szCs w:val="18"/>
              </w:rPr>
              <w:t>opravy</w:t>
            </w:r>
          </w:p>
        </w:tc>
      </w:tr>
      <w:tr w:rsidR="00EB65FD" w:rsidTr="00EB65FD">
        <w:trPr>
          <w:cantSplit/>
          <w:jc w:val="center"/>
        </w:trPr>
        <w:tc>
          <w:tcPr>
            <w:tcW w:w="702" w:type="dxa"/>
            <w:tcBorders>
              <w:top w:val="single" w:sz="12" w:space="0" w:color="auto"/>
            </w:tcBorders>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2014</w:t>
            </w:r>
          </w:p>
        </w:tc>
        <w:tc>
          <w:tcPr>
            <w:tcW w:w="1079" w:type="dxa"/>
            <w:tcBorders>
              <w:top w:val="single" w:sz="12" w:space="0" w:color="auto"/>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14 702</w:t>
            </w:r>
          </w:p>
        </w:tc>
        <w:tc>
          <w:tcPr>
            <w:tcW w:w="1080" w:type="dxa"/>
            <w:tcBorders>
              <w:top w:val="single" w:sz="12" w:space="0" w:color="auto"/>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149 474</w:t>
            </w:r>
          </w:p>
        </w:tc>
        <w:tc>
          <w:tcPr>
            <w:tcW w:w="1079" w:type="dxa"/>
            <w:tcBorders>
              <w:top w:val="single" w:sz="12" w:space="0" w:color="auto"/>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7 351</w:t>
            </w:r>
          </w:p>
        </w:tc>
        <w:tc>
          <w:tcPr>
            <w:tcW w:w="1080" w:type="dxa"/>
            <w:tcBorders>
              <w:top w:val="single" w:sz="12" w:space="0" w:color="auto"/>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tcBorders>
              <w:top w:val="single" w:sz="12" w:space="0" w:color="auto"/>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11 209</w:t>
            </w:r>
          </w:p>
        </w:tc>
        <w:tc>
          <w:tcPr>
            <w:tcW w:w="1079" w:type="dxa"/>
            <w:tcBorders>
              <w:top w:val="single" w:sz="12" w:space="0" w:color="auto"/>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56 305</w:t>
            </w:r>
          </w:p>
        </w:tc>
        <w:tc>
          <w:tcPr>
            <w:tcW w:w="1080" w:type="dxa"/>
            <w:tcBorders>
              <w:top w:val="single" w:sz="12" w:space="0" w:color="auto"/>
            </w:tcBorders>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11 209</w:t>
            </w:r>
          </w:p>
        </w:tc>
        <w:tc>
          <w:tcPr>
            <w:tcW w:w="1080" w:type="dxa"/>
            <w:tcBorders>
              <w:top w:val="single" w:sz="12" w:space="0" w:color="auto"/>
            </w:tcBorders>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2015</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14 849</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290 876</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7 424</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11 321</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99 647</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11 321</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2016</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14 997</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371 156</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14 997</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21 740</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289 384</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21 461</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2017</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15 147</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325 698</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14 997</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21 740</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462 059</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21 533</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2018</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15 299</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88 377</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14 997</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21 740</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100 523</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21 606</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2019</w:t>
            </w:r>
          </w:p>
        </w:tc>
        <w:tc>
          <w:tcPr>
            <w:tcW w:w="1079"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15 452</w:t>
            </w:r>
          </w:p>
        </w:tc>
        <w:tc>
          <w:tcPr>
            <w:tcW w:w="1080"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1 304</w:t>
            </w:r>
          </w:p>
        </w:tc>
        <w:tc>
          <w:tcPr>
            <w:tcW w:w="1079"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14 997</w:t>
            </w:r>
          </w:p>
        </w:tc>
        <w:tc>
          <w:tcPr>
            <w:tcW w:w="1080"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21 740</w:t>
            </w:r>
          </w:p>
        </w:tc>
        <w:tc>
          <w:tcPr>
            <w:tcW w:w="1079"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876</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21 679</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2020</w:t>
            </w:r>
          </w:p>
        </w:tc>
        <w:tc>
          <w:tcPr>
            <w:tcW w:w="1079"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15 606</w:t>
            </w:r>
          </w:p>
        </w:tc>
        <w:tc>
          <w:tcPr>
            <w:tcW w:w="1080"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177 833</w:t>
            </w:r>
          </w:p>
        </w:tc>
        <w:tc>
          <w:tcPr>
            <w:tcW w:w="1079"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14 997</w:t>
            </w:r>
          </w:p>
        </w:tc>
        <w:tc>
          <w:tcPr>
            <w:tcW w:w="1080"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21 740</w:t>
            </w:r>
          </w:p>
        </w:tc>
        <w:tc>
          <w:tcPr>
            <w:tcW w:w="1079"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168 575</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20 572</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2021</w:t>
            </w:r>
          </w:p>
        </w:tc>
        <w:tc>
          <w:tcPr>
            <w:tcW w:w="1079"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15 763</w:t>
            </w:r>
          </w:p>
        </w:tc>
        <w:tc>
          <w:tcPr>
            <w:tcW w:w="1080"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79"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15 072</w:t>
            </w:r>
          </w:p>
        </w:tc>
        <w:tc>
          <w:tcPr>
            <w:tcW w:w="1080"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21 848</w:t>
            </w:r>
          </w:p>
        </w:tc>
        <w:tc>
          <w:tcPr>
            <w:tcW w:w="1079"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2 541</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20 677</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2022</w:t>
            </w:r>
          </w:p>
        </w:tc>
        <w:tc>
          <w:tcPr>
            <w:tcW w:w="1079"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15 920</w:t>
            </w:r>
          </w:p>
        </w:tc>
        <w:tc>
          <w:tcPr>
            <w:tcW w:w="1080"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79"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15 148</w:t>
            </w:r>
          </w:p>
        </w:tc>
        <w:tc>
          <w:tcPr>
            <w:tcW w:w="1080"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21 958</w:t>
            </w:r>
          </w:p>
        </w:tc>
        <w:tc>
          <w:tcPr>
            <w:tcW w:w="1079"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31 125</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2023</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16 079</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15 224</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22 067</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24 291</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2024</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16 240</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15 300</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22 178</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24 364</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2025</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16 403</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15 376</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22 289</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24 451</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2026</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16 567</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15 453</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22 400</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24 539</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2027</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16 732</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15 530</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22 512</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24 696</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2028</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16 900</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15 608</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22 625</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24 785</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2029</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17 069</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5 894</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15 686</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22 738</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30 692</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24 909</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2030</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17 239</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82 877</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15 764</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22 851</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100 057</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25 033</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2031</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17 412</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41 356</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15 843</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22 966</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37 696</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25 159</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2032</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17 586</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4 136</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15 922</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23 081</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8 471</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25 284</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2033</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17 762</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10 044</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16 002</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40 469</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23 196</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45 845</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25 411</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33 985</w:t>
            </w: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2034</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17 939</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147 942</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16 162</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23 428</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25 538</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2035</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18 119</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16 324</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1 132</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23 662</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6 033</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25 665</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6 033</w:t>
            </w: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2036</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18 300</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16 487</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456 971</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23 899</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82 350</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25 922</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82 350</w:t>
            </w: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2037</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18 483</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16 652</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24 138</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8 471</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26 181</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82 891</w:t>
            </w: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2038</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18 668</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16 818</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24 379</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26 443</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2039</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18 854</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591</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16 987</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24 623</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26 708</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5 600</w:t>
            </w: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2040</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19 043</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9 416</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17 156</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24 869</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26 975</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456 888</w:t>
            </w: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2041</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19 233</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17 328</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25 118</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27 244</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2042</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19 426</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17 501</w:t>
            </w: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25 369</w:t>
            </w:r>
          </w:p>
        </w:tc>
        <w:tc>
          <w:tcPr>
            <w:tcW w:w="1079" w:type="dxa"/>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27 517</w:t>
            </w:r>
          </w:p>
        </w:tc>
        <w:tc>
          <w:tcPr>
            <w:tcW w:w="1080" w:type="dxa"/>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58 315</w:t>
            </w:r>
          </w:p>
        </w:tc>
      </w:tr>
      <w:tr w:rsidR="00EB65FD" w:rsidTr="00EB65FD">
        <w:trPr>
          <w:cantSplit/>
          <w:jc w:val="center"/>
        </w:trPr>
        <w:tc>
          <w:tcPr>
            <w:tcW w:w="702" w:type="dxa"/>
            <w:shd w:val="pct12" w:color="auto" w:fill="auto"/>
          </w:tcPr>
          <w:p w:rsidR="00EB65FD" w:rsidRPr="00D7005E" w:rsidRDefault="00EB65FD" w:rsidP="00EB65FD">
            <w:pPr>
              <w:spacing w:before="0" w:after="0"/>
              <w:rPr>
                <w:rFonts w:eastAsia="Arial Unicode MS" w:cs="Tahoma"/>
                <w:sz w:val="18"/>
                <w:szCs w:val="18"/>
              </w:rPr>
            </w:pPr>
            <w:r w:rsidRPr="00D7005E">
              <w:rPr>
                <w:rFonts w:eastAsia="Arial Unicode MS" w:cs="Tahoma"/>
                <w:sz w:val="18"/>
                <w:szCs w:val="18"/>
              </w:rPr>
              <w:t>2043</w:t>
            </w:r>
          </w:p>
        </w:tc>
        <w:tc>
          <w:tcPr>
            <w:tcW w:w="1079"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19 620</w:t>
            </w:r>
          </w:p>
        </w:tc>
        <w:tc>
          <w:tcPr>
            <w:tcW w:w="1080"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79"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17 676</w:t>
            </w:r>
          </w:p>
        </w:tc>
        <w:tc>
          <w:tcPr>
            <w:tcW w:w="1080"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25 623</w:t>
            </w:r>
          </w:p>
        </w:tc>
        <w:tc>
          <w:tcPr>
            <w:tcW w:w="1079" w:type="dxa"/>
            <w:tcBorders>
              <w:bottom w:val="single" w:sz="4" w:space="0" w:color="000000"/>
            </w:tcBorders>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c>
          <w:tcPr>
            <w:tcW w:w="1080" w:type="dxa"/>
            <w:tcBorders>
              <w:bottom w:val="single" w:sz="4" w:space="0" w:color="000000"/>
            </w:tcBorders>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r w:rsidRPr="00EB65FD">
              <w:rPr>
                <w:rFonts w:eastAsia="Arial Unicode MS" w:cs="Tahoma"/>
                <w:sz w:val="18"/>
                <w:szCs w:val="18"/>
              </w:rPr>
              <w:t>27 792</w:t>
            </w:r>
          </w:p>
        </w:tc>
        <w:tc>
          <w:tcPr>
            <w:tcW w:w="1080" w:type="dxa"/>
            <w:tcBorders>
              <w:bottom w:val="single" w:sz="4" w:space="0" w:color="000000"/>
            </w:tcBorders>
            <w:shd w:val="clear" w:color="auto" w:fill="auto"/>
            <w:vAlign w:val="center"/>
          </w:tcPr>
          <w:p w:rsidR="00EB65FD" w:rsidRPr="00EB65FD" w:rsidRDefault="00EB65FD" w:rsidP="00EB65FD">
            <w:pPr>
              <w:tabs>
                <w:tab w:val="left" w:pos="652"/>
              </w:tabs>
              <w:spacing w:before="0" w:after="0"/>
              <w:ind w:right="94"/>
              <w:jc w:val="right"/>
              <w:rPr>
                <w:rFonts w:eastAsia="Arial Unicode MS" w:cs="Tahoma"/>
                <w:sz w:val="18"/>
                <w:szCs w:val="18"/>
              </w:rPr>
            </w:pPr>
          </w:p>
        </w:tc>
      </w:tr>
    </w:tbl>
    <w:p w:rsidR="00396117" w:rsidRDefault="00225B27" w:rsidP="000D62F1">
      <w:pPr>
        <w:pStyle w:val="Nadpis3"/>
        <w:ind w:hanging="8234"/>
      </w:pPr>
      <w:r>
        <w:t>Příjmy z poplatku za DC</w:t>
      </w:r>
      <w:r w:rsidR="007738AB">
        <w:t xml:space="preserve"> a z prodeje kapacity DC</w:t>
      </w:r>
    </w:p>
    <w:p w:rsidR="00F30AD0" w:rsidRDefault="00F30AD0" w:rsidP="00F30AD0">
      <w:r>
        <w:t>Celková výše poplatku za dopravní cestu je přímo závislá na dopravním výkonu (počtu vlakových kilometrů a hrubých tunových kilometrů). Tato položka představuje příjem provozovatele dráhy.</w:t>
      </w:r>
    </w:p>
    <w:p w:rsidR="00F30AD0" w:rsidRDefault="00F30AD0" w:rsidP="00F30AD0">
      <w:r>
        <w:t xml:space="preserve">Výpočet příjmů z poplatku je v souladu s národní metodikou proveden dle materiálu SŽDC </w:t>
      </w:r>
      <w:r w:rsidR="000040D9" w:rsidRPr="000040D9">
        <w:t>„Ceny za použití železniční dopravní  cesty ve vlastnictví české republiky a podmínky jejich uplatnění od 1.1.2012 do 31.12.2012“ a „Oznámení SŽDC o způsobu stanovení ceny za použití železniční dopravní cesty od 9.12.2012“</w:t>
      </w:r>
      <w:r w:rsidR="000040D9">
        <w:t xml:space="preserve"> uveřejněného na </w:t>
      </w:r>
      <w:r w:rsidR="000040D9" w:rsidRPr="000040D9">
        <w:t>http://provoz.szdc.cz/.</w:t>
      </w:r>
    </w:p>
    <w:p w:rsidR="007738AB" w:rsidRDefault="00F30AD0" w:rsidP="00F30AD0">
      <w:r w:rsidRPr="00E8514F">
        <w:rPr>
          <w:u w:val="single"/>
        </w:rPr>
        <w:t>P</w:t>
      </w:r>
      <w:r w:rsidRPr="00E8514F">
        <w:rPr>
          <w:rFonts w:hint="eastAsia"/>
          <w:u w:val="single"/>
        </w:rPr>
        <w:t>ří</w:t>
      </w:r>
      <w:r w:rsidRPr="00E8514F">
        <w:rPr>
          <w:u w:val="single"/>
        </w:rPr>
        <w:t>jem z poplatku za použití dopravní cesty v</w:t>
      </w:r>
      <w:r w:rsidRPr="00E8514F">
        <w:rPr>
          <w:rFonts w:hint="eastAsia"/>
          <w:u w:val="single"/>
        </w:rPr>
        <w:t>č</w:t>
      </w:r>
      <w:r w:rsidRPr="00E8514F">
        <w:rPr>
          <w:u w:val="single"/>
        </w:rPr>
        <w:t>etn</w:t>
      </w:r>
      <w:r w:rsidRPr="00E8514F">
        <w:rPr>
          <w:rFonts w:hint="eastAsia"/>
          <w:u w:val="single"/>
        </w:rPr>
        <w:t>ě</w:t>
      </w:r>
      <w:r w:rsidRPr="00E8514F">
        <w:rPr>
          <w:u w:val="single"/>
        </w:rPr>
        <w:t xml:space="preserve"> p</w:t>
      </w:r>
      <w:r w:rsidRPr="00E8514F">
        <w:rPr>
          <w:rFonts w:hint="eastAsia"/>
          <w:u w:val="single"/>
        </w:rPr>
        <w:t>ří</w:t>
      </w:r>
      <w:r w:rsidRPr="00E8514F">
        <w:rPr>
          <w:u w:val="single"/>
        </w:rPr>
        <w:t>jm</w:t>
      </w:r>
      <w:r w:rsidRPr="00E8514F">
        <w:rPr>
          <w:rFonts w:hint="eastAsia"/>
          <w:u w:val="single"/>
        </w:rPr>
        <w:t>ů</w:t>
      </w:r>
      <w:r w:rsidRPr="00E8514F">
        <w:rPr>
          <w:u w:val="single"/>
        </w:rPr>
        <w:t xml:space="preserve"> z prodeje kapacity železni</w:t>
      </w:r>
      <w:r w:rsidRPr="00E8514F">
        <w:rPr>
          <w:rFonts w:hint="eastAsia"/>
          <w:u w:val="single"/>
        </w:rPr>
        <w:t>č</w:t>
      </w:r>
      <w:r w:rsidRPr="00E8514F">
        <w:rPr>
          <w:u w:val="single"/>
        </w:rPr>
        <w:t>ní dopravní cesty</w:t>
      </w:r>
      <w:r>
        <w:t xml:space="preserve"> (zahrnuty dle materiálu „Aktualizace metodiky pro výpočet efektivnosti investic na SŽDC,s.o.“, 2009 ve výši </w:t>
      </w:r>
      <w:r w:rsidR="000040D9">
        <w:t>125</w:t>
      </w:r>
      <w:r>
        <w:t>,</w:t>
      </w:r>
      <w:r w:rsidR="000040D9">
        <w:t xml:space="preserve">46 </w:t>
      </w:r>
      <w:r>
        <w:t xml:space="preserve">Kč/1000 vlkm v CÚ </w:t>
      </w:r>
      <w:r w:rsidR="000040D9">
        <w:t>2013</w:t>
      </w:r>
      <w:r>
        <w:t xml:space="preserve">) je zobrazen v následující tabulce. Ve variantě Minimální dojde vzhledem k zachování stejného předpokládaného počtu vlaků a zároveň změně skladby vozového parku ve stavu projektovém oproti stavu bez projektu během hodnotícího období k poklesu příjmu z poplatku za DC. </w:t>
      </w:r>
      <w:r w:rsidRPr="005E46F3">
        <w:t>V</w:t>
      </w:r>
      <w:r w:rsidR="009E270E" w:rsidRPr="005E46F3">
        <w:t xml:space="preserve"> Etapě</w:t>
      </w:r>
      <w:r w:rsidRPr="005E46F3">
        <w:t xml:space="preserve">  dojde </w:t>
      </w:r>
      <w:r w:rsidR="00CF585B" w:rsidRPr="005E46F3">
        <w:t>i p</w:t>
      </w:r>
      <w:r w:rsidR="00CF585B" w:rsidRPr="005E46F3">
        <w:rPr>
          <w:rFonts w:hint="eastAsia"/>
        </w:rPr>
        <w:t>ř</w:t>
      </w:r>
      <w:r w:rsidR="00CF585B" w:rsidRPr="005E46F3">
        <w:t>es vyšší po</w:t>
      </w:r>
      <w:r w:rsidR="00CF585B" w:rsidRPr="005E46F3">
        <w:rPr>
          <w:rFonts w:hint="eastAsia"/>
        </w:rPr>
        <w:t>č</w:t>
      </w:r>
      <w:r w:rsidR="00CF585B" w:rsidRPr="005E46F3">
        <w:t>et vlak</w:t>
      </w:r>
      <w:r w:rsidR="00CF585B" w:rsidRPr="005E46F3">
        <w:rPr>
          <w:rFonts w:hint="eastAsia"/>
        </w:rPr>
        <w:t>ů</w:t>
      </w:r>
      <w:r w:rsidR="00CF585B" w:rsidRPr="005E46F3">
        <w:t xml:space="preserve"> oproti variant</w:t>
      </w:r>
      <w:r w:rsidR="00CF585B" w:rsidRPr="005E46F3">
        <w:rPr>
          <w:rFonts w:hint="eastAsia"/>
        </w:rPr>
        <w:t>ě</w:t>
      </w:r>
      <w:r w:rsidR="00CF585B" w:rsidRPr="005E46F3">
        <w:t xml:space="preserve"> Minimální rovn</w:t>
      </w:r>
      <w:r w:rsidR="00CF585B" w:rsidRPr="005E46F3">
        <w:rPr>
          <w:rFonts w:hint="eastAsia"/>
        </w:rPr>
        <w:t>ěž</w:t>
      </w:r>
      <w:r w:rsidR="00CF585B" w:rsidRPr="005E46F3">
        <w:t xml:space="preserve"> </w:t>
      </w:r>
      <w:r w:rsidRPr="005E46F3">
        <w:t>k </w:t>
      </w:r>
      <w:r w:rsidR="00CF585B" w:rsidRPr="005E46F3">
        <w:t>poklesu</w:t>
      </w:r>
      <w:r w:rsidRPr="005E46F3">
        <w:t xml:space="preserve"> </w:t>
      </w:r>
      <w:r w:rsidR="007A6A2C" w:rsidRPr="005E46F3">
        <w:t>p</w:t>
      </w:r>
      <w:r w:rsidR="007A6A2C" w:rsidRPr="005E46F3">
        <w:rPr>
          <w:rFonts w:hint="eastAsia"/>
        </w:rPr>
        <w:t>ří</w:t>
      </w:r>
      <w:r w:rsidR="007A6A2C" w:rsidRPr="005E46F3">
        <w:t>jmu</w:t>
      </w:r>
      <w:r w:rsidR="00B27E5B" w:rsidRPr="005E46F3">
        <w:t xml:space="preserve"> po dokon</w:t>
      </w:r>
      <w:r w:rsidR="00B27E5B" w:rsidRPr="005E46F3">
        <w:rPr>
          <w:rFonts w:hint="eastAsia"/>
        </w:rPr>
        <w:t>č</w:t>
      </w:r>
      <w:r w:rsidR="00B27E5B" w:rsidRPr="005E46F3">
        <w:t xml:space="preserve">ení všech </w:t>
      </w:r>
      <w:r w:rsidR="00B27E5B" w:rsidRPr="005E46F3">
        <w:rPr>
          <w:rFonts w:hint="eastAsia"/>
        </w:rPr>
        <w:t>ř</w:t>
      </w:r>
      <w:r w:rsidR="00B27E5B" w:rsidRPr="005E46F3">
        <w:t>ešených úsek</w:t>
      </w:r>
      <w:r w:rsidR="00B27E5B" w:rsidRPr="005E46F3">
        <w:rPr>
          <w:rFonts w:hint="eastAsia"/>
        </w:rPr>
        <w:t>ů</w:t>
      </w:r>
      <w:r w:rsidRPr="005E46F3">
        <w:t>.</w:t>
      </w:r>
    </w:p>
    <w:tbl>
      <w:tblPr>
        <w:tblW w:w="9357" w:type="dxa"/>
        <w:jc w:val="center"/>
        <w:tblInd w:w="-5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0"/>
        <w:gridCol w:w="1984"/>
        <w:gridCol w:w="1984"/>
        <w:gridCol w:w="1984"/>
        <w:gridCol w:w="1985"/>
      </w:tblGrid>
      <w:tr w:rsidR="00B759FE" w:rsidTr="000A7F57">
        <w:trPr>
          <w:jc w:val="center"/>
        </w:trPr>
        <w:tc>
          <w:tcPr>
            <w:tcW w:w="9357" w:type="dxa"/>
            <w:gridSpan w:val="5"/>
            <w:tcBorders>
              <w:bottom w:val="single" w:sz="4" w:space="0" w:color="000000"/>
            </w:tcBorders>
          </w:tcPr>
          <w:p w:rsidR="006819BA" w:rsidRDefault="00B759FE" w:rsidP="000A7F57">
            <w:pPr>
              <w:pStyle w:val="Titulek"/>
              <w:rPr>
                <w:rFonts w:eastAsia="Arial Unicode MS"/>
                <w:color w:val="FF0000"/>
              </w:rPr>
            </w:pPr>
            <w:bookmarkStart w:id="301" w:name="_Toc316377678"/>
            <w:bookmarkStart w:id="302" w:name="_Toc390958783"/>
            <w:bookmarkStart w:id="303" w:name="_Toc391034587"/>
            <w:r w:rsidRPr="00B759FE">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7</w:t>
            </w:r>
            <w:r w:rsidR="000E79AE">
              <w:fldChar w:fldCharType="end"/>
            </w:r>
            <w:r w:rsidRPr="00B759FE">
              <w:t xml:space="preserve">: Příjmy z poplatku za použití </w:t>
            </w:r>
            <w:r w:rsidR="000040D9">
              <w:t>DC</w:t>
            </w:r>
            <w:r w:rsidRPr="00B759FE">
              <w:t xml:space="preserve"> a prodeje kapacity, v tis. Kč (CÚ </w:t>
            </w:r>
            <w:r w:rsidR="000040D9" w:rsidRPr="00B759FE">
              <w:t>201</w:t>
            </w:r>
            <w:r w:rsidR="000040D9">
              <w:t>3</w:t>
            </w:r>
            <w:r w:rsidRPr="00B759FE">
              <w:t>)</w:t>
            </w:r>
            <w:bookmarkEnd w:id="301"/>
            <w:bookmarkEnd w:id="302"/>
            <w:bookmarkEnd w:id="303"/>
          </w:p>
        </w:tc>
      </w:tr>
      <w:tr w:rsidR="000A7F57" w:rsidTr="000A7F57">
        <w:trPr>
          <w:jc w:val="center"/>
        </w:trPr>
        <w:tc>
          <w:tcPr>
            <w:tcW w:w="1420" w:type="dxa"/>
            <w:tcBorders>
              <w:bottom w:val="single" w:sz="12" w:space="0" w:color="auto"/>
            </w:tcBorders>
            <w:shd w:val="pct12" w:color="auto" w:fill="auto"/>
          </w:tcPr>
          <w:p w:rsidR="000A7F57" w:rsidRPr="000A7F57" w:rsidRDefault="000A7F57" w:rsidP="000A7F57">
            <w:pPr>
              <w:spacing w:before="0" w:after="0"/>
              <w:rPr>
                <w:rFonts w:eastAsia="Arial Unicode MS"/>
                <w:b/>
                <w:sz w:val="18"/>
              </w:rPr>
            </w:pPr>
            <w:r w:rsidRPr="000A7F57">
              <w:rPr>
                <w:rFonts w:eastAsia="Arial Unicode MS"/>
                <w:b/>
                <w:sz w:val="18"/>
              </w:rPr>
              <w:t>rok</w:t>
            </w:r>
          </w:p>
        </w:tc>
        <w:tc>
          <w:tcPr>
            <w:tcW w:w="1984" w:type="dxa"/>
            <w:tcBorders>
              <w:bottom w:val="single" w:sz="12" w:space="0" w:color="auto"/>
            </w:tcBorders>
            <w:shd w:val="pct12" w:color="auto" w:fill="auto"/>
            <w:vAlign w:val="center"/>
          </w:tcPr>
          <w:p w:rsidR="000A7F57" w:rsidRPr="000A7F57" w:rsidRDefault="000A7F57" w:rsidP="000A7F57">
            <w:pPr>
              <w:spacing w:before="0" w:after="0"/>
              <w:jc w:val="center"/>
              <w:rPr>
                <w:rFonts w:eastAsia="Arial Unicode MS"/>
                <w:b/>
                <w:sz w:val="18"/>
              </w:rPr>
            </w:pPr>
            <w:r w:rsidRPr="000A7F57">
              <w:rPr>
                <w:rFonts w:eastAsia="Arial Unicode MS"/>
                <w:b/>
                <w:sz w:val="18"/>
              </w:rPr>
              <w:t>bez projektu</w:t>
            </w:r>
          </w:p>
        </w:tc>
        <w:tc>
          <w:tcPr>
            <w:tcW w:w="1984" w:type="dxa"/>
            <w:tcBorders>
              <w:bottom w:val="single" w:sz="12" w:space="0" w:color="auto"/>
            </w:tcBorders>
            <w:shd w:val="pct12" w:color="auto" w:fill="auto"/>
            <w:vAlign w:val="center"/>
          </w:tcPr>
          <w:p w:rsidR="000A7F57" w:rsidRPr="000A7F57" w:rsidRDefault="000A7F57" w:rsidP="000A7F57">
            <w:pPr>
              <w:spacing w:before="0" w:after="0"/>
              <w:jc w:val="center"/>
              <w:rPr>
                <w:rFonts w:eastAsia="Arial Unicode MS"/>
                <w:b/>
                <w:sz w:val="18"/>
              </w:rPr>
            </w:pPr>
            <w:r w:rsidRPr="000A7F57">
              <w:rPr>
                <w:rFonts w:eastAsia="Arial Unicode MS"/>
                <w:b/>
                <w:sz w:val="18"/>
              </w:rPr>
              <w:t>varianta Minimální</w:t>
            </w:r>
          </w:p>
        </w:tc>
        <w:tc>
          <w:tcPr>
            <w:tcW w:w="1984" w:type="dxa"/>
            <w:tcBorders>
              <w:bottom w:val="single" w:sz="12" w:space="0" w:color="auto"/>
            </w:tcBorders>
            <w:shd w:val="pct12" w:color="auto" w:fill="auto"/>
            <w:vAlign w:val="center"/>
          </w:tcPr>
          <w:p w:rsidR="000A7F57" w:rsidRPr="000A7F57" w:rsidRDefault="000A7F57" w:rsidP="000A7F57">
            <w:pPr>
              <w:spacing w:before="0" w:after="0"/>
              <w:jc w:val="center"/>
              <w:rPr>
                <w:rFonts w:eastAsia="Arial Unicode MS"/>
                <w:b/>
                <w:sz w:val="18"/>
              </w:rPr>
            </w:pPr>
            <w:r w:rsidRPr="000A7F57">
              <w:rPr>
                <w:rFonts w:eastAsia="Arial Unicode MS"/>
                <w:b/>
                <w:sz w:val="18"/>
              </w:rPr>
              <w:t>Etapa</w:t>
            </w:r>
          </w:p>
        </w:tc>
        <w:tc>
          <w:tcPr>
            <w:tcW w:w="1985" w:type="dxa"/>
            <w:tcBorders>
              <w:bottom w:val="single" w:sz="12" w:space="0" w:color="auto"/>
            </w:tcBorders>
            <w:shd w:val="pct12" w:color="auto" w:fill="auto"/>
            <w:vAlign w:val="center"/>
          </w:tcPr>
          <w:p w:rsidR="000A7F57" w:rsidRPr="000A7F57" w:rsidRDefault="000A7F57" w:rsidP="000A7F57">
            <w:pPr>
              <w:spacing w:before="0" w:after="0"/>
              <w:jc w:val="center"/>
              <w:rPr>
                <w:rFonts w:eastAsia="Arial Unicode MS"/>
                <w:b/>
                <w:sz w:val="18"/>
              </w:rPr>
            </w:pPr>
            <w:r w:rsidRPr="000A7F57">
              <w:rPr>
                <w:rFonts w:eastAsia="Arial Unicode MS"/>
                <w:b/>
                <w:sz w:val="18"/>
              </w:rPr>
              <w:t>varianta Maximální</w:t>
            </w:r>
          </w:p>
        </w:tc>
      </w:tr>
      <w:tr w:rsidR="000A7F57" w:rsidTr="000A7F57">
        <w:trPr>
          <w:jc w:val="center"/>
        </w:trPr>
        <w:tc>
          <w:tcPr>
            <w:tcW w:w="1420" w:type="dxa"/>
            <w:tcBorders>
              <w:top w:val="single" w:sz="12" w:space="0" w:color="auto"/>
            </w:tcBorders>
            <w:shd w:val="pct12" w:color="auto" w:fill="auto"/>
          </w:tcPr>
          <w:p w:rsidR="000A7F57" w:rsidRPr="000A7F57" w:rsidRDefault="000A7F57" w:rsidP="000A7F57">
            <w:pPr>
              <w:spacing w:before="0" w:after="0"/>
              <w:rPr>
                <w:rFonts w:eastAsia="Arial Unicode MS"/>
                <w:sz w:val="18"/>
              </w:rPr>
            </w:pPr>
            <w:r w:rsidRPr="000A7F57">
              <w:rPr>
                <w:rFonts w:eastAsia="Arial Unicode MS"/>
                <w:sz w:val="18"/>
              </w:rPr>
              <w:t>2016 - 2019</w:t>
            </w:r>
          </w:p>
        </w:tc>
        <w:tc>
          <w:tcPr>
            <w:tcW w:w="1984" w:type="dxa"/>
            <w:tcBorders>
              <w:top w:val="single" w:sz="12" w:space="0" w:color="auto"/>
            </w:tcBorders>
            <w:vAlign w:val="center"/>
          </w:tcPr>
          <w:p w:rsidR="000A7F57" w:rsidRPr="000A7F57" w:rsidRDefault="000A7F57" w:rsidP="000A7F57">
            <w:pPr>
              <w:spacing w:before="0" w:after="0"/>
              <w:jc w:val="center"/>
              <w:rPr>
                <w:rFonts w:eastAsia="Arial Unicode MS"/>
                <w:sz w:val="18"/>
              </w:rPr>
            </w:pPr>
            <w:r w:rsidRPr="000A7F57">
              <w:rPr>
                <w:rFonts w:eastAsia="Arial Unicode MS"/>
                <w:sz w:val="18"/>
              </w:rPr>
              <w:t>11 792</w:t>
            </w:r>
          </w:p>
        </w:tc>
        <w:tc>
          <w:tcPr>
            <w:tcW w:w="1984" w:type="dxa"/>
            <w:tcBorders>
              <w:top w:val="single" w:sz="12" w:space="0" w:color="auto"/>
            </w:tcBorders>
            <w:vAlign w:val="center"/>
          </w:tcPr>
          <w:p w:rsidR="000A7F57" w:rsidRPr="000A7F57" w:rsidRDefault="000A7F57" w:rsidP="000A7F57">
            <w:pPr>
              <w:spacing w:before="0" w:after="0"/>
              <w:jc w:val="center"/>
              <w:rPr>
                <w:rFonts w:eastAsia="Arial Unicode MS"/>
                <w:sz w:val="18"/>
              </w:rPr>
            </w:pPr>
            <w:r w:rsidRPr="000A7F57">
              <w:rPr>
                <w:rFonts w:eastAsia="Arial Unicode MS"/>
                <w:sz w:val="18"/>
              </w:rPr>
              <w:t>7 354</w:t>
            </w:r>
          </w:p>
        </w:tc>
        <w:tc>
          <w:tcPr>
            <w:tcW w:w="1984" w:type="dxa"/>
            <w:tcBorders>
              <w:top w:val="single" w:sz="12" w:space="0" w:color="auto"/>
            </w:tcBorders>
            <w:vAlign w:val="center"/>
          </w:tcPr>
          <w:p w:rsidR="000A7F57" w:rsidRPr="000A7F57" w:rsidRDefault="000A7F57" w:rsidP="000A7F57">
            <w:pPr>
              <w:spacing w:before="0" w:after="0"/>
              <w:jc w:val="center"/>
              <w:rPr>
                <w:rFonts w:eastAsia="Arial Unicode MS"/>
                <w:sz w:val="18"/>
              </w:rPr>
            </w:pPr>
            <w:r w:rsidRPr="000A7F57">
              <w:rPr>
                <w:rFonts w:eastAsia="Arial Unicode MS"/>
                <w:sz w:val="18"/>
              </w:rPr>
              <w:t>8 897</w:t>
            </w:r>
          </w:p>
        </w:tc>
        <w:tc>
          <w:tcPr>
            <w:tcW w:w="1985" w:type="dxa"/>
            <w:tcBorders>
              <w:top w:val="single" w:sz="12" w:space="0" w:color="auto"/>
            </w:tcBorders>
            <w:vAlign w:val="center"/>
          </w:tcPr>
          <w:p w:rsidR="000A7F57" w:rsidRPr="000A7F57" w:rsidRDefault="000A7F57" w:rsidP="000A7F57">
            <w:pPr>
              <w:spacing w:before="0" w:after="0"/>
              <w:jc w:val="center"/>
              <w:rPr>
                <w:rFonts w:eastAsia="Arial Unicode MS"/>
                <w:sz w:val="18"/>
              </w:rPr>
            </w:pPr>
            <w:r w:rsidRPr="000A7F57">
              <w:rPr>
                <w:rFonts w:eastAsia="Arial Unicode MS"/>
                <w:sz w:val="18"/>
              </w:rPr>
              <w:t>8 897</w:t>
            </w:r>
          </w:p>
        </w:tc>
      </w:tr>
      <w:tr w:rsidR="000A7F57" w:rsidTr="000A7F57">
        <w:trPr>
          <w:jc w:val="center"/>
        </w:trPr>
        <w:tc>
          <w:tcPr>
            <w:tcW w:w="1420" w:type="dxa"/>
            <w:shd w:val="pct12" w:color="auto" w:fill="auto"/>
          </w:tcPr>
          <w:p w:rsidR="000A7F57" w:rsidRPr="000A7F57" w:rsidRDefault="000A7F57" w:rsidP="000A7F57">
            <w:pPr>
              <w:spacing w:before="0" w:after="0"/>
              <w:rPr>
                <w:rFonts w:eastAsia="Arial Unicode MS"/>
                <w:sz w:val="18"/>
              </w:rPr>
            </w:pPr>
            <w:r w:rsidRPr="000A7F57">
              <w:rPr>
                <w:rFonts w:eastAsia="Arial Unicode MS"/>
                <w:sz w:val="18"/>
              </w:rPr>
              <w:t>2020 - 2021</w:t>
            </w:r>
          </w:p>
        </w:tc>
        <w:tc>
          <w:tcPr>
            <w:tcW w:w="1984" w:type="dxa"/>
            <w:vAlign w:val="center"/>
          </w:tcPr>
          <w:p w:rsidR="000A7F57" w:rsidRPr="000A7F57" w:rsidDel="000040D9" w:rsidRDefault="000A7F57" w:rsidP="000A7F57">
            <w:pPr>
              <w:spacing w:before="0" w:after="0"/>
              <w:jc w:val="center"/>
              <w:rPr>
                <w:rFonts w:eastAsia="Arial Unicode MS"/>
                <w:sz w:val="18"/>
              </w:rPr>
            </w:pPr>
            <w:r w:rsidRPr="000A7F57">
              <w:rPr>
                <w:rFonts w:eastAsia="Arial Unicode MS"/>
                <w:sz w:val="18"/>
              </w:rPr>
              <w:t>11 792</w:t>
            </w:r>
          </w:p>
        </w:tc>
        <w:tc>
          <w:tcPr>
            <w:tcW w:w="1984" w:type="dxa"/>
            <w:vAlign w:val="center"/>
          </w:tcPr>
          <w:p w:rsidR="000A7F57" w:rsidRPr="000A7F57" w:rsidDel="000040D9" w:rsidRDefault="000A7F57" w:rsidP="000A7F57">
            <w:pPr>
              <w:spacing w:before="0" w:after="0"/>
              <w:jc w:val="center"/>
              <w:rPr>
                <w:rFonts w:eastAsia="Arial Unicode MS"/>
                <w:sz w:val="18"/>
              </w:rPr>
            </w:pPr>
            <w:r w:rsidRPr="000A7F57">
              <w:rPr>
                <w:rFonts w:eastAsia="Arial Unicode MS"/>
                <w:sz w:val="18"/>
              </w:rPr>
              <w:t>7 354</w:t>
            </w:r>
          </w:p>
        </w:tc>
        <w:tc>
          <w:tcPr>
            <w:tcW w:w="1984" w:type="dxa"/>
            <w:vAlign w:val="center"/>
          </w:tcPr>
          <w:p w:rsidR="000A7F57" w:rsidRPr="000A7F57" w:rsidRDefault="000A7F57" w:rsidP="000A7F57">
            <w:pPr>
              <w:spacing w:before="0" w:after="0"/>
              <w:jc w:val="center"/>
              <w:rPr>
                <w:rFonts w:eastAsia="Arial Unicode MS"/>
                <w:sz w:val="18"/>
              </w:rPr>
            </w:pPr>
            <w:r w:rsidRPr="000A7F57">
              <w:rPr>
                <w:rFonts w:eastAsia="Arial Unicode MS"/>
                <w:sz w:val="18"/>
              </w:rPr>
              <w:t>8 897</w:t>
            </w:r>
          </w:p>
        </w:tc>
        <w:tc>
          <w:tcPr>
            <w:tcW w:w="1985" w:type="dxa"/>
            <w:vAlign w:val="center"/>
          </w:tcPr>
          <w:p w:rsidR="000A7F57" w:rsidRPr="000A7F57" w:rsidRDefault="000A7F57" w:rsidP="000A7F57">
            <w:pPr>
              <w:spacing w:before="0" w:after="0"/>
              <w:jc w:val="center"/>
              <w:rPr>
                <w:rFonts w:eastAsia="Arial Unicode MS"/>
                <w:sz w:val="18"/>
              </w:rPr>
            </w:pPr>
            <w:r w:rsidRPr="000A7F57">
              <w:rPr>
                <w:rFonts w:eastAsia="Arial Unicode MS"/>
                <w:sz w:val="18"/>
              </w:rPr>
              <w:t>10 352</w:t>
            </w:r>
          </w:p>
        </w:tc>
      </w:tr>
      <w:tr w:rsidR="000A7F57" w:rsidTr="000A7F57">
        <w:trPr>
          <w:jc w:val="center"/>
        </w:trPr>
        <w:tc>
          <w:tcPr>
            <w:tcW w:w="1420" w:type="dxa"/>
            <w:shd w:val="pct12" w:color="auto" w:fill="auto"/>
          </w:tcPr>
          <w:p w:rsidR="000A7F57" w:rsidRPr="000A7F57" w:rsidRDefault="000A7F57" w:rsidP="000A7F57">
            <w:pPr>
              <w:spacing w:before="0" w:after="0"/>
              <w:rPr>
                <w:rFonts w:eastAsia="Arial Unicode MS"/>
                <w:sz w:val="18"/>
              </w:rPr>
            </w:pPr>
            <w:r w:rsidRPr="000A7F57">
              <w:rPr>
                <w:rFonts w:eastAsia="Arial Unicode MS"/>
                <w:sz w:val="18"/>
              </w:rPr>
              <w:t>2022 - 2043</w:t>
            </w:r>
          </w:p>
        </w:tc>
        <w:tc>
          <w:tcPr>
            <w:tcW w:w="1984" w:type="dxa"/>
            <w:vAlign w:val="center"/>
          </w:tcPr>
          <w:p w:rsidR="000A7F57" w:rsidRPr="000A7F57" w:rsidDel="000040D9" w:rsidRDefault="000A7F57" w:rsidP="000A7F57">
            <w:pPr>
              <w:spacing w:before="0" w:after="0"/>
              <w:jc w:val="center"/>
              <w:rPr>
                <w:rFonts w:eastAsia="Arial Unicode MS"/>
                <w:sz w:val="18"/>
              </w:rPr>
            </w:pPr>
            <w:r w:rsidRPr="000A7F57">
              <w:rPr>
                <w:rFonts w:eastAsia="Arial Unicode MS"/>
                <w:sz w:val="18"/>
              </w:rPr>
              <w:t>11 792</w:t>
            </w:r>
          </w:p>
        </w:tc>
        <w:tc>
          <w:tcPr>
            <w:tcW w:w="1984" w:type="dxa"/>
            <w:vAlign w:val="center"/>
          </w:tcPr>
          <w:p w:rsidR="000A7F57" w:rsidRPr="000A7F57" w:rsidDel="000040D9" w:rsidRDefault="000A7F57" w:rsidP="000A7F57">
            <w:pPr>
              <w:spacing w:before="0" w:after="0"/>
              <w:jc w:val="center"/>
              <w:rPr>
                <w:rFonts w:eastAsia="Arial Unicode MS"/>
                <w:sz w:val="18"/>
              </w:rPr>
            </w:pPr>
            <w:r w:rsidRPr="000A7F57">
              <w:rPr>
                <w:rFonts w:eastAsia="Arial Unicode MS"/>
                <w:sz w:val="18"/>
              </w:rPr>
              <w:t>7 354</w:t>
            </w:r>
          </w:p>
        </w:tc>
        <w:tc>
          <w:tcPr>
            <w:tcW w:w="1984" w:type="dxa"/>
            <w:vAlign w:val="center"/>
          </w:tcPr>
          <w:p w:rsidR="000A7F57" w:rsidRPr="000A7F57" w:rsidRDefault="000A7F57" w:rsidP="000A7F57">
            <w:pPr>
              <w:spacing w:before="0" w:after="0"/>
              <w:jc w:val="center"/>
              <w:rPr>
                <w:rFonts w:eastAsia="Arial Unicode MS"/>
                <w:sz w:val="18"/>
              </w:rPr>
            </w:pPr>
            <w:r w:rsidRPr="000A7F57">
              <w:rPr>
                <w:rFonts w:eastAsia="Arial Unicode MS"/>
                <w:sz w:val="18"/>
              </w:rPr>
              <w:t>8 897</w:t>
            </w:r>
          </w:p>
        </w:tc>
        <w:tc>
          <w:tcPr>
            <w:tcW w:w="1985" w:type="dxa"/>
            <w:vAlign w:val="center"/>
          </w:tcPr>
          <w:p w:rsidR="000A7F57" w:rsidRPr="000A7F57" w:rsidRDefault="000A7F57" w:rsidP="000A7F57">
            <w:pPr>
              <w:spacing w:before="0" w:after="0"/>
              <w:jc w:val="center"/>
              <w:rPr>
                <w:rFonts w:eastAsia="Arial Unicode MS"/>
                <w:sz w:val="18"/>
              </w:rPr>
            </w:pPr>
            <w:r w:rsidRPr="000A7F57">
              <w:rPr>
                <w:rFonts w:eastAsia="Arial Unicode MS"/>
                <w:sz w:val="18"/>
              </w:rPr>
              <w:t>12 169</w:t>
            </w:r>
          </w:p>
        </w:tc>
      </w:tr>
    </w:tbl>
    <w:p w:rsidR="007A6A2C" w:rsidRDefault="007A6A2C" w:rsidP="00377828">
      <w:pPr>
        <w:pStyle w:val="Nadpis3"/>
        <w:ind w:left="709" w:hanging="709"/>
      </w:pPr>
      <w:r>
        <w:t>Dodatečné příjmy</w:t>
      </w:r>
    </w:p>
    <w:p w:rsidR="007A6A2C" w:rsidRDefault="007A6A2C" w:rsidP="007A6A2C">
      <w:r>
        <w:t>Jedná se o dodatečné příjmy z hospodaření s vyzískaným materiálem. Příjmy z prodeje nebo pronájmu zboží, pozemků a budov a z poplatků za služby nejsou v hodnocení uvažovány, protože nejsou pro tuto trať relevantní.</w:t>
      </w:r>
      <w:r w:rsidR="00B27E5B">
        <w:t xml:space="preserve"> </w:t>
      </w:r>
      <w:r>
        <w:t xml:space="preserve">Příjmy z hospodaření s vyzískaným materiálem jsou pro účely ekonomického hodnocení stanoveny podílem na investičních nákladech, v souladu s materiálem „Aktualizace metodiky pro výpočet efektivnosti investic na SŽDC“, MD 2009. Budou realizovány a do výpočtu jsou zahrnuty v letech 2014 – 2015 (varianta Minimální </w:t>
      </w:r>
      <w:r w:rsidRPr="005E46F3">
        <w:t xml:space="preserve">a </w:t>
      </w:r>
      <w:r w:rsidR="009E270E">
        <w:t>Etapa</w:t>
      </w:r>
      <w:r>
        <w:t>), resp. 2014 – 2021 (varianta Maximální). Jejich přehled je v následující tabulce.</w:t>
      </w:r>
    </w:p>
    <w:tbl>
      <w:tblPr>
        <w:tblW w:w="9341" w:type="dxa"/>
        <w:jc w:val="center"/>
        <w:tblInd w:w="-2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8"/>
        <w:gridCol w:w="2737"/>
        <w:gridCol w:w="2738"/>
        <w:gridCol w:w="2738"/>
      </w:tblGrid>
      <w:tr w:rsidR="007A6A2C" w:rsidTr="000A7F57">
        <w:trPr>
          <w:jc w:val="center"/>
        </w:trPr>
        <w:tc>
          <w:tcPr>
            <w:tcW w:w="9341" w:type="dxa"/>
            <w:gridSpan w:val="4"/>
            <w:tcBorders>
              <w:bottom w:val="single" w:sz="4" w:space="0" w:color="000000"/>
            </w:tcBorders>
          </w:tcPr>
          <w:p w:rsidR="006819BA" w:rsidRDefault="007A6A2C" w:rsidP="000A7F57">
            <w:pPr>
              <w:pStyle w:val="Titulek"/>
              <w:rPr>
                <w:rFonts w:eastAsia="Arial Unicode MS"/>
                <w:color w:val="FF0000"/>
              </w:rPr>
            </w:pPr>
            <w:bookmarkStart w:id="304" w:name="_Toc316377679"/>
            <w:bookmarkStart w:id="305" w:name="_Toc390958784"/>
            <w:bookmarkStart w:id="306" w:name="_Toc391034588"/>
            <w:r w:rsidRPr="007A6A2C">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8</w:t>
            </w:r>
            <w:r w:rsidR="000E79AE">
              <w:fldChar w:fldCharType="end"/>
            </w:r>
            <w:r w:rsidRPr="007A6A2C">
              <w:t xml:space="preserve">: Dodatečné příjmy, v tis. Kč (CÚ </w:t>
            </w:r>
            <w:r w:rsidR="000040D9" w:rsidRPr="007A6A2C">
              <w:t>201</w:t>
            </w:r>
            <w:r w:rsidR="000040D9">
              <w:t>3</w:t>
            </w:r>
            <w:r w:rsidRPr="007A6A2C">
              <w:t>)</w:t>
            </w:r>
            <w:bookmarkEnd w:id="304"/>
            <w:bookmarkEnd w:id="305"/>
            <w:bookmarkEnd w:id="306"/>
          </w:p>
        </w:tc>
      </w:tr>
      <w:tr w:rsidR="000A7F57" w:rsidTr="000A7F57">
        <w:trPr>
          <w:jc w:val="center"/>
        </w:trPr>
        <w:tc>
          <w:tcPr>
            <w:tcW w:w="1128" w:type="dxa"/>
            <w:tcBorders>
              <w:bottom w:val="single" w:sz="12" w:space="0" w:color="auto"/>
            </w:tcBorders>
            <w:shd w:val="pct12" w:color="auto" w:fill="auto"/>
            <w:vAlign w:val="center"/>
          </w:tcPr>
          <w:p w:rsidR="000A7F57" w:rsidRPr="000A7F57" w:rsidRDefault="000A7F57" w:rsidP="000A7F57">
            <w:pPr>
              <w:spacing w:before="0" w:after="0"/>
              <w:ind w:left="170"/>
              <w:jc w:val="left"/>
              <w:rPr>
                <w:rFonts w:eastAsia="Arial Unicode MS"/>
                <w:b/>
                <w:sz w:val="18"/>
              </w:rPr>
            </w:pPr>
            <w:r w:rsidRPr="000A7F57">
              <w:rPr>
                <w:rFonts w:eastAsia="Arial Unicode MS"/>
                <w:b/>
                <w:sz w:val="18"/>
              </w:rPr>
              <w:t>rok</w:t>
            </w:r>
          </w:p>
        </w:tc>
        <w:tc>
          <w:tcPr>
            <w:tcW w:w="2737" w:type="dxa"/>
            <w:tcBorders>
              <w:bottom w:val="single" w:sz="12" w:space="0" w:color="auto"/>
            </w:tcBorders>
            <w:shd w:val="pct12" w:color="auto" w:fill="auto"/>
            <w:vAlign w:val="center"/>
          </w:tcPr>
          <w:p w:rsidR="000A7F57" w:rsidRPr="000A7F57" w:rsidRDefault="000A7F57" w:rsidP="000A7F57">
            <w:pPr>
              <w:spacing w:before="0" w:after="0"/>
              <w:jc w:val="center"/>
              <w:rPr>
                <w:rFonts w:eastAsia="Arial Unicode MS"/>
                <w:b/>
                <w:sz w:val="18"/>
              </w:rPr>
            </w:pPr>
            <w:r w:rsidRPr="000A7F57">
              <w:rPr>
                <w:rFonts w:eastAsia="Arial Unicode MS"/>
                <w:b/>
                <w:sz w:val="18"/>
              </w:rPr>
              <w:t>varianta Minimální</w:t>
            </w:r>
          </w:p>
        </w:tc>
        <w:tc>
          <w:tcPr>
            <w:tcW w:w="2738" w:type="dxa"/>
            <w:tcBorders>
              <w:bottom w:val="single" w:sz="12" w:space="0" w:color="auto"/>
            </w:tcBorders>
            <w:shd w:val="pct12" w:color="auto" w:fill="auto"/>
            <w:vAlign w:val="center"/>
          </w:tcPr>
          <w:p w:rsidR="000A7F57" w:rsidRPr="000A7F57" w:rsidRDefault="000A7F57" w:rsidP="000A7F57">
            <w:pPr>
              <w:spacing w:before="0" w:after="0"/>
              <w:jc w:val="center"/>
              <w:rPr>
                <w:rFonts w:eastAsia="Arial Unicode MS"/>
                <w:b/>
                <w:sz w:val="18"/>
              </w:rPr>
            </w:pPr>
            <w:r w:rsidRPr="000A7F57">
              <w:rPr>
                <w:rFonts w:eastAsia="Arial Unicode MS"/>
                <w:b/>
                <w:sz w:val="18"/>
              </w:rPr>
              <w:t>Etapa</w:t>
            </w:r>
          </w:p>
        </w:tc>
        <w:tc>
          <w:tcPr>
            <w:tcW w:w="2738" w:type="dxa"/>
            <w:tcBorders>
              <w:bottom w:val="single" w:sz="12" w:space="0" w:color="auto"/>
            </w:tcBorders>
            <w:shd w:val="pct12" w:color="auto" w:fill="auto"/>
            <w:vAlign w:val="center"/>
          </w:tcPr>
          <w:p w:rsidR="000A7F57" w:rsidRPr="000A7F57" w:rsidRDefault="000A7F57" w:rsidP="000A7F57">
            <w:pPr>
              <w:spacing w:before="0" w:after="0"/>
              <w:jc w:val="center"/>
              <w:rPr>
                <w:rFonts w:eastAsia="Arial Unicode MS"/>
                <w:b/>
                <w:sz w:val="18"/>
              </w:rPr>
            </w:pPr>
            <w:r w:rsidRPr="000A7F57">
              <w:rPr>
                <w:rFonts w:eastAsia="Arial Unicode MS"/>
                <w:b/>
                <w:sz w:val="18"/>
              </w:rPr>
              <w:t>varianta Maximální</w:t>
            </w:r>
          </w:p>
        </w:tc>
      </w:tr>
      <w:tr w:rsidR="000A7F57" w:rsidTr="000A7F57">
        <w:trPr>
          <w:jc w:val="center"/>
        </w:trPr>
        <w:tc>
          <w:tcPr>
            <w:tcW w:w="1128" w:type="dxa"/>
            <w:tcBorders>
              <w:top w:val="single" w:sz="12" w:space="0" w:color="auto"/>
            </w:tcBorders>
            <w:shd w:val="pct12" w:color="auto" w:fill="auto"/>
          </w:tcPr>
          <w:p w:rsidR="000A7F57" w:rsidRPr="000A7F57" w:rsidRDefault="000A7F57" w:rsidP="000A7F57">
            <w:pPr>
              <w:spacing w:before="0" w:after="0"/>
              <w:ind w:left="170"/>
              <w:rPr>
                <w:rFonts w:eastAsia="Arial Unicode MS"/>
                <w:sz w:val="18"/>
              </w:rPr>
            </w:pPr>
            <w:r w:rsidRPr="000A7F57">
              <w:rPr>
                <w:rFonts w:eastAsia="Arial Unicode MS"/>
                <w:sz w:val="18"/>
              </w:rPr>
              <w:t>2014</w:t>
            </w:r>
          </w:p>
        </w:tc>
        <w:tc>
          <w:tcPr>
            <w:tcW w:w="2737" w:type="dxa"/>
            <w:tcBorders>
              <w:top w:val="single" w:sz="12" w:space="0" w:color="auto"/>
            </w:tcBorders>
            <w:vAlign w:val="center"/>
          </w:tcPr>
          <w:p w:rsidR="000A7F57" w:rsidRPr="000A7F57" w:rsidRDefault="000A7F57" w:rsidP="000A7F57">
            <w:pPr>
              <w:tabs>
                <w:tab w:val="left" w:pos="1452"/>
              </w:tabs>
              <w:spacing w:before="0" w:after="0"/>
              <w:ind w:right="1069"/>
              <w:jc w:val="right"/>
              <w:rPr>
                <w:rFonts w:eastAsia="Arial Unicode MS"/>
                <w:sz w:val="18"/>
              </w:rPr>
            </w:pPr>
            <w:r w:rsidRPr="000A7F57">
              <w:rPr>
                <w:rFonts w:eastAsia="Arial Unicode MS"/>
                <w:sz w:val="18"/>
              </w:rPr>
              <w:t>11 648</w:t>
            </w:r>
          </w:p>
        </w:tc>
        <w:tc>
          <w:tcPr>
            <w:tcW w:w="2738" w:type="dxa"/>
            <w:tcBorders>
              <w:top w:val="single" w:sz="12" w:space="0" w:color="auto"/>
            </w:tcBorders>
            <w:vAlign w:val="center"/>
          </w:tcPr>
          <w:p w:rsidR="000A7F57" w:rsidRPr="000A7F57" w:rsidRDefault="000A7F57" w:rsidP="000A7F57">
            <w:pPr>
              <w:tabs>
                <w:tab w:val="left" w:pos="1452"/>
              </w:tabs>
              <w:spacing w:before="0" w:after="0"/>
              <w:ind w:right="1069"/>
              <w:jc w:val="right"/>
              <w:rPr>
                <w:rFonts w:eastAsia="Arial Unicode MS"/>
                <w:sz w:val="18"/>
              </w:rPr>
            </w:pPr>
            <w:r w:rsidRPr="000A7F57">
              <w:rPr>
                <w:rFonts w:eastAsia="Arial Unicode MS"/>
                <w:sz w:val="18"/>
              </w:rPr>
              <w:t>10 040</w:t>
            </w:r>
          </w:p>
        </w:tc>
        <w:tc>
          <w:tcPr>
            <w:tcW w:w="2738" w:type="dxa"/>
            <w:tcBorders>
              <w:top w:val="single" w:sz="12" w:space="0" w:color="auto"/>
            </w:tcBorders>
            <w:vAlign w:val="center"/>
          </w:tcPr>
          <w:p w:rsidR="000A7F57" w:rsidRPr="000A7F57" w:rsidRDefault="000A7F57" w:rsidP="000A7F57">
            <w:pPr>
              <w:tabs>
                <w:tab w:val="left" w:pos="1452"/>
              </w:tabs>
              <w:spacing w:before="0" w:after="0"/>
              <w:ind w:right="1069"/>
              <w:jc w:val="right"/>
              <w:rPr>
                <w:rFonts w:eastAsia="Arial Unicode MS"/>
                <w:sz w:val="18"/>
              </w:rPr>
            </w:pPr>
            <w:r w:rsidRPr="000A7F57">
              <w:rPr>
                <w:rFonts w:eastAsia="Arial Unicode MS"/>
                <w:sz w:val="18"/>
              </w:rPr>
              <w:t>9 623</w:t>
            </w:r>
          </w:p>
        </w:tc>
      </w:tr>
      <w:tr w:rsidR="000A7F57" w:rsidTr="000A7F57">
        <w:trPr>
          <w:jc w:val="center"/>
        </w:trPr>
        <w:tc>
          <w:tcPr>
            <w:tcW w:w="1128" w:type="dxa"/>
            <w:shd w:val="pct12" w:color="auto" w:fill="auto"/>
          </w:tcPr>
          <w:p w:rsidR="000A7F57" w:rsidRPr="000A7F57" w:rsidRDefault="000A7F57" w:rsidP="000A7F57">
            <w:pPr>
              <w:spacing w:before="0" w:after="0"/>
              <w:ind w:left="170"/>
              <w:rPr>
                <w:rFonts w:eastAsia="Arial Unicode MS"/>
                <w:sz w:val="18"/>
              </w:rPr>
            </w:pPr>
            <w:r w:rsidRPr="000A7F57">
              <w:rPr>
                <w:rFonts w:eastAsia="Arial Unicode MS"/>
                <w:sz w:val="18"/>
              </w:rPr>
              <w:t>2015</w:t>
            </w:r>
          </w:p>
        </w:tc>
        <w:tc>
          <w:tcPr>
            <w:tcW w:w="2737" w:type="dxa"/>
            <w:vAlign w:val="center"/>
          </w:tcPr>
          <w:p w:rsidR="000A7F57" w:rsidRPr="000A7F57" w:rsidRDefault="000A7F57" w:rsidP="000A7F57">
            <w:pPr>
              <w:tabs>
                <w:tab w:val="left" w:pos="1452"/>
              </w:tabs>
              <w:spacing w:before="0" w:after="0"/>
              <w:ind w:right="1069"/>
              <w:jc w:val="right"/>
              <w:rPr>
                <w:rFonts w:eastAsia="Arial Unicode MS"/>
                <w:sz w:val="18"/>
              </w:rPr>
            </w:pPr>
            <w:r w:rsidRPr="000A7F57">
              <w:rPr>
                <w:rFonts w:eastAsia="Arial Unicode MS"/>
                <w:sz w:val="18"/>
              </w:rPr>
              <w:t>17 347</w:t>
            </w:r>
          </w:p>
        </w:tc>
        <w:tc>
          <w:tcPr>
            <w:tcW w:w="2738" w:type="dxa"/>
            <w:vAlign w:val="center"/>
          </w:tcPr>
          <w:p w:rsidR="000A7F57" w:rsidRPr="000A7F57" w:rsidRDefault="000A7F57" w:rsidP="000A7F57">
            <w:pPr>
              <w:tabs>
                <w:tab w:val="left" w:pos="1452"/>
              </w:tabs>
              <w:spacing w:before="0" w:after="0"/>
              <w:ind w:right="1069"/>
              <w:jc w:val="right"/>
              <w:rPr>
                <w:rFonts w:eastAsia="Arial Unicode MS"/>
                <w:sz w:val="18"/>
              </w:rPr>
            </w:pPr>
            <w:r w:rsidRPr="000A7F57">
              <w:rPr>
                <w:rFonts w:eastAsia="Arial Unicode MS"/>
                <w:sz w:val="18"/>
              </w:rPr>
              <w:t>2 493</w:t>
            </w:r>
          </w:p>
        </w:tc>
        <w:tc>
          <w:tcPr>
            <w:tcW w:w="2738" w:type="dxa"/>
            <w:vAlign w:val="center"/>
          </w:tcPr>
          <w:p w:rsidR="000A7F57" w:rsidRPr="000A7F57" w:rsidRDefault="000A7F57" w:rsidP="000A7F57">
            <w:pPr>
              <w:tabs>
                <w:tab w:val="left" w:pos="1452"/>
              </w:tabs>
              <w:spacing w:before="0" w:after="0"/>
              <w:ind w:right="1069"/>
              <w:jc w:val="right"/>
              <w:rPr>
                <w:rFonts w:eastAsia="Arial Unicode MS"/>
                <w:sz w:val="18"/>
              </w:rPr>
            </w:pPr>
            <w:r w:rsidRPr="000A7F57">
              <w:rPr>
                <w:rFonts w:eastAsia="Arial Unicode MS"/>
                <w:sz w:val="18"/>
              </w:rPr>
              <w:t>9 497</w:t>
            </w:r>
          </w:p>
        </w:tc>
      </w:tr>
      <w:tr w:rsidR="000A7F57" w:rsidTr="000A7F57">
        <w:trPr>
          <w:jc w:val="center"/>
        </w:trPr>
        <w:tc>
          <w:tcPr>
            <w:tcW w:w="1128" w:type="dxa"/>
            <w:shd w:val="pct12" w:color="auto" w:fill="auto"/>
          </w:tcPr>
          <w:p w:rsidR="000A7F57" w:rsidRPr="000A7F57" w:rsidRDefault="000A7F57" w:rsidP="000A7F57">
            <w:pPr>
              <w:spacing w:before="0" w:after="0"/>
              <w:ind w:left="170"/>
              <w:rPr>
                <w:rFonts w:eastAsia="Arial Unicode MS"/>
                <w:sz w:val="18"/>
              </w:rPr>
            </w:pPr>
            <w:r w:rsidRPr="000A7F57">
              <w:rPr>
                <w:rFonts w:eastAsia="Arial Unicode MS"/>
                <w:sz w:val="18"/>
              </w:rPr>
              <w:t>2016</w:t>
            </w:r>
          </w:p>
        </w:tc>
        <w:tc>
          <w:tcPr>
            <w:tcW w:w="2737" w:type="dxa"/>
            <w:vAlign w:val="center"/>
          </w:tcPr>
          <w:p w:rsidR="000A7F57" w:rsidRPr="000A7F57" w:rsidRDefault="000A7F57" w:rsidP="000A7F57">
            <w:pPr>
              <w:tabs>
                <w:tab w:val="left" w:pos="1452"/>
              </w:tabs>
              <w:spacing w:before="0" w:after="0"/>
              <w:ind w:right="1069"/>
              <w:jc w:val="right"/>
              <w:rPr>
                <w:rFonts w:eastAsia="Arial Unicode MS"/>
                <w:sz w:val="18"/>
              </w:rPr>
            </w:pPr>
          </w:p>
        </w:tc>
        <w:tc>
          <w:tcPr>
            <w:tcW w:w="2738" w:type="dxa"/>
            <w:vAlign w:val="center"/>
          </w:tcPr>
          <w:p w:rsidR="000A7F57" w:rsidRPr="000A7F57" w:rsidRDefault="000A7F57" w:rsidP="000A7F57">
            <w:pPr>
              <w:tabs>
                <w:tab w:val="left" w:pos="1452"/>
              </w:tabs>
              <w:spacing w:before="0" w:after="0"/>
              <w:ind w:right="1069"/>
              <w:jc w:val="right"/>
              <w:rPr>
                <w:rFonts w:eastAsia="Arial Unicode MS"/>
                <w:sz w:val="18"/>
              </w:rPr>
            </w:pPr>
          </w:p>
        </w:tc>
        <w:tc>
          <w:tcPr>
            <w:tcW w:w="2738" w:type="dxa"/>
            <w:vAlign w:val="center"/>
          </w:tcPr>
          <w:p w:rsidR="000A7F57" w:rsidRPr="000A7F57" w:rsidRDefault="000A7F57" w:rsidP="000A7F57">
            <w:pPr>
              <w:tabs>
                <w:tab w:val="left" w:pos="1452"/>
              </w:tabs>
              <w:spacing w:before="0" w:after="0"/>
              <w:ind w:right="1069"/>
              <w:jc w:val="right"/>
              <w:rPr>
                <w:rFonts w:eastAsia="Arial Unicode MS"/>
                <w:sz w:val="18"/>
              </w:rPr>
            </w:pPr>
            <w:r w:rsidRPr="000A7F57">
              <w:rPr>
                <w:rFonts w:eastAsia="Arial Unicode MS"/>
                <w:sz w:val="18"/>
              </w:rPr>
              <w:t>9 497</w:t>
            </w:r>
          </w:p>
        </w:tc>
      </w:tr>
      <w:tr w:rsidR="000A7F57" w:rsidTr="000A7F57">
        <w:trPr>
          <w:jc w:val="center"/>
        </w:trPr>
        <w:tc>
          <w:tcPr>
            <w:tcW w:w="1128" w:type="dxa"/>
            <w:shd w:val="pct12" w:color="auto" w:fill="auto"/>
          </w:tcPr>
          <w:p w:rsidR="000A7F57" w:rsidRPr="000A7F57" w:rsidRDefault="000A7F57" w:rsidP="000A7F57">
            <w:pPr>
              <w:spacing w:before="0" w:after="0"/>
              <w:ind w:left="170"/>
              <w:rPr>
                <w:rFonts w:eastAsia="Arial Unicode MS"/>
                <w:sz w:val="18"/>
              </w:rPr>
            </w:pPr>
            <w:r w:rsidRPr="000A7F57">
              <w:rPr>
                <w:rFonts w:eastAsia="Arial Unicode MS"/>
                <w:sz w:val="18"/>
              </w:rPr>
              <w:t>2017</w:t>
            </w:r>
          </w:p>
        </w:tc>
        <w:tc>
          <w:tcPr>
            <w:tcW w:w="2737" w:type="dxa"/>
            <w:tcBorders>
              <w:bottom w:val="single" w:sz="4" w:space="0" w:color="000000"/>
            </w:tcBorders>
            <w:vAlign w:val="center"/>
          </w:tcPr>
          <w:p w:rsidR="000A7F57" w:rsidRPr="000A7F57" w:rsidRDefault="000A7F57" w:rsidP="000A7F57">
            <w:pPr>
              <w:tabs>
                <w:tab w:val="left" w:pos="1452"/>
              </w:tabs>
              <w:spacing w:before="0" w:after="0"/>
              <w:ind w:right="1069"/>
              <w:jc w:val="right"/>
              <w:rPr>
                <w:rFonts w:eastAsia="Arial Unicode MS"/>
                <w:sz w:val="18"/>
              </w:rPr>
            </w:pPr>
          </w:p>
        </w:tc>
        <w:tc>
          <w:tcPr>
            <w:tcW w:w="2738" w:type="dxa"/>
            <w:tcBorders>
              <w:bottom w:val="single" w:sz="4" w:space="0" w:color="000000"/>
            </w:tcBorders>
            <w:vAlign w:val="center"/>
          </w:tcPr>
          <w:p w:rsidR="000A7F57" w:rsidRPr="000A7F57" w:rsidRDefault="000A7F57" w:rsidP="000A7F57">
            <w:pPr>
              <w:tabs>
                <w:tab w:val="left" w:pos="1452"/>
              </w:tabs>
              <w:spacing w:before="0" w:after="0"/>
              <w:ind w:right="1069"/>
              <w:jc w:val="right"/>
              <w:rPr>
                <w:rFonts w:eastAsia="Arial Unicode MS"/>
                <w:sz w:val="18"/>
              </w:rPr>
            </w:pPr>
          </w:p>
        </w:tc>
        <w:tc>
          <w:tcPr>
            <w:tcW w:w="2738" w:type="dxa"/>
            <w:tcBorders>
              <w:bottom w:val="single" w:sz="4" w:space="0" w:color="000000"/>
            </w:tcBorders>
            <w:vAlign w:val="center"/>
          </w:tcPr>
          <w:p w:rsidR="000A7F57" w:rsidRPr="000A7F57" w:rsidRDefault="000A7F57" w:rsidP="000A7F57">
            <w:pPr>
              <w:tabs>
                <w:tab w:val="left" w:pos="1452"/>
              </w:tabs>
              <w:spacing w:before="0" w:after="0"/>
              <w:ind w:right="1069"/>
              <w:jc w:val="right"/>
              <w:rPr>
                <w:rFonts w:eastAsia="Arial Unicode MS"/>
                <w:sz w:val="18"/>
              </w:rPr>
            </w:pPr>
            <w:r w:rsidRPr="000A7F57">
              <w:rPr>
                <w:rFonts w:eastAsia="Arial Unicode MS"/>
                <w:sz w:val="18"/>
              </w:rPr>
              <w:t>9 497</w:t>
            </w:r>
          </w:p>
        </w:tc>
      </w:tr>
      <w:tr w:rsidR="000A7F57" w:rsidTr="000A7F57">
        <w:trPr>
          <w:jc w:val="center"/>
        </w:trPr>
        <w:tc>
          <w:tcPr>
            <w:tcW w:w="1128" w:type="dxa"/>
            <w:shd w:val="pct12" w:color="auto" w:fill="auto"/>
          </w:tcPr>
          <w:p w:rsidR="000A7F57" w:rsidRPr="000A7F57" w:rsidRDefault="000A7F57" w:rsidP="000A7F57">
            <w:pPr>
              <w:spacing w:before="0" w:after="0"/>
              <w:ind w:left="170"/>
              <w:rPr>
                <w:rFonts w:eastAsia="Arial Unicode MS"/>
                <w:sz w:val="18"/>
              </w:rPr>
            </w:pPr>
            <w:r w:rsidRPr="000A7F57">
              <w:rPr>
                <w:rFonts w:eastAsia="Arial Unicode MS"/>
                <w:sz w:val="18"/>
              </w:rPr>
              <w:t>2018</w:t>
            </w:r>
          </w:p>
        </w:tc>
        <w:tc>
          <w:tcPr>
            <w:tcW w:w="2737" w:type="dxa"/>
            <w:vAlign w:val="center"/>
          </w:tcPr>
          <w:p w:rsidR="000A7F57" w:rsidRPr="000A7F57" w:rsidRDefault="000A7F57" w:rsidP="000A7F57">
            <w:pPr>
              <w:tabs>
                <w:tab w:val="left" w:pos="1452"/>
              </w:tabs>
              <w:spacing w:before="0" w:after="0"/>
              <w:ind w:right="1069"/>
              <w:jc w:val="right"/>
              <w:rPr>
                <w:rFonts w:eastAsia="Arial Unicode MS"/>
                <w:sz w:val="18"/>
              </w:rPr>
            </w:pPr>
          </w:p>
        </w:tc>
        <w:tc>
          <w:tcPr>
            <w:tcW w:w="2738" w:type="dxa"/>
            <w:vAlign w:val="center"/>
          </w:tcPr>
          <w:p w:rsidR="000A7F57" w:rsidRPr="000A7F57" w:rsidRDefault="000A7F57" w:rsidP="000A7F57">
            <w:pPr>
              <w:tabs>
                <w:tab w:val="left" w:pos="1452"/>
              </w:tabs>
              <w:spacing w:before="0" w:after="0"/>
              <w:ind w:right="1069"/>
              <w:jc w:val="right"/>
              <w:rPr>
                <w:rFonts w:eastAsia="Arial Unicode MS"/>
                <w:sz w:val="18"/>
              </w:rPr>
            </w:pPr>
          </w:p>
        </w:tc>
        <w:tc>
          <w:tcPr>
            <w:tcW w:w="2738" w:type="dxa"/>
            <w:vAlign w:val="center"/>
          </w:tcPr>
          <w:p w:rsidR="000A7F57" w:rsidRPr="000A7F57" w:rsidRDefault="000A7F57" w:rsidP="000A7F57">
            <w:pPr>
              <w:tabs>
                <w:tab w:val="left" w:pos="1452"/>
              </w:tabs>
              <w:spacing w:before="0" w:after="0"/>
              <w:ind w:right="1069"/>
              <w:jc w:val="right"/>
              <w:rPr>
                <w:rFonts w:eastAsia="Arial Unicode MS"/>
                <w:sz w:val="18"/>
              </w:rPr>
            </w:pPr>
            <w:r w:rsidRPr="000A7F57">
              <w:rPr>
                <w:rFonts w:eastAsia="Arial Unicode MS"/>
                <w:sz w:val="18"/>
              </w:rPr>
              <w:t>8 955</w:t>
            </w:r>
          </w:p>
        </w:tc>
      </w:tr>
      <w:tr w:rsidR="000A7F57" w:rsidTr="000A7F57">
        <w:trPr>
          <w:jc w:val="center"/>
        </w:trPr>
        <w:tc>
          <w:tcPr>
            <w:tcW w:w="1128" w:type="dxa"/>
            <w:shd w:val="pct12" w:color="auto" w:fill="auto"/>
          </w:tcPr>
          <w:p w:rsidR="000A7F57" w:rsidRPr="000A7F57" w:rsidRDefault="000A7F57" w:rsidP="000A7F57">
            <w:pPr>
              <w:spacing w:before="0" w:after="0"/>
              <w:ind w:left="170"/>
              <w:rPr>
                <w:rFonts w:eastAsia="Arial Unicode MS"/>
                <w:sz w:val="18"/>
              </w:rPr>
            </w:pPr>
            <w:r w:rsidRPr="000A7F57">
              <w:rPr>
                <w:rFonts w:eastAsia="Arial Unicode MS"/>
                <w:sz w:val="18"/>
              </w:rPr>
              <w:t>2019</w:t>
            </w:r>
          </w:p>
        </w:tc>
        <w:tc>
          <w:tcPr>
            <w:tcW w:w="2737" w:type="dxa"/>
            <w:vAlign w:val="center"/>
          </w:tcPr>
          <w:p w:rsidR="000A7F57" w:rsidRPr="000A7F57" w:rsidRDefault="000A7F57" w:rsidP="000A7F57">
            <w:pPr>
              <w:tabs>
                <w:tab w:val="left" w:pos="1452"/>
              </w:tabs>
              <w:spacing w:before="0" w:after="0"/>
              <w:ind w:right="1069"/>
              <w:jc w:val="right"/>
              <w:rPr>
                <w:rFonts w:eastAsia="Arial Unicode MS"/>
                <w:sz w:val="18"/>
              </w:rPr>
            </w:pPr>
          </w:p>
        </w:tc>
        <w:tc>
          <w:tcPr>
            <w:tcW w:w="2738" w:type="dxa"/>
            <w:vAlign w:val="center"/>
          </w:tcPr>
          <w:p w:rsidR="000A7F57" w:rsidRPr="000A7F57" w:rsidRDefault="000A7F57" w:rsidP="000A7F57">
            <w:pPr>
              <w:tabs>
                <w:tab w:val="left" w:pos="1452"/>
              </w:tabs>
              <w:spacing w:before="0" w:after="0"/>
              <w:ind w:right="1069"/>
              <w:jc w:val="right"/>
              <w:rPr>
                <w:rFonts w:eastAsia="Arial Unicode MS"/>
                <w:sz w:val="18"/>
              </w:rPr>
            </w:pPr>
          </w:p>
        </w:tc>
        <w:tc>
          <w:tcPr>
            <w:tcW w:w="2738" w:type="dxa"/>
            <w:vAlign w:val="center"/>
          </w:tcPr>
          <w:p w:rsidR="000A7F57" w:rsidRPr="000A7F57" w:rsidRDefault="000A7F57" w:rsidP="000A7F57">
            <w:pPr>
              <w:tabs>
                <w:tab w:val="left" w:pos="1452"/>
              </w:tabs>
              <w:spacing w:before="0" w:after="0"/>
              <w:ind w:right="1069"/>
              <w:jc w:val="right"/>
              <w:rPr>
                <w:rFonts w:eastAsia="Arial Unicode MS"/>
                <w:sz w:val="18"/>
              </w:rPr>
            </w:pPr>
            <w:r w:rsidRPr="000A7F57">
              <w:rPr>
                <w:rFonts w:eastAsia="Arial Unicode MS"/>
                <w:sz w:val="18"/>
              </w:rPr>
              <w:t>6 128</w:t>
            </w:r>
          </w:p>
        </w:tc>
      </w:tr>
      <w:tr w:rsidR="000A7F57" w:rsidTr="000A7F57">
        <w:trPr>
          <w:jc w:val="center"/>
        </w:trPr>
        <w:tc>
          <w:tcPr>
            <w:tcW w:w="1128" w:type="dxa"/>
            <w:shd w:val="pct12" w:color="auto" w:fill="auto"/>
          </w:tcPr>
          <w:p w:rsidR="000A7F57" w:rsidRPr="000A7F57" w:rsidRDefault="000A7F57" w:rsidP="000A7F57">
            <w:pPr>
              <w:spacing w:before="0" w:after="0"/>
              <w:ind w:left="170"/>
              <w:rPr>
                <w:rFonts w:eastAsia="Arial Unicode MS"/>
                <w:sz w:val="18"/>
              </w:rPr>
            </w:pPr>
            <w:r w:rsidRPr="000A7F57">
              <w:rPr>
                <w:rFonts w:eastAsia="Arial Unicode MS"/>
                <w:sz w:val="18"/>
              </w:rPr>
              <w:t>2020</w:t>
            </w:r>
          </w:p>
        </w:tc>
        <w:tc>
          <w:tcPr>
            <w:tcW w:w="2737" w:type="dxa"/>
            <w:vAlign w:val="center"/>
          </w:tcPr>
          <w:p w:rsidR="000A7F57" w:rsidRPr="000A7F57" w:rsidRDefault="000A7F57" w:rsidP="000A7F57">
            <w:pPr>
              <w:tabs>
                <w:tab w:val="left" w:pos="1452"/>
              </w:tabs>
              <w:spacing w:before="0" w:after="0"/>
              <w:ind w:right="1069"/>
              <w:jc w:val="right"/>
              <w:rPr>
                <w:rFonts w:eastAsia="Arial Unicode MS"/>
                <w:sz w:val="18"/>
              </w:rPr>
            </w:pPr>
          </w:p>
        </w:tc>
        <w:tc>
          <w:tcPr>
            <w:tcW w:w="2738" w:type="dxa"/>
            <w:vAlign w:val="center"/>
          </w:tcPr>
          <w:p w:rsidR="000A7F57" w:rsidRPr="000A7F57" w:rsidRDefault="000A7F57" w:rsidP="000A7F57">
            <w:pPr>
              <w:tabs>
                <w:tab w:val="left" w:pos="1452"/>
              </w:tabs>
              <w:spacing w:before="0" w:after="0"/>
              <w:ind w:right="1069"/>
              <w:jc w:val="right"/>
              <w:rPr>
                <w:rFonts w:eastAsia="Arial Unicode MS"/>
                <w:sz w:val="18"/>
              </w:rPr>
            </w:pPr>
          </w:p>
        </w:tc>
        <w:tc>
          <w:tcPr>
            <w:tcW w:w="2738" w:type="dxa"/>
            <w:vAlign w:val="center"/>
          </w:tcPr>
          <w:p w:rsidR="000A7F57" w:rsidRPr="000A7F57" w:rsidRDefault="000A7F57" w:rsidP="000A7F57">
            <w:pPr>
              <w:tabs>
                <w:tab w:val="left" w:pos="1452"/>
              </w:tabs>
              <w:spacing w:before="0" w:after="0"/>
              <w:ind w:right="1069"/>
              <w:jc w:val="right"/>
              <w:rPr>
                <w:rFonts w:eastAsia="Arial Unicode MS"/>
                <w:sz w:val="18"/>
              </w:rPr>
            </w:pPr>
            <w:r w:rsidRPr="000A7F57">
              <w:rPr>
                <w:rFonts w:eastAsia="Arial Unicode MS"/>
                <w:sz w:val="18"/>
              </w:rPr>
              <w:t>5 580</w:t>
            </w:r>
          </w:p>
        </w:tc>
      </w:tr>
      <w:tr w:rsidR="000A7F57" w:rsidTr="000A7F57">
        <w:trPr>
          <w:jc w:val="center"/>
        </w:trPr>
        <w:tc>
          <w:tcPr>
            <w:tcW w:w="1128" w:type="dxa"/>
            <w:shd w:val="pct12" w:color="auto" w:fill="auto"/>
          </w:tcPr>
          <w:p w:rsidR="000A7F57" w:rsidRPr="000A7F57" w:rsidRDefault="000A7F57" w:rsidP="000A7F57">
            <w:pPr>
              <w:spacing w:before="0" w:after="0"/>
              <w:ind w:left="170"/>
              <w:rPr>
                <w:rFonts w:eastAsia="Arial Unicode MS"/>
                <w:sz w:val="18"/>
              </w:rPr>
            </w:pPr>
            <w:r w:rsidRPr="000A7F57">
              <w:rPr>
                <w:rFonts w:eastAsia="Arial Unicode MS"/>
                <w:sz w:val="18"/>
              </w:rPr>
              <w:t>2021</w:t>
            </w:r>
          </w:p>
        </w:tc>
        <w:tc>
          <w:tcPr>
            <w:tcW w:w="2737" w:type="dxa"/>
            <w:tcBorders>
              <w:bottom w:val="single" w:sz="4" w:space="0" w:color="000000"/>
            </w:tcBorders>
            <w:vAlign w:val="center"/>
          </w:tcPr>
          <w:p w:rsidR="000A7F57" w:rsidRPr="000A7F57" w:rsidRDefault="000A7F57" w:rsidP="000A7F57">
            <w:pPr>
              <w:tabs>
                <w:tab w:val="left" w:pos="1452"/>
              </w:tabs>
              <w:spacing w:before="0" w:after="0"/>
              <w:ind w:right="1069"/>
              <w:jc w:val="right"/>
              <w:rPr>
                <w:rFonts w:eastAsia="Arial Unicode MS"/>
                <w:sz w:val="18"/>
              </w:rPr>
            </w:pPr>
          </w:p>
        </w:tc>
        <w:tc>
          <w:tcPr>
            <w:tcW w:w="2738" w:type="dxa"/>
            <w:tcBorders>
              <w:bottom w:val="single" w:sz="4" w:space="0" w:color="000000"/>
            </w:tcBorders>
            <w:vAlign w:val="center"/>
          </w:tcPr>
          <w:p w:rsidR="000A7F57" w:rsidRPr="000A7F57" w:rsidRDefault="000A7F57" w:rsidP="000A7F57">
            <w:pPr>
              <w:tabs>
                <w:tab w:val="left" w:pos="1452"/>
              </w:tabs>
              <w:spacing w:before="0" w:after="0"/>
              <w:ind w:right="1069"/>
              <w:jc w:val="right"/>
              <w:rPr>
                <w:rFonts w:eastAsia="Arial Unicode MS"/>
                <w:sz w:val="18"/>
              </w:rPr>
            </w:pPr>
          </w:p>
        </w:tc>
        <w:tc>
          <w:tcPr>
            <w:tcW w:w="2738" w:type="dxa"/>
            <w:tcBorders>
              <w:bottom w:val="single" w:sz="4" w:space="0" w:color="000000"/>
            </w:tcBorders>
            <w:vAlign w:val="center"/>
          </w:tcPr>
          <w:p w:rsidR="000A7F57" w:rsidRPr="000A7F57" w:rsidRDefault="000A7F57" w:rsidP="000A7F57">
            <w:pPr>
              <w:tabs>
                <w:tab w:val="left" w:pos="1452"/>
              </w:tabs>
              <w:spacing w:before="0" w:after="0"/>
              <w:ind w:right="1069"/>
              <w:jc w:val="right"/>
              <w:rPr>
                <w:rFonts w:eastAsia="Arial Unicode MS"/>
                <w:sz w:val="18"/>
              </w:rPr>
            </w:pPr>
            <w:r w:rsidRPr="000A7F57">
              <w:rPr>
                <w:rFonts w:eastAsia="Arial Unicode MS"/>
                <w:sz w:val="18"/>
              </w:rPr>
              <w:t>2 790</w:t>
            </w:r>
          </w:p>
        </w:tc>
      </w:tr>
    </w:tbl>
    <w:p w:rsidR="007A6A2C" w:rsidRPr="00587BCB" w:rsidRDefault="007A6A2C" w:rsidP="007A6A2C"/>
    <w:p w:rsidR="00225B27" w:rsidRDefault="00225B27" w:rsidP="000D62F1">
      <w:pPr>
        <w:pStyle w:val="Nadpis3"/>
        <w:ind w:hanging="8234"/>
      </w:pPr>
      <w:r>
        <w:t>Výsledky finanční analýzy</w:t>
      </w:r>
    </w:p>
    <w:p w:rsidR="00F7599B" w:rsidRDefault="00F7599B" w:rsidP="00F7599B">
      <w:r w:rsidRPr="003879FD">
        <w:t>Na základě uvedených finančních toků byla sestavena finanční analýza. Do výpočtu vstupují diferenční finanční toky, tj. rozdíl jejich hodnot varianty bez projektu a variant s projektem. Při výpočtu byla použita diskontní sazba 5%.</w:t>
      </w:r>
      <w:r w:rsidR="00592CF1">
        <w:t xml:space="preserve"> </w:t>
      </w:r>
      <w:r w:rsidR="00ED18BC">
        <w:t>Výsledky finanční analýzy jednotlivých variant jsou shrnuty v následujících tabulkách.</w:t>
      </w:r>
    </w:p>
    <w:tbl>
      <w:tblPr>
        <w:tblW w:w="9349" w:type="dxa"/>
        <w:jc w:val="center"/>
        <w:tblInd w:w="-2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3"/>
        <w:gridCol w:w="2455"/>
        <w:gridCol w:w="2455"/>
        <w:gridCol w:w="2446"/>
        <w:gridCol w:w="10"/>
      </w:tblGrid>
      <w:tr w:rsidR="00F7599B" w:rsidTr="009D1EC7">
        <w:trPr>
          <w:gridAfter w:val="1"/>
          <w:wAfter w:w="10" w:type="dxa"/>
          <w:jc w:val="center"/>
        </w:trPr>
        <w:tc>
          <w:tcPr>
            <w:tcW w:w="9339" w:type="dxa"/>
            <w:gridSpan w:val="4"/>
            <w:tcBorders>
              <w:bottom w:val="single" w:sz="4" w:space="0" w:color="000000"/>
            </w:tcBorders>
          </w:tcPr>
          <w:p w:rsidR="00F7599B" w:rsidRPr="00F7599B" w:rsidRDefault="00F7599B" w:rsidP="000A7F57">
            <w:pPr>
              <w:pStyle w:val="Titulek"/>
              <w:rPr>
                <w:rFonts w:eastAsia="Arial Unicode MS"/>
                <w:color w:val="FF0000"/>
              </w:rPr>
            </w:pPr>
            <w:bookmarkStart w:id="307" w:name="_Toc316377680"/>
            <w:bookmarkStart w:id="308" w:name="_Toc390958785"/>
            <w:bookmarkStart w:id="309" w:name="_Toc391034589"/>
            <w:r w:rsidRPr="00F7599B">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9</w:t>
            </w:r>
            <w:r w:rsidR="000E79AE">
              <w:fldChar w:fldCharType="end"/>
            </w:r>
            <w:r w:rsidRPr="00F7599B">
              <w:t>: Přehled výsledků finanční analýzy</w:t>
            </w:r>
            <w:bookmarkEnd w:id="307"/>
            <w:bookmarkEnd w:id="308"/>
            <w:bookmarkEnd w:id="309"/>
          </w:p>
        </w:tc>
      </w:tr>
      <w:tr w:rsidR="009D1EC7" w:rsidTr="002E1CD4">
        <w:trPr>
          <w:jc w:val="center"/>
        </w:trPr>
        <w:tc>
          <w:tcPr>
            <w:tcW w:w="1983" w:type="dxa"/>
            <w:tcBorders>
              <w:bottom w:val="single" w:sz="12" w:space="0" w:color="auto"/>
            </w:tcBorders>
            <w:shd w:val="pct12" w:color="auto" w:fill="auto"/>
            <w:vAlign w:val="center"/>
          </w:tcPr>
          <w:p w:rsidR="009D1EC7" w:rsidRPr="000A7F57" w:rsidRDefault="009D1EC7" w:rsidP="009D1EC7">
            <w:pPr>
              <w:spacing w:before="120" w:after="120"/>
              <w:jc w:val="center"/>
              <w:rPr>
                <w:rFonts w:eastAsia="Arial Unicode MS"/>
                <w:b/>
                <w:sz w:val="18"/>
              </w:rPr>
            </w:pPr>
            <w:r w:rsidRPr="000A7F57">
              <w:rPr>
                <w:rFonts w:eastAsia="Arial Unicode MS"/>
                <w:b/>
                <w:sz w:val="18"/>
              </w:rPr>
              <w:t>ukazatel</w:t>
            </w:r>
          </w:p>
        </w:tc>
        <w:tc>
          <w:tcPr>
            <w:tcW w:w="2455" w:type="dxa"/>
            <w:tcBorders>
              <w:bottom w:val="single" w:sz="12" w:space="0" w:color="auto"/>
            </w:tcBorders>
            <w:shd w:val="pct12" w:color="auto" w:fill="auto"/>
            <w:vAlign w:val="center"/>
          </w:tcPr>
          <w:p w:rsidR="009D1EC7" w:rsidRPr="000A7F57" w:rsidRDefault="009D1EC7" w:rsidP="009D1EC7">
            <w:pPr>
              <w:spacing w:before="120" w:after="120"/>
              <w:jc w:val="center"/>
              <w:rPr>
                <w:rFonts w:eastAsia="Arial Unicode MS"/>
                <w:b/>
                <w:sz w:val="18"/>
              </w:rPr>
            </w:pPr>
            <w:r w:rsidRPr="000A7F57">
              <w:rPr>
                <w:rFonts w:eastAsia="Arial Unicode MS"/>
                <w:b/>
                <w:sz w:val="18"/>
              </w:rPr>
              <w:t>varianta Minimální</w:t>
            </w:r>
          </w:p>
        </w:tc>
        <w:tc>
          <w:tcPr>
            <w:tcW w:w="2455" w:type="dxa"/>
            <w:tcBorders>
              <w:bottom w:val="single" w:sz="12" w:space="0" w:color="auto"/>
            </w:tcBorders>
            <w:shd w:val="pct12" w:color="auto" w:fill="auto"/>
            <w:vAlign w:val="center"/>
          </w:tcPr>
          <w:p w:rsidR="009D1EC7" w:rsidRPr="000A7F57" w:rsidRDefault="009D1EC7" w:rsidP="009D1EC7">
            <w:pPr>
              <w:spacing w:before="120" w:after="120"/>
              <w:jc w:val="center"/>
              <w:rPr>
                <w:rFonts w:eastAsia="Arial Unicode MS"/>
                <w:b/>
                <w:sz w:val="18"/>
              </w:rPr>
            </w:pPr>
            <w:r w:rsidRPr="000A7F57">
              <w:rPr>
                <w:rFonts w:eastAsia="Arial Unicode MS"/>
                <w:b/>
                <w:sz w:val="18"/>
              </w:rPr>
              <w:t>Etapa</w:t>
            </w:r>
          </w:p>
        </w:tc>
        <w:tc>
          <w:tcPr>
            <w:tcW w:w="2456" w:type="dxa"/>
            <w:gridSpan w:val="2"/>
            <w:tcBorders>
              <w:bottom w:val="single" w:sz="12" w:space="0" w:color="auto"/>
            </w:tcBorders>
            <w:shd w:val="pct12" w:color="auto" w:fill="auto"/>
            <w:vAlign w:val="center"/>
          </w:tcPr>
          <w:p w:rsidR="009D1EC7" w:rsidRPr="000A7F57" w:rsidRDefault="009D1EC7" w:rsidP="009D1EC7">
            <w:pPr>
              <w:spacing w:before="120" w:after="120"/>
              <w:jc w:val="center"/>
              <w:rPr>
                <w:rFonts w:eastAsia="Arial Unicode MS"/>
                <w:b/>
                <w:sz w:val="18"/>
              </w:rPr>
            </w:pPr>
            <w:r w:rsidRPr="000A7F57">
              <w:rPr>
                <w:rFonts w:eastAsia="Arial Unicode MS"/>
                <w:b/>
                <w:sz w:val="18"/>
              </w:rPr>
              <w:t>varianta Maximální</w:t>
            </w:r>
          </w:p>
        </w:tc>
      </w:tr>
      <w:tr w:rsidR="009D1EC7" w:rsidTr="002E1CD4">
        <w:trPr>
          <w:jc w:val="center"/>
        </w:trPr>
        <w:tc>
          <w:tcPr>
            <w:tcW w:w="1983" w:type="dxa"/>
            <w:tcBorders>
              <w:top w:val="single" w:sz="12" w:space="0" w:color="auto"/>
            </w:tcBorders>
            <w:shd w:val="pct12" w:color="auto" w:fill="auto"/>
            <w:vAlign w:val="center"/>
          </w:tcPr>
          <w:p w:rsidR="009D1EC7" w:rsidRPr="000A7F57" w:rsidRDefault="009D1EC7" w:rsidP="009D1EC7">
            <w:pPr>
              <w:spacing w:before="120" w:after="120"/>
              <w:jc w:val="center"/>
              <w:rPr>
                <w:rFonts w:eastAsia="Arial Unicode MS"/>
                <w:sz w:val="18"/>
              </w:rPr>
            </w:pPr>
            <w:r w:rsidRPr="000A7F57">
              <w:rPr>
                <w:rFonts w:eastAsia="Arial Unicode MS"/>
                <w:sz w:val="18"/>
              </w:rPr>
              <w:t>FRR [%]</w:t>
            </w:r>
          </w:p>
        </w:tc>
        <w:tc>
          <w:tcPr>
            <w:tcW w:w="2455" w:type="dxa"/>
            <w:tcBorders>
              <w:top w:val="single" w:sz="12" w:space="0" w:color="auto"/>
            </w:tcBorders>
            <w:vAlign w:val="center"/>
          </w:tcPr>
          <w:p w:rsidR="009D1EC7" w:rsidRPr="000A7F57" w:rsidRDefault="009D1EC7" w:rsidP="009D1EC7">
            <w:pPr>
              <w:spacing w:before="120" w:after="120"/>
              <w:jc w:val="center"/>
              <w:rPr>
                <w:rFonts w:eastAsia="Arial Unicode MS"/>
                <w:bCs/>
                <w:kern w:val="28"/>
                <w:sz w:val="18"/>
              </w:rPr>
            </w:pPr>
            <w:r w:rsidRPr="000A7F57">
              <w:rPr>
                <w:rFonts w:eastAsia="Arial Unicode MS"/>
                <w:sz w:val="18"/>
              </w:rPr>
              <w:t>-5,86</w:t>
            </w:r>
          </w:p>
        </w:tc>
        <w:tc>
          <w:tcPr>
            <w:tcW w:w="2455" w:type="dxa"/>
            <w:tcBorders>
              <w:top w:val="single" w:sz="12" w:space="0" w:color="auto"/>
            </w:tcBorders>
            <w:vAlign w:val="center"/>
          </w:tcPr>
          <w:p w:rsidR="009D1EC7" w:rsidRPr="000A7F57" w:rsidRDefault="009D1EC7" w:rsidP="009D1EC7">
            <w:pPr>
              <w:spacing w:before="120" w:after="120"/>
              <w:jc w:val="center"/>
              <w:rPr>
                <w:rFonts w:eastAsia="Arial Unicode MS"/>
                <w:bCs/>
                <w:kern w:val="28"/>
                <w:sz w:val="18"/>
              </w:rPr>
            </w:pPr>
            <w:r w:rsidRPr="000A7F57">
              <w:rPr>
                <w:rFonts w:eastAsia="Arial Unicode MS"/>
                <w:sz w:val="18"/>
              </w:rPr>
              <w:t>- 9,58</w:t>
            </w:r>
          </w:p>
        </w:tc>
        <w:tc>
          <w:tcPr>
            <w:tcW w:w="2456" w:type="dxa"/>
            <w:gridSpan w:val="2"/>
            <w:tcBorders>
              <w:top w:val="single" w:sz="12" w:space="0" w:color="auto"/>
            </w:tcBorders>
            <w:vAlign w:val="center"/>
          </w:tcPr>
          <w:p w:rsidR="009D1EC7" w:rsidRPr="000A7F57" w:rsidRDefault="009D1EC7" w:rsidP="009D1EC7">
            <w:pPr>
              <w:spacing w:before="120" w:after="120"/>
              <w:jc w:val="center"/>
              <w:rPr>
                <w:rFonts w:eastAsia="Arial Unicode MS"/>
                <w:bCs/>
                <w:kern w:val="28"/>
                <w:sz w:val="18"/>
              </w:rPr>
            </w:pPr>
            <w:r w:rsidRPr="000A7F57">
              <w:rPr>
                <w:rFonts w:eastAsia="Arial Unicode MS"/>
                <w:sz w:val="18"/>
              </w:rPr>
              <w:t>- 7,79</w:t>
            </w:r>
          </w:p>
        </w:tc>
      </w:tr>
      <w:tr w:rsidR="009D1EC7" w:rsidTr="002E1CD4">
        <w:trPr>
          <w:jc w:val="center"/>
        </w:trPr>
        <w:tc>
          <w:tcPr>
            <w:tcW w:w="1983" w:type="dxa"/>
            <w:shd w:val="pct12" w:color="auto" w:fill="auto"/>
            <w:vAlign w:val="center"/>
          </w:tcPr>
          <w:p w:rsidR="009D1EC7" w:rsidRPr="000A7F57" w:rsidRDefault="009D1EC7" w:rsidP="009D1EC7">
            <w:pPr>
              <w:spacing w:before="120" w:after="120"/>
              <w:jc w:val="center"/>
              <w:rPr>
                <w:rFonts w:eastAsia="Arial Unicode MS"/>
                <w:sz w:val="18"/>
              </w:rPr>
            </w:pPr>
            <w:r w:rsidRPr="000A7F57">
              <w:rPr>
                <w:rFonts w:eastAsia="Arial Unicode MS"/>
                <w:sz w:val="18"/>
              </w:rPr>
              <w:t>FNPV [tis. Kč]</w:t>
            </w:r>
          </w:p>
        </w:tc>
        <w:tc>
          <w:tcPr>
            <w:tcW w:w="2455" w:type="dxa"/>
            <w:vAlign w:val="center"/>
          </w:tcPr>
          <w:p w:rsidR="009D1EC7" w:rsidRPr="000A7F57" w:rsidRDefault="009D1EC7" w:rsidP="009D1EC7">
            <w:pPr>
              <w:spacing w:before="120" w:after="120"/>
              <w:jc w:val="center"/>
              <w:rPr>
                <w:rFonts w:eastAsia="Arial Unicode MS"/>
                <w:bCs/>
                <w:kern w:val="28"/>
                <w:sz w:val="18"/>
              </w:rPr>
            </w:pPr>
            <w:r w:rsidRPr="000A7F57">
              <w:rPr>
                <w:rFonts w:eastAsia="Arial Unicode MS"/>
                <w:sz w:val="18"/>
              </w:rPr>
              <w:t>- 624 100</w:t>
            </w:r>
          </w:p>
        </w:tc>
        <w:tc>
          <w:tcPr>
            <w:tcW w:w="2455" w:type="dxa"/>
            <w:vAlign w:val="center"/>
          </w:tcPr>
          <w:p w:rsidR="009D1EC7" w:rsidRPr="000A7F57" w:rsidRDefault="009D1EC7" w:rsidP="009D1EC7">
            <w:pPr>
              <w:spacing w:before="120" w:after="120"/>
              <w:jc w:val="center"/>
              <w:rPr>
                <w:rFonts w:eastAsia="Arial Unicode MS"/>
                <w:bCs/>
                <w:kern w:val="28"/>
                <w:sz w:val="18"/>
              </w:rPr>
            </w:pPr>
            <w:r w:rsidRPr="000A7F57">
              <w:rPr>
                <w:rFonts w:eastAsia="Arial Unicode MS"/>
                <w:sz w:val="18"/>
              </w:rPr>
              <w:t>- 603 535</w:t>
            </w:r>
          </w:p>
        </w:tc>
        <w:tc>
          <w:tcPr>
            <w:tcW w:w="2456" w:type="dxa"/>
            <w:gridSpan w:val="2"/>
            <w:vAlign w:val="center"/>
          </w:tcPr>
          <w:p w:rsidR="009D1EC7" w:rsidRPr="000A7F57" w:rsidRDefault="009D1EC7" w:rsidP="009D1EC7">
            <w:pPr>
              <w:spacing w:before="120" w:after="120"/>
              <w:jc w:val="center"/>
              <w:rPr>
                <w:rFonts w:eastAsia="Arial Unicode MS"/>
                <w:bCs/>
                <w:kern w:val="28"/>
                <w:sz w:val="18"/>
              </w:rPr>
            </w:pPr>
            <w:r w:rsidRPr="000A7F57">
              <w:rPr>
                <w:rFonts w:eastAsia="Arial Unicode MS"/>
                <w:sz w:val="18"/>
              </w:rPr>
              <w:t>- 2 385 026</w:t>
            </w:r>
          </w:p>
        </w:tc>
      </w:tr>
    </w:tbl>
    <w:p w:rsidR="00F7599B" w:rsidRDefault="00F7599B" w:rsidP="00F7599B"/>
    <w:p w:rsidR="009D1EC7" w:rsidRDefault="009D1EC7">
      <w:bookmarkStart w:id="310" w:name="_Toc316377681"/>
      <w:r>
        <w:rPr>
          <w:b/>
        </w:rPr>
        <w:br w:type="page"/>
      </w:r>
    </w:p>
    <w:tbl>
      <w:tblPr>
        <w:tblW w:w="9370" w:type="dxa"/>
        <w:jc w:val="center"/>
        <w:tblInd w:w="5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18"/>
        <w:gridCol w:w="1081"/>
        <w:gridCol w:w="1082"/>
        <w:gridCol w:w="1081"/>
        <w:gridCol w:w="1082"/>
        <w:gridCol w:w="1081"/>
        <w:gridCol w:w="1082"/>
        <w:gridCol w:w="1081"/>
        <w:gridCol w:w="1082"/>
      </w:tblGrid>
      <w:tr w:rsidR="00ED18BC" w:rsidTr="009D1EC7">
        <w:trPr>
          <w:cantSplit/>
          <w:trHeight w:val="20"/>
          <w:jc w:val="center"/>
        </w:trPr>
        <w:tc>
          <w:tcPr>
            <w:tcW w:w="9370" w:type="dxa"/>
            <w:gridSpan w:val="9"/>
            <w:tcBorders>
              <w:bottom w:val="single" w:sz="4" w:space="0" w:color="000000"/>
            </w:tcBorders>
          </w:tcPr>
          <w:p w:rsidR="006819BA" w:rsidRDefault="00ED18BC" w:rsidP="009D1EC7">
            <w:pPr>
              <w:pStyle w:val="Titulek"/>
            </w:pPr>
            <w:bookmarkStart w:id="311" w:name="_Toc390958786"/>
            <w:bookmarkStart w:id="312" w:name="_Toc391034590"/>
            <w:r w:rsidRPr="00ED18BC">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10</w:t>
            </w:r>
            <w:r w:rsidR="000E79AE">
              <w:fldChar w:fldCharType="end"/>
            </w:r>
            <w:r w:rsidRPr="00ED18BC">
              <w:t xml:space="preserve">: Finanční analýza varianta </w:t>
            </w:r>
            <w:r>
              <w:t>Minimální</w:t>
            </w:r>
            <w:r w:rsidRPr="00ED18BC">
              <w:t xml:space="preserve"> v tis. Kč (CÚ </w:t>
            </w:r>
            <w:r w:rsidR="00BC0CBC" w:rsidRPr="00ED18BC">
              <w:t>201</w:t>
            </w:r>
            <w:r w:rsidR="00BC0CBC">
              <w:t>3</w:t>
            </w:r>
            <w:r w:rsidRPr="00ED18BC">
              <w:t>)</w:t>
            </w:r>
            <w:bookmarkEnd w:id="310"/>
            <w:bookmarkEnd w:id="311"/>
            <w:bookmarkEnd w:id="312"/>
          </w:p>
        </w:tc>
      </w:tr>
      <w:tr w:rsidR="009D1EC7" w:rsidTr="009D1EC7">
        <w:trPr>
          <w:cantSplit/>
          <w:trHeight w:val="20"/>
          <w:jc w:val="center"/>
        </w:trPr>
        <w:tc>
          <w:tcPr>
            <w:tcW w:w="718" w:type="dxa"/>
            <w:tcBorders>
              <w:bottom w:val="single" w:sz="12" w:space="0" w:color="auto"/>
            </w:tcBorders>
            <w:shd w:val="pct12" w:color="auto" w:fill="auto"/>
            <w:vAlign w:val="center"/>
          </w:tcPr>
          <w:p w:rsidR="00ED18BC" w:rsidRPr="009D1EC7" w:rsidRDefault="00ED18BC" w:rsidP="009D1EC7">
            <w:pPr>
              <w:spacing w:before="0" w:after="0" w:line="264" w:lineRule="auto"/>
              <w:rPr>
                <w:rFonts w:eastAsia="Arial Unicode MS" w:cs="Tahoma"/>
                <w:b/>
                <w:sz w:val="16"/>
                <w:szCs w:val="18"/>
              </w:rPr>
            </w:pPr>
            <w:r w:rsidRPr="009D1EC7">
              <w:rPr>
                <w:rFonts w:eastAsia="Arial Unicode MS" w:cs="Tahoma"/>
                <w:b/>
                <w:sz w:val="16"/>
                <w:szCs w:val="18"/>
              </w:rPr>
              <w:t>rok</w:t>
            </w:r>
          </w:p>
        </w:tc>
        <w:tc>
          <w:tcPr>
            <w:tcW w:w="1081" w:type="dxa"/>
            <w:tcBorders>
              <w:bottom w:val="single" w:sz="12" w:space="0" w:color="auto"/>
            </w:tcBorders>
            <w:shd w:val="pct12" w:color="auto" w:fill="auto"/>
            <w:vAlign w:val="center"/>
          </w:tcPr>
          <w:p w:rsidR="00ED18BC" w:rsidRPr="009D1EC7" w:rsidRDefault="00ED18BC" w:rsidP="009D1EC7">
            <w:pPr>
              <w:spacing w:before="0" w:after="0" w:line="264" w:lineRule="auto"/>
              <w:jc w:val="center"/>
              <w:rPr>
                <w:rFonts w:eastAsia="Arial Unicode MS" w:cs="Tahoma"/>
                <w:b/>
                <w:sz w:val="16"/>
                <w:szCs w:val="18"/>
              </w:rPr>
            </w:pPr>
            <w:r w:rsidRPr="009D1EC7">
              <w:rPr>
                <w:rFonts w:eastAsia="Arial Unicode MS" w:cs="Tahoma"/>
                <w:b/>
                <w:sz w:val="16"/>
                <w:szCs w:val="18"/>
              </w:rPr>
              <w:t>investiční náklady</w:t>
            </w:r>
          </w:p>
        </w:tc>
        <w:tc>
          <w:tcPr>
            <w:tcW w:w="1082" w:type="dxa"/>
            <w:tcBorders>
              <w:bottom w:val="single" w:sz="12" w:space="0" w:color="auto"/>
            </w:tcBorders>
            <w:shd w:val="pct12" w:color="auto" w:fill="auto"/>
            <w:vAlign w:val="center"/>
          </w:tcPr>
          <w:p w:rsidR="00ED18BC" w:rsidRPr="009D1EC7" w:rsidRDefault="00ED18BC" w:rsidP="009D1EC7">
            <w:pPr>
              <w:spacing w:before="0" w:after="0" w:line="264" w:lineRule="auto"/>
              <w:jc w:val="center"/>
              <w:rPr>
                <w:rFonts w:eastAsia="Arial Unicode MS" w:cs="Tahoma"/>
                <w:b/>
                <w:sz w:val="16"/>
                <w:szCs w:val="18"/>
              </w:rPr>
            </w:pPr>
            <w:r w:rsidRPr="009D1EC7">
              <w:rPr>
                <w:rFonts w:eastAsia="Arial Unicode MS" w:cs="Tahoma"/>
                <w:b/>
                <w:sz w:val="16"/>
                <w:szCs w:val="18"/>
              </w:rPr>
              <w:t>zbytková hodnota</w:t>
            </w:r>
          </w:p>
        </w:tc>
        <w:tc>
          <w:tcPr>
            <w:tcW w:w="1081" w:type="dxa"/>
            <w:tcBorders>
              <w:bottom w:val="single" w:sz="12" w:space="0" w:color="auto"/>
            </w:tcBorders>
            <w:shd w:val="pct12" w:color="auto" w:fill="auto"/>
            <w:vAlign w:val="center"/>
          </w:tcPr>
          <w:p w:rsidR="00ED18BC" w:rsidRPr="009D1EC7" w:rsidRDefault="00ED18BC" w:rsidP="009D1EC7">
            <w:pPr>
              <w:spacing w:before="0" w:after="0" w:line="264" w:lineRule="auto"/>
              <w:jc w:val="center"/>
              <w:rPr>
                <w:rFonts w:eastAsia="Arial Unicode MS" w:cs="Tahoma"/>
                <w:b/>
                <w:sz w:val="16"/>
                <w:szCs w:val="18"/>
              </w:rPr>
            </w:pPr>
            <w:r w:rsidRPr="009D1EC7">
              <w:rPr>
                <w:rFonts w:eastAsia="Arial Unicode MS" w:cs="Tahoma"/>
                <w:b/>
                <w:sz w:val="16"/>
                <w:szCs w:val="18"/>
              </w:rPr>
              <w:t>úspora PN na řízení dopravy</w:t>
            </w:r>
          </w:p>
        </w:tc>
        <w:tc>
          <w:tcPr>
            <w:tcW w:w="1082" w:type="dxa"/>
            <w:tcBorders>
              <w:bottom w:val="single" w:sz="12" w:space="0" w:color="auto"/>
            </w:tcBorders>
            <w:shd w:val="pct12" w:color="auto" w:fill="auto"/>
            <w:vAlign w:val="center"/>
          </w:tcPr>
          <w:p w:rsidR="00ED18BC" w:rsidRPr="009D1EC7" w:rsidRDefault="00ED18BC" w:rsidP="009D1EC7">
            <w:pPr>
              <w:spacing w:before="0" w:after="0" w:line="264" w:lineRule="auto"/>
              <w:jc w:val="center"/>
              <w:rPr>
                <w:rFonts w:eastAsia="Arial Unicode MS" w:cs="Tahoma"/>
                <w:b/>
                <w:sz w:val="16"/>
                <w:szCs w:val="18"/>
              </w:rPr>
            </w:pPr>
            <w:r w:rsidRPr="009D1EC7">
              <w:rPr>
                <w:rFonts w:eastAsia="Arial Unicode MS" w:cs="Tahoma"/>
                <w:b/>
                <w:sz w:val="16"/>
                <w:szCs w:val="18"/>
              </w:rPr>
              <w:t>úspora PN infrastruktury</w:t>
            </w:r>
          </w:p>
        </w:tc>
        <w:tc>
          <w:tcPr>
            <w:tcW w:w="1081" w:type="dxa"/>
            <w:tcBorders>
              <w:bottom w:val="single" w:sz="12" w:space="0" w:color="auto"/>
            </w:tcBorders>
            <w:shd w:val="pct12" w:color="auto" w:fill="auto"/>
            <w:vAlign w:val="center"/>
          </w:tcPr>
          <w:p w:rsidR="00ED18BC" w:rsidRPr="009D1EC7" w:rsidRDefault="00ED18BC" w:rsidP="009D1EC7">
            <w:pPr>
              <w:spacing w:before="0" w:after="0" w:line="264" w:lineRule="auto"/>
              <w:jc w:val="center"/>
              <w:rPr>
                <w:rFonts w:eastAsia="Arial Unicode MS" w:cs="Tahoma"/>
                <w:b/>
                <w:sz w:val="16"/>
                <w:szCs w:val="18"/>
              </w:rPr>
            </w:pPr>
            <w:r w:rsidRPr="009D1EC7">
              <w:rPr>
                <w:rFonts w:eastAsia="Arial Unicode MS" w:cs="Tahoma"/>
                <w:b/>
                <w:sz w:val="16"/>
                <w:szCs w:val="18"/>
              </w:rPr>
              <w:t>zvýšení příjmu z poplatku za DC</w:t>
            </w:r>
          </w:p>
        </w:tc>
        <w:tc>
          <w:tcPr>
            <w:tcW w:w="1082" w:type="dxa"/>
            <w:tcBorders>
              <w:bottom w:val="single" w:sz="12" w:space="0" w:color="auto"/>
            </w:tcBorders>
            <w:shd w:val="pct12" w:color="auto" w:fill="auto"/>
            <w:vAlign w:val="center"/>
          </w:tcPr>
          <w:p w:rsidR="00ED18BC" w:rsidRPr="009D1EC7" w:rsidRDefault="00ED18BC" w:rsidP="009D1EC7">
            <w:pPr>
              <w:spacing w:before="0" w:after="0" w:line="264" w:lineRule="auto"/>
              <w:jc w:val="center"/>
              <w:rPr>
                <w:rFonts w:eastAsia="Arial Unicode MS" w:cs="Tahoma"/>
                <w:b/>
                <w:sz w:val="16"/>
                <w:szCs w:val="18"/>
              </w:rPr>
            </w:pPr>
            <w:r w:rsidRPr="009D1EC7">
              <w:rPr>
                <w:rFonts w:eastAsia="Arial Unicode MS" w:cs="Tahoma"/>
                <w:b/>
                <w:sz w:val="16"/>
                <w:szCs w:val="18"/>
              </w:rPr>
              <w:t>dodatečné příjmy</w:t>
            </w:r>
          </w:p>
        </w:tc>
        <w:tc>
          <w:tcPr>
            <w:tcW w:w="1081" w:type="dxa"/>
            <w:tcBorders>
              <w:bottom w:val="single" w:sz="12" w:space="0" w:color="auto"/>
            </w:tcBorders>
            <w:shd w:val="pct12" w:color="auto" w:fill="auto"/>
            <w:vAlign w:val="center"/>
          </w:tcPr>
          <w:p w:rsidR="00ED18BC" w:rsidRPr="009D1EC7" w:rsidRDefault="00ED18BC" w:rsidP="009D1EC7">
            <w:pPr>
              <w:spacing w:before="0" w:after="0" w:line="264" w:lineRule="auto"/>
              <w:jc w:val="center"/>
              <w:rPr>
                <w:rFonts w:eastAsia="Arial Unicode MS" w:cs="Tahoma"/>
                <w:b/>
                <w:sz w:val="16"/>
                <w:szCs w:val="18"/>
              </w:rPr>
            </w:pPr>
            <w:r w:rsidRPr="009D1EC7">
              <w:rPr>
                <w:rFonts w:eastAsia="Arial Unicode MS" w:cs="Tahoma"/>
                <w:b/>
                <w:sz w:val="16"/>
                <w:szCs w:val="18"/>
              </w:rPr>
              <w:t>cash flow</w:t>
            </w:r>
          </w:p>
        </w:tc>
        <w:tc>
          <w:tcPr>
            <w:tcW w:w="1082" w:type="dxa"/>
            <w:tcBorders>
              <w:bottom w:val="single" w:sz="12" w:space="0" w:color="auto"/>
            </w:tcBorders>
            <w:shd w:val="pct12" w:color="auto" w:fill="auto"/>
            <w:vAlign w:val="center"/>
          </w:tcPr>
          <w:p w:rsidR="00ED18BC" w:rsidRPr="009D1EC7" w:rsidRDefault="00ED18BC" w:rsidP="009D1EC7">
            <w:pPr>
              <w:spacing w:before="0" w:after="0" w:line="264" w:lineRule="auto"/>
              <w:jc w:val="center"/>
              <w:rPr>
                <w:rFonts w:eastAsia="Arial Unicode MS" w:cs="Tahoma"/>
                <w:b/>
                <w:sz w:val="16"/>
                <w:szCs w:val="18"/>
              </w:rPr>
            </w:pPr>
            <w:r w:rsidRPr="009D1EC7">
              <w:rPr>
                <w:rFonts w:eastAsia="Arial Unicode MS" w:cs="Tahoma"/>
                <w:b/>
                <w:sz w:val="16"/>
                <w:szCs w:val="18"/>
              </w:rPr>
              <w:t>kumulovaný CF</w:t>
            </w:r>
          </w:p>
        </w:tc>
      </w:tr>
      <w:tr w:rsidR="009D1EC7" w:rsidTr="009D1EC7">
        <w:trPr>
          <w:cantSplit/>
          <w:trHeight w:val="20"/>
          <w:jc w:val="center"/>
        </w:trPr>
        <w:tc>
          <w:tcPr>
            <w:tcW w:w="718" w:type="dxa"/>
            <w:tcBorders>
              <w:top w:val="single" w:sz="12" w:space="0" w:color="auto"/>
            </w:tcBorders>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2014</w:t>
            </w:r>
          </w:p>
        </w:tc>
        <w:tc>
          <w:tcPr>
            <w:tcW w:w="1081" w:type="dxa"/>
            <w:tcBorders>
              <w:top w:val="single" w:sz="12" w:space="0" w:color="auto"/>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856 469</w:t>
            </w:r>
          </w:p>
        </w:tc>
        <w:tc>
          <w:tcPr>
            <w:tcW w:w="1082" w:type="dxa"/>
            <w:tcBorders>
              <w:top w:val="single" w:sz="12" w:space="0" w:color="auto"/>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tcBorders>
              <w:top w:val="single" w:sz="12" w:space="0" w:color="auto"/>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tcBorders>
              <w:top w:val="single" w:sz="12" w:space="0" w:color="auto"/>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156 825</w:t>
            </w:r>
          </w:p>
        </w:tc>
        <w:tc>
          <w:tcPr>
            <w:tcW w:w="1081" w:type="dxa"/>
            <w:tcBorders>
              <w:top w:val="single" w:sz="12" w:space="0" w:color="auto"/>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tcBorders>
              <w:top w:val="single" w:sz="12" w:space="0" w:color="auto"/>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11 648</w:t>
            </w:r>
          </w:p>
        </w:tc>
        <w:tc>
          <w:tcPr>
            <w:tcW w:w="1081" w:type="dxa"/>
            <w:tcBorders>
              <w:top w:val="single" w:sz="12" w:space="0" w:color="auto"/>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-687 996</w:t>
            </w:r>
          </w:p>
        </w:tc>
        <w:tc>
          <w:tcPr>
            <w:tcW w:w="1082" w:type="dxa"/>
            <w:tcBorders>
              <w:top w:val="single" w:sz="12" w:space="0" w:color="auto"/>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-687 996</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2015</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1 275 522</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-2 336</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298 300</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17 347</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-962 211</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-1 650 207</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2016</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17 956</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371 156</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384 674</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-1 265 534</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2017</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18 405</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325 848</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339 815</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-925 719</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2018</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19 306</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88 678</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103 546</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-822 172</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2019</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15 650</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1 759</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12 970</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-809 202</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2020</w:t>
            </w: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16 041</w:t>
            </w: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178 442</w:t>
            </w: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190 045</w:t>
            </w: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-619 157</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2021</w:t>
            </w: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16 442</w:t>
            </w: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690</w:t>
            </w: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12 694</w:t>
            </w: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-606 463</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2022</w:t>
            </w: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16 853</w:t>
            </w: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772</w:t>
            </w: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13 187</w:t>
            </w: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-593 276</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2023</w:t>
            </w: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17 274</w:t>
            </w: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856</w:t>
            </w: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13 692</w:t>
            </w: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-579 584</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2024</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17 706</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940</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14 209</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-565 375</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2025</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18 149</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1 026</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14 737</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-550 638</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2026</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18 149</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1 113</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14 824</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-535 813</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2027</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18 149</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1 202</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14 913</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-520 901</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2028</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18 149</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1 292</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15 002</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-505 898</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2029</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18 149</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7 276</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20 987</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-484 911</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2030</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18 149</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84 351</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98 062</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-386 849</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2031</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18 149</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42 925</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56 636</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-330 213</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2032</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18 149</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5 799</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19 510</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-310 703</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2033</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18 149</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-28 666</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-14 955</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-325 659</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2034</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19 453</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149 719</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164 734</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-160 925</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2035</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8 417</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662</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4 642</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-156 283</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2036</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8 417</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-455 158</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-451 179</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-607 462</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2037</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8 417</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1 831</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5 810</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-601 652</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2038</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8 417</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1 849</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5 829</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-595 823</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2039</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8 417</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2 459</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-589 385</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2040</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8 417</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11 302</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15 282</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-574 103</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2041</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8 417</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1 905</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5 885</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-568 219</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2042</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8 417</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1 924</w:t>
            </w: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5 904</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-562 315</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2043</w:t>
            </w: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110 977</w:t>
            </w: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8 417</w:t>
            </w: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1 944</w:t>
            </w: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-4 438</w:t>
            </w: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1"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116 900</w:t>
            </w:r>
          </w:p>
        </w:tc>
        <w:tc>
          <w:tcPr>
            <w:tcW w:w="1082"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-445 415</w:t>
            </w:r>
          </w:p>
        </w:tc>
      </w:tr>
      <w:tr w:rsidR="009D1EC7" w:rsidTr="009D1EC7">
        <w:trPr>
          <w:cantSplit/>
          <w:trHeight w:val="20"/>
          <w:jc w:val="center"/>
        </w:trPr>
        <w:tc>
          <w:tcPr>
            <w:tcW w:w="718" w:type="dxa"/>
            <w:shd w:val="pct12" w:color="auto" w:fill="auto"/>
            <w:vAlign w:val="center"/>
          </w:tcPr>
          <w:p w:rsidR="004427D7" w:rsidRPr="009D1EC7" w:rsidRDefault="004427D7" w:rsidP="009D1EC7">
            <w:pPr>
              <w:spacing w:before="0" w:after="0" w:line="264" w:lineRule="auto"/>
              <w:rPr>
                <w:rFonts w:eastAsia="Arial Unicode MS" w:cs="Tahoma"/>
                <w:b/>
                <w:sz w:val="16"/>
                <w:szCs w:val="18"/>
              </w:rPr>
            </w:pPr>
            <w:r w:rsidRPr="009D1EC7">
              <w:rPr>
                <w:rFonts w:eastAsia="Arial Unicode MS" w:cs="Tahoma"/>
                <w:b/>
                <w:sz w:val="16"/>
                <w:szCs w:val="18"/>
              </w:rPr>
              <w:t>NPV</w:t>
            </w:r>
          </w:p>
        </w:tc>
        <w:tc>
          <w:tcPr>
            <w:tcW w:w="1081" w:type="dxa"/>
            <w:tcBorders>
              <w:bottom w:val="single" w:sz="4" w:space="0" w:color="000000"/>
            </w:tcBorders>
            <w:shd w:val="pct12" w:color="auto" w:fill="auto"/>
            <w:vAlign w:val="center"/>
          </w:tcPr>
          <w:p w:rsidR="004427D7" w:rsidRPr="009D1EC7" w:rsidRDefault="004427D7" w:rsidP="009D1EC7">
            <w:pPr>
              <w:spacing w:before="0" w:after="0" w:line="264" w:lineRule="auto"/>
              <w:jc w:val="right"/>
              <w:rPr>
                <w:rFonts w:eastAsia="Arial Unicode MS" w:cs="Tahoma"/>
                <w:b/>
                <w:sz w:val="16"/>
                <w:szCs w:val="18"/>
              </w:rPr>
            </w:pPr>
            <w:r w:rsidRPr="009D1EC7">
              <w:rPr>
                <w:rFonts w:eastAsia="Arial Unicode MS" w:cs="Tahoma"/>
                <w:b/>
                <w:sz w:val="16"/>
                <w:szCs w:val="18"/>
              </w:rPr>
              <w:t>2 071 253</w:t>
            </w:r>
          </w:p>
        </w:tc>
        <w:tc>
          <w:tcPr>
            <w:tcW w:w="1082" w:type="dxa"/>
            <w:tcBorders>
              <w:bottom w:val="single" w:sz="4" w:space="0" w:color="000000"/>
            </w:tcBorders>
            <w:shd w:val="pct12" w:color="auto" w:fill="auto"/>
            <w:vAlign w:val="center"/>
          </w:tcPr>
          <w:p w:rsidR="004427D7" w:rsidRPr="009D1EC7" w:rsidRDefault="004427D7" w:rsidP="009D1EC7">
            <w:pPr>
              <w:spacing w:before="0" w:after="0" w:line="264" w:lineRule="auto"/>
              <w:jc w:val="right"/>
              <w:rPr>
                <w:rFonts w:eastAsia="Arial Unicode MS" w:cs="Tahoma"/>
                <w:b/>
                <w:sz w:val="16"/>
                <w:szCs w:val="18"/>
              </w:rPr>
            </w:pPr>
            <w:r w:rsidRPr="009D1EC7">
              <w:rPr>
                <w:rFonts w:eastAsia="Arial Unicode MS" w:cs="Tahoma"/>
                <w:b/>
                <w:sz w:val="16"/>
                <w:szCs w:val="18"/>
              </w:rPr>
              <w:t>26 961</w:t>
            </w:r>
          </w:p>
        </w:tc>
        <w:tc>
          <w:tcPr>
            <w:tcW w:w="1081" w:type="dxa"/>
            <w:tcBorders>
              <w:bottom w:val="single" w:sz="4" w:space="0" w:color="000000"/>
            </w:tcBorders>
            <w:shd w:val="pct12" w:color="auto" w:fill="auto"/>
            <w:vAlign w:val="center"/>
          </w:tcPr>
          <w:p w:rsidR="004427D7" w:rsidRPr="009D1EC7" w:rsidRDefault="004427D7" w:rsidP="009D1EC7">
            <w:pPr>
              <w:spacing w:before="0" w:after="0" w:line="264" w:lineRule="auto"/>
              <w:jc w:val="right"/>
              <w:rPr>
                <w:rFonts w:eastAsia="Arial Unicode MS" w:cs="Tahoma"/>
                <w:b/>
                <w:sz w:val="16"/>
                <w:szCs w:val="18"/>
              </w:rPr>
            </w:pPr>
            <w:r w:rsidRPr="009D1EC7">
              <w:rPr>
                <w:rFonts w:eastAsia="Arial Unicode MS" w:cs="Tahoma"/>
                <w:b/>
                <w:sz w:val="16"/>
                <w:szCs w:val="18"/>
              </w:rPr>
              <w:t>224 248</w:t>
            </w:r>
          </w:p>
        </w:tc>
        <w:tc>
          <w:tcPr>
            <w:tcW w:w="1082" w:type="dxa"/>
            <w:tcBorders>
              <w:bottom w:val="single" w:sz="4" w:space="0" w:color="000000"/>
            </w:tcBorders>
            <w:shd w:val="pct12" w:color="auto" w:fill="auto"/>
            <w:vAlign w:val="center"/>
          </w:tcPr>
          <w:p w:rsidR="004427D7" w:rsidRPr="009D1EC7" w:rsidRDefault="004427D7" w:rsidP="009D1EC7">
            <w:pPr>
              <w:spacing w:before="0" w:after="0" w:line="264" w:lineRule="auto"/>
              <w:jc w:val="right"/>
              <w:rPr>
                <w:rFonts w:eastAsia="Arial Unicode MS" w:cs="Tahoma"/>
                <w:b/>
                <w:sz w:val="16"/>
                <w:szCs w:val="18"/>
              </w:rPr>
            </w:pPr>
            <w:r w:rsidRPr="009D1EC7">
              <w:rPr>
                <w:rFonts w:eastAsia="Arial Unicode MS" w:cs="Tahoma"/>
                <w:b/>
                <w:sz w:val="16"/>
                <w:szCs w:val="18"/>
              </w:rPr>
              <w:t>1 230 744</w:t>
            </w:r>
          </w:p>
        </w:tc>
        <w:tc>
          <w:tcPr>
            <w:tcW w:w="1081" w:type="dxa"/>
            <w:tcBorders>
              <w:bottom w:val="single" w:sz="4" w:space="0" w:color="000000"/>
            </w:tcBorders>
            <w:shd w:val="pct12" w:color="auto" w:fill="auto"/>
            <w:vAlign w:val="center"/>
          </w:tcPr>
          <w:p w:rsidR="004427D7" w:rsidRPr="009D1EC7" w:rsidRDefault="004427D7" w:rsidP="009D1EC7">
            <w:pPr>
              <w:spacing w:before="0" w:after="0" w:line="264" w:lineRule="auto"/>
              <w:jc w:val="right"/>
              <w:rPr>
                <w:rFonts w:eastAsia="Arial Unicode MS" w:cs="Tahoma"/>
                <w:b/>
                <w:sz w:val="16"/>
                <w:szCs w:val="18"/>
              </w:rPr>
            </w:pPr>
            <w:r w:rsidRPr="009D1EC7">
              <w:rPr>
                <w:rFonts w:eastAsia="Arial Unicode MS" w:cs="Tahoma"/>
                <w:b/>
                <w:sz w:val="16"/>
                <w:szCs w:val="18"/>
              </w:rPr>
              <w:t>-62 969</w:t>
            </w:r>
          </w:p>
        </w:tc>
        <w:tc>
          <w:tcPr>
            <w:tcW w:w="1082" w:type="dxa"/>
            <w:tcBorders>
              <w:bottom w:val="single" w:sz="4" w:space="0" w:color="000000"/>
            </w:tcBorders>
            <w:shd w:val="pct12" w:color="auto" w:fill="auto"/>
            <w:vAlign w:val="center"/>
          </w:tcPr>
          <w:p w:rsidR="004427D7" w:rsidRPr="009D1EC7" w:rsidRDefault="004427D7" w:rsidP="009D1EC7">
            <w:pPr>
              <w:spacing w:before="0" w:after="0" w:line="264" w:lineRule="auto"/>
              <w:jc w:val="right"/>
              <w:rPr>
                <w:rFonts w:eastAsia="Arial Unicode MS" w:cs="Tahoma"/>
                <w:b/>
                <w:sz w:val="16"/>
                <w:szCs w:val="18"/>
              </w:rPr>
            </w:pPr>
            <w:r w:rsidRPr="009D1EC7">
              <w:rPr>
                <w:rFonts w:eastAsia="Arial Unicode MS" w:cs="Tahoma"/>
                <w:b/>
                <w:sz w:val="16"/>
                <w:szCs w:val="18"/>
              </w:rPr>
              <w:t>28 169</w:t>
            </w:r>
          </w:p>
        </w:tc>
        <w:tc>
          <w:tcPr>
            <w:tcW w:w="1081" w:type="dxa"/>
            <w:tcBorders>
              <w:bottom w:val="single" w:sz="4" w:space="0" w:color="000000"/>
            </w:tcBorders>
            <w:shd w:val="pct12" w:color="auto" w:fill="auto"/>
            <w:vAlign w:val="center"/>
          </w:tcPr>
          <w:p w:rsidR="004427D7" w:rsidRPr="009D1EC7" w:rsidRDefault="004427D7" w:rsidP="009D1EC7">
            <w:pPr>
              <w:spacing w:before="0" w:after="0" w:line="264" w:lineRule="auto"/>
              <w:jc w:val="right"/>
              <w:rPr>
                <w:rFonts w:eastAsia="Arial Unicode MS" w:cs="Tahoma"/>
                <w:b/>
                <w:sz w:val="16"/>
                <w:szCs w:val="18"/>
              </w:rPr>
            </w:pPr>
            <w:r w:rsidRPr="009D1EC7">
              <w:rPr>
                <w:rFonts w:eastAsia="Arial Unicode MS" w:cs="Tahoma"/>
                <w:b/>
                <w:sz w:val="16"/>
                <w:szCs w:val="18"/>
              </w:rPr>
              <w:t>-624 100</w:t>
            </w:r>
          </w:p>
        </w:tc>
        <w:tc>
          <w:tcPr>
            <w:tcW w:w="1082"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r>
    </w:tbl>
    <w:p w:rsidR="00B73F44" w:rsidRDefault="00B73F44" w:rsidP="00F7599B"/>
    <w:p w:rsidR="00B73F44" w:rsidRPr="00F7599B" w:rsidRDefault="00B73F44" w:rsidP="00F7599B">
      <w:r>
        <w:br w:type="page"/>
      </w:r>
    </w:p>
    <w:tbl>
      <w:tblPr>
        <w:tblW w:w="9379" w:type="dxa"/>
        <w:jc w:val="center"/>
        <w:tblInd w:w="1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98"/>
        <w:gridCol w:w="1085"/>
        <w:gridCol w:w="1085"/>
        <w:gridCol w:w="1085"/>
        <w:gridCol w:w="1085"/>
        <w:gridCol w:w="1085"/>
        <w:gridCol w:w="1085"/>
        <w:gridCol w:w="1085"/>
        <w:gridCol w:w="1086"/>
      </w:tblGrid>
      <w:tr w:rsidR="00B73F44" w:rsidTr="009D1EC7">
        <w:trPr>
          <w:trHeight w:val="20"/>
          <w:jc w:val="center"/>
        </w:trPr>
        <w:tc>
          <w:tcPr>
            <w:tcW w:w="9379" w:type="dxa"/>
            <w:gridSpan w:val="9"/>
            <w:tcBorders>
              <w:bottom w:val="single" w:sz="4" w:space="0" w:color="000000"/>
            </w:tcBorders>
          </w:tcPr>
          <w:p w:rsidR="00B73F44" w:rsidRPr="00ED18BC" w:rsidRDefault="00B73F44" w:rsidP="009D1EC7">
            <w:pPr>
              <w:pStyle w:val="Titulek"/>
            </w:pPr>
            <w:bookmarkStart w:id="313" w:name="_Toc390958787"/>
            <w:bookmarkStart w:id="314" w:name="_Toc391034591"/>
            <w:r w:rsidRPr="005E46F3">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11</w:t>
            </w:r>
            <w:r w:rsidR="000E79AE">
              <w:fldChar w:fldCharType="end"/>
            </w:r>
            <w:r w:rsidRPr="005E46F3">
              <w:t xml:space="preserve">: Finanční analýza varianta </w:t>
            </w:r>
            <w:r w:rsidR="009E270E" w:rsidRPr="005E46F3">
              <w:t>Etapa</w:t>
            </w:r>
            <w:r w:rsidRPr="005E46F3">
              <w:t xml:space="preserve"> v tis. Kč (CÚ 201</w:t>
            </w:r>
            <w:r w:rsidR="00BC0CBC" w:rsidRPr="005E46F3">
              <w:t>3</w:t>
            </w:r>
            <w:r w:rsidRPr="005E46F3">
              <w:t>)</w:t>
            </w:r>
            <w:bookmarkEnd w:id="313"/>
            <w:bookmarkEnd w:id="314"/>
          </w:p>
        </w:tc>
      </w:tr>
      <w:tr w:rsidR="00BF56B0" w:rsidTr="00BF56B0">
        <w:trPr>
          <w:trHeight w:val="20"/>
          <w:jc w:val="center"/>
        </w:trPr>
        <w:tc>
          <w:tcPr>
            <w:tcW w:w="698" w:type="dxa"/>
            <w:tcBorders>
              <w:bottom w:val="single" w:sz="12" w:space="0" w:color="auto"/>
            </w:tcBorders>
            <w:shd w:val="pct12" w:color="auto" w:fill="auto"/>
            <w:vAlign w:val="center"/>
          </w:tcPr>
          <w:p w:rsidR="00B73F44" w:rsidRPr="009D1EC7" w:rsidRDefault="00B73F44" w:rsidP="009D1EC7">
            <w:pPr>
              <w:spacing w:before="0" w:after="0" w:line="264" w:lineRule="auto"/>
              <w:rPr>
                <w:rFonts w:eastAsia="Arial Unicode MS" w:cs="Tahoma"/>
                <w:b/>
                <w:sz w:val="16"/>
                <w:szCs w:val="18"/>
              </w:rPr>
            </w:pPr>
            <w:r w:rsidRPr="009D1EC7">
              <w:rPr>
                <w:rFonts w:eastAsia="Arial Unicode MS" w:cs="Tahoma"/>
                <w:b/>
                <w:sz w:val="16"/>
                <w:szCs w:val="18"/>
              </w:rPr>
              <w:t>rok</w:t>
            </w:r>
          </w:p>
        </w:tc>
        <w:tc>
          <w:tcPr>
            <w:tcW w:w="1085" w:type="dxa"/>
            <w:tcBorders>
              <w:bottom w:val="single" w:sz="12" w:space="0" w:color="auto"/>
            </w:tcBorders>
            <w:shd w:val="pct12" w:color="auto" w:fill="auto"/>
            <w:vAlign w:val="center"/>
          </w:tcPr>
          <w:p w:rsidR="00B73F44" w:rsidRPr="009D1EC7" w:rsidRDefault="00B73F44" w:rsidP="009D1EC7">
            <w:pPr>
              <w:spacing w:before="0" w:after="0" w:line="264" w:lineRule="auto"/>
              <w:rPr>
                <w:rFonts w:eastAsia="Arial Unicode MS" w:cs="Tahoma"/>
                <w:b/>
                <w:sz w:val="16"/>
                <w:szCs w:val="18"/>
              </w:rPr>
            </w:pPr>
            <w:r w:rsidRPr="009D1EC7">
              <w:rPr>
                <w:rFonts w:eastAsia="Arial Unicode MS" w:cs="Tahoma"/>
                <w:b/>
                <w:sz w:val="16"/>
                <w:szCs w:val="18"/>
              </w:rPr>
              <w:t>investiční náklady</w:t>
            </w:r>
          </w:p>
        </w:tc>
        <w:tc>
          <w:tcPr>
            <w:tcW w:w="1085" w:type="dxa"/>
            <w:tcBorders>
              <w:bottom w:val="single" w:sz="12" w:space="0" w:color="auto"/>
            </w:tcBorders>
            <w:shd w:val="pct12" w:color="auto" w:fill="auto"/>
            <w:vAlign w:val="center"/>
          </w:tcPr>
          <w:p w:rsidR="00B73F44" w:rsidRPr="009D1EC7" w:rsidRDefault="00B73F44" w:rsidP="009D1EC7">
            <w:pPr>
              <w:spacing w:before="0" w:after="0" w:line="264" w:lineRule="auto"/>
              <w:rPr>
                <w:rFonts w:eastAsia="Arial Unicode MS" w:cs="Tahoma"/>
                <w:b/>
                <w:sz w:val="16"/>
                <w:szCs w:val="18"/>
              </w:rPr>
            </w:pPr>
            <w:r w:rsidRPr="009D1EC7">
              <w:rPr>
                <w:rFonts w:eastAsia="Arial Unicode MS" w:cs="Tahoma"/>
                <w:b/>
                <w:sz w:val="16"/>
                <w:szCs w:val="18"/>
              </w:rPr>
              <w:t>zbytková hodnota</w:t>
            </w:r>
          </w:p>
        </w:tc>
        <w:tc>
          <w:tcPr>
            <w:tcW w:w="1085" w:type="dxa"/>
            <w:tcBorders>
              <w:bottom w:val="single" w:sz="12" w:space="0" w:color="auto"/>
            </w:tcBorders>
            <w:shd w:val="pct12" w:color="auto" w:fill="auto"/>
            <w:vAlign w:val="center"/>
          </w:tcPr>
          <w:p w:rsidR="00B73F44" w:rsidRPr="009D1EC7" w:rsidRDefault="00B73F44" w:rsidP="009D1EC7">
            <w:pPr>
              <w:spacing w:before="0" w:after="0" w:line="264" w:lineRule="auto"/>
              <w:rPr>
                <w:rFonts w:eastAsia="Arial Unicode MS" w:cs="Tahoma"/>
                <w:b/>
                <w:sz w:val="16"/>
                <w:szCs w:val="18"/>
              </w:rPr>
            </w:pPr>
            <w:r w:rsidRPr="009D1EC7">
              <w:rPr>
                <w:rFonts w:eastAsia="Arial Unicode MS" w:cs="Tahoma"/>
                <w:b/>
                <w:sz w:val="16"/>
                <w:szCs w:val="18"/>
              </w:rPr>
              <w:t>úspora PN na řízení dopravy</w:t>
            </w:r>
          </w:p>
        </w:tc>
        <w:tc>
          <w:tcPr>
            <w:tcW w:w="1085" w:type="dxa"/>
            <w:tcBorders>
              <w:bottom w:val="single" w:sz="12" w:space="0" w:color="auto"/>
            </w:tcBorders>
            <w:shd w:val="pct12" w:color="auto" w:fill="auto"/>
            <w:vAlign w:val="center"/>
          </w:tcPr>
          <w:p w:rsidR="00B73F44" w:rsidRPr="009D1EC7" w:rsidRDefault="00B73F44" w:rsidP="009D1EC7">
            <w:pPr>
              <w:spacing w:before="0" w:after="0" w:line="264" w:lineRule="auto"/>
              <w:rPr>
                <w:rFonts w:eastAsia="Arial Unicode MS" w:cs="Tahoma"/>
                <w:b/>
                <w:sz w:val="16"/>
                <w:szCs w:val="18"/>
              </w:rPr>
            </w:pPr>
            <w:r w:rsidRPr="009D1EC7">
              <w:rPr>
                <w:rFonts w:eastAsia="Arial Unicode MS" w:cs="Tahoma"/>
                <w:b/>
                <w:sz w:val="16"/>
                <w:szCs w:val="18"/>
              </w:rPr>
              <w:t>úspora PN infrastruktury</w:t>
            </w:r>
          </w:p>
        </w:tc>
        <w:tc>
          <w:tcPr>
            <w:tcW w:w="1085" w:type="dxa"/>
            <w:tcBorders>
              <w:bottom w:val="single" w:sz="12" w:space="0" w:color="auto"/>
            </w:tcBorders>
            <w:shd w:val="pct12" w:color="auto" w:fill="auto"/>
            <w:vAlign w:val="center"/>
          </w:tcPr>
          <w:p w:rsidR="00B73F44" w:rsidRPr="009D1EC7" w:rsidRDefault="00B73F44" w:rsidP="009D1EC7">
            <w:pPr>
              <w:spacing w:before="0" w:after="0" w:line="264" w:lineRule="auto"/>
              <w:rPr>
                <w:rFonts w:eastAsia="Arial Unicode MS" w:cs="Tahoma"/>
                <w:b/>
                <w:sz w:val="16"/>
                <w:szCs w:val="18"/>
              </w:rPr>
            </w:pPr>
            <w:r w:rsidRPr="009D1EC7">
              <w:rPr>
                <w:rFonts w:eastAsia="Arial Unicode MS" w:cs="Tahoma"/>
                <w:b/>
                <w:sz w:val="16"/>
                <w:szCs w:val="18"/>
              </w:rPr>
              <w:t>zvýšení příjmu z poplatku za DC</w:t>
            </w:r>
          </w:p>
        </w:tc>
        <w:tc>
          <w:tcPr>
            <w:tcW w:w="1085" w:type="dxa"/>
            <w:tcBorders>
              <w:bottom w:val="single" w:sz="12" w:space="0" w:color="auto"/>
            </w:tcBorders>
            <w:shd w:val="pct12" w:color="auto" w:fill="auto"/>
            <w:vAlign w:val="center"/>
          </w:tcPr>
          <w:p w:rsidR="00B73F44" w:rsidRPr="009D1EC7" w:rsidRDefault="00B73F44" w:rsidP="009D1EC7">
            <w:pPr>
              <w:spacing w:before="0" w:after="0" w:line="264" w:lineRule="auto"/>
              <w:rPr>
                <w:rFonts w:eastAsia="Arial Unicode MS" w:cs="Tahoma"/>
                <w:b/>
                <w:sz w:val="16"/>
                <w:szCs w:val="18"/>
              </w:rPr>
            </w:pPr>
            <w:r w:rsidRPr="009D1EC7">
              <w:rPr>
                <w:rFonts w:eastAsia="Arial Unicode MS" w:cs="Tahoma"/>
                <w:b/>
                <w:sz w:val="16"/>
                <w:szCs w:val="18"/>
              </w:rPr>
              <w:t>dodatečné příjmy</w:t>
            </w:r>
          </w:p>
        </w:tc>
        <w:tc>
          <w:tcPr>
            <w:tcW w:w="1085" w:type="dxa"/>
            <w:tcBorders>
              <w:bottom w:val="single" w:sz="12" w:space="0" w:color="auto"/>
            </w:tcBorders>
            <w:shd w:val="pct12" w:color="auto" w:fill="auto"/>
            <w:vAlign w:val="center"/>
          </w:tcPr>
          <w:p w:rsidR="00B73F44" w:rsidRPr="009D1EC7" w:rsidRDefault="00B73F44" w:rsidP="009D1EC7">
            <w:pPr>
              <w:spacing w:before="0" w:after="0" w:line="264" w:lineRule="auto"/>
              <w:rPr>
                <w:rFonts w:eastAsia="Arial Unicode MS" w:cs="Tahoma"/>
                <w:b/>
                <w:sz w:val="16"/>
                <w:szCs w:val="18"/>
              </w:rPr>
            </w:pPr>
            <w:r w:rsidRPr="009D1EC7">
              <w:rPr>
                <w:rFonts w:eastAsia="Arial Unicode MS" w:cs="Tahoma"/>
                <w:b/>
                <w:sz w:val="16"/>
                <w:szCs w:val="18"/>
              </w:rPr>
              <w:t>cash flow</w:t>
            </w:r>
          </w:p>
        </w:tc>
        <w:tc>
          <w:tcPr>
            <w:tcW w:w="1086" w:type="dxa"/>
            <w:tcBorders>
              <w:bottom w:val="single" w:sz="12" w:space="0" w:color="auto"/>
            </w:tcBorders>
            <w:shd w:val="pct12" w:color="auto" w:fill="auto"/>
            <w:vAlign w:val="center"/>
          </w:tcPr>
          <w:p w:rsidR="00B73F44" w:rsidRPr="009D1EC7" w:rsidRDefault="00B73F44" w:rsidP="009D1EC7">
            <w:pPr>
              <w:spacing w:before="0" w:after="0" w:line="264" w:lineRule="auto"/>
              <w:rPr>
                <w:rFonts w:eastAsia="Arial Unicode MS" w:cs="Tahoma"/>
                <w:b/>
                <w:sz w:val="16"/>
                <w:szCs w:val="18"/>
              </w:rPr>
            </w:pPr>
            <w:r w:rsidRPr="009D1EC7">
              <w:rPr>
                <w:rFonts w:eastAsia="Arial Unicode MS" w:cs="Tahoma"/>
                <w:b/>
                <w:sz w:val="16"/>
                <w:szCs w:val="18"/>
              </w:rPr>
              <w:t>kumulovaný CF</w:t>
            </w:r>
          </w:p>
        </w:tc>
      </w:tr>
      <w:tr w:rsidR="009D1EC7" w:rsidTr="00BF56B0">
        <w:trPr>
          <w:trHeight w:val="20"/>
          <w:jc w:val="center"/>
        </w:trPr>
        <w:tc>
          <w:tcPr>
            <w:tcW w:w="698" w:type="dxa"/>
            <w:tcBorders>
              <w:top w:val="single" w:sz="12" w:space="0" w:color="auto"/>
            </w:tcBorders>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2014</w:t>
            </w:r>
          </w:p>
        </w:tc>
        <w:tc>
          <w:tcPr>
            <w:tcW w:w="1085" w:type="dxa"/>
            <w:tcBorders>
              <w:top w:val="single" w:sz="12" w:space="0" w:color="auto"/>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738 225</w:t>
            </w:r>
          </w:p>
        </w:tc>
        <w:tc>
          <w:tcPr>
            <w:tcW w:w="1085" w:type="dxa"/>
            <w:tcBorders>
              <w:top w:val="single" w:sz="12" w:space="0" w:color="auto"/>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tcBorders>
              <w:top w:val="single" w:sz="12" w:space="0" w:color="auto"/>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tcBorders>
              <w:top w:val="single" w:sz="12" w:space="0" w:color="auto"/>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96 663</w:t>
            </w:r>
          </w:p>
        </w:tc>
        <w:tc>
          <w:tcPr>
            <w:tcW w:w="1085" w:type="dxa"/>
            <w:tcBorders>
              <w:top w:val="single" w:sz="12" w:space="0" w:color="auto"/>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tcBorders>
              <w:top w:val="single" w:sz="12" w:space="0" w:color="auto"/>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10 040</w:t>
            </w:r>
          </w:p>
        </w:tc>
        <w:tc>
          <w:tcPr>
            <w:tcW w:w="1085" w:type="dxa"/>
            <w:tcBorders>
              <w:top w:val="single" w:sz="12" w:space="0" w:color="auto"/>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-631 522</w:t>
            </w:r>
          </w:p>
        </w:tc>
        <w:tc>
          <w:tcPr>
            <w:tcW w:w="1086" w:type="dxa"/>
            <w:tcBorders>
              <w:top w:val="single" w:sz="12" w:space="0" w:color="auto"/>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-631 522</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2015</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183 336</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-2 053</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194 757</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2 493</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11 862</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-619 660</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2016</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15 790</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75 030</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87 925</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-531 736</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2017</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16 184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-142 953</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-129 663</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-661 399</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2018</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17 030</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-18 587</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-4 451</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-665 850</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2019</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13 317</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-5 860</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4 562</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-661 288</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2020</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13 650</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3 125</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13 880</w:t>
            </w:r>
          </w:p>
        </w:tc>
        <w:tc>
          <w:tcPr>
            <w:tcW w:w="1086"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-647 408</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2021</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13 991</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-8 627</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2 469</w:t>
            </w:r>
          </w:p>
        </w:tc>
        <w:tc>
          <w:tcPr>
            <w:tcW w:w="1086"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-644 939</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2022</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14 341</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-6 037</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5 409</w:t>
            </w:r>
          </w:p>
        </w:tc>
        <w:tc>
          <w:tcPr>
            <w:tcW w:w="1086"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-639 530</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2023</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14 699</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-5 988</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5 817</w:t>
            </w:r>
          </w:p>
        </w:tc>
        <w:tc>
          <w:tcPr>
            <w:tcW w:w="1086"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-633 714</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15 067</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-5 938</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6 235</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-627 479</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2025</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15 443</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-5 886</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6 663</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-620 816</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2026</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15 443</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-5 834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6 715</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-614 101</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2027</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15 443</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-5 780</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6 769</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-607 332</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2028</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15 443</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-5 725</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6 824</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-600 508</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2029</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15 443</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-30 467</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-17 918</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-618 427</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2030</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15 443</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-22 793</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-10 244</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-628 670</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2031</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15 443</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10 655</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-618 016</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2032</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15 443</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-9 830</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2 719</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-615 297</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2033</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15 443</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-41 236</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-28 687</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-643 984</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16 747</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142 453</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156 306</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-487 678</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2035</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5 712</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-11 577</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-8 760</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-496 438</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2036</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5 712</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-87 949</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-85 132</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-581 569</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2037</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5 712</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-14 126</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-11 309</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-592 878</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2038</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5 712</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-5 712</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-595 772</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2039</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5 712</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-5 178</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-2 360</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-598 133</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2040</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5 712</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3 590</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6 407</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-591 726</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2041</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5 712</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-5 885</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-3 067</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-594 793</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2042</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5 712</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-5 943</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-3 126</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-597 919</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sz w:val="18"/>
                <w:szCs w:val="18"/>
              </w:rPr>
            </w:pPr>
            <w:r w:rsidRPr="009D1EC7">
              <w:rPr>
                <w:rFonts w:eastAsia="Arial Unicode MS" w:cs="Tahoma"/>
                <w:sz w:val="18"/>
                <w:szCs w:val="18"/>
              </w:rPr>
              <w:t>2043</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37 472</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5 712</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-6 003</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p>
        </w:tc>
        <w:tc>
          <w:tcPr>
            <w:tcW w:w="1085"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34 286</w:t>
            </w:r>
          </w:p>
        </w:tc>
        <w:tc>
          <w:tcPr>
            <w:tcW w:w="1086" w:type="dxa"/>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-563 633</w:t>
            </w:r>
          </w:p>
        </w:tc>
      </w:tr>
      <w:tr w:rsidR="009D1EC7" w:rsidTr="009D1EC7">
        <w:trPr>
          <w:trHeight w:val="20"/>
          <w:jc w:val="center"/>
        </w:trPr>
        <w:tc>
          <w:tcPr>
            <w:tcW w:w="698" w:type="dxa"/>
            <w:shd w:val="pct12" w:color="auto" w:fill="auto"/>
            <w:vAlign w:val="center"/>
          </w:tcPr>
          <w:p w:rsidR="004427D7" w:rsidRPr="009D1EC7" w:rsidRDefault="004427D7" w:rsidP="009D1EC7">
            <w:pPr>
              <w:spacing w:before="0" w:after="0" w:line="264" w:lineRule="auto"/>
              <w:rPr>
                <w:rFonts w:eastAsia="Arial Unicode MS" w:cs="Tahoma"/>
                <w:b/>
                <w:sz w:val="16"/>
                <w:szCs w:val="18"/>
              </w:rPr>
            </w:pPr>
            <w:r w:rsidRPr="009D1EC7">
              <w:rPr>
                <w:rFonts w:eastAsia="Arial Unicode MS" w:cs="Tahoma"/>
                <w:b/>
                <w:sz w:val="16"/>
                <w:szCs w:val="18"/>
              </w:rPr>
              <w:t>NPV</w:t>
            </w:r>
          </w:p>
        </w:tc>
        <w:tc>
          <w:tcPr>
            <w:tcW w:w="1085" w:type="dxa"/>
            <w:tcBorders>
              <w:bottom w:val="single" w:sz="4" w:space="0" w:color="000000"/>
            </w:tcBorders>
            <w:shd w:val="pct12" w:color="auto" w:fill="auto"/>
            <w:vAlign w:val="center"/>
          </w:tcPr>
          <w:p w:rsidR="004427D7" w:rsidRPr="009D1EC7" w:rsidRDefault="004427D7" w:rsidP="009D1EC7">
            <w:pPr>
              <w:spacing w:before="0" w:after="0" w:line="264" w:lineRule="auto"/>
              <w:jc w:val="right"/>
              <w:rPr>
                <w:rFonts w:eastAsia="Arial Unicode MS" w:cs="Tahoma"/>
                <w:b/>
                <w:sz w:val="16"/>
                <w:szCs w:val="18"/>
              </w:rPr>
            </w:pPr>
            <w:r w:rsidRPr="009D1EC7">
              <w:rPr>
                <w:rFonts w:eastAsia="Arial Unicode MS" w:cs="Tahoma"/>
                <w:b/>
                <w:sz w:val="16"/>
                <w:szCs w:val="18"/>
              </w:rPr>
              <w:t>912 830</w:t>
            </w:r>
          </w:p>
        </w:tc>
        <w:tc>
          <w:tcPr>
            <w:tcW w:w="1085" w:type="dxa"/>
            <w:tcBorders>
              <w:bottom w:val="single" w:sz="4" w:space="0" w:color="000000"/>
            </w:tcBorders>
            <w:shd w:val="pct12" w:color="auto" w:fill="auto"/>
            <w:vAlign w:val="center"/>
          </w:tcPr>
          <w:p w:rsidR="004427D7" w:rsidRPr="009D1EC7" w:rsidRDefault="004427D7" w:rsidP="009D1EC7">
            <w:pPr>
              <w:spacing w:before="0" w:after="0" w:line="264" w:lineRule="auto"/>
              <w:jc w:val="right"/>
              <w:rPr>
                <w:rFonts w:eastAsia="Arial Unicode MS" w:cs="Tahoma"/>
                <w:b/>
                <w:sz w:val="16"/>
                <w:szCs w:val="18"/>
              </w:rPr>
            </w:pPr>
            <w:r w:rsidRPr="009D1EC7">
              <w:rPr>
                <w:rFonts w:eastAsia="Arial Unicode MS" w:cs="Tahoma"/>
                <w:b/>
                <w:sz w:val="16"/>
                <w:szCs w:val="18"/>
              </w:rPr>
              <w:t>9 104</w:t>
            </w:r>
          </w:p>
        </w:tc>
        <w:tc>
          <w:tcPr>
            <w:tcW w:w="1085" w:type="dxa"/>
            <w:tcBorders>
              <w:bottom w:val="single" w:sz="4" w:space="0" w:color="000000"/>
            </w:tcBorders>
            <w:shd w:val="pct12" w:color="auto" w:fill="auto"/>
            <w:vAlign w:val="center"/>
          </w:tcPr>
          <w:p w:rsidR="004427D7" w:rsidRPr="009D1EC7" w:rsidRDefault="004427D7" w:rsidP="009D1EC7">
            <w:pPr>
              <w:spacing w:before="0" w:after="0" w:line="264" w:lineRule="auto"/>
              <w:jc w:val="right"/>
              <w:rPr>
                <w:rFonts w:eastAsia="Arial Unicode MS" w:cs="Tahoma"/>
                <w:b/>
                <w:sz w:val="16"/>
                <w:szCs w:val="18"/>
              </w:rPr>
            </w:pPr>
            <w:r w:rsidRPr="009D1EC7">
              <w:rPr>
                <w:rFonts w:eastAsia="Arial Unicode MS" w:cs="Tahoma"/>
                <w:b/>
                <w:sz w:val="16"/>
                <w:szCs w:val="18"/>
              </w:rPr>
              <w:t>188 353</w:t>
            </w:r>
          </w:p>
        </w:tc>
        <w:tc>
          <w:tcPr>
            <w:tcW w:w="1085" w:type="dxa"/>
            <w:tcBorders>
              <w:bottom w:val="single" w:sz="4" w:space="0" w:color="000000"/>
            </w:tcBorders>
            <w:shd w:val="pct12" w:color="auto" w:fill="auto"/>
            <w:vAlign w:val="center"/>
          </w:tcPr>
          <w:p w:rsidR="004427D7" w:rsidRPr="009D1EC7" w:rsidRDefault="004427D7" w:rsidP="009D1EC7">
            <w:pPr>
              <w:spacing w:before="0" w:after="0" w:line="264" w:lineRule="auto"/>
              <w:jc w:val="right"/>
              <w:rPr>
                <w:rFonts w:eastAsia="Arial Unicode MS" w:cs="Tahoma"/>
                <w:b/>
                <w:sz w:val="16"/>
                <w:szCs w:val="18"/>
              </w:rPr>
            </w:pPr>
            <w:r w:rsidRPr="009D1EC7">
              <w:rPr>
                <w:rFonts w:eastAsia="Arial Unicode MS" w:cs="Tahoma"/>
                <w:b/>
                <w:sz w:val="16"/>
                <w:szCs w:val="18"/>
              </w:rPr>
              <w:t>140 493</w:t>
            </w:r>
          </w:p>
        </w:tc>
        <w:tc>
          <w:tcPr>
            <w:tcW w:w="1085" w:type="dxa"/>
            <w:tcBorders>
              <w:bottom w:val="single" w:sz="4" w:space="0" w:color="000000"/>
            </w:tcBorders>
            <w:shd w:val="pct12" w:color="auto" w:fill="auto"/>
            <w:vAlign w:val="center"/>
          </w:tcPr>
          <w:p w:rsidR="004427D7" w:rsidRPr="009D1EC7" w:rsidRDefault="004427D7" w:rsidP="009D1EC7">
            <w:pPr>
              <w:spacing w:before="0" w:after="0" w:line="264" w:lineRule="auto"/>
              <w:jc w:val="right"/>
              <w:rPr>
                <w:rFonts w:eastAsia="Arial Unicode MS" w:cs="Tahoma"/>
                <w:b/>
                <w:sz w:val="16"/>
                <w:szCs w:val="18"/>
              </w:rPr>
            </w:pPr>
            <w:r w:rsidRPr="009D1EC7">
              <w:rPr>
                <w:rFonts w:eastAsia="Arial Unicode MS" w:cs="Tahoma"/>
                <w:b/>
                <w:sz w:val="16"/>
                <w:szCs w:val="18"/>
              </w:rPr>
              <w:t>-41 068</w:t>
            </w:r>
          </w:p>
        </w:tc>
        <w:tc>
          <w:tcPr>
            <w:tcW w:w="1085" w:type="dxa"/>
            <w:tcBorders>
              <w:bottom w:val="single" w:sz="4" w:space="0" w:color="000000"/>
            </w:tcBorders>
            <w:shd w:val="pct12" w:color="auto" w:fill="auto"/>
            <w:vAlign w:val="center"/>
          </w:tcPr>
          <w:p w:rsidR="004427D7" w:rsidRPr="009D1EC7" w:rsidRDefault="004427D7" w:rsidP="009D1EC7">
            <w:pPr>
              <w:spacing w:before="0" w:after="0" w:line="264" w:lineRule="auto"/>
              <w:jc w:val="right"/>
              <w:rPr>
                <w:rFonts w:eastAsia="Arial Unicode MS" w:cs="Tahoma"/>
                <w:b/>
                <w:sz w:val="16"/>
                <w:szCs w:val="18"/>
              </w:rPr>
            </w:pPr>
            <w:r w:rsidRPr="009D1EC7">
              <w:rPr>
                <w:rFonts w:eastAsia="Arial Unicode MS" w:cs="Tahoma"/>
                <w:b/>
                <w:sz w:val="16"/>
                <w:szCs w:val="18"/>
              </w:rPr>
              <w:t>12 414</w:t>
            </w:r>
          </w:p>
        </w:tc>
        <w:tc>
          <w:tcPr>
            <w:tcW w:w="1085" w:type="dxa"/>
            <w:tcBorders>
              <w:bottom w:val="single" w:sz="4" w:space="0" w:color="000000"/>
            </w:tcBorders>
            <w:shd w:val="pct12" w:color="auto" w:fill="auto"/>
            <w:vAlign w:val="center"/>
          </w:tcPr>
          <w:p w:rsidR="004427D7" w:rsidRPr="009D1EC7" w:rsidRDefault="004427D7" w:rsidP="009D1EC7">
            <w:pPr>
              <w:spacing w:before="0" w:after="0" w:line="264" w:lineRule="auto"/>
              <w:jc w:val="right"/>
              <w:rPr>
                <w:rFonts w:eastAsia="Arial Unicode MS" w:cs="Tahoma"/>
                <w:b/>
                <w:sz w:val="16"/>
                <w:szCs w:val="18"/>
              </w:rPr>
            </w:pPr>
            <w:r w:rsidRPr="009D1EC7">
              <w:rPr>
                <w:rFonts w:eastAsia="Arial Unicode MS" w:cs="Tahoma"/>
                <w:b/>
                <w:sz w:val="16"/>
                <w:szCs w:val="18"/>
              </w:rPr>
              <w:t>-603 535</w:t>
            </w:r>
          </w:p>
        </w:tc>
        <w:tc>
          <w:tcPr>
            <w:tcW w:w="1086" w:type="dxa"/>
            <w:tcBorders>
              <w:bottom w:val="single" w:sz="4" w:space="0" w:color="000000"/>
            </w:tcBorders>
            <w:vAlign w:val="center"/>
          </w:tcPr>
          <w:p w:rsidR="004427D7" w:rsidRPr="009D1EC7" w:rsidRDefault="004427D7"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r>
    </w:tbl>
    <w:p w:rsidR="00B73F44" w:rsidRDefault="00B73F44" w:rsidP="00F7599B"/>
    <w:p w:rsidR="00B73F44" w:rsidRPr="00F7599B" w:rsidRDefault="00B73F44" w:rsidP="00F7599B">
      <w:r>
        <w:br w:type="page"/>
      </w:r>
    </w:p>
    <w:tbl>
      <w:tblPr>
        <w:tblW w:w="9368" w:type="dxa"/>
        <w:jc w:val="center"/>
        <w:tblInd w:w="1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0"/>
        <w:gridCol w:w="1099"/>
        <w:gridCol w:w="944"/>
        <w:gridCol w:w="912"/>
        <w:gridCol w:w="1366"/>
        <w:gridCol w:w="979"/>
        <w:gridCol w:w="1056"/>
        <w:gridCol w:w="1195"/>
        <w:gridCol w:w="1207"/>
      </w:tblGrid>
      <w:tr w:rsidR="00D33683" w:rsidTr="009D1EC7">
        <w:trPr>
          <w:trHeight w:val="20"/>
          <w:jc w:val="center"/>
        </w:trPr>
        <w:tc>
          <w:tcPr>
            <w:tcW w:w="9368" w:type="dxa"/>
            <w:gridSpan w:val="9"/>
            <w:tcBorders>
              <w:bottom w:val="single" w:sz="4" w:space="0" w:color="000000"/>
            </w:tcBorders>
          </w:tcPr>
          <w:p w:rsidR="006819BA" w:rsidRDefault="00D33683" w:rsidP="009D1EC7">
            <w:pPr>
              <w:pStyle w:val="Titulek"/>
            </w:pPr>
            <w:bookmarkStart w:id="315" w:name="_Toc390958788"/>
            <w:bookmarkStart w:id="316" w:name="_Toc391034592"/>
            <w:r w:rsidRPr="00ED18BC">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12</w:t>
            </w:r>
            <w:r w:rsidR="000E79AE">
              <w:fldChar w:fldCharType="end"/>
            </w:r>
            <w:r w:rsidRPr="00ED18BC">
              <w:t xml:space="preserve">: Finanční analýza varianta </w:t>
            </w:r>
            <w:r>
              <w:t>Maximální</w:t>
            </w:r>
            <w:r w:rsidRPr="00ED18BC">
              <w:t xml:space="preserve"> v tis. Kč (CÚ </w:t>
            </w:r>
            <w:r w:rsidR="00B27E5B" w:rsidRPr="00ED18BC">
              <w:t>201</w:t>
            </w:r>
            <w:r w:rsidR="00B27E5B">
              <w:t>3</w:t>
            </w:r>
            <w:r w:rsidRPr="00ED18BC">
              <w:t>)</w:t>
            </w:r>
            <w:bookmarkEnd w:id="315"/>
            <w:bookmarkEnd w:id="316"/>
          </w:p>
        </w:tc>
      </w:tr>
      <w:tr w:rsidR="009D1EC7" w:rsidTr="00BF56B0">
        <w:trPr>
          <w:trHeight w:val="20"/>
          <w:jc w:val="center"/>
        </w:trPr>
        <w:tc>
          <w:tcPr>
            <w:tcW w:w="610" w:type="dxa"/>
            <w:tcBorders>
              <w:bottom w:val="single" w:sz="12" w:space="0" w:color="auto"/>
            </w:tcBorders>
            <w:shd w:val="pct12" w:color="auto" w:fill="auto"/>
            <w:vAlign w:val="center"/>
          </w:tcPr>
          <w:p w:rsidR="00D33683" w:rsidRPr="009D1EC7" w:rsidRDefault="00D33683" w:rsidP="009D1EC7">
            <w:pPr>
              <w:spacing w:before="0" w:after="0" w:line="264" w:lineRule="auto"/>
              <w:rPr>
                <w:rFonts w:eastAsia="Arial Unicode MS" w:cs="Tahoma"/>
                <w:b/>
                <w:sz w:val="16"/>
                <w:szCs w:val="18"/>
              </w:rPr>
            </w:pPr>
            <w:r w:rsidRPr="009D1EC7">
              <w:rPr>
                <w:rFonts w:eastAsia="Arial Unicode MS" w:cs="Tahoma"/>
                <w:b/>
                <w:sz w:val="16"/>
                <w:szCs w:val="18"/>
              </w:rPr>
              <w:t>rok</w:t>
            </w:r>
          </w:p>
        </w:tc>
        <w:tc>
          <w:tcPr>
            <w:tcW w:w="1099" w:type="dxa"/>
            <w:tcBorders>
              <w:bottom w:val="single" w:sz="12" w:space="0" w:color="auto"/>
            </w:tcBorders>
            <w:shd w:val="pct12" w:color="auto" w:fill="auto"/>
            <w:vAlign w:val="center"/>
          </w:tcPr>
          <w:p w:rsidR="00D33683" w:rsidRPr="009D1EC7" w:rsidRDefault="00D33683" w:rsidP="009D1EC7">
            <w:pPr>
              <w:spacing w:before="0" w:after="0" w:line="264" w:lineRule="auto"/>
              <w:rPr>
                <w:rFonts w:eastAsia="Arial Unicode MS" w:cs="Tahoma"/>
                <w:b/>
                <w:sz w:val="16"/>
                <w:szCs w:val="18"/>
              </w:rPr>
            </w:pPr>
            <w:r w:rsidRPr="009D1EC7">
              <w:rPr>
                <w:rFonts w:eastAsia="Arial Unicode MS" w:cs="Tahoma"/>
                <w:b/>
                <w:sz w:val="16"/>
                <w:szCs w:val="18"/>
              </w:rPr>
              <w:t>investiční náklady</w:t>
            </w:r>
          </w:p>
        </w:tc>
        <w:tc>
          <w:tcPr>
            <w:tcW w:w="889" w:type="dxa"/>
            <w:tcBorders>
              <w:bottom w:val="single" w:sz="12" w:space="0" w:color="auto"/>
            </w:tcBorders>
            <w:shd w:val="pct12" w:color="auto" w:fill="auto"/>
            <w:vAlign w:val="center"/>
          </w:tcPr>
          <w:p w:rsidR="00D33683" w:rsidRPr="009D1EC7" w:rsidRDefault="00D33683" w:rsidP="009D1EC7">
            <w:pPr>
              <w:spacing w:before="0" w:after="0" w:line="264" w:lineRule="auto"/>
              <w:rPr>
                <w:rFonts w:eastAsia="Arial Unicode MS" w:cs="Tahoma"/>
                <w:b/>
                <w:sz w:val="16"/>
                <w:szCs w:val="18"/>
              </w:rPr>
            </w:pPr>
            <w:r w:rsidRPr="009D1EC7">
              <w:rPr>
                <w:rFonts w:eastAsia="Arial Unicode MS" w:cs="Tahoma"/>
                <w:b/>
                <w:sz w:val="16"/>
                <w:szCs w:val="18"/>
              </w:rPr>
              <w:t>zbytková hodnota</w:t>
            </w:r>
          </w:p>
        </w:tc>
        <w:tc>
          <w:tcPr>
            <w:tcW w:w="0" w:type="auto"/>
            <w:tcBorders>
              <w:bottom w:val="single" w:sz="12" w:space="0" w:color="auto"/>
            </w:tcBorders>
            <w:shd w:val="pct12" w:color="auto" w:fill="auto"/>
            <w:vAlign w:val="center"/>
          </w:tcPr>
          <w:p w:rsidR="00D33683" w:rsidRPr="009D1EC7" w:rsidRDefault="00D33683" w:rsidP="009D1EC7">
            <w:pPr>
              <w:spacing w:before="0" w:after="0" w:line="264" w:lineRule="auto"/>
              <w:rPr>
                <w:rFonts w:eastAsia="Arial Unicode MS" w:cs="Tahoma"/>
                <w:b/>
                <w:sz w:val="16"/>
                <w:szCs w:val="18"/>
              </w:rPr>
            </w:pPr>
            <w:r w:rsidRPr="009D1EC7">
              <w:rPr>
                <w:rFonts w:eastAsia="Arial Unicode MS" w:cs="Tahoma"/>
                <w:b/>
                <w:sz w:val="16"/>
                <w:szCs w:val="18"/>
              </w:rPr>
              <w:t>úspora PN na řízení dopravy</w:t>
            </w:r>
          </w:p>
        </w:tc>
        <w:tc>
          <w:tcPr>
            <w:tcW w:w="0" w:type="auto"/>
            <w:tcBorders>
              <w:bottom w:val="single" w:sz="12" w:space="0" w:color="auto"/>
            </w:tcBorders>
            <w:shd w:val="pct12" w:color="auto" w:fill="auto"/>
            <w:vAlign w:val="center"/>
          </w:tcPr>
          <w:p w:rsidR="00D33683" w:rsidRPr="009D1EC7" w:rsidRDefault="00D33683" w:rsidP="009D1EC7">
            <w:pPr>
              <w:spacing w:before="0" w:after="0" w:line="264" w:lineRule="auto"/>
              <w:rPr>
                <w:rFonts w:eastAsia="Arial Unicode MS" w:cs="Tahoma"/>
                <w:b/>
                <w:sz w:val="16"/>
                <w:szCs w:val="18"/>
              </w:rPr>
            </w:pPr>
            <w:r w:rsidRPr="009D1EC7">
              <w:rPr>
                <w:rFonts w:eastAsia="Arial Unicode MS" w:cs="Tahoma"/>
                <w:b/>
                <w:sz w:val="16"/>
                <w:szCs w:val="18"/>
              </w:rPr>
              <w:t>úspora PN infrastruktury</w:t>
            </w:r>
          </w:p>
        </w:tc>
        <w:tc>
          <w:tcPr>
            <w:tcW w:w="0" w:type="auto"/>
            <w:tcBorders>
              <w:bottom w:val="single" w:sz="12" w:space="0" w:color="auto"/>
            </w:tcBorders>
            <w:shd w:val="pct12" w:color="auto" w:fill="auto"/>
            <w:vAlign w:val="center"/>
          </w:tcPr>
          <w:p w:rsidR="00D33683" w:rsidRPr="009D1EC7" w:rsidRDefault="00D33683" w:rsidP="009D1EC7">
            <w:pPr>
              <w:spacing w:before="0" w:after="0" w:line="264" w:lineRule="auto"/>
              <w:rPr>
                <w:rFonts w:eastAsia="Arial Unicode MS" w:cs="Tahoma"/>
                <w:b/>
                <w:sz w:val="16"/>
                <w:szCs w:val="18"/>
              </w:rPr>
            </w:pPr>
            <w:r w:rsidRPr="009D1EC7">
              <w:rPr>
                <w:rFonts w:eastAsia="Arial Unicode MS" w:cs="Tahoma"/>
                <w:b/>
                <w:sz w:val="16"/>
                <w:szCs w:val="18"/>
              </w:rPr>
              <w:t>zvýšení příjmu z poplatku za DC</w:t>
            </w:r>
          </w:p>
        </w:tc>
        <w:tc>
          <w:tcPr>
            <w:tcW w:w="1056" w:type="dxa"/>
            <w:tcBorders>
              <w:bottom w:val="single" w:sz="12" w:space="0" w:color="auto"/>
            </w:tcBorders>
            <w:shd w:val="pct12" w:color="auto" w:fill="auto"/>
            <w:vAlign w:val="center"/>
          </w:tcPr>
          <w:p w:rsidR="00D33683" w:rsidRPr="009D1EC7" w:rsidRDefault="00D33683" w:rsidP="009D1EC7">
            <w:pPr>
              <w:spacing w:before="0" w:after="0" w:line="264" w:lineRule="auto"/>
              <w:rPr>
                <w:rFonts w:eastAsia="Arial Unicode MS" w:cs="Tahoma"/>
                <w:b/>
                <w:sz w:val="16"/>
                <w:szCs w:val="18"/>
              </w:rPr>
            </w:pPr>
            <w:r w:rsidRPr="009D1EC7">
              <w:rPr>
                <w:rFonts w:eastAsia="Arial Unicode MS" w:cs="Tahoma"/>
                <w:b/>
                <w:sz w:val="16"/>
                <w:szCs w:val="18"/>
              </w:rPr>
              <w:t>dodatečné příjmy</w:t>
            </w:r>
          </w:p>
        </w:tc>
        <w:tc>
          <w:tcPr>
            <w:tcW w:w="1195" w:type="dxa"/>
            <w:tcBorders>
              <w:bottom w:val="single" w:sz="12" w:space="0" w:color="auto"/>
            </w:tcBorders>
            <w:shd w:val="pct12" w:color="auto" w:fill="auto"/>
            <w:vAlign w:val="center"/>
          </w:tcPr>
          <w:p w:rsidR="00D33683" w:rsidRPr="009D1EC7" w:rsidRDefault="00D33683" w:rsidP="009D1EC7">
            <w:pPr>
              <w:spacing w:before="0" w:after="0" w:line="264" w:lineRule="auto"/>
              <w:rPr>
                <w:rFonts w:eastAsia="Arial Unicode MS" w:cs="Tahoma"/>
                <w:b/>
                <w:sz w:val="16"/>
                <w:szCs w:val="18"/>
              </w:rPr>
            </w:pPr>
            <w:r w:rsidRPr="009D1EC7">
              <w:rPr>
                <w:rFonts w:eastAsia="Arial Unicode MS" w:cs="Tahoma"/>
                <w:b/>
                <w:sz w:val="16"/>
                <w:szCs w:val="18"/>
              </w:rPr>
              <w:t>cash flow</w:t>
            </w:r>
          </w:p>
        </w:tc>
        <w:tc>
          <w:tcPr>
            <w:tcW w:w="0" w:type="auto"/>
            <w:tcBorders>
              <w:bottom w:val="single" w:sz="12" w:space="0" w:color="auto"/>
            </w:tcBorders>
            <w:shd w:val="pct12" w:color="auto" w:fill="auto"/>
            <w:vAlign w:val="center"/>
          </w:tcPr>
          <w:p w:rsidR="00D33683" w:rsidRPr="009D1EC7" w:rsidRDefault="00D33683" w:rsidP="009D1EC7">
            <w:pPr>
              <w:spacing w:before="0" w:after="0" w:line="264" w:lineRule="auto"/>
              <w:rPr>
                <w:rFonts w:eastAsia="Arial Unicode MS" w:cs="Tahoma"/>
                <w:b/>
                <w:sz w:val="16"/>
                <w:szCs w:val="18"/>
              </w:rPr>
            </w:pPr>
            <w:r w:rsidRPr="009D1EC7">
              <w:rPr>
                <w:rFonts w:eastAsia="Arial Unicode MS" w:cs="Tahoma"/>
                <w:b/>
                <w:sz w:val="16"/>
                <w:szCs w:val="18"/>
              </w:rPr>
              <w:t>kumulovaný CF</w:t>
            </w:r>
          </w:p>
        </w:tc>
      </w:tr>
      <w:tr w:rsidR="009D1EC7" w:rsidTr="00BF56B0">
        <w:trPr>
          <w:trHeight w:val="20"/>
          <w:jc w:val="center"/>
        </w:trPr>
        <w:tc>
          <w:tcPr>
            <w:tcW w:w="610" w:type="dxa"/>
            <w:tcBorders>
              <w:top w:val="single" w:sz="12" w:space="0" w:color="auto"/>
            </w:tcBorders>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2014</w:t>
            </w:r>
          </w:p>
        </w:tc>
        <w:tc>
          <w:tcPr>
            <w:tcW w:w="1099" w:type="dxa"/>
            <w:tcBorders>
              <w:top w:val="single" w:sz="12" w:space="0" w:color="auto"/>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707 568</w:t>
            </w:r>
          </w:p>
        </w:tc>
        <w:tc>
          <w:tcPr>
            <w:tcW w:w="889" w:type="dxa"/>
            <w:tcBorders>
              <w:top w:val="single" w:sz="12" w:space="0" w:color="auto"/>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tcBorders>
              <w:top w:val="single" w:sz="12" w:space="0" w:color="auto"/>
            </w:tcBorders>
            <w:vAlign w:val="center"/>
          </w:tcPr>
          <w:p w:rsidR="000D3451" w:rsidRPr="009D1EC7" w:rsidRDefault="000D3451" w:rsidP="009D1EC7">
            <w:pPr>
              <w:spacing w:before="0" w:after="0" w:line="264" w:lineRule="auto"/>
              <w:jc w:val="right"/>
              <w:rPr>
                <w:rFonts w:eastAsia="Arial Unicode MS" w:cs="Tahoma"/>
                <w:sz w:val="18"/>
                <w:szCs w:val="18"/>
              </w:rPr>
            </w:pPr>
          </w:p>
        </w:tc>
        <w:tc>
          <w:tcPr>
            <w:tcW w:w="0" w:type="auto"/>
            <w:tcBorders>
              <w:top w:val="single" w:sz="12" w:space="0" w:color="auto"/>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152 968</w:t>
            </w:r>
          </w:p>
        </w:tc>
        <w:tc>
          <w:tcPr>
            <w:tcW w:w="0" w:type="auto"/>
            <w:tcBorders>
              <w:top w:val="single" w:sz="12" w:space="0" w:color="auto"/>
            </w:tcBorders>
            <w:vAlign w:val="center"/>
          </w:tcPr>
          <w:p w:rsidR="000D3451" w:rsidRPr="009D1EC7" w:rsidRDefault="000D3451" w:rsidP="009D1EC7">
            <w:pPr>
              <w:spacing w:before="0" w:after="0" w:line="264" w:lineRule="auto"/>
              <w:jc w:val="right"/>
              <w:rPr>
                <w:rFonts w:eastAsia="Arial Unicode MS" w:cs="Tahoma"/>
                <w:sz w:val="18"/>
                <w:szCs w:val="18"/>
              </w:rPr>
            </w:pPr>
          </w:p>
        </w:tc>
        <w:tc>
          <w:tcPr>
            <w:tcW w:w="1056" w:type="dxa"/>
            <w:tcBorders>
              <w:top w:val="single" w:sz="12" w:space="0" w:color="auto"/>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9 623</w:t>
            </w:r>
          </w:p>
        </w:tc>
        <w:tc>
          <w:tcPr>
            <w:tcW w:w="1195" w:type="dxa"/>
            <w:tcBorders>
              <w:top w:val="single" w:sz="12" w:space="0" w:color="auto"/>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-544 978</w:t>
            </w:r>
          </w:p>
        </w:tc>
        <w:tc>
          <w:tcPr>
            <w:tcW w:w="0" w:type="auto"/>
            <w:tcBorders>
              <w:top w:val="single" w:sz="12" w:space="0" w:color="auto"/>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-544 978</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2015</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698 328</w:t>
            </w: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-2 053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294 404</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9 497</w:t>
            </w: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-396 480</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-941 458</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2016</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698 328</w:t>
            </w: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15 790</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364 692</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9 497</w:t>
            </w: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-311 244</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-1 252 702</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2017</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698 328</w:t>
            </w: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16 184</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319 312</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9 497</w:t>
            </w: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-356 228</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-1 608 930</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2018</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658 480</w:t>
            </w: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17 030</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82 070</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8 955</w:t>
            </w: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-553 319</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-2 162 249</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2019</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450 618</w:t>
            </w: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12 401</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-4 923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-2 894</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6 128</w:t>
            </w: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-439 907</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-2 602 156</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2020</w:t>
            </w:r>
          </w:p>
        </w:tc>
        <w:tc>
          <w:tcPr>
            <w:tcW w:w="1099"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410 303</w:t>
            </w:r>
          </w:p>
        </w:tc>
        <w:tc>
          <w:tcPr>
            <w:tcW w:w="889"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20 657</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172 867</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-1 440</w:t>
            </w:r>
          </w:p>
        </w:tc>
        <w:tc>
          <w:tcPr>
            <w:tcW w:w="1056"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5 580</w:t>
            </w:r>
          </w:p>
        </w:tc>
        <w:tc>
          <w:tcPr>
            <w:tcW w:w="1195"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-212 638</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-2 814 794</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2021</w:t>
            </w:r>
          </w:p>
        </w:tc>
        <w:tc>
          <w:tcPr>
            <w:tcW w:w="1099"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205 151</w:t>
            </w:r>
          </w:p>
        </w:tc>
        <w:tc>
          <w:tcPr>
            <w:tcW w:w="889"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20 545</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-4 915</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-1 440</w:t>
            </w:r>
          </w:p>
        </w:tc>
        <w:tc>
          <w:tcPr>
            <w:tcW w:w="1056"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2 790</w:t>
            </w:r>
          </w:p>
        </w:tc>
        <w:tc>
          <w:tcPr>
            <w:tcW w:w="1195"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-188 172</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-3 002 966</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2022</w:t>
            </w:r>
          </w:p>
        </w:tc>
        <w:tc>
          <w:tcPr>
            <w:tcW w:w="1099"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26 515</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-15 205</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11 686</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-2 991 279</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2023</w:t>
            </w:r>
          </w:p>
        </w:tc>
        <w:tc>
          <w:tcPr>
            <w:tcW w:w="1099"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27 177</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-8 212</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19 342</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-2 971 937</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2024</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27 857</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-8 124</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20 110</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-2 951 827</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2025</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28 553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-8 049</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20 881</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-2 930 946</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2026</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28 553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-7 973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20 957</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-2 909 988</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2027</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28 553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-7 964</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20 966</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-2 889 022</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2028</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28 553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-7 885</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21 045</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-2 867 978</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2029</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28 553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-1 947</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26 983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-2 840 995</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2030</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28 553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75 082</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104 012</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-2 736 982</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2031</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28 553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33 610</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62 539</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-2 674 443</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2032</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28 553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-3 563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25 367</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-2 649 076</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2033</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28 553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-31 591</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-2 661</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-2 651 737</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2034</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29 857</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140 343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170 577</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-2 481 160</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2035</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18 822</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-13 580</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5 618</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-2 475 542</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2036</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18 822</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-89 973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-70 774</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-2 546 316</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2037</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18 822</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-90 589</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-71 391</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-2 617 707</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2038</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18 822</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-7 776</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11 423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-2 606 284</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2039</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18 822</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-12 863</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6 336</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-2 599 948</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2040</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18 822</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-455 404</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-436 206</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-3 036 154</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2041</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18 822</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-8 011</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11 187</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-3 024 967</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2042</w:t>
            </w:r>
          </w:p>
        </w:tc>
        <w:tc>
          <w:tcPr>
            <w:tcW w:w="1099"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 </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18 822</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-66 406</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-47 208</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-3 072 175</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sz w:val="18"/>
                <w:szCs w:val="18"/>
              </w:rPr>
            </w:pPr>
            <w:r w:rsidRPr="009D1EC7">
              <w:rPr>
                <w:rFonts w:eastAsia="Arial Unicode MS" w:cs="Tahoma"/>
                <w:sz w:val="18"/>
                <w:szCs w:val="18"/>
              </w:rPr>
              <w:t>2043</w:t>
            </w:r>
          </w:p>
        </w:tc>
        <w:tc>
          <w:tcPr>
            <w:tcW w:w="1099"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p>
        </w:tc>
        <w:tc>
          <w:tcPr>
            <w:tcW w:w="889"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612 870</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18 822</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-8 172</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377</w:t>
            </w:r>
          </w:p>
        </w:tc>
        <w:tc>
          <w:tcPr>
            <w:tcW w:w="1056"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p>
        </w:tc>
        <w:tc>
          <w:tcPr>
            <w:tcW w:w="1195" w:type="dxa"/>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623 896</w:t>
            </w:r>
          </w:p>
        </w:tc>
        <w:tc>
          <w:tcPr>
            <w:tcW w:w="0" w:type="auto"/>
            <w:vAlign w:val="center"/>
          </w:tcPr>
          <w:p w:rsidR="000D3451" w:rsidRPr="009D1EC7" w:rsidRDefault="000D3451" w:rsidP="009D1EC7">
            <w:pPr>
              <w:spacing w:before="0" w:after="0" w:line="264" w:lineRule="auto"/>
              <w:jc w:val="right"/>
              <w:rPr>
                <w:rFonts w:eastAsia="Arial Unicode MS" w:cs="Tahoma"/>
                <w:sz w:val="18"/>
                <w:szCs w:val="18"/>
              </w:rPr>
            </w:pPr>
            <w:r w:rsidRPr="009D1EC7">
              <w:rPr>
                <w:rFonts w:eastAsia="Arial Unicode MS" w:cs="Tahoma"/>
                <w:sz w:val="18"/>
                <w:szCs w:val="18"/>
              </w:rPr>
              <w:t>-2 448 279</w:t>
            </w:r>
          </w:p>
        </w:tc>
      </w:tr>
      <w:tr w:rsidR="009D1EC7" w:rsidTr="009D1EC7">
        <w:trPr>
          <w:trHeight w:val="20"/>
          <w:jc w:val="center"/>
        </w:trPr>
        <w:tc>
          <w:tcPr>
            <w:tcW w:w="610" w:type="dxa"/>
            <w:shd w:val="pct12" w:color="auto" w:fill="auto"/>
            <w:vAlign w:val="center"/>
          </w:tcPr>
          <w:p w:rsidR="000D3451" w:rsidRPr="009D1EC7" w:rsidRDefault="000D3451" w:rsidP="009D1EC7">
            <w:pPr>
              <w:spacing w:before="0" w:after="0" w:line="264" w:lineRule="auto"/>
              <w:rPr>
                <w:rFonts w:eastAsia="Arial Unicode MS" w:cs="Tahoma"/>
                <w:b/>
                <w:sz w:val="16"/>
                <w:szCs w:val="18"/>
              </w:rPr>
            </w:pPr>
            <w:r w:rsidRPr="009D1EC7">
              <w:rPr>
                <w:rFonts w:eastAsia="Arial Unicode MS" w:cs="Tahoma"/>
                <w:b/>
                <w:sz w:val="16"/>
                <w:szCs w:val="18"/>
              </w:rPr>
              <w:t>NPV</w:t>
            </w:r>
          </w:p>
        </w:tc>
        <w:tc>
          <w:tcPr>
            <w:tcW w:w="1099" w:type="dxa"/>
            <w:tcBorders>
              <w:bottom w:val="single" w:sz="4" w:space="0" w:color="000000"/>
            </w:tcBorders>
            <w:shd w:val="pct12" w:color="auto" w:fill="auto"/>
            <w:vAlign w:val="center"/>
          </w:tcPr>
          <w:p w:rsidR="000D3451" w:rsidRPr="009D1EC7" w:rsidRDefault="000D3451" w:rsidP="009D1EC7">
            <w:pPr>
              <w:spacing w:before="0" w:after="0" w:line="264" w:lineRule="auto"/>
              <w:jc w:val="right"/>
              <w:rPr>
                <w:rFonts w:eastAsia="Arial Unicode MS" w:cs="Tahoma"/>
                <w:b/>
                <w:sz w:val="16"/>
                <w:szCs w:val="18"/>
              </w:rPr>
            </w:pPr>
            <w:r w:rsidRPr="009D1EC7">
              <w:rPr>
                <w:rFonts w:eastAsia="Arial Unicode MS" w:cs="Tahoma"/>
                <w:b/>
                <w:sz w:val="16"/>
                <w:szCs w:val="18"/>
              </w:rPr>
              <w:t>3 956 065</w:t>
            </w:r>
          </w:p>
        </w:tc>
        <w:tc>
          <w:tcPr>
            <w:tcW w:w="889" w:type="dxa"/>
            <w:tcBorders>
              <w:bottom w:val="single" w:sz="4" w:space="0" w:color="000000"/>
            </w:tcBorders>
            <w:shd w:val="pct12" w:color="auto" w:fill="auto"/>
            <w:vAlign w:val="center"/>
          </w:tcPr>
          <w:p w:rsidR="000D3451" w:rsidRPr="009D1EC7" w:rsidRDefault="000D3451" w:rsidP="009D1EC7">
            <w:pPr>
              <w:spacing w:before="0" w:after="0" w:line="264" w:lineRule="auto"/>
              <w:jc w:val="right"/>
              <w:rPr>
                <w:rFonts w:eastAsia="Arial Unicode MS" w:cs="Tahoma"/>
                <w:b/>
                <w:sz w:val="16"/>
                <w:szCs w:val="18"/>
              </w:rPr>
            </w:pPr>
            <w:r w:rsidRPr="009D1EC7">
              <w:rPr>
                <w:rFonts w:eastAsia="Arial Unicode MS" w:cs="Tahoma"/>
                <w:b/>
                <w:sz w:val="16"/>
                <w:szCs w:val="18"/>
              </w:rPr>
              <w:t>148 894</w:t>
            </w:r>
          </w:p>
        </w:tc>
        <w:tc>
          <w:tcPr>
            <w:tcW w:w="0" w:type="auto"/>
            <w:tcBorders>
              <w:bottom w:val="single" w:sz="4" w:space="0" w:color="000000"/>
            </w:tcBorders>
            <w:shd w:val="pct12" w:color="auto" w:fill="auto"/>
            <w:vAlign w:val="center"/>
          </w:tcPr>
          <w:p w:rsidR="000D3451" w:rsidRPr="009D1EC7" w:rsidRDefault="000D3451" w:rsidP="009D1EC7">
            <w:pPr>
              <w:spacing w:before="0" w:after="0" w:line="264" w:lineRule="auto"/>
              <w:jc w:val="right"/>
              <w:rPr>
                <w:rFonts w:eastAsia="Arial Unicode MS" w:cs="Tahoma"/>
                <w:b/>
                <w:sz w:val="16"/>
                <w:szCs w:val="18"/>
              </w:rPr>
            </w:pPr>
            <w:r w:rsidRPr="009D1EC7">
              <w:rPr>
                <w:rFonts w:eastAsia="Arial Unicode MS" w:cs="Tahoma"/>
                <w:b/>
                <w:sz w:val="16"/>
                <w:szCs w:val="18"/>
              </w:rPr>
              <w:t>318 925</w:t>
            </w:r>
          </w:p>
        </w:tc>
        <w:tc>
          <w:tcPr>
            <w:tcW w:w="0" w:type="auto"/>
            <w:tcBorders>
              <w:bottom w:val="single" w:sz="4" w:space="0" w:color="000000"/>
            </w:tcBorders>
            <w:shd w:val="pct12" w:color="auto" w:fill="auto"/>
            <w:vAlign w:val="center"/>
          </w:tcPr>
          <w:p w:rsidR="000D3451" w:rsidRPr="009D1EC7" w:rsidRDefault="000D3451" w:rsidP="009D1EC7">
            <w:pPr>
              <w:spacing w:before="0" w:after="0" w:line="264" w:lineRule="auto"/>
              <w:jc w:val="right"/>
              <w:rPr>
                <w:rFonts w:eastAsia="Arial Unicode MS" w:cs="Tahoma"/>
                <w:b/>
                <w:sz w:val="16"/>
                <w:szCs w:val="18"/>
              </w:rPr>
            </w:pPr>
            <w:r w:rsidRPr="009D1EC7">
              <w:rPr>
                <w:rFonts w:eastAsia="Arial Unicode MS" w:cs="Tahoma"/>
                <w:b/>
                <w:sz w:val="16"/>
                <w:szCs w:val="18"/>
              </w:rPr>
              <w:t>1 057 766</w:t>
            </w:r>
          </w:p>
        </w:tc>
        <w:tc>
          <w:tcPr>
            <w:tcW w:w="0" w:type="auto"/>
            <w:tcBorders>
              <w:bottom w:val="single" w:sz="4" w:space="0" w:color="000000"/>
            </w:tcBorders>
            <w:shd w:val="pct12" w:color="auto" w:fill="auto"/>
            <w:vAlign w:val="center"/>
          </w:tcPr>
          <w:p w:rsidR="000D3451" w:rsidRPr="009D1EC7" w:rsidRDefault="000D3451" w:rsidP="009D1EC7">
            <w:pPr>
              <w:spacing w:before="0" w:after="0" w:line="264" w:lineRule="auto"/>
              <w:jc w:val="right"/>
              <w:rPr>
                <w:rFonts w:eastAsia="Arial Unicode MS" w:cs="Tahoma"/>
                <w:b/>
                <w:sz w:val="16"/>
                <w:szCs w:val="18"/>
              </w:rPr>
            </w:pPr>
            <w:r w:rsidRPr="009D1EC7">
              <w:rPr>
                <w:rFonts w:eastAsia="Arial Unicode MS" w:cs="Tahoma"/>
                <w:b/>
                <w:sz w:val="16"/>
                <w:szCs w:val="18"/>
              </w:rPr>
              <w:t>-8 350</w:t>
            </w:r>
          </w:p>
        </w:tc>
        <w:tc>
          <w:tcPr>
            <w:tcW w:w="1056" w:type="dxa"/>
            <w:tcBorders>
              <w:bottom w:val="single" w:sz="4" w:space="0" w:color="000000"/>
            </w:tcBorders>
            <w:shd w:val="pct12" w:color="auto" w:fill="auto"/>
            <w:vAlign w:val="center"/>
          </w:tcPr>
          <w:p w:rsidR="000D3451" w:rsidRPr="009D1EC7" w:rsidRDefault="000D3451" w:rsidP="009D1EC7">
            <w:pPr>
              <w:spacing w:before="0" w:after="0" w:line="264" w:lineRule="auto"/>
              <w:jc w:val="right"/>
              <w:rPr>
                <w:rFonts w:eastAsia="Arial Unicode MS" w:cs="Tahoma"/>
                <w:b/>
                <w:sz w:val="16"/>
                <w:szCs w:val="18"/>
              </w:rPr>
            </w:pPr>
            <w:r w:rsidRPr="009D1EC7">
              <w:rPr>
                <w:rFonts w:eastAsia="Arial Unicode MS" w:cs="Tahoma"/>
                <w:b/>
                <w:sz w:val="16"/>
                <w:szCs w:val="18"/>
              </w:rPr>
              <w:t>53 802</w:t>
            </w:r>
          </w:p>
        </w:tc>
        <w:tc>
          <w:tcPr>
            <w:tcW w:w="1195" w:type="dxa"/>
            <w:tcBorders>
              <w:bottom w:val="single" w:sz="4" w:space="0" w:color="000000"/>
            </w:tcBorders>
            <w:shd w:val="pct12" w:color="auto" w:fill="auto"/>
            <w:vAlign w:val="center"/>
          </w:tcPr>
          <w:p w:rsidR="000D3451" w:rsidRPr="009D1EC7" w:rsidRDefault="000D3451" w:rsidP="009D1EC7">
            <w:pPr>
              <w:spacing w:before="0" w:after="0" w:line="264" w:lineRule="auto"/>
              <w:jc w:val="right"/>
              <w:rPr>
                <w:rFonts w:eastAsia="Arial Unicode MS" w:cs="Tahoma"/>
                <w:b/>
                <w:sz w:val="15"/>
                <w:szCs w:val="15"/>
              </w:rPr>
            </w:pPr>
            <w:r w:rsidRPr="009D1EC7">
              <w:rPr>
                <w:rFonts w:eastAsia="Arial Unicode MS" w:cs="Tahoma"/>
                <w:b/>
                <w:sz w:val="16"/>
                <w:szCs w:val="15"/>
              </w:rPr>
              <w:t>-2 385 026</w:t>
            </w:r>
          </w:p>
        </w:tc>
        <w:tc>
          <w:tcPr>
            <w:tcW w:w="0" w:type="auto"/>
            <w:tcBorders>
              <w:bottom w:val="single" w:sz="4" w:space="0" w:color="000000"/>
            </w:tcBorders>
            <w:vAlign w:val="center"/>
          </w:tcPr>
          <w:p w:rsidR="000D3451" w:rsidRPr="009D1EC7" w:rsidRDefault="000D3451" w:rsidP="009D1EC7">
            <w:pPr>
              <w:spacing w:before="0" w:after="0" w:line="264" w:lineRule="auto"/>
              <w:jc w:val="right"/>
              <w:rPr>
                <w:rFonts w:eastAsia="Arial Unicode MS" w:cs="Tahoma"/>
                <w:b/>
                <w:sz w:val="16"/>
                <w:szCs w:val="18"/>
              </w:rPr>
            </w:pPr>
            <w:r w:rsidRPr="009D1EC7">
              <w:rPr>
                <w:rFonts w:eastAsia="Arial Unicode MS" w:cs="Tahoma"/>
                <w:b/>
                <w:sz w:val="16"/>
                <w:szCs w:val="18"/>
              </w:rPr>
              <w:t> </w:t>
            </w:r>
          </w:p>
        </w:tc>
      </w:tr>
    </w:tbl>
    <w:p w:rsidR="00ED18BC" w:rsidRPr="00F7599B" w:rsidRDefault="00ED18BC" w:rsidP="00F7599B"/>
    <w:p w:rsidR="00225B27" w:rsidRDefault="00DD1F08">
      <w:pPr>
        <w:pStyle w:val="Nadpis2"/>
      </w:pPr>
      <w:r>
        <w:br w:type="page"/>
      </w:r>
      <w:bookmarkStart w:id="317" w:name="_Toc390958722"/>
      <w:r w:rsidR="00225B27">
        <w:t>Ekonomická analýza</w:t>
      </w:r>
      <w:bookmarkEnd w:id="317"/>
    </w:p>
    <w:p w:rsidR="001514AF" w:rsidRDefault="001514AF" w:rsidP="00D7005E">
      <w:r w:rsidRPr="007D54D2">
        <w:t>Výstupy ekonomické analýzy jsou shodné jako u analýzy finanční. Rozdílný je však úhel pohledu na celý projekt. Navíc zde totiž přistupují další finanční toky, které jsou relevantní z hlediska celé společnosti. V</w:t>
      </w:r>
      <w:r>
        <w:t> </w:t>
      </w:r>
      <w:r w:rsidRPr="007D54D2">
        <w:t>ekonomické analýze jsou tedy hodnoceny navíc finanční toky provozovatelů drážní dopravy, uživatelů drážní dopravy a celospolečenské účinky.</w:t>
      </w:r>
    </w:p>
    <w:p w:rsidR="001514AF" w:rsidRDefault="001514AF" w:rsidP="001514AF">
      <w:r>
        <w:t>Do ekonomické analýzy vstupují:</w:t>
      </w:r>
    </w:p>
    <w:p w:rsidR="00631EAB" w:rsidRDefault="001514AF" w:rsidP="00D20948">
      <w:pPr>
        <w:pStyle w:val="Odstavecseseznamem"/>
        <w:numPr>
          <w:ilvl w:val="0"/>
          <w:numId w:val="15"/>
        </w:numPr>
        <w:contextualSpacing/>
      </w:pPr>
      <w:r>
        <w:t>investiční náklady,</w:t>
      </w:r>
    </w:p>
    <w:p w:rsidR="00631EAB" w:rsidRDefault="001514AF" w:rsidP="00D20948">
      <w:pPr>
        <w:pStyle w:val="Odstavecseseznamem"/>
        <w:numPr>
          <w:ilvl w:val="0"/>
          <w:numId w:val="15"/>
        </w:numPr>
        <w:contextualSpacing/>
      </w:pPr>
      <w:r>
        <w:t>provozní náklady železniční dopravy (náklady na údržbu a opravy železniční infrastruktury, provozní náklady na provoz vlaků a řízení dopravy),</w:t>
      </w:r>
    </w:p>
    <w:p w:rsidR="00631EAB" w:rsidRDefault="001514AF" w:rsidP="00D20948">
      <w:pPr>
        <w:pStyle w:val="Odstavecseseznamem"/>
        <w:numPr>
          <w:ilvl w:val="0"/>
          <w:numId w:val="15"/>
        </w:numPr>
        <w:contextualSpacing/>
      </w:pPr>
      <w:r>
        <w:t xml:space="preserve">provozní náklady silniční dopravy (snížení nákladů na údržbu a opravy silniční infrastruktury a provoz vozidel) – pouze u </w:t>
      </w:r>
      <w:r w:rsidR="001E7932">
        <w:t>osobní</w:t>
      </w:r>
      <w:r>
        <w:t xml:space="preserve"> dopravy,</w:t>
      </w:r>
    </w:p>
    <w:p w:rsidR="00631EAB" w:rsidRDefault="001514AF" w:rsidP="00D20948">
      <w:pPr>
        <w:pStyle w:val="Odstavecseseznamem"/>
        <w:numPr>
          <w:ilvl w:val="0"/>
          <w:numId w:val="15"/>
        </w:numPr>
        <w:contextualSpacing/>
      </w:pPr>
      <w:r>
        <w:t>úspory času,</w:t>
      </w:r>
    </w:p>
    <w:p w:rsidR="00631EAB" w:rsidRDefault="001514AF" w:rsidP="00D20948">
      <w:pPr>
        <w:pStyle w:val="Odstavecseseznamem"/>
        <w:numPr>
          <w:ilvl w:val="0"/>
          <w:numId w:val="15"/>
        </w:numPr>
        <w:contextualSpacing/>
      </w:pPr>
      <w:r>
        <w:t>vnější účinky zahrnující snížení nehodovosti, hlučnosti z dopravy, znečištění ovzduší a změny klimatu,</w:t>
      </w:r>
    </w:p>
    <w:p w:rsidR="00631EAB" w:rsidRDefault="001514AF" w:rsidP="00D20948">
      <w:pPr>
        <w:pStyle w:val="Odstavecseseznamem"/>
        <w:numPr>
          <w:ilvl w:val="0"/>
          <w:numId w:val="15"/>
        </w:numPr>
        <w:contextualSpacing/>
      </w:pPr>
      <w:r>
        <w:t>efekt zvýšení bezpečnosti železniční dopravy.</w:t>
      </w:r>
    </w:p>
    <w:p w:rsidR="001514AF" w:rsidRDefault="001514AF" w:rsidP="001514AF">
      <w:r>
        <w:t>Z těchto finančních toků je vypracována tabulka cash-flow a z ní odvozeno ekonomické vnitřní výnosové procento (ERR), ekonomická čistá současná hodnota (ENPV) a poměr přínosů a nákladů (B/C Ratio) pro projektovou variantu. Při výpočtu čisté současné hodnoty je použita v ekonomické analýze diskontní sazba 5,5 % (dle materiálu Evropské komise „Metodické pokyny pro provedení analýzy nákladů a výnosů“ pro nové programové období 2007 – 2013).</w:t>
      </w:r>
    </w:p>
    <w:p w:rsidR="001514AF" w:rsidRDefault="001514AF" w:rsidP="001514AF">
      <w:r>
        <w:t>Ekonomické příjmy a náklady, ze kterých je sestavena ekonomická analýza, jsou uvedeny v tzv. ekonomických cenách, tj. v cenách, které jsou očištěny od daňového zatížení. Koeficient pro přepočet na ekonomické ceny je převzat z materiálu „Aktualizace metodiky pro výpočet efektivnosti na SŽDC“, MD ČR, 2009 ve výši 0,88 jak pro investiční, tak pro provozní náklady.</w:t>
      </w:r>
    </w:p>
    <w:p w:rsidR="001514AF" w:rsidRDefault="001514AF" w:rsidP="001514AF">
      <w:r>
        <w:t xml:space="preserve">Ve výpočtech se </w:t>
      </w:r>
      <w:r w:rsidRPr="00E8514F">
        <w:rPr>
          <w:u w:val="single"/>
        </w:rPr>
        <w:t xml:space="preserve">v projektových variantách v </w:t>
      </w:r>
      <w:r w:rsidR="001E7932">
        <w:rPr>
          <w:u w:val="single"/>
        </w:rPr>
        <w:t>nákladní</w:t>
      </w:r>
      <w:r w:rsidRPr="00E8514F">
        <w:rPr>
          <w:u w:val="single"/>
        </w:rPr>
        <w:t xml:space="preserve"> doprav</w:t>
      </w:r>
      <w:r w:rsidRPr="00E8514F">
        <w:rPr>
          <w:rFonts w:hint="eastAsia"/>
          <w:u w:val="single"/>
        </w:rPr>
        <w:t>ě</w:t>
      </w:r>
      <w:r w:rsidRPr="00E8514F">
        <w:rPr>
          <w:u w:val="single"/>
        </w:rPr>
        <w:t xml:space="preserve"> neuvažuje s p</w:t>
      </w:r>
      <w:r w:rsidRPr="00E8514F">
        <w:rPr>
          <w:rFonts w:hint="eastAsia"/>
          <w:u w:val="single"/>
        </w:rPr>
        <w:t>ř</w:t>
      </w:r>
      <w:r w:rsidRPr="00E8514F">
        <w:rPr>
          <w:u w:val="single"/>
        </w:rPr>
        <w:t>evedenou dopravou</w:t>
      </w:r>
      <w:r>
        <w:t xml:space="preserve">, protože efekt vyvolaný stavebními úpravami trati v jednotlivých variantách není pro </w:t>
      </w:r>
      <w:r w:rsidR="001E7932">
        <w:t>nákladní</w:t>
      </w:r>
      <w:r>
        <w:t xml:space="preserve"> dopravu tak významný, aby vyvolal převedení dopravy. Naopak </w:t>
      </w:r>
      <w:r w:rsidRPr="00E8514F">
        <w:rPr>
          <w:u w:val="single"/>
        </w:rPr>
        <w:t>v </w:t>
      </w:r>
      <w:r w:rsidR="001E7932">
        <w:rPr>
          <w:u w:val="single"/>
        </w:rPr>
        <w:t>osobní</w:t>
      </w:r>
      <w:r w:rsidRPr="00E8514F">
        <w:rPr>
          <w:u w:val="single"/>
        </w:rPr>
        <w:t xml:space="preserve"> doprav</w:t>
      </w:r>
      <w:r w:rsidRPr="00E8514F">
        <w:rPr>
          <w:rFonts w:hint="eastAsia"/>
          <w:u w:val="single"/>
        </w:rPr>
        <w:t>ě</w:t>
      </w:r>
      <w:r w:rsidRPr="00E8514F">
        <w:rPr>
          <w:u w:val="single"/>
        </w:rPr>
        <w:t xml:space="preserve"> se p</w:t>
      </w:r>
      <w:r w:rsidRPr="00E8514F">
        <w:rPr>
          <w:rFonts w:hint="eastAsia"/>
          <w:u w:val="single"/>
        </w:rPr>
        <w:t>ř</w:t>
      </w:r>
      <w:r w:rsidRPr="00E8514F">
        <w:rPr>
          <w:u w:val="single"/>
        </w:rPr>
        <w:t>edpokládá p</w:t>
      </w:r>
      <w:r w:rsidRPr="00E8514F">
        <w:rPr>
          <w:rFonts w:hint="eastAsia"/>
          <w:u w:val="single"/>
        </w:rPr>
        <w:t>ř</w:t>
      </w:r>
      <w:r w:rsidRPr="00E8514F">
        <w:rPr>
          <w:u w:val="single"/>
        </w:rPr>
        <w:t xml:space="preserve">evedení </w:t>
      </w:r>
      <w:r w:rsidR="001E7932">
        <w:rPr>
          <w:u w:val="single"/>
        </w:rPr>
        <w:t>cestujících</w:t>
      </w:r>
      <w:r w:rsidRPr="00E8514F">
        <w:rPr>
          <w:u w:val="single"/>
        </w:rPr>
        <w:t xml:space="preserve"> ze silnice na železnici</w:t>
      </w:r>
      <w:r>
        <w:t>.</w:t>
      </w:r>
      <w:r w:rsidR="001E7932">
        <w:t xml:space="preserve"> K tomuto převedení dojde především díky zdvoukolejnění úseku Stéblová – Opatovice n.L. a dalším úpravám a s tím související možností navýšit a zatraktivnit tak přepravní nabídku především pro cestující dojíždějící denně za prací do Pardubic nebo Hradce Králové. Na lepší nabídku spojení do spádových měst se předpokládá odezva i na straně zvýšení poptávky a tím i počtu přepravených cestujících, kteří budou převeden</w:t>
      </w:r>
      <w:r w:rsidR="005E6DEE">
        <w:t>i</w:t>
      </w:r>
      <w:r w:rsidR="001E7932">
        <w:t xml:space="preserve"> ze silniční dopravy. K převedení dopravy nedochází ve variantě Minimální, </w:t>
      </w:r>
      <w:r w:rsidR="006B3925" w:rsidRPr="00A72B8E">
        <w:t xml:space="preserve">podobnou </w:t>
      </w:r>
      <w:r w:rsidR="001E7932" w:rsidRPr="00A72B8E">
        <w:t>úrove</w:t>
      </w:r>
      <w:r w:rsidR="001E7932" w:rsidRPr="00A72B8E">
        <w:rPr>
          <w:rFonts w:hint="eastAsia"/>
        </w:rPr>
        <w:t>ň</w:t>
      </w:r>
      <w:r w:rsidR="005E6DEE" w:rsidRPr="00A72B8E">
        <w:t xml:space="preserve"> p</w:t>
      </w:r>
      <w:r w:rsidR="005E6DEE" w:rsidRPr="00A72B8E">
        <w:rPr>
          <w:rFonts w:hint="eastAsia"/>
        </w:rPr>
        <w:t>ř</w:t>
      </w:r>
      <w:r w:rsidR="005E6DEE" w:rsidRPr="00A72B8E">
        <w:t>evedené dopravy</w:t>
      </w:r>
      <w:r w:rsidR="001E7932" w:rsidRPr="00A72B8E">
        <w:t xml:space="preserve"> má </w:t>
      </w:r>
      <w:r w:rsidR="009E270E">
        <w:t>Etapa</w:t>
      </w:r>
      <w:r w:rsidR="001E7932">
        <w:t>, mírně vyšší převedená doprava je potom ve variantě Maximální, která navíc zdvoukolejňuje ještě další úseky na řešené trati.</w:t>
      </w:r>
      <w:r w:rsidR="00833273">
        <w:t xml:space="preserve"> </w:t>
      </w:r>
      <w:r w:rsidR="00833273" w:rsidRPr="00A72B8E">
        <w:t>Ve variant</w:t>
      </w:r>
      <w:r w:rsidR="00833273" w:rsidRPr="00A72B8E">
        <w:rPr>
          <w:rFonts w:hint="eastAsia"/>
        </w:rPr>
        <w:t>ě</w:t>
      </w:r>
      <w:r w:rsidR="00833273" w:rsidRPr="00A72B8E">
        <w:t xml:space="preserve"> </w:t>
      </w:r>
      <w:r w:rsidR="00833273">
        <w:t>Maximální se navíc uvažuje i se zohledněním vlivu projektu na trať Pardubice - Chrudim.</w:t>
      </w:r>
    </w:p>
    <w:p w:rsidR="00DD1F08" w:rsidRPr="00DD1F08" w:rsidRDefault="001514AF" w:rsidP="001514AF">
      <w:r>
        <w:t>V následujících kapitolách jsou stanoveny hodnoty jednotlivých finančních toků, které jsou použity pro sestavení ekonomické analýzy.</w:t>
      </w:r>
    </w:p>
    <w:p w:rsidR="00BF56B0" w:rsidRDefault="00BF56B0">
      <w:pPr>
        <w:suppressAutoHyphens w:val="0"/>
        <w:spacing w:before="0" w:after="0" w:line="240" w:lineRule="auto"/>
        <w:jc w:val="left"/>
        <w:rPr>
          <w:b/>
          <w:bCs/>
          <w:sz w:val="24"/>
        </w:rPr>
      </w:pPr>
      <w:r>
        <w:br w:type="page"/>
      </w:r>
    </w:p>
    <w:p w:rsidR="00225B27" w:rsidRDefault="00225B27" w:rsidP="000D62F1">
      <w:pPr>
        <w:pStyle w:val="Nadpis3"/>
        <w:ind w:hanging="8234"/>
      </w:pPr>
      <w:r>
        <w:t>Investiční náklady</w:t>
      </w:r>
    </w:p>
    <w:p w:rsidR="001E7932" w:rsidRPr="001E7932" w:rsidRDefault="00180730" w:rsidP="001E7932">
      <w:r w:rsidRPr="002C169A">
        <w:t>Celkové investiční náklady bez započtení rezervy jsou vyčísleny v</w:t>
      </w:r>
      <w:r>
        <w:t> </w:t>
      </w:r>
      <w:r w:rsidRPr="002C169A">
        <w:t>kapitole</w:t>
      </w:r>
      <w:r>
        <w:t xml:space="preserve"> „</w:t>
      </w:r>
      <w:r w:rsidR="00AC5CDF">
        <w:fldChar w:fldCharType="begin"/>
      </w:r>
      <w:r w:rsidR="00E3660B">
        <w:instrText xml:space="preserve"> REF _Ref323218164 \r \h </w:instrText>
      </w:r>
      <w:r w:rsidR="00AC5CDF">
        <w:fldChar w:fldCharType="separate"/>
      </w:r>
      <w:r w:rsidR="003843F3">
        <w:t>7.1.1</w:t>
      </w:r>
      <w:r w:rsidR="00AC5CDF">
        <w:fldChar w:fldCharType="end"/>
      </w:r>
      <w:r w:rsidR="00E3660B">
        <w:t xml:space="preserve"> </w:t>
      </w:r>
      <w:r w:rsidR="00AC5CDF">
        <w:fldChar w:fldCharType="begin"/>
      </w:r>
      <w:r>
        <w:instrText xml:space="preserve"> REF _Ref323218164 \h </w:instrText>
      </w:r>
      <w:r w:rsidR="00AC5CDF">
        <w:fldChar w:fldCharType="separate"/>
      </w:r>
      <w:r w:rsidR="003843F3">
        <w:t>Investiční náklady</w:t>
      </w:r>
      <w:r w:rsidR="00AC5CDF">
        <w:fldChar w:fldCharType="end"/>
      </w:r>
      <w:r>
        <w:t>“</w:t>
      </w:r>
      <w:r w:rsidRPr="002C169A">
        <w:t>. Do ekonomické analýzy však vstupují v tzv. ekonomických cenách, tj. v cenách, které jsou očištěny od daňového zatížení pomocí konverzního faktoru ve výši 0,88.</w:t>
      </w:r>
    </w:p>
    <w:p w:rsidR="00225B27" w:rsidRDefault="00225B27" w:rsidP="000D62F1">
      <w:pPr>
        <w:pStyle w:val="Nadpis3"/>
        <w:ind w:hanging="8234"/>
      </w:pPr>
      <w:r>
        <w:t>Provozní náklady</w:t>
      </w:r>
      <w:r w:rsidR="00433CE5">
        <w:t xml:space="preserve"> železniční dopravy</w:t>
      </w:r>
    </w:p>
    <w:p w:rsidR="00433CE5" w:rsidRDefault="00433CE5" w:rsidP="00433CE5">
      <w:r>
        <w:t xml:space="preserve">V této části jsou sledovány provozní náklady železniční dopravy, konkrétně </w:t>
      </w:r>
      <w:r w:rsidRPr="00877284">
        <w:rPr>
          <w:b/>
        </w:rPr>
        <w:t>náklady na údržbu a opravy železniční infrastruktury</w:t>
      </w:r>
      <w:r>
        <w:t xml:space="preserve">, </w:t>
      </w:r>
      <w:r w:rsidRPr="00877284">
        <w:rPr>
          <w:b/>
        </w:rPr>
        <w:t>náklady na řízení dopravy</w:t>
      </w:r>
      <w:r>
        <w:t xml:space="preserve"> a </w:t>
      </w:r>
      <w:r w:rsidRPr="00877284">
        <w:rPr>
          <w:b/>
        </w:rPr>
        <w:t>náklady na provoz vlaků</w:t>
      </w:r>
      <w:r>
        <w:t xml:space="preserve">. </w:t>
      </w:r>
    </w:p>
    <w:p w:rsidR="00433CE5" w:rsidRDefault="00433CE5" w:rsidP="00433CE5">
      <w:r>
        <w:t>Realizací projektu dojde k úsporám provozních nákladů v železniční dopravě na sledovaných úsecích ve variantách s projektem oproti variantě bez projektu u nákladů na údržbu a opravy železniční infrastruktury a na řízení vlakové dopravy. Náklady na údržbu a opravy železniční infrastruktury a náklady na řízení vlakové dopravy sledovaných variant jsou již vyčísleny v předchozí kapitole „</w:t>
      </w:r>
      <w:r w:rsidR="00AC5CDF">
        <w:fldChar w:fldCharType="begin"/>
      </w:r>
      <w:r w:rsidR="00067DD5">
        <w:instrText xml:space="preserve"> REF _Ref323218250 \r \h </w:instrText>
      </w:r>
      <w:r w:rsidR="00AC5CDF">
        <w:fldChar w:fldCharType="separate"/>
      </w:r>
      <w:r w:rsidR="003843F3">
        <w:t>7.1</w:t>
      </w:r>
      <w:r w:rsidR="00AC5CDF">
        <w:fldChar w:fldCharType="end"/>
      </w:r>
      <w:r w:rsidR="00067DD5">
        <w:t xml:space="preserve"> </w:t>
      </w:r>
      <w:r>
        <w:t xml:space="preserve">- </w:t>
      </w:r>
      <w:r w:rsidR="00AC5CDF">
        <w:fldChar w:fldCharType="begin"/>
      </w:r>
      <w:r>
        <w:instrText xml:space="preserve"> REF _Ref323218253 \h </w:instrText>
      </w:r>
      <w:r w:rsidR="00AC5CDF">
        <w:fldChar w:fldCharType="separate"/>
      </w:r>
      <w:r w:rsidR="003843F3">
        <w:t>Finanční analýza</w:t>
      </w:r>
      <w:r w:rsidR="00AC5CDF">
        <w:fldChar w:fldCharType="end"/>
      </w:r>
      <w:r>
        <w:t xml:space="preserve">“. Do ekonomické analýzy však vstupují opět v tzv. ekonomických cenách, přenásobeny konverzním faktorem 0,88. Z výše uvedeného důvodu jsou v této kapitole podrobně popsány pouze náklady na provoz vlaků. </w:t>
      </w:r>
    </w:p>
    <w:p w:rsidR="00433CE5" w:rsidRPr="00B241AC" w:rsidRDefault="00433CE5" w:rsidP="00433CE5">
      <w:pPr>
        <w:rPr>
          <w:b/>
        </w:rPr>
      </w:pPr>
      <w:r w:rsidRPr="00B241AC">
        <w:rPr>
          <w:b/>
        </w:rPr>
        <w:t>Náklady na provoz vlaků</w:t>
      </w:r>
    </w:p>
    <w:p w:rsidR="00433CE5" w:rsidRDefault="00433CE5" w:rsidP="00433CE5">
      <w:r>
        <w:t>Stavba bude mít přímý vliv na výši provozních nákladů vlaků na sledovaných úsecích (</w:t>
      </w:r>
      <w:r w:rsidR="00CC071C">
        <w:t xml:space="preserve">zvýšení traťové rychlosti, </w:t>
      </w:r>
      <w:r>
        <w:t xml:space="preserve">zkrácení jízdních dob a z toho vyplývající úspora nákladových položek, závislých na vlakových hodinách). </w:t>
      </w:r>
    </w:p>
    <w:p w:rsidR="00433CE5" w:rsidRDefault="00433CE5" w:rsidP="00433CE5">
      <w:r>
        <w:t>Pro výpočet byly použity nákladové sazby hnacích vozidel dle typové řady (konkrétní řady vozidel používaných na této trati jsou blíže popsány v</w:t>
      </w:r>
      <w:r w:rsidR="00CC071C">
        <w:t> </w:t>
      </w:r>
      <w:r>
        <w:t>kapitole</w:t>
      </w:r>
      <w:r w:rsidR="00CC071C">
        <w:t xml:space="preserve"> „</w:t>
      </w:r>
      <w:r w:rsidR="00AC5CDF">
        <w:fldChar w:fldCharType="begin"/>
      </w:r>
      <w:r w:rsidR="00CC071C">
        <w:instrText xml:space="preserve"> REF _Ref280079446 \r \h </w:instrText>
      </w:r>
      <w:r w:rsidR="00AC5CDF">
        <w:fldChar w:fldCharType="separate"/>
      </w:r>
      <w:r w:rsidR="003843F3">
        <w:t>4.2.1</w:t>
      </w:r>
      <w:r w:rsidR="00AC5CDF">
        <w:fldChar w:fldCharType="end"/>
      </w:r>
      <w:r w:rsidR="00CC071C">
        <w:t xml:space="preserve"> - </w:t>
      </w:r>
      <w:r w:rsidR="00AC5CDF">
        <w:fldChar w:fldCharType="begin"/>
      </w:r>
      <w:r w:rsidR="00CC071C">
        <w:instrText xml:space="preserve"> REF _Ref280079446 \h </w:instrText>
      </w:r>
      <w:r w:rsidR="00AC5CDF">
        <w:fldChar w:fldCharType="separate"/>
      </w:r>
      <w:r w:rsidR="003843F3" w:rsidRPr="00405637">
        <w:t>Složení vlakových souprav</w:t>
      </w:r>
      <w:r w:rsidR="00AC5CDF">
        <w:fldChar w:fldCharType="end"/>
      </w:r>
      <w:r w:rsidR="00CC071C">
        <w:t>“</w:t>
      </w:r>
      <w:r>
        <w:t xml:space="preserve">), náklady na vozový park a náklady na vlakovou četu uvedené v materiálu „Aktualizace metodiky pro výpočet efektivnosti investic na SŽDC, s.o“, MD ČR, 2009. Pro regionální osobní dopravu byla z uvedeného vypočtena a dále použita </w:t>
      </w:r>
      <w:r w:rsidR="002F3F64">
        <w:t>ve variantě Minimální</w:t>
      </w:r>
      <w:r w:rsidR="005F3955">
        <w:t xml:space="preserve"> a Bez projektu</w:t>
      </w:r>
      <w:r w:rsidR="002F3F64">
        <w:t xml:space="preserve"> </w:t>
      </w:r>
      <w:r>
        <w:t xml:space="preserve">sazba 4 </w:t>
      </w:r>
      <w:r w:rsidR="006B3925">
        <w:t xml:space="preserve">236 </w:t>
      </w:r>
      <w:r>
        <w:t>Kč/vlhod,</w:t>
      </w:r>
      <w:r w:rsidR="002F3F64">
        <w:t xml:space="preserve"> </w:t>
      </w:r>
      <w:r w:rsidR="002F3F64" w:rsidRPr="00A72B8E">
        <w:t>v ostatních variantách</w:t>
      </w:r>
      <w:r w:rsidR="002F3F64">
        <w:t xml:space="preserve"> pak 4 </w:t>
      </w:r>
      <w:r w:rsidR="006B3925">
        <w:t xml:space="preserve">325 </w:t>
      </w:r>
      <w:r w:rsidR="002F3F64">
        <w:t>Kč/vlhod.</w:t>
      </w:r>
      <w:r>
        <w:t xml:space="preserve"> </w:t>
      </w:r>
      <w:r w:rsidR="002F3F64">
        <w:t>P</w:t>
      </w:r>
      <w:r>
        <w:t xml:space="preserve">ro dálkovou osobní dopravu </w:t>
      </w:r>
      <w:r w:rsidR="002F3F64">
        <w:t xml:space="preserve">byla ve variantě Minimální </w:t>
      </w:r>
      <w:r w:rsidR="005F3955">
        <w:t xml:space="preserve">a Bez projektu </w:t>
      </w:r>
      <w:r w:rsidR="002F3F64">
        <w:t>použita sazba 4</w:t>
      </w:r>
      <w:r>
        <w:t xml:space="preserve"> </w:t>
      </w:r>
      <w:r w:rsidR="006B3925">
        <w:t xml:space="preserve">715 </w:t>
      </w:r>
      <w:r w:rsidR="002F3F64">
        <w:t xml:space="preserve">Kč/vlhod </w:t>
      </w:r>
      <w:r w:rsidR="002F3F64" w:rsidRPr="00A72B8E">
        <w:t>a v ostatních variantách</w:t>
      </w:r>
      <w:r w:rsidR="002F3F64">
        <w:t xml:space="preserve"> sazba 4 </w:t>
      </w:r>
      <w:r w:rsidR="006B3925">
        <w:t xml:space="preserve">886 </w:t>
      </w:r>
      <w:r w:rsidR="002F3F64">
        <w:t>Kč/vlhod.</w:t>
      </w:r>
    </w:p>
    <w:p w:rsidR="00433CE5" w:rsidRDefault="00433CE5" w:rsidP="00433CE5">
      <w:r>
        <w:t>Konkrétní podrobný výpočet a použité měrné náklady jsou uloženy u zpracovatele ekonomického hodnocení.</w:t>
      </w:r>
    </w:p>
    <w:p w:rsidR="00433CE5" w:rsidRPr="00433CE5" w:rsidRDefault="00433CE5" w:rsidP="00433CE5">
      <w:r>
        <w:t xml:space="preserve">Přehled nákladů na provoz vlaků v jednotlivých letech je vidět v následující tabulce. </w:t>
      </w:r>
      <w:r w:rsidRPr="00FB489B">
        <w:t xml:space="preserve">Vzhledem ke stejnému rozsahu dopravy a shodným jízdním dobám ve variantě </w:t>
      </w:r>
      <w:r w:rsidR="00FB489B" w:rsidRPr="00FB489B">
        <w:t xml:space="preserve">bez projektu a variantě Minimální </w:t>
      </w:r>
      <w:r w:rsidRPr="00FB489B">
        <w:t>jsou i</w:t>
      </w:r>
      <w:r w:rsidR="00FB489B" w:rsidRPr="00FB489B">
        <w:t> </w:t>
      </w:r>
      <w:r w:rsidRPr="00FB489B">
        <w:t>náklady na provoz vlaků v těchto variantách shodné.</w:t>
      </w:r>
    </w:p>
    <w:p w:rsidR="00BF56B0" w:rsidRDefault="00BF56B0">
      <w:bookmarkStart w:id="318" w:name="_Toc316377685"/>
      <w:r>
        <w:rPr>
          <w:b/>
        </w:rPr>
        <w:br w:type="page"/>
      </w:r>
    </w:p>
    <w:tbl>
      <w:tblPr>
        <w:tblW w:w="9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0"/>
        <w:gridCol w:w="1561"/>
        <w:gridCol w:w="1562"/>
        <w:gridCol w:w="1651"/>
        <w:gridCol w:w="1652"/>
        <w:gridCol w:w="1652"/>
      </w:tblGrid>
      <w:tr w:rsidR="002D6F41" w:rsidTr="00BF56B0">
        <w:trPr>
          <w:cantSplit/>
          <w:jc w:val="center"/>
        </w:trPr>
        <w:tc>
          <w:tcPr>
            <w:tcW w:w="9348" w:type="dxa"/>
            <w:gridSpan w:val="6"/>
            <w:tcBorders>
              <w:bottom w:val="single" w:sz="4" w:space="0" w:color="000000"/>
            </w:tcBorders>
          </w:tcPr>
          <w:p w:rsidR="006819BA" w:rsidRDefault="002D6F41" w:rsidP="00BF56B0">
            <w:pPr>
              <w:pStyle w:val="Titulek"/>
              <w:rPr>
                <w:rFonts w:eastAsia="Arial Unicode MS"/>
                <w:color w:val="FF0000"/>
              </w:rPr>
            </w:pPr>
            <w:bookmarkStart w:id="319" w:name="_Toc390958789"/>
            <w:bookmarkStart w:id="320" w:name="_Toc391034593"/>
            <w:r w:rsidRPr="00FB489B">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13</w:t>
            </w:r>
            <w:r w:rsidR="000E79AE">
              <w:fldChar w:fldCharType="end"/>
            </w:r>
            <w:r w:rsidRPr="00FB489B">
              <w:t>: Náklady na provoz vlaků, v tis. Kč (CÚ 201</w:t>
            </w:r>
            <w:r w:rsidR="006B3925">
              <w:t>3</w:t>
            </w:r>
            <w:r w:rsidRPr="00FB489B">
              <w:t>)</w:t>
            </w:r>
            <w:bookmarkEnd w:id="318"/>
            <w:bookmarkEnd w:id="319"/>
            <w:bookmarkEnd w:id="320"/>
          </w:p>
        </w:tc>
      </w:tr>
      <w:tr w:rsidR="00BF56B0" w:rsidTr="00BF56B0">
        <w:trPr>
          <w:cantSplit/>
          <w:trHeight w:val="250"/>
          <w:jc w:val="center"/>
        </w:trPr>
        <w:tc>
          <w:tcPr>
            <w:tcW w:w="1270" w:type="dxa"/>
            <w:vMerge w:val="restart"/>
            <w:shd w:val="pct12" w:color="auto" w:fill="auto"/>
            <w:vAlign w:val="center"/>
          </w:tcPr>
          <w:p w:rsidR="00BF56B0" w:rsidRPr="00BF56B0" w:rsidRDefault="00BF56B0" w:rsidP="00BF56B0">
            <w:pPr>
              <w:spacing w:before="0" w:after="0"/>
              <w:jc w:val="left"/>
              <w:rPr>
                <w:rFonts w:eastAsia="Arial Unicode MS"/>
                <w:b/>
                <w:sz w:val="18"/>
                <w:szCs w:val="18"/>
              </w:rPr>
            </w:pPr>
            <w:r w:rsidRPr="00BF56B0">
              <w:rPr>
                <w:rFonts w:eastAsia="Arial Unicode MS"/>
                <w:b/>
                <w:sz w:val="18"/>
                <w:szCs w:val="18"/>
              </w:rPr>
              <w:t>rok</w:t>
            </w:r>
          </w:p>
        </w:tc>
        <w:tc>
          <w:tcPr>
            <w:tcW w:w="3123" w:type="dxa"/>
            <w:gridSpan w:val="2"/>
            <w:shd w:val="pct12" w:color="auto" w:fill="auto"/>
            <w:vAlign w:val="center"/>
          </w:tcPr>
          <w:p w:rsidR="00BF56B0" w:rsidRPr="00BF56B0" w:rsidRDefault="00BF56B0" w:rsidP="00BF56B0">
            <w:pPr>
              <w:spacing w:before="0" w:after="0"/>
              <w:jc w:val="center"/>
              <w:rPr>
                <w:rFonts w:eastAsia="Arial Unicode MS"/>
                <w:b/>
                <w:sz w:val="18"/>
                <w:szCs w:val="18"/>
              </w:rPr>
            </w:pPr>
            <w:r w:rsidRPr="00BF56B0">
              <w:rPr>
                <w:rFonts w:eastAsia="Arial Unicode MS"/>
                <w:b/>
                <w:sz w:val="18"/>
                <w:szCs w:val="18"/>
              </w:rPr>
              <w:t>bez projektu</w:t>
            </w:r>
          </w:p>
        </w:tc>
        <w:tc>
          <w:tcPr>
            <w:tcW w:w="1651" w:type="dxa"/>
            <w:vMerge w:val="restart"/>
            <w:shd w:val="pct12" w:color="auto" w:fill="auto"/>
            <w:vAlign w:val="center"/>
          </w:tcPr>
          <w:p w:rsidR="00BF56B0" w:rsidRPr="00BF56B0" w:rsidRDefault="00BF56B0" w:rsidP="00BF56B0">
            <w:pPr>
              <w:spacing w:before="0" w:after="0"/>
              <w:jc w:val="center"/>
              <w:rPr>
                <w:rFonts w:eastAsia="Arial Unicode MS"/>
                <w:b/>
                <w:sz w:val="18"/>
                <w:szCs w:val="18"/>
              </w:rPr>
            </w:pPr>
            <w:r w:rsidRPr="00BF56B0">
              <w:rPr>
                <w:rFonts w:eastAsia="Arial Unicode MS"/>
                <w:b/>
                <w:sz w:val="18"/>
                <w:szCs w:val="18"/>
              </w:rPr>
              <w:t>varianta Minimální</w:t>
            </w:r>
          </w:p>
        </w:tc>
        <w:tc>
          <w:tcPr>
            <w:tcW w:w="1652" w:type="dxa"/>
            <w:vMerge w:val="restart"/>
            <w:shd w:val="pct12" w:color="auto" w:fill="auto"/>
            <w:vAlign w:val="center"/>
          </w:tcPr>
          <w:p w:rsidR="00BF56B0" w:rsidRPr="00BF56B0" w:rsidRDefault="00BF56B0" w:rsidP="00BF56B0">
            <w:pPr>
              <w:spacing w:before="0" w:after="0"/>
              <w:jc w:val="center"/>
              <w:rPr>
                <w:rFonts w:eastAsia="Arial Unicode MS"/>
                <w:b/>
                <w:sz w:val="18"/>
                <w:szCs w:val="18"/>
              </w:rPr>
            </w:pPr>
            <w:r w:rsidRPr="00BF56B0">
              <w:rPr>
                <w:rFonts w:eastAsia="Arial Unicode MS"/>
                <w:b/>
                <w:sz w:val="18"/>
                <w:szCs w:val="18"/>
              </w:rPr>
              <w:t>Etapa</w:t>
            </w:r>
          </w:p>
        </w:tc>
        <w:tc>
          <w:tcPr>
            <w:tcW w:w="1652" w:type="dxa"/>
            <w:vMerge w:val="restart"/>
            <w:shd w:val="pct12" w:color="auto" w:fill="auto"/>
            <w:vAlign w:val="center"/>
          </w:tcPr>
          <w:p w:rsidR="00BF56B0" w:rsidRPr="00BF56B0" w:rsidRDefault="00BF56B0" w:rsidP="00BF56B0">
            <w:pPr>
              <w:spacing w:before="0" w:after="0"/>
              <w:jc w:val="center"/>
              <w:rPr>
                <w:rFonts w:eastAsia="Arial Unicode MS"/>
                <w:b/>
                <w:sz w:val="18"/>
                <w:szCs w:val="18"/>
              </w:rPr>
            </w:pPr>
            <w:r w:rsidRPr="00BF56B0">
              <w:rPr>
                <w:rFonts w:eastAsia="Arial Unicode MS"/>
                <w:b/>
                <w:sz w:val="18"/>
                <w:szCs w:val="18"/>
              </w:rPr>
              <w:t>varianta Maximální</w:t>
            </w:r>
          </w:p>
        </w:tc>
      </w:tr>
      <w:tr w:rsidR="00BF56B0" w:rsidTr="00BF56B0">
        <w:trPr>
          <w:cantSplit/>
          <w:trHeight w:val="250"/>
          <w:jc w:val="center"/>
        </w:trPr>
        <w:tc>
          <w:tcPr>
            <w:tcW w:w="1270" w:type="dxa"/>
            <w:vMerge/>
            <w:tcBorders>
              <w:bottom w:val="single" w:sz="12" w:space="0" w:color="auto"/>
            </w:tcBorders>
            <w:shd w:val="pct12" w:color="auto" w:fill="auto"/>
          </w:tcPr>
          <w:p w:rsidR="00BF56B0" w:rsidRPr="00BF56B0" w:rsidRDefault="00BF56B0" w:rsidP="00BF56B0">
            <w:pPr>
              <w:spacing w:before="0" w:after="0"/>
              <w:rPr>
                <w:rFonts w:eastAsia="Arial Unicode MS"/>
                <w:sz w:val="18"/>
                <w:szCs w:val="18"/>
              </w:rPr>
            </w:pPr>
          </w:p>
        </w:tc>
        <w:tc>
          <w:tcPr>
            <w:tcW w:w="1561" w:type="dxa"/>
            <w:tcBorders>
              <w:bottom w:val="single" w:sz="12" w:space="0" w:color="auto"/>
            </w:tcBorders>
            <w:shd w:val="pct12" w:color="auto" w:fill="auto"/>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HK – Pard.</w:t>
            </w:r>
          </w:p>
        </w:tc>
        <w:tc>
          <w:tcPr>
            <w:tcW w:w="1562" w:type="dxa"/>
            <w:tcBorders>
              <w:bottom w:val="single" w:sz="12" w:space="0" w:color="auto"/>
            </w:tcBorders>
            <w:shd w:val="pct12" w:color="auto" w:fill="auto"/>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vč. Chrudim. ramene</w:t>
            </w:r>
          </w:p>
        </w:tc>
        <w:tc>
          <w:tcPr>
            <w:tcW w:w="1651" w:type="dxa"/>
            <w:vMerge/>
            <w:tcBorders>
              <w:bottom w:val="single" w:sz="12" w:space="0" w:color="auto"/>
            </w:tcBorders>
            <w:shd w:val="pct12" w:color="auto" w:fill="auto"/>
            <w:vAlign w:val="center"/>
          </w:tcPr>
          <w:p w:rsidR="00BF56B0" w:rsidRPr="00BF56B0" w:rsidRDefault="00BF56B0" w:rsidP="00BF56B0">
            <w:pPr>
              <w:spacing w:before="0" w:after="0"/>
              <w:jc w:val="center"/>
              <w:rPr>
                <w:rFonts w:eastAsia="Arial Unicode MS"/>
                <w:sz w:val="18"/>
                <w:szCs w:val="18"/>
              </w:rPr>
            </w:pPr>
          </w:p>
        </w:tc>
        <w:tc>
          <w:tcPr>
            <w:tcW w:w="1652" w:type="dxa"/>
            <w:vMerge/>
            <w:tcBorders>
              <w:bottom w:val="single" w:sz="12" w:space="0" w:color="auto"/>
            </w:tcBorders>
            <w:shd w:val="pct12" w:color="auto" w:fill="auto"/>
            <w:vAlign w:val="center"/>
          </w:tcPr>
          <w:p w:rsidR="00BF56B0" w:rsidRPr="00BF56B0" w:rsidRDefault="00BF56B0" w:rsidP="00BF56B0">
            <w:pPr>
              <w:spacing w:before="0" w:after="0"/>
              <w:jc w:val="center"/>
              <w:rPr>
                <w:rFonts w:eastAsia="Arial Unicode MS"/>
                <w:sz w:val="18"/>
                <w:szCs w:val="18"/>
              </w:rPr>
            </w:pPr>
          </w:p>
        </w:tc>
        <w:tc>
          <w:tcPr>
            <w:tcW w:w="1652" w:type="dxa"/>
            <w:vMerge/>
            <w:tcBorders>
              <w:bottom w:val="single" w:sz="12" w:space="0" w:color="auto"/>
            </w:tcBorders>
            <w:shd w:val="pct12" w:color="auto" w:fill="auto"/>
            <w:vAlign w:val="center"/>
          </w:tcPr>
          <w:p w:rsidR="00BF56B0" w:rsidRPr="00BF56B0" w:rsidRDefault="00BF56B0" w:rsidP="00BF56B0">
            <w:pPr>
              <w:spacing w:before="0" w:after="0"/>
              <w:jc w:val="center"/>
              <w:rPr>
                <w:rFonts w:eastAsia="Arial Unicode MS"/>
                <w:sz w:val="18"/>
                <w:szCs w:val="18"/>
              </w:rPr>
            </w:pPr>
          </w:p>
        </w:tc>
      </w:tr>
      <w:tr w:rsidR="00BF56B0" w:rsidTr="00BF56B0">
        <w:trPr>
          <w:cantSplit/>
          <w:jc w:val="center"/>
        </w:trPr>
        <w:tc>
          <w:tcPr>
            <w:tcW w:w="1270" w:type="dxa"/>
            <w:tcBorders>
              <w:top w:val="single" w:sz="12" w:space="0" w:color="auto"/>
            </w:tcBorders>
            <w:shd w:val="pct12" w:color="auto" w:fill="auto"/>
          </w:tcPr>
          <w:p w:rsidR="00BF56B0" w:rsidRPr="00BF56B0" w:rsidRDefault="00BF56B0" w:rsidP="00BF56B0">
            <w:pPr>
              <w:spacing w:before="0" w:after="0"/>
              <w:rPr>
                <w:rFonts w:eastAsia="Arial Unicode MS"/>
                <w:sz w:val="18"/>
                <w:szCs w:val="18"/>
              </w:rPr>
            </w:pPr>
            <w:r w:rsidRPr="00BF56B0">
              <w:rPr>
                <w:rFonts w:eastAsia="Arial Unicode MS"/>
                <w:sz w:val="18"/>
                <w:szCs w:val="18"/>
              </w:rPr>
              <w:t>2016</w:t>
            </w:r>
          </w:p>
        </w:tc>
        <w:tc>
          <w:tcPr>
            <w:tcW w:w="1561" w:type="dxa"/>
            <w:tcBorders>
              <w:top w:val="single" w:sz="12" w:space="0" w:color="auto"/>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50 485</w:t>
            </w:r>
          </w:p>
        </w:tc>
        <w:tc>
          <w:tcPr>
            <w:tcW w:w="1562" w:type="dxa"/>
            <w:tcBorders>
              <w:top w:val="single" w:sz="12" w:space="0" w:color="auto"/>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79 728</w:t>
            </w:r>
          </w:p>
        </w:tc>
        <w:tc>
          <w:tcPr>
            <w:tcW w:w="1651" w:type="dxa"/>
            <w:tcBorders>
              <w:top w:val="single" w:sz="12" w:space="0" w:color="auto"/>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50 485</w:t>
            </w:r>
          </w:p>
        </w:tc>
        <w:tc>
          <w:tcPr>
            <w:tcW w:w="1652" w:type="dxa"/>
            <w:tcBorders>
              <w:top w:val="single" w:sz="12" w:space="0" w:color="auto"/>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54 748</w:t>
            </w:r>
          </w:p>
        </w:tc>
        <w:tc>
          <w:tcPr>
            <w:tcW w:w="1652" w:type="dxa"/>
            <w:tcBorders>
              <w:top w:val="single" w:sz="12" w:space="0" w:color="auto"/>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84 737</w:t>
            </w:r>
          </w:p>
        </w:tc>
      </w:tr>
      <w:tr w:rsidR="00BF56B0" w:rsidTr="00BF56B0">
        <w:trPr>
          <w:cantSplit/>
          <w:jc w:val="center"/>
        </w:trPr>
        <w:tc>
          <w:tcPr>
            <w:tcW w:w="1270" w:type="dxa"/>
            <w:shd w:val="pct12" w:color="auto" w:fill="auto"/>
          </w:tcPr>
          <w:p w:rsidR="00BF56B0" w:rsidRPr="00BF56B0" w:rsidRDefault="00BF56B0" w:rsidP="00BF56B0">
            <w:pPr>
              <w:spacing w:before="0" w:after="0"/>
              <w:rPr>
                <w:rFonts w:eastAsia="Arial Unicode MS"/>
                <w:sz w:val="18"/>
                <w:szCs w:val="18"/>
              </w:rPr>
            </w:pPr>
            <w:r w:rsidRPr="00BF56B0">
              <w:rPr>
                <w:rFonts w:eastAsia="Arial Unicode MS"/>
                <w:sz w:val="18"/>
                <w:szCs w:val="18"/>
              </w:rPr>
              <w:t>2017</w:t>
            </w:r>
          </w:p>
        </w:tc>
        <w:tc>
          <w:tcPr>
            <w:tcW w:w="1561" w:type="dxa"/>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50 485</w:t>
            </w:r>
          </w:p>
        </w:tc>
        <w:tc>
          <w:tcPr>
            <w:tcW w:w="1562" w:type="dxa"/>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79 728</w:t>
            </w:r>
          </w:p>
        </w:tc>
        <w:tc>
          <w:tcPr>
            <w:tcW w:w="1651" w:type="dxa"/>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50 485</w:t>
            </w:r>
          </w:p>
        </w:tc>
        <w:tc>
          <w:tcPr>
            <w:tcW w:w="1652" w:type="dxa"/>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54 748</w:t>
            </w:r>
          </w:p>
        </w:tc>
        <w:tc>
          <w:tcPr>
            <w:tcW w:w="1652" w:type="dxa"/>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84 737</w:t>
            </w:r>
          </w:p>
        </w:tc>
      </w:tr>
      <w:tr w:rsidR="00BF56B0" w:rsidTr="00BF56B0">
        <w:trPr>
          <w:cantSplit/>
          <w:jc w:val="center"/>
        </w:trPr>
        <w:tc>
          <w:tcPr>
            <w:tcW w:w="1270" w:type="dxa"/>
            <w:shd w:val="pct12" w:color="auto" w:fill="auto"/>
          </w:tcPr>
          <w:p w:rsidR="00BF56B0" w:rsidRPr="00BF56B0" w:rsidRDefault="00BF56B0" w:rsidP="00BF56B0">
            <w:pPr>
              <w:spacing w:before="0" w:after="0"/>
              <w:rPr>
                <w:rFonts w:eastAsia="Arial Unicode MS"/>
                <w:sz w:val="18"/>
                <w:szCs w:val="18"/>
              </w:rPr>
            </w:pPr>
            <w:r w:rsidRPr="00BF56B0">
              <w:rPr>
                <w:rFonts w:eastAsia="Arial Unicode MS"/>
                <w:sz w:val="18"/>
                <w:szCs w:val="18"/>
              </w:rPr>
              <w:t>2018</w:t>
            </w:r>
          </w:p>
        </w:tc>
        <w:tc>
          <w:tcPr>
            <w:tcW w:w="1561" w:type="dxa"/>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50 485</w:t>
            </w:r>
          </w:p>
        </w:tc>
        <w:tc>
          <w:tcPr>
            <w:tcW w:w="1562" w:type="dxa"/>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79 728</w:t>
            </w:r>
          </w:p>
        </w:tc>
        <w:tc>
          <w:tcPr>
            <w:tcW w:w="1651" w:type="dxa"/>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50 485</w:t>
            </w:r>
          </w:p>
        </w:tc>
        <w:tc>
          <w:tcPr>
            <w:tcW w:w="1652" w:type="dxa"/>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54 748</w:t>
            </w:r>
          </w:p>
        </w:tc>
        <w:tc>
          <w:tcPr>
            <w:tcW w:w="1652" w:type="dxa"/>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84 737</w:t>
            </w:r>
          </w:p>
        </w:tc>
      </w:tr>
      <w:tr w:rsidR="00BF56B0" w:rsidTr="00BF56B0">
        <w:trPr>
          <w:cantSplit/>
          <w:jc w:val="center"/>
        </w:trPr>
        <w:tc>
          <w:tcPr>
            <w:tcW w:w="1270" w:type="dxa"/>
            <w:shd w:val="pct12" w:color="auto" w:fill="auto"/>
          </w:tcPr>
          <w:p w:rsidR="00BF56B0" w:rsidRPr="00BF56B0" w:rsidRDefault="00BF56B0" w:rsidP="00BF56B0">
            <w:pPr>
              <w:spacing w:before="0" w:after="0"/>
              <w:rPr>
                <w:rFonts w:eastAsia="Arial Unicode MS"/>
                <w:sz w:val="18"/>
                <w:szCs w:val="18"/>
              </w:rPr>
            </w:pPr>
            <w:r w:rsidRPr="00BF56B0">
              <w:rPr>
                <w:rFonts w:eastAsia="Arial Unicode MS"/>
                <w:sz w:val="18"/>
                <w:szCs w:val="18"/>
              </w:rPr>
              <w:t>2019</w:t>
            </w:r>
          </w:p>
        </w:tc>
        <w:tc>
          <w:tcPr>
            <w:tcW w:w="1561"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50 485</w:t>
            </w:r>
          </w:p>
        </w:tc>
        <w:tc>
          <w:tcPr>
            <w:tcW w:w="1562"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79 728</w:t>
            </w:r>
          </w:p>
        </w:tc>
        <w:tc>
          <w:tcPr>
            <w:tcW w:w="1651"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50 485</w:t>
            </w:r>
          </w:p>
        </w:tc>
        <w:tc>
          <w:tcPr>
            <w:tcW w:w="1652"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54 748</w:t>
            </w:r>
          </w:p>
        </w:tc>
        <w:tc>
          <w:tcPr>
            <w:tcW w:w="1652"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84 737</w:t>
            </w:r>
          </w:p>
        </w:tc>
      </w:tr>
      <w:tr w:rsidR="00BF56B0" w:rsidTr="00BF56B0">
        <w:trPr>
          <w:cantSplit/>
          <w:jc w:val="center"/>
        </w:trPr>
        <w:tc>
          <w:tcPr>
            <w:tcW w:w="1270" w:type="dxa"/>
            <w:shd w:val="pct12" w:color="auto" w:fill="auto"/>
          </w:tcPr>
          <w:p w:rsidR="00BF56B0" w:rsidRPr="00BF56B0" w:rsidRDefault="00BF56B0" w:rsidP="00BF56B0">
            <w:pPr>
              <w:spacing w:before="0" w:after="0"/>
              <w:rPr>
                <w:rFonts w:eastAsia="Arial Unicode MS"/>
                <w:sz w:val="18"/>
                <w:szCs w:val="18"/>
              </w:rPr>
            </w:pPr>
            <w:r w:rsidRPr="00BF56B0">
              <w:rPr>
                <w:rFonts w:eastAsia="Arial Unicode MS"/>
                <w:sz w:val="18"/>
                <w:szCs w:val="18"/>
              </w:rPr>
              <w:t>2020</w:t>
            </w:r>
          </w:p>
        </w:tc>
        <w:tc>
          <w:tcPr>
            <w:tcW w:w="1561"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50 485</w:t>
            </w:r>
          </w:p>
        </w:tc>
        <w:tc>
          <w:tcPr>
            <w:tcW w:w="1562"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79 728</w:t>
            </w:r>
          </w:p>
        </w:tc>
        <w:tc>
          <w:tcPr>
            <w:tcW w:w="1651"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50 485</w:t>
            </w:r>
          </w:p>
        </w:tc>
        <w:tc>
          <w:tcPr>
            <w:tcW w:w="1652"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54 748</w:t>
            </w:r>
          </w:p>
        </w:tc>
        <w:tc>
          <w:tcPr>
            <w:tcW w:w="1652"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88 817</w:t>
            </w:r>
          </w:p>
        </w:tc>
      </w:tr>
      <w:tr w:rsidR="00BF56B0" w:rsidTr="00BF56B0">
        <w:trPr>
          <w:cantSplit/>
          <w:jc w:val="center"/>
        </w:trPr>
        <w:tc>
          <w:tcPr>
            <w:tcW w:w="1270" w:type="dxa"/>
            <w:shd w:val="pct12" w:color="auto" w:fill="auto"/>
          </w:tcPr>
          <w:p w:rsidR="00BF56B0" w:rsidRPr="00BF56B0" w:rsidRDefault="00BF56B0" w:rsidP="00BF56B0">
            <w:pPr>
              <w:spacing w:before="0" w:after="0"/>
              <w:rPr>
                <w:rFonts w:eastAsia="Arial Unicode MS"/>
                <w:sz w:val="18"/>
                <w:szCs w:val="18"/>
              </w:rPr>
            </w:pPr>
            <w:r w:rsidRPr="00BF56B0">
              <w:rPr>
                <w:rFonts w:eastAsia="Arial Unicode MS"/>
                <w:sz w:val="18"/>
                <w:szCs w:val="18"/>
              </w:rPr>
              <w:t>2021</w:t>
            </w:r>
          </w:p>
        </w:tc>
        <w:tc>
          <w:tcPr>
            <w:tcW w:w="1561"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50 485</w:t>
            </w:r>
          </w:p>
        </w:tc>
        <w:tc>
          <w:tcPr>
            <w:tcW w:w="1562"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79 728</w:t>
            </w:r>
          </w:p>
        </w:tc>
        <w:tc>
          <w:tcPr>
            <w:tcW w:w="1651"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50 485</w:t>
            </w:r>
          </w:p>
        </w:tc>
        <w:tc>
          <w:tcPr>
            <w:tcW w:w="1652"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54 748</w:t>
            </w:r>
          </w:p>
        </w:tc>
        <w:tc>
          <w:tcPr>
            <w:tcW w:w="1652"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88 817</w:t>
            </w:r>
          </w:p>
        </w:tc>
      </w:tr>
      <w:tr w:rsidR="00BF56B0" w:rsidTr="00BF56B0">
        <w:trPr>
          <w:cantSplit/>
          <w:jc w:val="center"/>
        </w:trPr>
        <w:tc>
          <w:tcPr>
            <w:tcW w:w="1270" w:type="dxa"/>
            <w:shd w:val="pct12" w:color="auto" w:fill="auto"/>
          </w:tcPr>
          <w:p w:rsidR="00BF56B0" w:rsidRPr="00BF56B0" w:rsidRDefault="00BF56B0" w:rsidP="00BF56B0">
            <w:pPr>
              <w:spacing w:before="0" w:after="0"/>
              <w:rPr>
                <w:rFonts w:eastAsia="Arial Unicode MS"/>
                <w:sz w:val="18"/>
                <w:szCs w:val="18"/>
              </w:rPr>
            </w:pPr>
            <w:r w:rsidRPr="00BF56B0">
              <w:rPr>
                <w:rFonts w:eastAsia="Arial Unicode MS"/>
                <w:sz w:val="18"/>
                <w:szCs w:val="18"/>
              </w:rPr>
              <w:t>2022 - 2043</w:t>
            </w:r>
          </w:p>
        </w:tc>
        <w:tc>
          <w:tcPr>
            <w:tcW w:w="1561"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50 485</w:t>
            </w:r>
          </w:p>
        </w:tc>
        <w:tc>
          <w:tcPr>
            <w:tcW w:w="1562"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79 728</w:t>
            </w:r>
          </w:p>
        </w:tc>
        <w:tc>
          <w:tcPr>
            <w:tcW w:w="1651"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50 485</w:t>
            </w:r>
          </w:p>
        </w:tc>
        <w:tc>
          <w:tcPr>
            <w:tcW w:w="1652"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54 748</w:t>
            </w:r>
          </w:p>
        </w:tc>
        <w:tc>
          <w:tcPr>
            <w:tcW w:w="1652" w:type="dxa"/>
            <w:tcBorders>
              <w:bottom w:val="single" w:sz="4" w:space="0" w:color="000000"/>
            </w:tcBorders>
            <w:vAlign w:val="center"/>
          </w:tcPr>
          <w:p w:rsidR="00BF56B0" w:rsidRPr="00BF56B0" w:rsidRDefault="00BF56B0" w:rsidP="00BF56B0">
            <w:pPr>
              <w:spacing w:before="0" w:after="0"/>
              <w:jc w:val="center"/>
              <w:rPr>
                <w:rFonts w:eastAsia="Arial Unicode MS"/>
                <w:sz w:val="18"/>
                <w:szCs w:val="18"/>
              </w:rPr>
            </w:pPr>
            <w:r w:rsidRPr="00BF56B0">
              <w:rPr>
                <w:rFonts w:eastAsia="Arial Unicode MS"/>
                <w:sz w:val="18"/>
                <w:szCs w:val="18"/>
              </w:rPr>
              <w:t>95 963</w:t>
            </w:r>
          </w:p>
        </w:tc>
      </w:tr>
    </w:tbl>
    <w:p w:rsidR="00180730" w:rsidRPr="00180730" w:rsidRDefault="00180730" w:rsidP="00180730"/>
    <w:p w:rsidR="00225B27" w:rsidRDefault="00225B27" w:rsidP="000D62F1">
      <w:pPr>
        <w:pStyle w:val="Nadpis3"/>
        <w:ind w:hanging="8234"/>
      </w:pPr>
      <w:r>
        <w:t>Úspory provozních nákladů silniční dopravy</w:t>
      </w:r>
    </w:p>
    <w:p w:rsidR="002A2152" w:rsidRDefault="002A2152" w:rsidP="002A2152">
      <w:r>
        <w:t xml:space="preserve">V rámci ekonomického hodnocení je sledováno, zda realizací projektu (zvýšením konkurenceschopnosti železniční dopravy) dojde k převedení části dopravy ze silnice na železnici. </w:t>
      </w:r>
    </w:p>
    <w:p w:rsidR="002A2152" w:rsidRDefault="002A2152" w:rsidP="002A2152">
      <w:r w:rsidRPr="00E8514F">
        <w:rPr>
          <w:u w:val="single"/>
        </w:rPr>
        <w:t>P</w:t>
      </w:r>
      <w:r w:rsidRPr="00E8514F">
        <w:rPr>
          <w:rFonts w:hint="eastAsia"/>
          <w:u w:val="single"/>
        </w:rPr>
        <w:t>ř</w:t>
      </w:r>
      <w:r w:rsidRPr="00E8514F">
        <w:rPr>
          <w:u w:val="single"/>
        </w:rPr>
        <w:t xml:space="preserve">i hodnocení projektu </w:t>
      </w:r>
      <w:r w:rsidR="001F7995">
        <w:rPr>
          <w:u w:val="single"/>
        </w:rPr>
        <w:t>modernizace trati Hradec Králové - Pardubice</w:t>
      </w:r>
      <w:r w:rsidRPr="00E8514F">
        <w:rPr>
          <w:u w:val="single"/>
        </w:rPr>
        <w:t xml:space="preserve"> existuje tato tzv. “p</w:t>
      </w:r>
      <w:r w:rsidRPr="00E8514F">
        <w:rPr>
          <w:rFonts w:hint="eastAsia"/>
          <w:u w:val="single"/>
        </w:rPr>
        <w:t>ř</w:t>
      </w:r>
      <w:r w:rsidRPr="00E8514F">
        <w:rPr>
          <w:u w:val="single"/>
        </w:rPr>
        <w:t>evedená doprava” pouze v p</w:t>
      </w:r>
      <w:r w:rsidRPr="00E8514F">
        <w:rPr>
          <w:rFonts w:hint="eastAsia"/>
          <w:u w:val="single"/>
        </w:rPr>
        <w:t>ří</w:t>
      </w:r>
      <w:r w:rsidRPr="00E8514F">
        <w:rPr>
          <w:u w:val="single"/>
        </w:rPr>
        <w:t>pad</w:t>
      </w:r>
      <w:r w:rsidRPr="00E8514F">
        <w:rPr>
          <w:rFonts w:hint="eastAsia"/>
          <w:u w:val="single"/>
        </w:rPr>
        <w:t>ě</w:t>
      </w:r>
      <w:r w:rsidRPr="00E8514F">
        <w:rPr>
          <w:u w:val="single"/>
        </w:rPr>
        <w:t xml:space="preserve"> </w:t>
      </w:r>
      <w:r w:rsidR="001F7995">
        <w:rPr>
          <w:u w:val="single"/>
        </w:rPr>
        <w:t>osobní</w:t>
      </w:r>
      <w:r w:rsidRPr="00E8514F">
        <w:rPr>
          <w:u w:val="single"/>
        </w:rPr>
        <w:t xml:space="preserve"> dopravy.</w:t>
      </w:r>
      <w:r>
        <w:t xml:space="preserve"> </w:t>
      </w:r>
      <w:r w:rsidR="00FE228D">
        <w:t>Převedená doprava je taková, kdy se vlivem realizace projektu nemění zdroj a cíl cesty, ale mění se dopravní prostředek. V tomto případě dochází ke změně mezi autobusovou, individuální a železniční dopravou ve smyslu převedení dopravy ze silnice na železnici. Tato změna se předpokládá především díky zkvalitnění přepravní nabídky</w:t>
      </w:r>
      <w:r w:rsidR="00CB732A">
        <w:t xml:space="preserve"> a částečně se projeví i</w:t>
      </w:r>
      <w:r w:rsidR="001771D4">
        <w:t> </w:t>
      </w:r>
      <w:r w:rsidR="00CB732A">
        <w:t>v chrudimském rameni (v případě autobusové dopravy).</w:t>
      </w:r>
    </w:p>
    <w:p w:rsidR="002A2152" w:rsidRPr="00C56AA4" w:rsidRDefault="002A2152" w:rsidP="002A2152">
      <w:pPr>
        <w:rPr>
          <w:u w:val="single"/>
        </w:rPr>
      </w:pPr>
      <w:r w:rsidRPr="00E8514F">
        <w:rPr>
          <w:u w:val="single"/>
        </w:rPr>
        <w:t>V </w:t>
      </w:r>
      <w:r w:rsidR="00FE228D">
        <w:rPr>
          <w:u w:val="single"/>
        </w:rPr>
        <w:t>nákladní</w:t>
      </w:r>
      <w:r w:rsidRPr="00E8514F">
        <w:rPr>
          <w:u w:val="single"/>
        </w:rPr>
        <w:t xml:space="preserve"> doprav</w:t>
      </w:r>
      <w:r w:rsidRPr="00E8514F">
        <w:rPr>
          <w:rFonts w:hint="eastAsia"/>
          <w:u w:val="single"/>
        </w:rPr>
        <w:t>ě</w:t>
      </w:r>
      <w:r w:rsidRPr="00E8514F">
        <w:rPr>
          <w:u w:val="single"/>
        </w:rPr>
        <w:t xml:space="preserve"> se s p</w:t>
      </w:r>
      <w:r w:rsidRPr="00E8514F">
        <w:rPr>
          <w:rFonts w:hint="eastAsia"/>
          <w:u w:val="single"/>
        </w:rPr>
        <w:t>ř</w:t>
      </w:r>
      <w:r w:rsidRPr="00E8514F">
        <w:rPr>
          <w:u w:val="single"/>
        </w:rPr>
        <w:t>evedením dopravy ze silnice na železnici nepo</w:t>
      </w:r>
      <w:r w:rsidRPr="00E8514F">
        <w:rPr>
          <w:rFonts w:hint="eastAsia"/>
          <w:u w:val="single"/>
        </w:rPr>
        <w:t>čí</w:t>
      </w:r>
      <w:r w:rsidRPr="00E8514F">
        <w:rPr>
          <w:u w:val="single"/>
        </w:rPr>
        <w:t xml:space="preserve">tá. </w:t>
      </w:r>
    </w:p>
    <w:p w:rsidR="002A2152" w:rsidRDefault="002A2152" w:rsidP="002A2152">
      <w:r>
        <w:t xml:space="preserve">Podíl </w:t>
      </w:r>
      <w:r w:rsidR="00FE228D">
        <w:t>osobní</w:t>
      </w:r>
      <w:r>
        <w:t xml:space="preserve"> „převedené dopravy“ byl stanoven na základě expertních rozborů současného stavu a prognóz výhledové dopravy. Podrobněji je „převedená doprava“ včetně jejího stanovení popsána v</w:t>
      </w:r>
      <w:r w:rsidR="00FE228D">
        <w:t> </w:t>
      </w:r>
      <w:r>
        <w:t>kapitole</w:t>
      </w:r>
      <w:r w:rsidR="00FE228D">
        <w:t xml:space="preserve"> „</w:t>
      </w:r>
      <w:r w:rsidR="00AC5CDF">
        <w:fldChar w:fldCharType="begin"/>
      </w:r>
      <w:r w:rsidR="00FE228D">
        <w:instrText xml:space="preserve"> REF _Ref323219687 \r \h </w:instrText>
      </w:r>
      <w:r w:rsidR="00AC5CDF">
        <w:fldChar w:fldCharType="separate"/>
      </w:r>
      <w:r w:rsidR="003843F3">
        <w:t>5.3</w:t>
      </w:r>
      <w:r w:rsidR="00AC5CDF">
        <w:fldChar w:fldCharType="end"/>
      </w:r>
      <w:r w:rsidR="00FE228D">
        <w:t xml:space="preserve"> - </w:t>
      </w:r>
      <w:r w:rsidR="00AC5CDF">
        <w:fldChar w:fldCharType="begin"/>
      </w:r>
      <w:r w:rsidR="00FE228D">
        <w:instrText xml:space="preserve"> REF _Ref323219689 \h </w:instrText>
      </w:r>
      <w:r w:rsidR="00AC5CDF">
        <w:fldChar w:fldCharType="separate"/>
      </w:r>
      <w:r w:rsidR="003843F3">
        <w:t>Prognóza osobní dopravy</w:t>
      </w:r>
      <w:r w:rsidR="00AC5CDF">
        <w:fldChar w:fldCharType="end"/>
      </w:r>
      <w:r w:rsidR="00FE228D">
        <w:t>“</w:t>
      </w:r>
      <w:r>
        <w:t>.</w:t>
      </w:r>
    </w:p>
    <w:p w:rsidR="002A2152" w:rsidRDefault="002A2152" w:rsidP="002A2152">
      <w:r>
        <w:t xml:space="preserve">Převedením této dopravy lze pak vyjádřit v projektových variantách úspory nákladů silniční dopravy - úspory nákladů na údržbě a opravách silniční infrastruktury a nákladů potřebných na provoz a údržbu vozidel. Finanční vyjádření předmětných měrných nákladů je uvedeno v následující tabulce. Použité nákladové sazby úspor nákladů na údržbě a opravách silniční infrastruktury byly převzaty z materiálu „Aktualizace metodiky pro výpočet efektivnosti investic na SŽDC, s.o“, MD ČR, 2009. Tyto náklady byly převedeny na příslušnou cenovou úroveň roku </w:t>
      </w:r>
      <w:r w:rsidR="001771D4">
        <w:t>2013</w:t>
      </w:r>
      <w:r>
        <w:t>.</w:t>
      </w:r>
    </w:p>
    <w:tbl>
      <w:tblPr>
        <w:tblW w:w="9339" w:type="dxa"/>
        <w:jc w:val="center"/>
        <w:tblInd w:w="-21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15"/>
        <w:gridCol w:w="2001"/>
        <w:gridCol w:w="1437"/>
        <w:gridCol w:w="1986"/>
      </w:tblGrid>
      <w:tr w:rsidR="00184DD8" w:rsidTr="007742C0">
        <w:trPr>
          <w:jc w:val="center"/>
        </w:trPr>
        <w:tc>
          <w:tcPr>
            <w:tcW w:w="9339" w:type="dxa"/>
            <w:gridSpan w:val="4"/>
            <w:tcBorders>
              <w:bottom w:val="single" w:sz="4" w:space="0" w:color="000000"/>
            </w:tcBorders>
          </w:tcPr>
          <w:p w:rsidR="006819BA" w:rsidRDefault="00184DD8" w:rsidP="007742C0">
            <w:pPr>
              <w:pStyle w:val="Titulek"/>
              <w:rPr>
                <w:rFonts w:eastAsia="Arial Unicode MS"/>
                <w:color w:val="FF0000"/>
              </w:rPr>
            </w:pPr>
            <w:bookmarkStart w:id="321" w:name="_Toc316377686"/>
            <w:bookmarkStart w:id="322" w:name="_Toc390958790"/>
            <w:bookmarkStart w:id="323" w:name="_Toc391034594"/>
            <w:r w:rsidRPr="00184DD8">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14</w:t>
            </w:r>
            <w:r w:rsidR="000E79AE">
              <w:fldChar w:fldCharType="end"/>
            </w:r>
            <w:r w:rsidRPr="00184DD8">
              <w:t xml:space="preserve">: Měrné náklady silniční dopravy (CÚ </w:t>
            </w:r>
            <w:r w:rsidR="001771D4" w:rsidRPr="00184DD8">
              <w:t>201</w:t>
            </w:r>
            <w:r w:rsidR="001771D4">
              <w:t>3</w:t>
            </w:r>
            <w:r w:rsidRPr="00184DD8">
              <w:t>)</w:t>
            </w:r>
            <w:bookmarkEnd w:id="321"/>
            <w:bookmarkEnd w:id="322"/>
            <w:bookmarkEnd w:id="323"/>
          </w:p>
        </w:tc>
      </w:tr>
      <w:tr w:rsidR="00184DD8" w:rsidTr="007742C0">
        <w:trPr>
          <w:jc w:val="center"/>
        </w:trPr>
        <w:tc>
          <w:tcPr>
            <w:tcW w:w="7353" w:type="dxa"/>
            <w:gridSpan w:val="3"/>
            <w:tcBorders>
              <w:bottom w:val="single" w:sz="12" w:space="0" w:color="auto"/>
              <w:right w:val="single" w:sz="12" w:space="0" w:color="auto"/>
            </w:tcBorders>
            <w:shd w:val="pct12" w:color="auto" w:fill="auto"/>
          </w:tcPr>
          <w:p w:rsidR="00184DD8" w:rsidRPr="007742C0" w:rsidRDefault="00184DD8" w:rsidP="007742C0">
            <w:pPr>
              <w:spacing w:before="0" w:after="0"/>
              <w:rPr>
                <w:rFonts w:eastAsia="Arial Unicode MS"/>
                <w:b/>
                <w:sz w:val="18"/>
              </w:rPr>
            </w:pPr>
            <w:r w:rsidRPr="007742C0">
              <w:rPr>
                <w:rFonts w:eastAsia="Arial Unicode MS"/>
                <w:b/>
                <w:sz w:val="18"/>
              </w:rPr>
              <w:t>položka</w:t>
            </w:r>
          </w:p>
        </w:tc>
        <w:tc>
          <w:tcPr>
            <w:tcW w:w="1986" w:type="dxa"/>
            <w:tcBorders>
              <w:left w:val="single" w:sz="12" w:space="0" w:color="auto"/>
              <w:bottom w:val="single" w:sz="12" w:space="0" w:color="auto"/>
            </w:tcBorders>
            <w:shd w:val="pct12" w:color="auto" w:fill="auto"/>
          </w:tcPr>
          <w:p w:rsidR="00184DD8" w:rsidRPr="007742C0" w:rsidRDefault="00184DD8" w:rsidP="007742C0">
            <w:pPr>
              <w:spacing w:before="0" w:after="0"/>
              <w:rPr>
                <w:rFonts w:eastAsia="Arial Unicode MS"/>
                <w:b/>
                <w:sz w:val="18"/>
              </w:rPr>
            </w:pPr>
            <w:r w:rsidRPr="007742C0">
              <w:rPr>
                <w:rFonts w:eastAsia="Arial Unicode MS"/>
                <w:b/>
                <w:sz w:val="18"/>
              </w:rPr>
              <w:t>měrný náklad</w:t>
            </w:r>
          </w:p>
        </w:tc>
      </w:tr>
      <w:tr w:rsidR="00184DD8" w:rsidTr="007742C0">
        <w:trPr>
          <w:trHeight w:val="426"/>
          <w:jc w:val="center"/>
        </w:trPr>
        <w:tc>
          <w:tcPr>
            <w:tcW w:w="3915" w:type="dxa"/>
            <w:vMerge w:val="restart"/>
            <w:tcBorders>
              <w:top w:val="single" w:sz="12" w:space="0" w:color="auto"/>
            </w:tcBorders>
            <w:shd w:val="pct12" w:color="auto" w:fill="auto"/>
            <w:vAlign w:val="center"/>
          </w:tcPr>
          <w:p w:rsidR="00184DD8" w:rsidRPr="007742C0" w:rsidRDefault="00184DD8" w:rsidP="007742C0">
            <w:pPr>
              <w:spacing w:before="0" w:after="0"/>
              <w:rPr>
                <w:rFonts w:eastAsia="Arial Unicode MS"/>
                <w:sz w:val="18"/>
              </w:rPr>
            </w:pPr>
            <w:r w:rsidRPr="007742C0">
              <w:rPr>
                <w:rFonts w:eastAsia="Arial Unicode MS"/>
                <w:sz w:val="18"/>
              </w:rPr>
              <w:t>údržba a opravy silniční infrastruktury</w:t>
            </w:r>
          </w:p>
        </w:tc>
        <w:tc>
          <w:tcPr>
            <w:tcW w:w="3438" w:type="dxa"/>
            <w:gridSpan w:val="2"/>
            <w:tcBorders>
              <w:top w:val="single" w:sz="12" w:space="0" w:color="auto"/>
              <w:right w:val="single" w:sz="12" w:space="0" w:color="auto"/>
            </w:tcBorders>
            <w:vAlign w:val="center"/>
          </w:tcPr>
          <w:p w:rsidR="00184DD8" w:rsidRPr="007742C0" w:rsidRDefault="00184DD8" w:rsidP="007742C0">
            <w:pPr>
              <w:spacing w:before="0" w:after="0"/>
              <w:rPr>
                <w:rFonts w:eastAsia="Arial Unicode MS"/>
                <w:sz w:val="18"/>
              </w:rPr>
            </w:pPr>
            <w:r w:rsidRPr="007742C0">
              <w:rPr>
                <w:rFonts w:eastAsia="Arial Unicode MS"/>
                <w:sz w:val="18"/>
              </w:rPr>
              <w:t>osobní doprava</w:t>
            </w:r>
          </w:p>
        </w:tc>
        <w:tc>
          <w:tcPr>
            <w:tcW w:w="1986" w:type="dxa"/>
            <w:tcBorders>
              <w:top w:val="single" w:sz="12" w:space="0" w:color="auto"/>
              <w:left w:val="single" w:sz="12" w:space="0" w:color="auto"/>
            </w:tcBorders>
            <w:vAlign w:val="center"/>
          </w:tcPr>
          <w:p w:rsidR="006819BA" w:rsidRPr="007742C0" w:rsidRDefault="00184DD8" w:rsidP="007742C0">
            <w:pPr>
              <w:spacing w:before="0" w:after="0"/>
              <w:rPr>
                <w:rFonts w:eastAsia="Arial Unicode MS"/>
                <w:sz w:val="18"/>
              </w:rPr>
            </w:pPr>
            <w:r w:rsidRPr="007742C0">
              <w:rPr>
                <w:rFonts w:eastAsia="Arial Unicode MS"/>
                <w:sz w:val="18"/>
              </w:rPr>
              <w:t>4,</w:t>
            </w:r>
            <w:r w:rsidR="001771D4" w:rsidRPr="007742C0">
              <w:rPr>
                <w:rFonts w:eastAsia="Arial Unicode MS"/>
                <w:sz w:val="18"/>
              </w:rPr>
              <w:t>6</w:t>
            </w:r>
            <w:r w:rsidRPr="007742C0">
              <w:rPr>
                <w:rFonts w:eastAsia="Arial Unicode MS"/>
                <w:sz w:val="18"/>
              </w:rPr>
              <w:t>4 Kč/1000 oskm</w:t>
            </w:r>
          </w:p>
        </w:tc>
      </w:tr>
      <w:tr w:rsidR="00184DD8" w:rsidTr="007742C0">
        <w:trPr>
          <w:trHeight w:val="426"/>
          <w:jc w:val="center"/>
        </w:trPr>
        <w:tc>
          <w:tcPr>
            <w:tcW w:w="3915" w:type="dxa"/>
            <w:vMerge/>
            <w:shd w:val="pct12" w:color="auto" w:fill="auto"/>
            <w:vAlign w:val="center"/>
          </w:tcPr>
          <w:p w:rsidR="00184DD8" w:rsidRPr="007742C0" w:rsidRDefault="00184DD8" w:rsidP="007742C0">
            <w:pPr>
              <w:spacing w:before="0" w:after="0"/>
              <w:rPr>
                <w:rFonts w:eastAsia="Arial Unicode MS"/>
                <w:sz w:val="18"/>
              </w:rPr>
            </w:pPr>
          </w:p>
        </w:tc>
        <w:tc>
          <w:tcPr>
            <w:tcW w:w="3438" w:type="dxa"/>
            <w:gridSpan w:val="2"/>
            <w:tcBorders>
              <w:right w:val="single" w:sz="12" w:space="0" w:color="auto"/>
            </w:tcBorders>
            <w:vAlign w:val="center"/>
          </w:tcPr>
          <w:p w:rsidR="00184DD8" w:rsidRPr="007742C0" w:rsidRDefault="00184DD8" w:rsidP="007742C0">
            <w:pPr>
              <w:spacing w:before="0" w:after="0"/>
              <w:rPr>
                <w:rFonts w:eastAsia="Arial Unicode MS"/>
                <w:sz w:val="18"/>
              </w:rPr>
            </w:pPr>
            <w:r w:rsidRPr="007742C0">
              <w:rPr>
                <w:rFonts w:eastAsia="Arial Unicode MS"/>
                <w:sz w:val="18"/>
              </w:rPr>
              <w:t>nákladní doprava</w:t>
            </w:r>
          </w:p>
        </w:tc>
        <w:tc>
          <w:tcPr>
            <w:tcW w:w="1986" w:type="dxa"/>
            <w:tcBorders>
              <w:left w:val="single" w:sz="12" w:space="0" w:color="auto"/>
            </w:tcBorders>
            <w:vAlign w:val="center"/>
          </w:tcPr>
          <w:p w:rsidR="006819BA" w:rsidRPr="007742C0" w:rsidRDefault="001771D4" w:rsidP="007742C0">
            <w:pPr>
              <w:spacing w:before="0" w:after="0"/>
              <w:rPr>
                <w:rFonts w:eastAsia="Arial Unicode MS"/>
                <w:sz w:val="18"/>
              </w:rPr>
            </w:pPr>
            <w:r w:rsidRPr="007742C0">
              <w:rPr>
                <w:rFonts w:eastAsia="Arial Unicode MS"/>
                <w:sz w:val="18"/>
              </w:rPr>
              <w:t>151</w:t>
            </w:r>
            <w:r w:rsidR="00184DD8" w:rsidRPr="007742C0">
              <w:rPr>
                <w:rFonts w:eastAsia="Arial Unicode MS"/>
                <w:sz w:val="18"/>
              </w:rPr>
              <w:t>,</w:t>
            </w:r>
            <w:r w:rsidRPr="007742C0">
              <w:rPr>
                <w:rFonts w:eastAsia="Arial Unicode MS"/>
                <w:sz w:val="18"/>
              </w:rPr>
              <w:t>9</w:t>
            </w:r>
            <w:r w:rsidR="00184DD8" w:rsidRPr="007742C0">
              <w:rPr>
                <w:rFonts w:eastAsia="Arial Unicode MS"/>
                <w:sz w:val="18"/>
              </w:rPr>
              <w:t>2 Kč/1000 tkm</w:t>
            </w:r>
          </w:p>
        </w:tc>
      </w:tr>
      <w:tr w:rsidR="00184DD8" w:rsidTr="007742C0">
        <w:trPr>
          <w:jc w:val="center"/>
        </w:trPr>
        <w:tc>
          <w:tcPr>
            <w:tcW w:w="3915" w:type="dxa"/>
            <w:vMerge w:val="restart"/>
            <w:shd w:val="pct12" w:color="auto" w:fill="auto"/>
            <w:vAlign w:val="center"/>
          </w:tcPr>
          <w:p w:rsidR="00184DD8" w:rsidRPr="007742C0" w:rsidRDefault="00184DD8" w:rsidP="007742C0">
            <w:pPr>
              <w:spacing w:before="0" w:after="0"/>
              <w:rPr>
                <w:rFonts w:eastAsia="Arial Unicode MS"/>
                <w:sz w:val="18"/>
              </w:rPr>
            </w:pPr>
            <w:r w:rsidRPr="007742C0">
              <w:rPr>
                <w:rFonts w:eastAsia="Arial Unicode MS"/>
                <w:sz w:val="18"/>
              </w:rPr>
              <w:t>provoz vozidel</w:t>
            </w:r>
          </w:p>
        </w:tc>
        <w:tc>
          <w:tcPr>
            <w:tcW w:w="2001" w:type="dxa"/>
            <w:vMerge w:val="restart"/>
            <w:vAlign w:val="center"/>
          </w:tcPr>
          <w:p w:rsidR="00184DD8" w:rsidRPr="007742C0" w:rsidRDefault="00184DD8" w:rsidP="007742C0">
            <w:pPr>
              <w:spacing w:before="0" w:after="0"/>
              <w:rPr>
                <w:rFonts w:eastAsia="Arial Unicode MS"/>
                <w:sz w:val="18"/>
              </w:rPr>
            </w:pPr>
            <w:r w:rsidRPr="007742C0">
              <w:rPr>
                <w:rFonts w:eastAsia="Arial Unicode MS"/>
                <w:sz w:val="18"/>
              </w:rPr>
              <w:t>osobní doprava</w:t>
            </w:r>
          </w:p>
        </w:tc>
        <w:tc>
          <w:tcPr>
            <w:tcW w:w="1437" w:type="dxa"/>
            <w:tcBorders>
              <w:right w:val="single" w:sz="12" w:space="0" w:color="auto"/>
            </w:tcBorders>
            <w:vAlign w:val="center"/>
          </w:tcPr>
          <w:p w:rsidR="00184DD8" w:rsidRPr="007742C0" w:rsidRDefault="00184DD8" w:rsidP="007742C0">
            <w:pPr>
              <w:spacing w:before="0" w:after="0"/>
              <w:rPr>
                <w:rFonts w:eastAsia="Arial Unicode MS"/>
                <w:sz w:val="18"/>
              </w:rPr>
            </w:pPr>
            <w:r w:rsidRPr="007742C0">
              <w:rPr>
                <w:rFonts w:eastAsia="Arial Unicode MS"/>
                <w:sz w:val="18"/>
              </w:rPr>
              <w:t>IAD</w:t>
            </w:r>
          </w:p>
        </w:tc>
        <w:tc>
          <w:tcPr>
            <w:tcW w:w="1986" w:type="dxa"/>
            <w:tcBorders>
              <w:left w:val="single" w:sz="12" w:space="0" w:color="auto"/>
            </w:tcBorders>
            <w:vAlign w:val="center"/>
          </w:tcPr>
          <w:p w:rsidR="006819BA" w:rsidRPr="007742C0" w:rsidRDefault="001771D4" w:rsidP="007742C0">
            <w:pPr>
              <w:spacing w:before="0" w:after="0"/>
              <w:rPr>
                <w:rFonts w:eastAsia="Arial Unicode MS"/>
                <w:sz w:val="18"/>
              </w:rPr>
            </w:pPr>
            <w:r w:rsidRPr="007742C0">
              <w:rPr>
                <w:rFonts w:eastAsia="Arial Unicode MS"/>
                <w:sz w:val="18"/>
              </w:rPr>
              <w:t>11</w:t>
            </w:r>
            <w:r w:rsidR="00184DD8" w:rsidRPr="007742C0">
              <w:rPr>
                <w:rFonts w:eastAsia="Arial Unicode MS"/>
                <w:sz w:val="18"/>
              </w:rPr>
              <w:t>,</w:t>
            </w:r>
            <w:r w:rsidRPr="007742C0">
              <w:rPr>
                <w:rFonts w:eastAsia="Arial Unicode MS"/>
                <w:sz w:val="18"/>
              </w:rPr>
              <w:t xml:space="preserve">13 </w:t>
            </w:r>
            <w:r w:rsidR="00184DD8" w:rsidRPr="007742C0">
              <w:rPr>
                <w:rFonts w:eastAsia="Arial Unicode MS"/>
                <w:sz w:val="18"/>
              </w:rPr>
              <w:t>Kč/vozkm*</w:t>
            </w:r>
          </w:p>
        </w:tc>
      </w:tr>
      <w:tr w:rsidR="00184DD8" w:rsidTr="007742C0">
        <w:trPr>
          <w:jc w:val="center"/>
        </w:trPr>
        <w:tc>
          <w:tcPr>
            <w:tcW w:w="3915" w:type="dxa"/>
            <w:vMerge/>
            <w:shd w:val="pct12" w:color="auto" w:fill="auto"/>
            <w:vAlign w:val="center"/>
          </w:tcPr>
          <w:p w:rsidR="00184DD8" w:rsidRPr="007742C0" w:rsidRDefault="00184DD8" w:rsidP="007742C0">
            <w:pPr>
              <w:spacing w:before="0" w:after="0"/>
              <w:rPr>
                <w:rFonts w:eastAsia="Arial Unicode MS"/>
                <w:sz w:val="18"/>
              </w:rPr>
            </w:pPr>
          </w:p>
        </w:tc>
        <w:tc>
          <w:tcPr>
            <w:tcW w:w="2001" w:type="dxa"/>
            <w:vMerge/>
            <w:tcBorders>
              <w:bottom w:val="single" w:sz="4" w:space="0" w:color="000000"/>
            </w:tcBorders>
            <w:vAlign w:val="center"/>
          </w:tcPr>
          <w:p w:rsidR="00184DD8" w:rsidRPr="007742C0" w:rsidRDefault="00184DD8" w:rsidP="007742C0">
            <w:pPr>
              <w:spacing w:before="0" w:after="0"/>
              <w:rPr>
                <w:rFonts w:eastAsia="Arial Unicode MS"/>
                <w:sz w:val="18"/>
              </w:rPr>
            </w:pPr>
          </w:p>
        </w:tc>
        <w:tc>
          <w:tcPr>
            <w:tcW w:w="1437" w:type="dxa"/>
            <w:tcBorders>
              <w:bottom w:val="single" w:sz="4" w:space="0" w:color="000000"/>
              <w:right w:val="single" w:sz="12" w:space="0" w:color="auto"/>
            </w:tcBorders>
            <w:vAlign w:val="center"/>
          </w:tcPr>
          <w:p w:rsidR="00184DD8" w:rsidRPr="007742C0" w:rsidRDefault="00184DD8" w:rsidP="007742C0">
            <w:pPr>
              <w:spacing w:before="0" w:after="0"/>
              <w:rPr>
                <w:rFonts w:eastAsia="Arial Unicode MS"/>
                <w:sz w:val="18"/>
              </w:rPr>
            </w:pPr>
            <w:r w:rsidRPr="007742C0">
              <w:rPr>
                <w:rFonts w:eastAsia="Arial Unicode MS"/>
                <w:sz w:val="18"/>
              </w:rPr>
              <w:t>BUS</w:t>
            </w:r>
          </w:p>
        </w:tc>
        <w:tc>
          <w:tcPr>
            <w:tcW w:w="1986" w:type="dxa"/>
            <w:tcBorders>
              <w:left w:val="single" w:sz="12" w:space="0" w:color="auto"/>
              <w:bottom w:val="single" w:sz="4" w:space="0" w:color="000000"/>
            </w:tcBorders>
            <w:vAlign w:val="center"/>
          </w:tcPr>
          <w:p w:rsidR="006819BA" w:rsidRPr="007742C0" w:rsidRDefault="001771D4" w:rsidP="007742C0">
            <w:pPr>
              <w:spacing w:before="0" w:after="0"/>
              <w:rPr>
                <w:rFonts w:eastAsia="Arial Unicode MS"/>
                <w:sz w:val="18"/>
              </w:rPr>
            </w:pPr>
            <w:r w:rsidRPr="007742C0">
              <w:rPr>
                <w:rFonts w:eastAsia="Arial Unicode MS"/>
                <w:sz w:val="18"/>
              </w:rPr>
              <w:t>22</w:t>
            </w:r>
            <w:r w:rsidR="00184DD8" w:rsidRPr="007742C0">
              <w:rPr>
                <w:rFonts w:eastAsia="Arial Unicode MS"/>
                <w:sz w:val="18"/>
              </w:rPr>
              <w:t>,</w:t>
            </w:r>
            <w:r w:rsidRPr="007742C0">
              <w:rPr>
                <w:rFonts w:eastAsia="Arial Unicode MS"/>
                <w:sz w:val="18"/>
              </w:rPr>
              <w:t xml:space="preserve">13 </w:t>
            </w:r>
            <w:r w:rsidR="00184DD8" w:rsidRPr="007742C0">
              <w:rPr>
                <w:rFonts w:eastAsia="Arial Unicode MS"/>
                <w:sz w:val="18"/>
              </w:rPr>
              <w:t>Kč/vozkm*</w:t>
            </w:r>
          </w:p>
        </w:tc>
      </w:tr>
      <w:tr w:rsidR="00184DD8" w:rsidTr="007742C0">
        <w:trPr>
          <w:jc w:val="center"/>
        </w:trPr>
        <w:tc>
          <w:tcPr>
            <w:tcW w:w="3915" w:type="dxa"/>
            <w:vMerge/>
            <w:shd w:val="pct12" w:color="auto" w:fill="auto"/>
            <w:vAlign w:val="center"/>
          </w:tcPr>
          <w:p w:rsidR="00184DD8" w:rsidRPr="007742C0" w:rsidRDefault="00184DD8" w:rsidP="007742C0">
            <w:pPr>
              <w:spacing w:before="0" w:after="0"/>
              <w:rPr>
                <w:rFonts w:eastAsia="Arial Unicode MS"/>
                <w:sz w:val="18"/>
              </w:rPr>
            </w:pPr>
          </w:p>
        </w:tc>
        <w:tc>
          <w:tcPr>
            <w:tcW w:w="2001" w:type="dxa"/>
            <w:vMerge w:val="restart"/>
            <w:vAlign w:val="center"/>
          </w:tcPr>
          <w:p w:rsidR="00184DD8" w:rsidRPr="007742C0" w:rsidRDefault="00184DD8" w:rsidP="007742C0">
            <w:pPr>
              <w:spacing w:before="0" w:after="0"/>
              <w:rPr>
                <w:rFonts w:eastAsia="Arial Unicode MS"/>
                <w:sz w:val="18"/>
              </w:rPr>
            </w:pPr>
            <w:r w:rsidRPr="007742C0">
              <w:rPr>
                <w:rFonts w:eastAsia="Arial Unicode MS"/>
                <w:sz w:val="18"/>
              </w:rPr>
              <w:t>nákladní doprava</w:t>
            </w:r>
          </w:p>
        </w:tc>
        <w:tc>
          <w:tcPr>
            <w:tcW w:w="1437" w:type="dxa"/>
            <w:tcBorders>
              <w:right w:val="single" w:sz="12" w:space="0" w:color="auto"/>
            </w:tcBorders>
            <w:vAlign w:val="center"/>
          </w:tcPr>
          <w:p w:rsidR="00184DD8" w:rsidRPr="007742C0" w:rsidRDefault="00184DD8" w:rsidP="007742C0">
            <w:pPr>
              <w:spacing w:before="0" w:after="0"/>
              <w:rPr>
                <w:rFonts w:eastAsia="Arial Unicode MS"/>
                <w:sz w:val="18"/>
              </w:rPr>
            </w:pPr>
            <w:r w:rsidRPr="007742C0">
              <w:rPr>
                <w:rFonts w:eastAsia="Arial Unicode MS"/>
                <w:sz w:val="18"/>
              </w:rPr>
              <w:t>lehká</w:t>
            </w:r>
          </w:p>
        </w:tc>
        <w:tc>
          <w:tcPr>
            <w:tcW w:w="1986" w:type="dxa"/>
            <w:tcBorders>
              <w:left w:val="single" w:sz="12" w:space="0" w:color="auto"/>
            </w:tcBorders>
            <w:vAlign w:val="center"/>
          </w:tcPr>
          <w:p w:rsidR="006819BA" w:rsidRPr="007742C0" w:rsidRDefault="001771D4" w:rsidP="007742C0">
            <w:pPr>
              <w:spacing w:before="0" w:after="0"/>
              <w:rPr>
                <w:rFonts w:eastAsia="Arial Unicode MS"/>
                <w:sz w:val="18"/>
              </w:rPr>
            </w:pPr>
            <w:r w:rsidRPr="007742C0">
              <w:rPr>
                <w:rFonts w:eastAsia="Arial Unicode MS"/>
                <w:sz w:val="18"/>
              </w:rPr>
              <w:t>14</w:t>
            </w:r>
            <w:r w:rsidR="00184DD8" w:rsidRPr="007742C0">
              <w:rPr>
                <w:rFonts w:eastAsia="Arial Unicode MS"/>
                <w:sz w:val="18"/>
              </w:rPr>
              <w:t>,</w:t>
            </w:r>
            <w:r w:rsidRPr="007742C0">
              <w:rPr>
                <w:rFonts w:eastAsia="Arial Unicode MS"/>
                <w:sz w:val="18"/>
              </w:rPr>
              <w:t xml:space="preserve">22 </w:t>
            </w:r>
            <w:r w:rsidR="00184DD8" w:rsidRPr="007742C0">
              <w:rPr>
                <w:rFonts w:eastAsia="Arial Unicode MS"/>
                <w:sz w:val="18"/>
              </w:rPr>
              <w:t>Kč/vozkm*</w:t>
            </w:r>
          </w:p>
        </w:tc>
      </w:tr>
      <w:tr w:rsidR="00184DD8" w:rsidTr="007742C0">
        <w:trPr>
          <w:jc w:val="center"/>
        </w:trPr>
        <w:tc>
          <w:tcPr>
            <w:tcW w:w="3915" w:type="dxa"/>
            <w:vMerge/>
            <w:shd w:val="pct12" w:color="auto" w:fill="auto"/>
          </w:tcPr>
          <w:p w:rsidR="00184DD8" w:rsidRPr="007742C0" w:rsidRDefault="00184DD8" w:rsidP="007742C0">
            <w:pPr>
              <w:spacing w:before="0" w:after="0"/>
              <w:rPr>
                <w:rFonts w:eastAsia="Arial Unicode MS"/>
                <w:sz w:val="18"/>
              </w:rPr>
            </w:pPr>
          </w:p>
        </w:tc>
        <w:tc>
          <w:tcPr>
            <w:tcW w:w="2001" w:type="dxa"/>
            <w:vMerge/>
            <w:vAlign w:val="bottom"/>
          </w:tcPr>
          <w:p w:rsidR="00184DD8" w:rsidRPr="007742C0" w:rsidRDefault="00184DD8" w:rsidP="007742C0">
            <w:pPr>
              <w:spacing w:before="0" w:after="0"/>
              <w:rPr>
                <w:rFonts w:eastAsia="Arial Unicode MS"/>
                <w:sz w:val="18"/>
              </w:rPr>
            </w:pPr>
          </w:p>
        </w:tc>
        <w:tc>
          <w:tcPr>
            <w:tcW w:w="1437" w:type="dxa"/>
            <w:tcBorders>
              <w:right w:val="single" w:sz="12" w:space="0" w:color="auto"/>
            </w:tcBorders>
            <w:vAlign w:val="center"/>
          </w:tcPr>
          <w:p w:rsidR="00184DD8" w:rsidRPr="007742C0" w:rsidRDefault="00184DD8" w:rsidP="007742C0">
            <w:pPr>
              <w:spacing w:before="0" w:after="0"/>
              <w:rPr>
                <w:rFonts w:eastAsia="Arial Unicode MS"/>
                <w:sz w:val="18"/>
              </w:rPr>
            </w:pPr>
            <w:r w:rsidRPr="007742C0">
              <w:rPr>
                <w:rFonts w:eastAsia="Arial Unicode MS"/>
                <w:sz w:val="18"/>
              </w:rPr>
              <w:t>těžká</w:t>
            </w:r>
          </w:p>
        </w:tc>
        <w:tc>
          <w:tcPr>
            <w:tcW w:w="1986" w:type="dxa"/>
            <w:tcBorders>
              <w:left w:val="single" w:sz="12" w:space="0" w:color="auto"/>
            </w:tcBorders>
            <w:vAlign w:val="center"/>
          </w:tcPr>
          <w:p w:rsidR="006819BA" w:rsidRPr="007742C0" w:rsidRDefault="001771D4" w:rsidP="007742C0">
            <w:pPr>
              <w:spacing w:before="0" w:after="0"/>
              <w:rPr>
                <w:rFonts w:eastAsia="Arial Unicode MS"/>
                <w:sz w:val="18"/>
              </w:rPr>
            </w:pPr>
            <w:r w:rsidRPr="007742C0">
              <w:rPr>
                <w:rFonts w:eastAsia="Arial Unicode MS"/>
                <w:sz w:val="18"/>
              </w:rPr>
              <w:t>25</w:t>
            </w:r>
            <w:r w:rsidR="00184DD8" w:rsidRPr="007742C0">
              <w:rPr>
                <w:rFonts w:eastAsia="Arial Unicode MS"/>
                <w:sz w:val="18"/>
              </w:rPr>
              <w:t>,</w:t>
            </w:r>
            <w:r w:rsidRPr="007742C0">
              <w:rPr>
                <w:rFonts w:eastAsia="Arial Unicode MS"/>
                <w:sz w:val="18"/>
              </w:rPr>
              <w:t xml:space="preserve">72 </w:t>
            </w:r>
            <w:r w:rsidR="00184DD8" w:rsidRPr="007742C0">
              <w:rPr>
                <w:rFonts w:eastAsia="Arial Unicode MS"/>
                <w:sz w:val="18"/>
              </w:rPr>
              <w:t>Kč/vozkm*</w:t>
            </w:r>
          </w:p>
        </w:tc>
      </w:tr>
      <w:tr w:rsidR="007742C0" w:rsidTr="007742C0">
        <w:trPr>
          <w:jc w:val="center"/>
        </w:trPr>
        <w:tc>
          <w:tcPr>
            <w:tcW w:w="9339" w:type="dxa"/>
            <w:gridSpan w:val="4"/>
            <w:tcBorders>
              <w:left w:val="nil"/>
              <w:bottom w:val="nil"/>
              <w:right w:val="nil"/>
            </w:tcBorders>
            <w:shd w:val="clear" w:color="auto" w:fill="FFFFFF" w:themeFill="background1"/>
          </w:tcPr>
          <w:p w:rsidR="007742C0" w:rsidRPr="00C415C1" w:rsidRDefault="007742C0" w:rsidP="007742C0">
            <w:pPr>
              <w:spacing w:before="0" w:after="0" w:line="240" w:lineRule="auto"/>
              <w:ind w:left="27"/>
              <w:jc w:val="left"/>
              <w:rPr>
                <w:i/>
                <w:sz w:val="16"/>
                <w:szCs w:val="16"/>
              </w:rPr>
            </w:pPr>
            <w:r w:rsidRPr="00C415C1">
              <w:rPr>
                <w:i/>
                <w:sz w:val="16"/>
                <w:szCs w:val="16"/>
              </w:rPr>
              <w:t xml:space="preserve">*průměrná obsazenost v </w:t>
            </w:r>
            <w:r>
              <w:rPr>
                <w:i/>
                <w:sz w:val="16"/>
                <w:szCs w:val="16"/>
              </w:rPr>
              <w:t>osobní</w:t>
            </w:r>
            <w:r w:rsidRPr="00C415C1">
              <w:rPr>
                <w:i/>
                <w:sz w:val="16"/>
                <w:szCs w:val="16"/>
              </w:rPr>
              <w:t xml:space="preserve"> dopravě – </w:t>
            </w:r>
            <w:r>
              <w:rPr>
                <w:i/>
                <w:sz w:val="16"/>
                <w:szCs w:val="16"/>
              </w:rPr>
              <w:t>IAD</w:t>
            </w:r>
            <w:r w:rsidRPr="00C415C1">
              <w:rPr>
                <w:i/>
                <w:sz w:val="16"/>
                <w:szCs w:val="16"/>
              </w:rPr>
              <w:t xml:space="preserve"> 1</w:t>
            </w:r>
            <w:r>
              <w:rPr>
                <w:i/>
                <w:sz w:val="16"/>
                <w:szCs w:val="16"/>
              </w:rPr>
              <w:t>,7</w:t>
            </w:r>
            <w:r w:rsidRPr="00C415C1">
              <w:rPr>
                <w:i/>
                <w:sz w:val="16"/>
                <w:szCs w:val="16"/>
              </w:rPr>
              <w:t xml:space="preserve"> </w:t>
            </w:r>
            <w:r>
              <w:rPr>
                <w:i/>
                <w:sz w:val="16"/>
                <w:szCs w:val="16"/>
              </w:rPr>
              <w:t>os</w:t>
            </w:r>
            <w:r w:rsidRPr="00C415C1">
              <w:rPr>
                <w:i/>
                <w:sz w:val="16"/>
                <w:szCs w:val="16"/>
              </w:rPr>
              <w:t xml:space="preserve">/voz, </w:t>
            </w:r>
            <w:r>
              <w:rPr>
                <w:i/>
                <w:sz w:val="16"/>
                <w:szCs w:val="16"/>
              </w:rPr>
              <w:t>BUS 25</w:t>
            </w:r>
            <w:r w:rsidRPr="00C415C1">
              <w:rPr>
                <w:i/>
                <w:sz w:val="16"/>
                <w:szCs w:val="16"/>
              </w:rPr>
              <w:t xml:space="preserve"> </w:t>
            </w:r>
            <w:r>
              <w:rPr>
                <w:i/>
                <w:sz w:val="16"/>
                <w:szCs w:val="16"/>
              </w:rPr>
              <w:t>os</w:t>
            </w:r>
            <w:r w:rsidRPr="00C415C1">
              <w:rPr>
                <w:i/>
                <w:sz w:val="16"/>
                <w:szCs w:val="16"/>
              </w:rPr>
              <w:t>/voz</w:t>
            </w:r>
          </w:p>
          <w:p w:rsidR="007742C0" w:rsidRPr="007742C0" w:rsidRDefault="007742C0" w:rsidP="007742C0">
            <w:pPr>
              <w:spacing w:before="0" w:after="0" w:line="240" w:lineRule="auto"/>
              <w:jc w:val="left"/>
              <w:rPr>
                <w:i/>
                <w:sz w:val="16"/>
                <w:szCs w:val="16"/>
              </w:rPr>
            </w:pPr>
            <w:r w:rsidRPr="00C415C1">
              <w:rPr>
                <w:i/>
                <w:sz w:val="16"/>
                <w:szCs w:val="16"/>
              </w:rPr>
              <w:t>Zdroj: „Aktualizace metodiky pro výpočet efektivnosti inve</w:t>
            </w:r>
            <w:r>
              <w:rPr>
                <w:i/>
                <w:sz w:val="16"/>
                <w:szCs w:val="16"/>
              </w:rPr>
              <w:t>stic na SŽDC, s.o“, MD ČR, 2009</w:t>
            </w:r>
          </w:p>
        </w:tc>
      </w:tr>
    </w:tbl>
    <w:p w:rsidR="008B7459" w:rsidRDefault="008B7459" w:rsidP="008B7459">
      <w:r>
        <w:t xml:space="preserve">Pomocí měrných příjmů a výhledových dopravních výkonů v převedené dopravě byly stanoveny úspory provozních nákladů silniční dopravy pro celé hodnotící období projektu, které jsou do výpočtu uvažovány od prvního roku provozu traťového úseku Stéblová – Opatovice n.L. (2016). Do ekonomické analýzy jsou započteny úspory provozních nákladů silniční dopravy v </w:t>
      </w:r>
      <w:r w:rsidRPr="00A72B8E">
        <w:t xml:space="preserve">CÚ </w:t>
      </w:r>
      <w:r w:rsidR="001771D4" w:rsidRPr="00A72B8E">
        <w:t xml:space="preserve">2013 </w:t>
      </w:r>
      <w:r w:rsidRPr="00A72B8E">
        <w:t>v</w:t>
      </w:r>
      <w:r w:rsidR="009E270E" w:rsidRPr="00A72B8E">
        <w:t xml:space="preserve"> Etapě a variantě</w:t>
      </w:r>
      <w:r w:rsidRPr="00A72B8E">
        <w:t xml:space="preserve"> Maximální.</w:t>
      </w:r>
    </w:p>
    <w:p w:rsidR="0010588D" w:rsidRDefault="008B7459" w:rsidP="008B7459">
      <w:r>
        <w:t xml:space="preserve">Přehled úspor nákladů v jednotlivých letech hodnocení pro příslušné varianty je v následující tabulce. </w:t>
      </w:r>
    </w:p>
    <w:tbl>
      <w:tblPr>
        <w:tblW w:w="9349" w:type="dxa"/>
        <w:jc w:val="center"/>
        <w:tblInd w:w="-3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2"/>
        <w:gridCol w:w="4108"/>
        <w:gridCol w:w="4109"/>
      </w:tblGrid>
      <w:tr w:rsidR="00D236BE" w:rsidTr="007742C0">
        <w:trPr>
          <w:jc w:val="center"/>
        </w:trPr>
        <w:tc>
          <w:tcPr>
            <w:tcW w:w="9349" w:type="dxa"/>
            <w:gridSpan w:val="3"/>
            <w:tcBorders>
              <w:bottom w:val="single" w:sz="4" w:space="0" w:color="000000"/>
            </w:tcBorders>
          </w:tcPr>
          <w:p w:rsidR="006819BA" w:rsidRDefault="00D236BE" w:rsidP="007742C0">
            <w:pPr>
              <w:pStyle w:val="Titulek"/>
              <w:rPr>
                <w:rFonts w:eastAsia="Arial Unicode MS"/>
                <w:color w:val="FF0000"/>
              </w:rPr>
            </w:pPr>
            <w:bookmarkStart w:id="324" w:name="_Toc316377687"/>
            <w:bookmarkStart w:id="325" w:name="_Toc390958791"/>
            <w:bookmarkStart w:id="326" w:name="_Toc391034595"/>
            <w:r w:rsidRPr="00D236BE">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15</w:t>
            </w:r>
            <w:r w:rsidR="000E79AE">
              <w:fldChar w:fldCharType="end"/>
            </w:r>
            <w:r w:rsidRPr="00D236BE">
              <w:t xml:space="preserve">: Úspory nákladů silniční dopravy, v tis. Kč (CÚ </w:t>
            </w:r>
            <w:r w:rsidR="001771D4" w:rsidRPr="00D236BE">
              <w:t>201</w:t>
            </w:r>
            <w:r w:rsidR="001771D4">
              <w:t>3</w:t>
            </w:r>
            <w:r w:rsidRPr="00D236BE">
              <w:t>)</w:t>
            </w:r>
            <w:bookmarkEnd w:id="324"/>
            <w:bookmarkEnd w:id="325"/>
            <w:bookmarkEnd w:id="326"/>
          </w:p>
        </w:tc>
      </w:tr>
      <w:tr w:rsidR="007742C0" w:rsidTr="007742C0">
        <w:trPr>
          <w:jc w:val="center"/>
        </w:trPr>
        <w:tc>
          <w:tcPr>
            <w:tcW w:w="1132" w:type="dxa"/>
            <w:tcBorders>
              <w:bottom w:val="single" w:sz="12" w:space="0" w:color="auto"/>
            </w:tcBorders>
            <w:shd w:val="pct12" w:color="auto" w:fill="auto"/>
          </w:tcPr>
          <w:p w:rsidR="007742C0" w:rsidRPr="007742C0" w:rsidRDefault="007742C0" w:rsidP="007742C0">
            <w:pPr>
              <w:spacing w:before="100" w:beforeAutospacing="1" w:after="100" w:afterAutospacing="1"/>
              <w:rPr>
                <w:rFonts w:eastAsia="Arial Unicode MS" w:cs="Tahoma"/>
                <w:b/>
                <w:sz w:val="18"/>
                <w:szCs w:val="18"/>
              </w:rPr>
            </w:pPr>
            <w:r w:rsidRPr="007742C0">
              <w:rPr>
                <w:rFonts w:eastAsia="Arial Unicode MS" w:cs="Tahoma"/>
                <w:b/>
                <w:sz w:val="18"/>
                <w:szCs w:val="18"/>
              </w:rPr>
              <w:t>rok</w:t>
            </w:r>
          </w:p>
        </w:tc>
        <w:tc>
          <w:tcPr>
            <w:tcW w:w="4108" w:type="dxa"/>
            <w:tcBorders>
              <w:bottom w:val="single" w:sz="12" w:space="0" w:color="auto"/>
            </w:tcBorders>
            <w:shd w:val="pct12" w:color="auto" w:fill="auto"/>
            <w:vAlign w:val="center"/>
          </w:tcPr>
          <w:p w:rsidR="007742C0" w:rsidRPr="007742C0" w:rsidRDefault="007742C0" w:rsidP="007742C0">
            <w:pPr>
              <w:spacing w:before="100" w:beforeAutospacing="1" w:after="100" w:afterAutospacing="1"/>
              <w:jc w:val="center"/>
              <w:rPr>
                <w:rFonts w:eastAsia="Arial Unicode MS" w:cs="Tahoma"/>
                <w:b/>
                <w:sz w:val="18"/>
                <w:szCs w:val="18"/>
              </w:rPr>
            </w:pPr>
            <w:r w:rsidRPr="007742C0">
              <w:rPr>
                <w:rFonts w:eastAsia="Arial Unicode MS" w:cs="Tahoma"/>
                <w:b/>
                <w:sz w:val="18"/>
                <w:szCs w:val="18"/>
              </w:rPr>
              <w:t>Etapa</w:t>
            </w:r>
          </w:p>
        </w:tc>
        <w:tc>
          <w:tcPr>
            <w:tcW w:w="4109" w:type="dxa"/>
            <w:tcBorders>
              <w:bottom w:val="single" w:sz="12" w:space="0" w:color="auto"/>
            </w:tcBorders>
            <w:shd w:val="pct12" w:color="auto" w:fill="auto"/>
            <w:vAlign w:val="center"/>
          </w:tcPr>
          <w:p w:rsidR="007742C0" w:rsidRPr="007742C0" w:rsidRDefault="007742C0" w:rsidP="007742C0">
            <w:pPr>
              <w:spacing w:before="100" w:beforeAutospacing="1" w:after="100" w:afterAutospacing="1"/>
              <w:jc w:val="center"/>
              <w:rPr>
                <w:rFonts w:eastAsia="Arial Unicode MS" w:cs="Tahoma"/>
                <w:b/>
                <w:sz w:val="18"/>
                <w:szCs w:val="18"/>
              </w:rPr>
            </w:pPr>
            <w:r w:rsidRPr="007742C0">
              <w:rPr>
                <w:rFonts w:eastAsia="Arial Unicode MS" w:cs="Tahoma"/>
                <w:b/>
                <w:sz w:val="18"/>
                <w:szCs w:val="18"/>
              </w:rPr>
              <w:t>varianta Maximální</w:t>
            </w:r>
          </w:p>
        </w:tc>
      </w:tr>
      <w:tr w:rsidR="007742C0" w:rsidTr="007742C0">
        <w:trPr>
          <w:jc w:val="center"/>
        </w:trPr>
        <w:tc>
          <w:tcPr>
            <w:tcW w:w="1132" w:type="dxa"/>
            <w:tcBorders>
              <w:top w:val="single" w:sz="12" w:space="0" w:color="auto"/>
            </w:tcBorders>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2016</w:t>
            </w:r>
          </w:p>
        </w:tc>
        <w:tc>
          <w:tcPr>
            <w:tcW w:w="4108" w:type="dxa"/>
            <w:tcBorders>
              <w:top w:val="single" w:sz="12" w:space="0" w:color="auto"/>
            </w:tcBorders>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19 152</w:t>
            </w:r>
          </w:p>
        </w:tc>
        <w:tc>
          <w:tcPr>
            <w:tcW w:w="4109" w:type="dxa"/>
            <w:tcBorders>
              <w:top w:val="single" w:sz="12" w:space="0" w:color="auto"/>
            </w:tcBorders>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19 152</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2017</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19 235</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19 235</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2018</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19 317</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19 317</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2019</w:t>
            </w:r>
          </w:p>
        </w:tc>
        <w:tc>
          <w:tcPr>
            <w:tcW w:w="4108" w:type="dxa"/>
            <w:tcBorders>
              <w:bottom w:val="single" w:sz="4" w:space="0" w:color="000000"/>
            </w:tcBorders>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19 400</w:t>
            </w:r>
          </w:p>
        </w:tc>
        <w:tc>
          <w:tcPr>
            <w:tcW w:w="4109" w:type="dxa"/>
            <w:tcBorders>
              <w:bottom w:val="single" w:sz="4" w:space="0" w:color="000000"/>
            </w:tcBorders>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19 400</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2020</w:t>
            </w:r>
          </w:p>
        </w:tc>
        <w:tc>
          <w:tcPr>
            <w:tcW w:w="4108" w:type="dxa"/>
            <w:tcBorders>
              <w:bottom w:val="single" w:sz="4" w:space="0" w:color="000000"/>
            </w:tcBorders>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19 483</w:t>
            </w:r>
          </w:p>
        </w:tc>
        <w:tc>
          <w:tcPr>
            <w:tcW w:w="4109" w:type="dxa"/>
            <w:tcBorders>
              <w:bottom w:val="single" w:sz="4" w:space="0" w:color="000000"/>
            </w:tcBorders>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22 778</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2021</w:t>
            </w:r>
          </w:p>
        </w:tc>
        <w:tc>
          <w:tcPr>
            <w:tcW w:w="4108" w:type="dxa"/>
            <w:tcBorders>
              <w:bottom w:val="single" w:sz="4" w:space="0" w:color="000000"/>
            </w:tcBorders>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19 566</w:t>
            </w:r>
          </w:p>
        </w:tc>
        <w:tc>
          <w:tcPr>
            <w:tcW w:w="4109" w:type="dxa"/>
            <w:tcBorders>
              <w:bottom w:val="single" w:sz="4" w:space="0" w:color="000000"/>
            </w:tcBorders>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22 875</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2022</w:t>
            </w:r>
          </w:p>
        </w:tc>
        <w:tc>
          <w:tcPr>
            <w:tcW w:w="4108" w:type="dxa"/>
            <w:tcBorders>
              <w:bottom w:val="single" w:sz="4" w:space="0" w:color="000000"/>
            </w:tcBorders>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19 649</w:t>
            </w:r>
          </w:p>
        </w:tc>
        <w:tc>
          <w:tcPr>
            <w:tcW w:w="4109" w:type="dxa"/>
            <w:tcBorders>
              <w:bottom w:val="single" w:sz="4" w:space="0" w:color="000000"/>
            </w:tcBorders>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26 054</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2023</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19 733</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26 165</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2024</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19 816</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26 276</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2025</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19 900</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26 387</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2026</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19 947</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26 450</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2027</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19 995</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26 512</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2028</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20 042</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26 575</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2029</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20 090</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26 638</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2030</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20 137</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26 701</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2031</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20 155</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26 725</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2032</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20 173</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26 749</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2033</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20 192</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26 773</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2034</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20 180</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26 759</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2035</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20 169</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26 744</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2036</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20 162</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26 734</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2037</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20 155</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26 724</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2038</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20 147</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26 715</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2039</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20 140</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26 705</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2040</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20 132</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26 695</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2041</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20 114</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26 670</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2042</w:t>
            </w:r>
          </w:p>
        </w:tc>
        <w:tc>
          <w:tcPr>
            <w:tcW w:w="4108"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20 095</w:t>
            </w:r>
          </w:p>
        </w:tc>
        <w:tc>
          <w:tcPr>
            <w:tcW w:w="4109" w:type="dxa"/>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26 646</w:t>
            </w:r>
          </w:p>
        </w:tc>
      </w:tr>
      <w:tr w:rsidR="007742C0" w:rsidTr="007742C0">
        <w:trPr>
          <w:jc w:val="center"/>
        </w:trPr>
        <w:tc>
          <w:tcPr>
            <w:tcW w:w="1132" w:type="dxa"/>
            <w:shd w:val="pct12" w:color="auto" w:fill="auto"/>
          </w:tcPr>
          <w:p w:rsidR="007742C0" w:rsidRPr="007742C0" w:rsidRDefault="007742C0" w:rsidP="007742C0">
            <w:pPr>
              <w:spacing w:before="100" w:beforeAutospacing="1" w:after="100" w:afterAutospacing="1"/>
              <w:rPr>
                <w:rFonts w:eastAsia="Arial Unicode MS" w:cs="Tahoma"/>
                <w:sz w:val="18"/>
                <w:szCs w:val="18"/>
              </w:rPr>
            </w:pPr>
            <w:r w:rsidRPr="007742C0">
              <w:rPr>
                <w:rFonts w:eastAsia="Arial Unicode MS" w:cs="Tahoma"/>
                <w:sz w:val="18"/>
                <w:szCs w:val="18"/>
              </w:rPr>
              <w:t>2043</w:t>
            </w:r>
          </w:p>
        </w:tc>
        <w:tc>
          <w:tcPr>
            <w:tcW w:w="4108" w:type="dxa"/>
            <w:tcBorders>
              <w:bottom w:val="single" w:sz="4" w:space="0" w:color="000000"/>
            </w:tcBorders>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20 077</w:t>
            </w:r>
          </w:p>
        </w:tc>
        <w:tc>
          <w:tcPr>
            <w:tcW w:w="4109" w:type="dxa"/>
            <w:tcBorders>
              <w:bottom w:val="single" w:sz="4" w:space="0" w:color="000000"/>
            </w:tcBorders>
            <w:vAlign w:val="center"/>
          </w:tcPr>
          <w:p w:rsidR="007742C0" w:rsidRPr="007742C0" w:rsidRDefault="007742C0" w:rsidP="007742C0">
            <w:pPr>
              <w:spacing w:before="100" w:beforeAutospacing="1" w:after="100" w:afterAutospacing="1"/>
              <w:ind w:right="1732"/>
              <w:jc w:val="right"/>
              <w:rPr>
                <w:rFonts w:eastAsia="Arial Unicode MS" w:cs="Tahoma"/>
                <w:sz w:val="18"/>
                <w:szCs w:val="18"/>
              </w:rPr>
            </w:pPr>
            <w:r w:rsidRPr="007742C0">
              <w:rPr>
                <w:rFonts w:eastAsia="Arial Unicode MS" w:cs="Tahoma"/>
                <w:sz w:val="18"/>
                <w:szCs w:val="18"/>
              </w:rPr>
              <w:t>26 621</w:t>
            </w:r>
          </w:p>
        </w:tc>
      </w:tr>
    </w:tbl>
    <w:p w:rsidR="00D236BE" w:rsidRPr="002A2152" w:rsidRDefault="00D236BE" w:rsidP="008B7459"/>
    <w:p w:rsidR="007742C0" w:rsidRDefault="007742C0">
      <w:pPr>
        <w:suppressAutoHyphens w:val="0"/>
        <w:spacing w:before="0" w:after="0" w:line="240" w:lineRule="auto"/>
        <w:jc w:val="left"/>
        <w:rPr>
          <w:b/>
          <w:bCs/>
          <w:sz w:val="24"/>
        </w:rPr>
      </w:pPr>
      <w:r>
        <w:br w:type="page"/>
      </w:r>
    </w:p>
    <w:p w:rsidR="00225B27" w:rsidRDefault="008A1C7F" w:rsidP="000D62F1">
      <w:pPr>
        <w:pStyle w:val="Nadpis3"/>
        <w:ind w:hanging="8234"/>
      </w:pPr>
      <w:r>
        <w:t>Ú</w:t>
      </w:r>
      <w:r w:rsidR="00225B27">
        <w:t>spory</w:t>
      </w:r>
      <w:r>
        <w:t xml:space="preserve"> času</w:t>
      </w:r>
    </w:p>
    <w:p w:rsidR="00314EB6" w:rsidRDefault="00314EB6" w:rsidP="00314EB6">
      <w:r>
        <w:t>Realizací projektu dojde ke zkrácení jízdních dob v osobní železniční dopravě. Velikost zkrácení závisí na ujeté vzdálenosti a typu vlaku. Pro finanční vyjádření účinků časových úspor byly použity hodnoty úspory jízdních dob pro jednotlivé vlaky převzaté z</w:t>
      </w:r>
      <w:r w:rsidR="003A1CA8">
        <w:t> </w:t>
      </w:r>
      <w:r>
        <w:t>kapitoly</w:t>
      </w:r>
      <w:r w:rsidR="003A1CA8">
        <w:t xml:space="preserve"> „</w:t>
      </w:r>
      <w:r w:rsidR="00AC5CDF">
        <w:fldChar w:fldCharType="begin"/>
      </w:r>
      <w:r w:rsidR="003A1CA8">
        <w:instrText xml:space="preserve"> REF _Ref323220345 \r \h </w:instrText>
      </w:r>
      <w:r w:rsidR="00AC5CDF">
        <w:fldChar w:fldCharType="separate"/>
      </w:r>
      <w:r w:rsidR="003843F3">
        <w:t>5.3.1</w:t>
      </w:r>
      <w:r w:rsidR="00AC5CDF">
        <w:fldChar w:fldCharType="end"/>
      </w:r>
      <w:r w:rsidR="003A1CA8">
        <w:t xml:space="preserve"> - </w:t>
      </w:r>
      <w:r w:rsidR="00AC5CDF">
        <w:fldChar w:fldCharType="begin"/>
      </w:r>
      <w:r w:rsidR="003A1CA8">
        <w:instrText xml:space="preserve"> REF _Ref323220345 \h </w:instrText>
      </w:r>
      <w:r w:rsidR="00AC5CDF">
        <w:fldChar w:fldCharType="separate"/>
      </w:r>
      <w:r w:rsidR="003843F3">
        <w:t>Metodika prognózy OD</w:t>
      </w:r>
      <w:r w:rsidR="00AC5CDF">
        <w:fldChar w:fldCharType="end"/>
      </w:r>
      <w:r w:rsidR="003A1CA8">
        <w:t>“</w:t>
      </w:r>
      <w:r>
        <w:t xml:space="preserve">. </w:t>
      </w:r>
    </w:p>
    <w:p w:rsidR="00D445C4" w:rsidRDefault="00314EB6" w:rsidP="00314EB6">
      <w:r>
        <w:t>Hodnota času byla převzata z materiálu „HEATCO - Developing Harmonized European Approaches for Transport Costing and Project Assessment“, 2004 – 2006. V tomto materiálu jsou uvedeny hodnoty času pro jednotlivé státy Evropské unie, pro tuto studii byly proto převzaty hodnoty zpracované pro Českou republiku (viz následující tabulku), které sloužily jako podklad pro další výpočty (pro potřeby ekonomického hodnocení byly tyto hodnoty přepočteny na české koruny).</w:t>
      </w:r>
    </w:p>
    <w:tbl>
      <w:tblPr>
        <w:tblW w:w="9215" w:type="dxa"/>
        <w:jc w:val="center"/>
        <w:tblInd w:w="-20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49"/>
        <w:gridCol w:w="1670"/>
        <w:gridCol w:w="1213"/>
        <w:gridCol w:w="1441"/>
        <w:gridCol w:w="1442"/>
      </w:tblGrid>
      <w:tr w:rsidR="006A4A35" w:rsidTr="007742C0">
        <w:trPr>
          <w:jc w:val="center"/>
        </w:trPr>
        <w:tc>
          <w:tcPr>
            <w:tcW w:w="9215" w:type="dxa"/>
            <w:gridSpan w:val="5"/>
            <w:tcBorders>
              <w:bottom w:val="single" w:sz="4" w:space="0" w:color="000000"/>
            </w:tcBorders>
          </w:tcPr>
          <w:p w:rsidR="006A4A35" w:rsidRPr="006A4A35" w:rsidRDefault="006A4A35" w:rsidP="007742C0">
            <w:pPr>
              <w:pStyle w:val="Titulek"/>
              <w:rPr>
                <w:rFonts w:eastAsia="Arial Unicode MS"/>
                <w:color w:val="FF0000"/>
              </w:rPr>
            </w:pPr>
            <w:bookmarkStart w:id="327" w:name="_Toc316377688"/>
            <w:bookmarkStart w:id="328" w:name="_Toc390958792"/>
            <w:bookmarkStart w:id="329" w:name="_Toc391034596"/>
            <w:r w:rsidRPr="006A4A35">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16</w:t>
            </w:r>
            <w:r w:rsidR="000E79AE">
              <w:fldChar w:fldCharType="end"/>
            </w:r>
            <w:r w:rsidRPr="006A4A35">
              <w:t>: Měrný náklad pro ohodnocení času (CÚ 2002)</w:t>
            </w:r>
            <w:bookmarkEnd w:id="327"/>
            <w:bookmarkEnd w:id="328"/>
            <w:bookmarkEnd w:id="329"/>
          </w:p>
        </w:tc>
      </w:tr>
      <w:tr w:rsidR="006A4A35" w:rsidTr="007742C0">
        <w:trPr>
          <w:jc w:val="center"/>
        </w:trPr>
        <w:tc>
          <w:tcPr>
            <w:tcW w:w="6332" w:type="dxa"/>
            <w:gridSpan w:val="3"/>
            <w:tcBorders>
              <w:bottom w:val="single" w:sz="12" w:space="0" w:color="auto"/>
              <w:right w:val="single" w:sz="12" w:space="0" w:color="auto"/>
            </w:tcBorders>
            <w:shd w:val="pct12" w:color="auto" w:fill="auto"/>
          </w:tcPr>
          <w:p w:rsidR="006A4A35" w:rsidRPr="007742C0" w:rsidRDefault="006A4A35" w:rsidP="007742C0">
            <w:pPr>
              <w:spacing w:before="100" w:beforeAutospacing="1" w:after="100" w:afterAutospacing="1"/>
              <w:rPr>
                <w:rFonts w:eastAsia="Arial Unicode MS"/>
                <w:b/>
                <w:sz w:val="18"/>
              </w:rPr>
            </w:pPr>
            <w:r w:rsidRPr="007742C0">
              <w:rPr>
                <w:rFonts w:eastAsia="Arial Unicode MS"/>
                <w:b/>
                <w:sz w:val="18"/>
              </w:rPr>
              <w:t>položka</w:t>
            </w:r>
          </w:p>
        </w:tc>
        <w:tc>
          <w:tcPr>
            <w:tcW w:w="2883" w:type="dxa"/>
            <w:gridSpan w:val="2"/>
            <w:tcBorders>
              <w:left w:val="single" w:sz="12" w:space="0" w:color="auto"/>
              <w:bottom w:val="single" w:sz="12" w:space="0" w:color="auto"/>
            </w:tcBorders>
            <w:shd w:val="pct12" w:color="auto" w:fill="auto"/>
          </w:tcPr>
          <w:p w:rsidR="006A4A35" w:rsidRPr="007742C0" w:rsidRDefault="006A4A35" w:rsidP="007742C0">
            <w:pPr>
              <w:spacing w:before="100" w:beforeAutospacing="1" w:after="100" w:afterAutospacing="1"/>
              <w:rPr>
                <w:rFonts w:eastAsia="Arial Unicode MS"/>
                <w:b/>
                <w:sz w:val="18"/>
              </w:rPr>
            </w:pPr>
            <w:r w:rsidRPr="007742C0">
              <w:rPr>
                <w:rFonts w:eastAsia="Arial Unicode MS"/>
                <w:b/>
                <w:sz w:val="18"/>
              </w:rPr>
              <w:t>měrný náklad</w:t>
            </w:r>
          </w:p>
        </w:tc>
      </w:tr>
      <w:tr w:rsidR="006A4A35" w:rsidTr="007742C0">
        <w:trPr>
          <w:jc w:val="center"/>
        </w:trPr>
        <w:tc>
          <w:tcPr>
            <w:tcW w:w="6332" w:type="dxa"/>
            <w:gridSpan w:val="3"/>
            <w:tcBorders>
              <w:top w:val="single" w:sz="12" w:space="0" w:color="auto"/>
              <w:right w:val="single" w:sz="12" w:space="0" w:color="auto"/>
            </w:tcBorders>
            <w:shd w:val="pct12" w:color="auto" w:fill="auto"/>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osobní doprava</w:t>
            </w:r>
          </w:p>
        </w:tc>
        <w:tc>
          <w:tcPr>
            <w:tcW w:w="1441" w:type="dxa"/>
            <w:tcBorders>
              <w:top w:val="single" w:sz="12" w:space="0" w:color="auto"/>
              <w:left w:val="single" w:sz="12" w:space="0" w:color="auto"/>
            </w:tcBorders>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EUR/osobohod</w:t>
            </w:r>
          </w:p>
        </w:tc>
        <w:tc>
          <w:tcPr>
            <w:tcW w:w="1442" w:type="dxa"/>
            <w:tcBorders>
              <w:top w:val="single" w:sz="12" w:space="0" w:color="auto"/>
            </w:tcBorders>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Kč/osobohod*</w:t>
            </w:r>
          </w:p>
        </w:tc>
      </w:tr>
      <w:tr w:rsidR="006A4A35" w:rsidTr="007742C0">
        <w:trPr>
          <w:jc w:val="center"/>
        </w:trPr>
        <w:tc>
          <w:tcPr>
            <w:tcW w:w="5119" w:type="dxa"/>
            <w:gridSpan w:val="2"/>
            <w:vMerge w:val="restart"/>
            <w:shd w:val="pct12" w:color="auto" w:fill="auto"/>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pracovní čas</w:t>
            </w:r>
          </w:p>
        </w:tc>
        <w:tc>
          <w:tcPr>
            <w:tcW w:w="1213" w:type="dxa"/>
            <w:tcBorders>
              <w:right w:val="single" w:sz="12" w:space="0" w:color="auto"/>
            </w:tcBorders>
            <w:vAlign w:val="bottom"/>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bus</w:t>
            </w:r>
          </w:p>
        </w:tc>
        <w:tc>
          <w:tcPr>
            <w:tcW w:w="1441" w:type="dxa"/>
            <w:tcBorders>
              <w:left w:val="single" w:sz="12" w:space="0" w:color="auto"/>
            </w:tcBorders>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11,45</w:t>
            </w:r>
          </w:p>
        </w:tc>
        <w:tc>
          <w:tcPr>
            <w:tcW w:w="1442" w:type="dxa"/>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352,66</w:t>
            </w:r>
          </w:p>
        </w:tc>
      </w:tr>
      <w:tr w:rsidR="006A4A35" w:rsidTr="007742C0">
        <w:trPr>
          <w:jc w:val="center"/>
        </w:trPr>
        <w:tc>
          <w:tcPr>
            <w:tcW w:w="5119" w:type="dxa"/>
            <w:gridSpan w:val="2"/>
            <w:vMerge/>
            <w:shd w:val="pct12" w:color="auto" w:fill="auto"/>
          </w:tcPr>
          <w:p w:rsidR="006A4A35" w:rsidRPr="007742C0" w:rsidRDefault="006A4A35" w:rsidP="007742C0">
            <w:pPr>
              <w:spacing w:before="100" w:beforeAutospacing="1" w:after="100" w:afterAutospacing="1"/>
              <w:rPr>
                <w:rFonts w:eastAsia="Arial Unicode MS"/>
                <w:sz w:val="18"/>
              </w:rPr>
            </w:pPr>
          </w:p>
        </w:tc>
        <w:tc>
          <w:tcPr>
            <w:tcW w:w="1213" w:type="dxa"/>
            <w:tcBorders>
              <w:right w:val="single" w:sz="12" w:space="0" w:color="auto"/>
            </w:tcBorders>
            <w:vAlign w:val="bottom"/>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auto, vlak</w:t>
            </w:r>
          </w:p>
        </w:tc>
        <w:tc>
          <w:tcPr>
            <w:tcW w:w="1441" w:type="dxa"/>
            <w:tcBorders>
              <w:left w:val="single" w:sz="12" w:space="0" w:color="auto"/>
            </w:tcBorders>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14,27</w:t>
            </w:r>
          </w:p>
        </w:tc>
        <w:tc>
          <w:tcPr>
            <w:tcW w:w="1442" w:type="dxa"/>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439,52</w:t>
            </w:r>
          </w:p>
        </w:tc>
      </w:tr>
      <w:tr w:rsidR="006A4A35" w:rsidTr="007742C0">
        <w:trPr>
          <w:jc w:val="center"/>
        </w:trPr>
        <w:tc>
          <w:tcPr>
            <w:tcW w:w="3449" w:type="dxa"/>
            <w:vMerge w:val="restart"/>
            <w:shd w:val="pct12" w:color="auto" w:fill="auto"/>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nepracovní čas</w:t>
            </w:r>
          </w:p>
        </w:tc>
        <w:tc>
          <w:tcPr>
            <w:tcW w:w="1670" w:type="dxa"/>
            <w:vMerge w:val="restart"/>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krátká dojížďka</w:t>
            </w:r>
          </w:p>
        </w:tc>
        <w:tc>
          <w:tcPr>
            <w:tcW w:w="1213" w:type="dxa"/>
            <w:tcBorders>
              <w:bottom w:val="single" w:sz="4" w:space="0" w:color="000000"/>
              <w:right w:val="single" w:sz="12" w:space="0" w:color="auto"/>
            </w:tcBorders>
            <w:vAlign w:val="bottom"/>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bus</w:t>
            </w:r>
          </w:p>
        </w:tc>
        <w:tc>
          <w:tcPr>
            <w:tcW w:w="1441" w:type="dxa"/>
            <w:tcBorders>
              <w:left w:val="single" w:sz="12" w:space="0" w:color="auto"/>
              <w:bottom w:val="single" w:sz="4" w:space="0" w:color="000000"/>
            </w:tcBorders>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4,13</w:t>
            </w:r>
          </w:p>
        </w:tc>
        <w:tc>
          <w:tcPr>
            <w:tcW w:w="1442" w:type="dxa"/>
            <w:tcBorders>
              <w:bottom w:val="single" w:sz="4" w:space="0" w:color="000000"/>
            </w:tcBorders>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127,20</w:t>
            </w:r>
          </w:p>
        </w:tc>
      </w:tr>
      <w:tr w:rsidR="006A4A35" w:rsidTr="007742C0">
        <w:trPr>
          <w:jc w:val="center"/>
        </w:trPr>
        <w:tc>
          <w:tcPr>
            <w:tcW w:w="3449" w:type="dxa"/>
            <w:vMerge/>
            <w:shd w:val="pct12" w:color="auto" w:fill="auto"/>
            <w:vAlign w:val="center"/>
          </w:tcPr>
          <w:p w:rsidR="006A4A35" w:rsidRPr="007742C0" w:rsidRDefault="006A4A35" w:rsidP="007742C0">
            <w:pPr>
              <w:spacing w:before="100" w:beforeAutospacing="1" w:after="100" w:afterAutospacing="1"/>
              <w:rPr>
                <w:rFonts w:eastAsia="Arial Unicode MS"/>
                <w:sz w:val="18"/>
              </w:rPr>
            </w:pPr>
          </w:p>
        </w:tc>
        <w:tc>
          <w:tcPr>
            <w:tcW w:w="1670" w:type="dxa"/>
            <w:vMerge/>
            <w:vAlign w:val="center"/>
          </w:tcPr>
          <w:p w:rsidR="006A4A35" w:rsidRPr="007742C0" w:rsidRDefault="006A4A35" w:rsidP="007742C0">
            <w:pPr>
              <w:spacing w:before="100" w:beforeAutospacing="1" w:after="100" w:afterAutospacing="1"/>
              <w:rPr>
                <w:rFonts w:eastAsia="Arial Unicode MS"/>
                <w:sz w:val="18"/>
              </w:rPr>
            </w:pPr>
          </w:p>
        </w:tc>
        <w:tc>
          <w:tcPr>
            <w:tcW w:w="1213" w:type="dxa"/>
            <w:tcBorders>
              <w:right w:val="single" w:sz="12" w:space="0" w:color="auto"/>
            </w:tcBorders>
            <w:vAlign w:val="bottom"/>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auto, vlak</w:t>
            </w:r>
          </w:p>
        </w:tc>
        <w:tc>
          <w:tcPr>
            <w:tcW w:w="1441" w:type="dxa"/>
            <w:tcBorders>
              <w:left w:val="single" w:sz="12" w:space="0" w:color="auto"/>
            </w:tcBorders>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5,75</w:t>
            </w:r>
          </w:p>
        </w:tc>
        <w:tc>
          <w:tcPr>
            <w:tcW w:w="1442" w:type="dxa"/>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177,10</w:t>
            </w:r>
          </w:p>
        </w:tc>
      </w:tr>
      <w:tr w:rsidR="006A4A35" w:rsidTr="007742C0">
        <w:trPr>
          <w:jc w:val="center"/>
        </w:trPr>
        <w:tc>
          <w:tcPr>
            <w:tcW w:w="3449" w:type="dxa"/>
            <w:vMerge/>
            <w:shd w:val="pct12" w:color="auto" w:fill="auto"/>
            <w:vAlign w:val="center"/>
          </w:tcPr>
          <w:p w:rsidR="006A4A35" w:rsidRPr="007742C0" w:rsidRDefault="006A4A35" w:rsidP="007742C0">
            <w:pPr>
              <w:spacing w:before="100" w:beforeAutospacing="1" w:after="100" w:afterAutospacing="1"/>
              <w:rPr>
                <w:rFonts w:eastAsia="Arial Unicode MS"/>
                <w:sz w:val="18"/>
              </w:rPr>
            </w:pPr>
          </w:p>
        </w:tc>
        <w:tc>
          <w:tcPr>
            <w:tcW w:w="1670" w:type="dxa"/>
            <w:vMerge w:val="restart"/>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dlouhá dojížďka</w:t>
            </w:r>
          </w:p>
        </w:tc>
        <w:tc>
          <w:tcPr>
            <w:tcW w:w="1213" w:type="dxa"/>
            <w:tcBorders>
              <w:right w:val="single" w:sz="12" w:space="0" w:color="auto"/>
            </w:tcBorders>
            <w:vAlign w:val="bottom"/>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bus</w:t>
            </w:r>
          </w:p>
        </w:tc>
        <w:tc>
          <w:tcPr>
            <w:tcW w:w="1441" w:type="dxa"/>
            <w:tcBorders>
              <w:left w:val="single" w:sz="12" w:space="0" w:color="auto"/>
            </w:tcBorders>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5,31</w:t>
            </w:r>
          </w:p>
        </w:tc>
        <w:tc>
          <w:tcPr>
            <w:tcW w:w="1442" w:type="dxa"/>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163,55</w:t>
            </w:r>
          </w:p>
        </w:tc>
      </w:tr>
      <w:tr w:rsidR="006A4A35" w:rsidTr="007742C0">
        <w:trPr>
          <w:jc w:val="center"/>
        </w:trPr>
        <w:tc>
          <w:tcPr>
            <w:tcW w:w="3449" w:type="dxa"/>
            <w:vMerge/>
            <w:shd w:val="pct12" w:color="auto" w:fill="auto"/>
            <w:vAlign w:val="center"/>
          </w:tcPr>
          <w:p w:rsidR="006A4A35" w:rsidRPr="007742C0" w:rsidRDefault="006A4A35" w:rsidP="007742C0">
            <w:pPr>
              <w:spacing w:before="100" w:beforeAutospacing="1" w:after="100" w:afterAutospacing="1"/>
              <w:rPr>
                <w:rFonts w:eastAsia="Arial Unicode MS"/>
                <w:sz w:val="18"/>
              </w:rPr>
            </w:pPr>
          </w:p>
        </w:tc>
        <w:tc>
          <w:tcPr>
            <w:tcW w:w="1670" w:type="dxa"/>
            <w:vMerge/>
            <w:vAlign w:val="center"/>
          </w:tcPr>
          <w:p w:rsidR="006A4A35" w:rsidRPr="007742C0" w:rsidRDefault="006A4A35" w:rsidP="007742C0">
            <w:pPr>
              <w:spacing w:before="100" w:beforeAutospacing="1" w:after="100" w:afterAutospacing="1"/>
              <w:rPr>
                <w:rFonts w:eastAsia="Arial Unicode MS"/>
                <w:sz w:val="18"/>
              </w:rPr>
            </w:pPr>
          </w:p>
        </w:tc>
        <w:tc>
          <w:tcPr>
            <w:tcW w:w="1213" w:type="dxa"/>
            <w:tcBorders>
              <w:right w:val="single" w:sz="12" w:space="0" w:color="auto"/>
            </w:tcBorders>
            <w:vAlign w:val="bottom"/>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auto, vlak</w:t>
            </w:r>
          </w:p>
        </w:tc>
        <w:tc>
          <w:tcPr>
            <w:tcW w:w="1441" w:type="dxa"/>
            <w:tcBorders>
              <w:left w:val="single" w:sz="12" w:space="0" w:color="auto"/>
            </w:tcBorders>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7,38</w:t>
            </w:r>
          </w:p>
        </w:tc>
        <w:tc>
          <w:tcPr>
            <w:tcW w:w="1442" w:type="dxa"/>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227,30</w:t>
            </w:r>
          </w:p>
        </w:tc>
      </w:tr>
      <w:tr w:rsidR="006A4A35" w:rsidTr="007742C0">
        <w:trPr>
          <w:jc w:val="center"/>
        </w:trPr>
        <w:tc>
          <w:tcPr>
            <w:tcW w:w="3449" w:type="dxa"/>
            <w:vMerge/>
            <w:shd w:val="pct12" w:color="auto" w:fill="auto"/>
            <w:vAlign w:val="center"/>
          </w:tcPr>
          <w:p w:rsidR="006A4A35" w:rsidRPr="007742C0" w:rsidRDefault="006A4A35" w:rsidP="007742C0">
            <w:pPr>
              <w:spacing w:before="100" w:beforeAutospacing="1" w:after="100" w:afterAutospacing="1"/>
              <w:rPr>
                <w:rFonts w:eastAsia="Arial Unicode MS"/>
                <w:sz w:val="18"/>
              </w:rPr>
            </w:pPr>
          </w:p>
        </w:tc>
        <w:tc>
          <w:tcPr>
            <w:tcW w:w="1670" w:type="dxa"/>
            <w:vMerge w:val="restart"/>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ostatní – krátká vzdálenost</w:t>
            </w:r>
          </w:p>
        </w:tc>
        <w:tc>
          <w:tcPr>
            <w:tcW w:w="1213" w:type="dxa"/>
            <w:tcBorders>
              <w:right w:val="single" w:sz="12" w:space="0" w:color="auto"/>
            </w:tcBorders>
            <w:vAlign w:val="bottom"/>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bus</w:t>
            </w:r>
          </w:p>
        </w:tc>
        <w:tc>
          <w:tcPr>
            <w:tcW w:w="1441" w:type="dxa"/>
            <w:tcBorders>
              <w:left w:val="single" w:sz="12" w:space="0" w:color="auto"/>
            </w:tcBorders>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3,46</w:t>
            </w:r>
          </w:p>
        </w:tc>
        <w:tc>
          <w:tcPr>
            <w:tcW w:w="1442" w:type="dxa"/>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106,57</w:t>
            </w:r>
          </w:p>
        </w:tc>
      </w:tr>
      <w:tr w:rsidR="006A4A35" w:rsidTr="007742C0">
        <w:trPr>
          <w:jc w:val="center"/>
        </w:trPr>
        <w:tc>
          <w:tcPr>
            <w:tcW w:w="3449" w:type="dxa"/>
            <w:vMerge/>
            <w:shd w:val="pct12" w:color="auto" w:fill="auto"/>
            <w:vAlign w:val="center"/>
          </w:tcPr>
          <w:p w:rsidR="006A4A35" w:rsidRPr="007742C0" w:rsidRDefault="006A4A35" w:rsidP="007742C0">
            <w:pPr>
              <w:spacing w:before="100" w:beforeAutospacing="1" w:after="100" w:afterAutospacing="1"/>
              <w:rPr>
                <w:rFonts w:eastAsia="Arial Unicode MS"/>
                <w:sz w:val="18"/>
              </w:rPr>
            </w:pPr>
          </w:p>
        </w:tc>
        <w:tc>
          <w:tcPr>
            <w:tcW w:w="1670" w:type="dxa"/>
            <w:vMerge/>
            <w:vAlign w:val="center"/>
          </w:tcPr>
          <w:p w:rsidR="006A4A35" w:rsidRPr="007742C0" w:rsidRDefault="006A4A35" w:rsidP="007742C0">
            <w:pPr>
              <w:spacing w:before="100" w:beforeAutospacing="1" w:after="100" w:afterAutospacing="1"/>
              <w:rPr>
                <w:rFonts w:eastAsia="Arial Unicode MS"/>
                <w:sz w:val="18"/>
              </w:rPr>
            </w:pPr>
          </w:p>
        </w:tc>
        <w:tc>
          <w:tcPr>
            <w:tcW w:w="1213" w:type="dxa"/>
            <w:tcBorders>
              <w:right w:val="single" w:sz="12" w:space="0" w:color="auto"/>
            </w:tcBorders>
            <w:vAlign w:val="bottom"/>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auto, vlak</w:t>
            </w:r>
          </w:p>
        </w:tc>
        <w:tc>
          <w:tcPr>
            <w:tcW w:w="1441" w:type="dxa"/>
            <w:tcBorders>
              <w:left w:val="single" w:sz="12" w:space="0" w:color="auto"/>
            </w:tcBorders>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4,82</w:t>
            </w:r>
          </w:p>
        </w:tc>
        <w:tc>
          <w:tcPr>
            <w:tcW w:w="1442" w:type="dxa"/>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148,46</w:t>
            </w:r>
          </w:p>
        </w:tc>
      </w:tr>
      <w:tr w:rsidR="006A4A35" w:rsidTr="007742C0">
        <w:trPr>
          <w:jc w:val="center"/>
        </w:trPr>
        <w:tc>
          <w:tcPr>
            <w:tcW w:w="3449" w:type="dxa"/>
            <w:vMerge/>
            <w:shd w:val="pct12" w:color="auto" w:fill="auto"/>
            <w:vAlign w:val="center"/>
          </w:tcPr>
          <w:p w:rsidR="006A4A35" w:rsidRPr="007742C0" w:rsidRDefault="006A4A35" w:rsidP="007742C0">
            <w:pPr>
              <w:spacing w:before="100" w:beforeAutospacing="1" w:after="100" w:afterAutospacing="1"/>
              <w:rPr>
                <w:rFonts w:eastAsia="Arial Unicode MS"/>
                <w:sz w:val="18"/>
              </w:rPr>
            </w:pPr>
          </w:p>
        </w:tc>
        <w:tc>
          <w:tcPr>
            <w:tcW w:w="1670" w:type="dxa"/>
            <w:vMerge w:val="restart"/>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ostatní – dlouhá vzdálenost</w:t>
            </w:r>
          </w:p>
        </w:tc>
        <w:tc>
          <w:tcPr>
            <w:tcW w:w="1213" w:type="dxa"/>
            <w:tcBorders>
              <w:right w:val="single" w:sz="12" w:space="0" w:color="auto"/>
            </w:tcBorders>
            <w:vAlign w:val="bottom"/>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bus</w:t>
            </w:r>
          </w:p>
        </w:tc>
        <w:tc>
          <w:tcPr>
            <w:tcW w:w="1441" w:type="dxa"/>
            <w:tcBorders>
              <w:left w:val="single" w:sz="12" w:space="0" w:color="auto"/>
            </w:tcBorders>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4,45</w:t>
            </w:r>
          </w:p>
        </w:tc>
        <w:tc>
          <w:tcPr>
            <w:tcW w:w="1442" w:type="dxa"/>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137,06</w:t>
            </w:r>
          </w:p>
        </w:tc>
      </w:tr>
      <w:tr w:rsidR="006A4A35" w:rsidTr="007742C0">
        <w:trPr>
          <w:jc w:val="center"/>
        </w:trPr>
        <w:tc>
          <w:tcPr>
            <w:tcW w:w="3449" w:type="dxa"/>
            <w:vMerge/>
            <w:shd w:val="pct12" w:color="auto" w:fill="auto"/>
            <w:vAlign w:val="center"/>
          </w:tcPr>
          <w:p w:rsidR="006A4A35" w:rsidRPr="007742C0" w:rsidRDefault="006A4A35" w:rsidP="007742C0">
            <w:pPr>
              <w:spacing w:before="100" w:beforeAutospacing="1" w:after="100" w:afterAutospacing="1"/>
              <w:rPr>
                <w:rFonts w:eastAsia="Arial Unicode MS"/>
                <w:sz w:val="18"/>
              </w:rPr>
            </w:pPr>
          </w:p>
        </w:tc>
        <w:tc>
          <w:tcPr>
            <w:tcW w:w="1670" w:type="dxa"/>
            <w:vMerge/>
            <w:vAlign w:val="center"/>
          </w:tcPr>
          <w:p w:rsidR="006A4A35" w:rsidRPr="007742C0" w:rsidRDefault="006A4A35" w:rsidP="007742C0">
            <w:pPr>
              <w:spacing w:before="100" w:beforeAutospacing="1" w:after="100" w:afterAutospacing="1"/>
              <w:rPr>
                <w:rFonts w:eastAsia="Arial Unicode MS"/>
                <w:sz w:val="18"/>
              </w:rPr>
            </w:pPr>
          </w:p>
        </w:tc>
        <w:tc>
          <w:tcPr>
            <w:tcW w:w="1213" w:type="dxa"/>
            <w:tcBorders>
              <w:right w:val="single" w:sz="12" w:space="0" w:color="auto"/>
            </w:tcBorders>
            <w:vAlign w:val="bottom"/>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auto, vlak</w:t>
            </w:r>
          </w:p>
        </w:tc>
        <w:tc>
          <w:tcPr>
            <w:tcW w:w="1441" w:type="dxa"/>
            <w:tcBorders>
              <w:left w:val="single" w:sz="12" w:space="0" w:color="auto"/>
            </w:tcBorders>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6,18</w:t>
            </w:r>
          </w:p>
        </w:tc>
        <w:tc>
          <w:tcPr>
            <w:tcW w:w="1442" w:type="dxa"/>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190,34</w:t>
            </w:r>
          </w:p>
        </w:tc>
      </w:tr>
      <w:tr w:rsidR="006A4A35" w:rsidTr="007742C0">
        <w:trPr>
          <w:jc w:val="center"/>
        </w:trPr>
        <w:tc>
          <w:tcPr>
            <w:tcW w:w="6332" w:type="dxa"/>
            <w:gridSpan w:val="3"/>
            <w:tcBorders>
              <w:right w:val="single" w:sz="12" w:space="0" w:color="auto"/>
            </w:tcBorders>
            <w:shd w:val="pct12" w:color="auto" w:fill="auto"/>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nákladní doprava</w:t>
            </w:r>
          </w:p>
        </w:tc>
        <w:tc>
          <w:tcPr>
            <w:tcW w:w="1441" w:type="dxa"/>
            <w:tcBorders>
              <w:left w:val="single" w:sz="12" w:space="0" w:color="auto"/>
            </w:tcBorders>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EUR/tunohod</w:t>
            </w:r>
          </w:p>
        </w:tc>
        <w:tc>
          <w:tcPr>
            <w:tcW w:w="1442" w:type="dxa"/>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Kč/tunohod*</w:t>
            </w:r>
          </w:p>
        </w:tc>
      </w:tr>
      <w:tr w:rsidR="006A4A35" w:rsidTr="007742C0">
        <w:trPr>
          <w:jc w:val="center"/>
        </w:trPr>
        <w:tc>
          <w:tcPr>
            <w:tcW w:w="6332" w:type="dxa"/>
            <w:gridSpan w:val="3"/>
            <w:tcBorders>
              <w:right w:val="single" w:sz="12" w:space="0" w:color="auto"/>
            </w:tcBorders>
            <w:shd w:val="pct12" w:color="auto" w:fill="auto"/>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silnice</w:t>
            </w:r>
          </w:p>
        </w:tc>
        <w:tc>
          <w:tcPr>
            <w:tcW w:w="1441" w:type="dxa"/>
            <w:tcBorders>
              <w:left w:val="single" w:sz="12" w:space="0" w:color="auto"/>
            </w:tcBorders>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2,06</w:t>
            </w:r>
          </w:p>
        </w:tc>
        <w:tc>
          <w:tcPr>
            <w:tcW w:w="1442" w:type="dxa"/>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63,45</w:t>
            </w:r>
          </w:p>
        </w:tc>
      </w:tr>
      <w:tr w:rsidR="006A4A35" w:rsidTr="007742C0">
        <w:trPr>
          <w:jc w:val="center"/>
        </w:trPr>
        <w:tc>
          <w:tcPr>
            <w:tcW w:w="6332" w:type="dxa"/>
            <w:gridSpan w:val="3"/>
            <w:tcBorders>
              <w:right w:val="single" w:sz="12" w:space="0" w:color="auto"/>
            </w:tcBorders>
            <w:shd w:val="pct12" w:color="auto" w:fill="auto"/>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železnice</w:t>
            </w:r>
          </w:p>
        </w:tc>
        <w:tc>
          <w:tcPr>
            <w:tcW w:w="1441" w:type="dxa"/>
            <w:tcBorders>
              <w:left w:val="single" w:sz="12" w:space="0" w:color="auto"/>
            </w:tcBorders>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0,84</w:t>
            </w:r>
          </w:p>
        </w:tc>
        <w:tc>
          <w:tcPr>
            <w:tcW w:w="1442" w:type="dxa"/>
            <w:vAlign w:val="center"/>
          </w:tcPr>
          <w:p w:rsidR="006A4A35" w:rsidRPr="007742C0" w:rsidRDefault="006A4A35" w:rsidP="007742C0">
            <w:pPr>
              <w:spacing w:before="100" w:beforeAutospacing="1" w:after="100" w:afterAutospacing="1"/>
              <w:rPr>
                <w:rFonts w:eastAsia="Arial Unicode MS"/>
                <w:sz w:val="18"/>
              </w:rPr>
            </w:pPr>
            <w:r w:rsidRPr="007742C0">
              <w:rPr>
                <w:rFonts w:eastAsia="Arial Unicode MS"/>
                <w:sz w:val="18"/>
              </w:rPr>
              <w:t>25,87</w:t>
            </w:r>
          </w:p>
        </w:tc>
      </w:tr>
      <w:tr w:rsidR="007742C0" w:rsidTr="007742C0">
        <w:trPr>
          <w:jc w:val="center"/>
        </w:trPr>
        <w:tc>
          <w:tcPr>
            <w:tcW w:w="9215" w:type="dxa"/>
            <w:gridSpan w:val="5"/>
            <w:tcBorders>
              <w:left w:val="nil"/>
              <w:bottom w:val="nil"/>
              <w:right w:val="nil"/>
            </w:tcBorders>
            <w:shd w:val="clear" w:color="auto" w:fill="FFFFFF" w:themeFill="background1"/>
          </w:tcPr>
          <w:p w:rsidR="007742C0" w:rsidRPr="007742C0" w:rsidRDefault="007742C0" w:rsidP="007742C0">
            <w:pPr>
              <w:spacing w:before="0" w:after="0" w:line="240" w:lineRule="auto"/>
              <w:rPr>
                <w:i/>
                <w:sz w:val="16"/>
              </w:rPr>
            </w:pPr>
            <w:r w:rsidRPr="007742C0">
              <w:rPr>
                <w:i/>
                <w:sz w:val="16"/>
              </w:rPr>
              <w:t>* kurz 30,8 Kč/EUR – průměrný kurz pro rok 2002 dle ČNB</w:t>
            </w:r>
          </w:p>
          <w:p w:rsidR="007742C0" w:rsidRPr="007742C0" w:rsidRDefault="007742C0" w:rsidP="007742C0">
            <w:pPr>
              <w:spacing w:before="0" w:after="0" w:line="240" w:lineRule="auto"/>
              <w:rPr>
                <w:i/>
                <w:sz w:val="16"/>
              </w:rPr>
            </w:pPr>
            <w:r w:rsidRPr="007742C0">
              <w:rPr>
                <w:i/>
                <w:sz w:val="16"/>
              </w:rPr>
              <w:t>Zdroj: HEATCO</w:t>
            </w:r>
          </w:p>
        </w:tc>
      </w:tr>
    </w:tbl>
    <w:p w:rsidR="006A4A35" w:rsidRPr="005E4F50" w:rsidRDefault="006A4A35" w:rsidP="006A4A35">
      <w:r w:rsidRPr="005E4F50">
        <w:t xml:space="preserve">Hodnoty z výše uvedené tabulky pak byly převedeny na CÚ </w:t>
      </w:r>
      <w:r w:rsidR="007B057F" w:rsidRPr="005E4F50">
        <w:t>201</w:t>
      </w:r>
      <w:r w:rsidR="007B057F">
        <w:t>3</w:t>
      </w:r>
      <w:r w:rsidR="007B057F" w:rsidRPr="005E4F50">
        <w:t xml:space="preserve"> </w:t>
      </w:r>
      <w:r w:rsidRPr="005E4F50">
        <w:t xml:space="preserve">pomocí koeficientu inflace dle průměrného růstu indexu spotřebitelských cen v letech 2003 - </w:t>
      </w:r>
      <w:r w:rsidR="007B057F" w:rsidRPr="005E4F50">
        <w:t>201</w:t>
      </w:r>
      <w:r w:rsidR="007B057F">
        <w:t>3</w:t>
      </w:r>
      <w:r w:rsidR="007B057F" w:rsidRPr="005E4F50">
        <w:t xml:space="preserve"> </w:t>
      </w:r>
      <w:r w:rsidRPr="005E4F50">
        <w:t xml:space="preserve">(2003 - 0,1 %, 2004 - 2,8 %, 2005 - 1,9 %, 2006 - 2,5 %, 2007 - 2,8 %, 2008 - 6,4 %, 2009 – 1,1 %, 2010 – 1,5 %, 2011 – </w:t>
      </w:r>
      <w:r>
        <w:t>1</w:t>
      </w:r>
      <w:r w:rsidRPr="005E4F50">
        <w:t>,</w:t>
      </w:r>
      <w:r>
        <w:t>9</w:t>
      </w:r>
      <w:r w:rsidRPr="005E4F50">
        <w:t xml:space="preserve"> %</w:t>
      </w:r>
      <w:r>
        <w:t>, 2012 – 3,</w:t>
      </w:r>
      <w:r w:rsidR="007B057F">
        <w:t xml:space="preserve">3 </w:t>
      </w:r>
      <w:r>
        <w:t>%</w:t>
      </w:r>
      <w:r w:rsidR="007B057F">
        <w:t>, 2013 – 2,1%</w:t>
      </w:r>
      <w:r w:rsidRPr="005E4F50">
        <w:t xml:space="preserve">). </w:t>
      </w:r>
      <w:r w:rsidR="0081136C">
        <w:t xml:space="preserve">Výpočet výsledné měrné hodnoty časových úspor osobní dopravy byl proveden pomocí váženého průměru, který bral do úvahy </w:t>
      </w:r>
      <w:r w:rsidR="0081136C" w:rsidRPr="0081136C">
        <w:t>5% pracovní doby a 95% nepracovní doby</w:t>
      </w:r>
      <w:r w:rsidR="0081136C">
        <w:t xml:space="preserve"> (poměr vychází z dřívějších analýz zpracovatele SP, dopravních modelů, srovnání v rámci ČR a Evropy, ale i konzultací v rámci schvalování jiných SP). </w:t>
      </w:r>
      <w:r>
        <w:t>Tento</w:t>
      </w:r>
      <w:r w:rsidRPr="005E4F50">
        <w:t xml:space="preserve"> postup byl použit při výpočtu </w:t>
      </w:r>
      <w:r>
        <w:t xml:space="preserve">časových úspor </w:t>
      </w:r>
      <w:r w:rsidR="001013AE">
        <w:t>osobní</w:t>
      </w:r>
      <w:r>
        <w:t xml:space="preserve"> dopravy.</w:t>
      </w:r>
      <w:r w:rsidRPr="005E4F50">
        <w:t xml:space="preserve"> Při výpočtech časových úspor bylo měrné ohodnocení zvyšováno do roku 2025 o 2,5 % z</w:t>
      </w:r>
      <w:r>
        <w:t> </w:t>
      </w:r>
      <w:r w:rsidRPr="005E4F50">
        <w:t xml:space="preserve">důvodu </w:t>
      </w:r>
      <w:r>
        <w:t xml:space="preserve">zohlednění </w:t>
      </w:r>
      <w:r w:rsidRPr="005E4F50">
        <w:t>růstu HDP a</w:t>
      </w:r>
      <w:r>
        <w:t> </w:t>
      </w:r>
      <w:r w:rsidRPr="005E4F50">
        <w:t>přibližování výše mezd zemím EU, v dalších letech jsou měrné příjmy konstantní.</w:t>
      </w:r>
    </w:p>
    <w:p w:rsidR="006A4A35" w:rsidRPr="005E4F50" w:rsidRDefault="006A4A35" w:rsidP="006A4A35">
      <w:r w:rsidRPr="005E4F50">
        <w:t>Úspory času jsou rozděleny na úspory ze zkrácení cestovních dob železniční dopravy variant s projektem oproti variantě bez projektu</w:t>
      </w:r>
      <w:r>
        <w:t xml:space="preserve"> a úspory ze zkrácení cestovních dob železniční dopravy oproti silniční dopravě převedením dopravy</w:t>
      </w:r>
      <w:r w:rsidRPr="005E4F50">
        <w:t>.</w:t>
      </w:r>
      <w:r>
        <w:t xml:space="preserve"> </w:t>
      </w:r>
      <w:r w:rsidR="001013AE">
        <w:t>V projektu je sledována také indukovaná doprava, jejíž vznik se s realizací projektu očekává. Její podíl na celkovém nárůstu železniční dopravy je 10%. Při výpočtu přínosů z indukované dopravy bylo v souladu s „</w:t>
      </w:r>
      <w:r w:rsidR="001013AE" w:rsidRPr="001013AE">
        <w:t>Průvodcem analýzou nákladů a přínosů investičních projektů</w:t>
      </w:r>
      <w:r w:rsidR="001013AE">
        <w:t xml:space="preserve"> </w:t>
      </w:r>
      <w:r w:rsidR="001013AE">
        <w:rPr>
          <w:lang w:val="sk-SK"/>
        </w:rPr>
        <w:t>(Strukturální fond – ERDF, Koh</w:t>
      </w:r>
      <w:r w:rsidR="005E6DEE">
        <w:rPr>
          <w:lang w:val="sk-SK"/>
        </w:rPr>
        <w:t>ezní</w:t>
      </w:r>
      <w:r w:rsidR="001013AE">
        <w:rPr>
          <w:lang w:val="sk-SK"/>
        </w:rPr>
        <w:t xml:space="preserve"> fond a ISPA)</w:t>
      </w:r>
      <w:r w:rsidR="001013AE">
        <w:t>“</w:t>
      </w:r>
      <w:r w:rsidR="001013AE">
        <w:rPr>
          <w:lang w:val="sk-SK"/>
        </w:rPr>
        <w:t xml:space="preserve"> </w:t>
      </w:r>
      <w:r w:rsidR="001013AE">
        <w:t xml:space="preserve">zahrnuto pravidlo jedné poloviny. </w:t>
      </w:r>
      <w:r>
        <w:t xml:space="preserve">Podrobněji se problematikou </w:t>
      </w:r>
      <w:r w:rsidR="001013AE">
        <w:t xml:space="preserve">převedené dopravy </w:t>
      </w:r>
      <w:r>
        <w:t>zabývá kapitola</w:t>
      </w:r>
      <w:r w:rsidR="00C61DE6">
        <w:t xml:space="preserve"> „</w:t>
      </w:r>
      <w:r w:rsidR="00AC5CDF">
        <w:fldChar w:fldCharType="begin"/>
      </w:r>
      <w:r w:rsidR="00C61DE6">
        <w:instrText xml:space="preserve"> REF _Ref323222044 \r \h </w:instrText>
      </w:r>
      <w:r w:rsidR="00AC5CDF">
        <w:fldChar w:fldCharType="separate"/>
      </w:r>
      <w:r w:rsidR="003843F3">
        <w:t>5.3.4</w:t>
      </w:r>
      <w:r w:rsidR="00AC5CDF">
        <w:fldChar w:fldCharType="end"/>
      </w:r>
      <w:r w:rsidR="00C61DE6">
        <w:t xml:space="preserve"> - </w:t>
      </w:r>
      <w:r w:rsidR="00AC5CDF">
        <w:fldChar w:fldCharType="begin"/>
      </w:r>
      <w:r w:rsidR="00C61DE6">
        <w:instrText xml:space="preserve"> REF _Ref323222044 \h </w:instrText>
      </w:r>
      <w:r w:rsidR="00AC5CDF">
        <w:fldChar w:fldCharType="separate"/>
      </w:r>
      <w:r w:rsidR="003843F3">
        <w:t xml:space="preserve">Převedená a indukovaná </w:t>
      </w:r>
      <w:r w:rsidR="00AC5CDF">
        <w:fldChar w:fldCharType="end"/>
      </w:r>
      <w:r w:rsidR="00C61DE6">
        <w:t>“</w:t>
      </w:r>
      <w:r>
        <w:t>.</w:t>
      </w:r>
    </w:p>
    <w:p w:rsidR="006A4A35" w:rsidRDefault="006A4A35" w:rsidP="006A4A35">
      <w:r w:rsidRPr="005E4F50">
        <w:t>Pro stanovení úspor jednotlivých cestovních dob byly vzaty v úvahu výhledové průměrné cestovní doby projektu a jejich porovnání s průměrnými cestovními dobami jednak na železnici ve variantě bez projektu a jednak na silnici v</w:t>
      </w:r>
      <w:r>
        <w:t> </w:t>
      </w:r>
      <w:r w:rsidR="00C61DE6">
        <w:t>osobní</w:t>
      </w:r>
      <w:r>
        <w:t xml:space="preserve"> </w:t>
      </w:r>
      <w:r w:rsidRPr="005E4F50">
        <w:t xml:space="preserve">automobilové </w:t>
      </w:r>
      <w:r w:rsidR="00C61DE6">
        <w:t xml:space="preserve">a autobusové </w:t>
      </w:r>
      <w:r w:rsidRPr="005E4F50">
        <w:t xml:space="preserve">dopravě. </w:t>
      </w:r>
    </w:p>
    <w:p w:rsidR="00C4629A" w:rsidRPr="005E4F50" w:rsidRDefault="00C4629A" w:rsidP="006A4A35">
      <w:r>
        <w:t xml:space="preserve">Jak již bylo uvedeno v úvodu kapitoly Ekonomická analýza, </w:t>
      </w:r>
      <w:r w:rsidR="009E270E" w:rsidRPr="00A72B8E">
        <w:t xml:space="preserve">varianta </w:t>
      </w:r>
      <w:r w:rsidRPr="00A72B8E">
        <w:t>Maximální</w:t>
      </w:r>
      <w:r w:rsidRPr="00C4629A">
        <w:t xml:space="preserve"> </w:t>
      </w:r>
      <w:r w:rsidR="009E270E" w:rsidRPr="00C4629A">
        <w:t>o</w:t>
      </w:r>
      <w:r w:rsidR="009E270E">
        <w:t>b</w:t>
      </w:r>
      <w:r w:rsidR="009E270E" w:rsidRPr="00C4629A">
        <w:t>sahuj</w:t>
      </w:r>
      <w:r w:rsidR="009E270E">
        <w:t>e</w:t>
      </w:r>
      <w:r w:rsidR="009E270E" w:rsidRPr="00C4629A">
        <w:t xml:space="preserve"> </w:t>
      </w:r>
      <w:r w:rsidRPr="00C4629A">
        <w:t xml:space="preserve">také časové úspory na straně cestujících z trati z Chrudimi </w:t>
      </w:r>
      <w:r>
        <w:t>z</w:t>
      </w:r>
      <w:r w:rsidRPr="00C4629A">
        <w:t>ohled</w:t>
      </w:r>
      <w:r>
        <w:t>ňující</w:t>
      </w:r>
      <w:r w:rsidRPr="00C4629A">
        <w:t xml:space="preserve"> snížení čekací doby v Pardubicích Rosicích v důsledku zdvojkolejnění </w:t>
      </w:r>
      <w:r>
        <w:t xml:space="preserve">řešeného úseku </w:t>
      </w:r>
      <w:r w:rsidRPr="00C4629A">
        <w:t>trati</w:t>
      </w:r>
      <w:r>
        <w:t>.</w:t>
      </w:r>
    </w:p>
    <w:p w:rsidR="006A4A35" w:rsidRDefault="006A4A35" w:rsidP="009E3917">
      <w:r w:rsidRPr="005E4F50">
        <w:t>Jednotlivé hodnoty úspor se budou postupně měnit v závislosti na objemech dopravy a změně jízdních dob. Podrobné vyčíslení těchto úspor v letech hodnocení je</w:t>
      </w:r>
      <w:r>
        <w:t xml:space="preserve"> uvedeno v následující tabulce. </w:t>
      </w:r>
      <w:r w:rsidR="00086835">
        <w:t>Ve variantě minimální k úspoře času nedochází (ani převedením dopravy, ani zkrácením jízdních dob).</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3"/>
        <w:gridCol w:w="1411"/>
        <w:gridCol w:w="1411"/>
        <w:gridCol w:w="1411"/>
        <w:gridCol w:w="1411"/>
        <w:gridCol w:w="1411"/>
        <w:gridCol w:w="1412"/>
      </w:tblGrid>
      <w:tr w:rsidR="00800989" w:rsidTr="007742C0">
        <w:trPr>
          <w:cantSplit/>
          <w:jc w:val="center"/>
        </w:trPr>
        <w:tc>
          <w:tcPr>
            <w:tcW w:w="9370" w:type="dxa"/>
            <w:gridSpan w:val="7"/>
            <w:tcBorders>
              <w:bottom w:val="single" w:sz="4" w:space="0" w:color="000000"/>
            </w:tcBorders>
          </w:tcPr>
          <w:p w:rsidR="006819BA" w:rsidRDefault="00800989" w:rsidP="007742C0">
            <w:pPr>
              <w:pStyle w:val="Titulek"/>
            </w:pPr>
            <w:bookmarkStart w:id="330" w:name="_Toc316377689"/>
            <w:bookmarkStart w:id="331" w:name="_Toc390958793"/>
            <w:bookmarkStart w:id="332" w:name="_Toc391034597"/>
            <w:r w:rsidRPr="00086835">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17</w:t>
            </w:r>
            <w:r w:rsidR="000E79AE">
              <w:fldChar w:fldCharType="end"/>
            </w:r>
            <w:r w:rsidRPr="00086835">
              <w:t>: Přínosy z úspory času v tis. Kč (CÚ 201</w:t>
            </w:r>
            <w:r w:rsidR="007B057F">
              <w:t>3</w:t>
            </w:r>
            <w:r w:rsidRPr="00086835">
              <w:t>)</w:t>
            </w:r>
            <w:bookmarkEnd w:id="330"/>
            <w:bookmarkEnd w:id="331"/>
            <w:bookmarkEnd w:id="332"/>
          </w:p>
        </w:tc>
      </w:tr>
      <w:tr w:rsidR="007742C0" w:rsidTr="007A3D48">
        <w:trPr>
          <w:cantSplit/>
          <w:jc w:val="center"/>
        </w:trPr>
        <w:tc>
          <w:tcPr>
            <w:tcW w:w="903" w:type="dxa"/>
            <w:vMerge w:val="restart"/>
            <w:shd w:val="pct12" w:color="auto" w:fill="auto"/>
            <w:vAlign w:val="center"/>
          </w:tcPr>
          <w:p w:rsidR="007742C0" w:rsidRPr="007742C0" w:rsidRDefault="007742C0" w:rsidP="007742C0">
            <w:pPr>
              <w:spacing w:before="0" w:after="0" w:line="264" w:lineRule="auto"/>
              <w:jc w:val="left"/>
              <w:rPr>
                <w:rFonts w:eastAsia="Arial Unicode MS"/>
                <w:b/>
                <w:sz w:val="18"/>
                <w:szCs w:val="18"/>
              </w:rPr>
            </w:pPr>
            <w:r w:rsidRPr="007742C0">
              <w:rPr>
                <w:rFonts w:eastAsia="Arial Unicode MS"/>
                <w:b/>
                <w:sz w:val="18"/>
                <w:szCs w:val="18"/>
              </w:rPr>
              <w:t>rok</w:t>
            </w:r>
          </w:p>
        </w:tc>
        <w:tc>
          <w:tcPr>
            <w:tcW w:w="4233" w:type="dxa"/>
            <w:gridSpan w:val="3"/>
            <w:shd w:val="pct12" w:color="auto" w:fill="auto"/>
            <w:vAlign w:val="center"/>
          </w:tcPr>
          <w:p w:rsidR="007742C0" w:rsidRPr="007742C0" w:rsidRDefault="007742C0" w:rsidP="007742C0">
            <w:pPr>
              <w:spacing w:before="0" w:after="0" w:line="264" w:lineRule="auto"/>
              <w:jc w:val="center"/>
              <w:rPr>
                <w:rFonts w:eastAsia="Arial Unicode MS"/>
                <w:b/>
                <w:sz w:val="18"/>
                <w:szCs w:val="18"/>
              </w:rPr>
            </w:pPr>
            <w:r w:rsidRPr="007742C0">
              <w:rPr>
                <w:rFonts w:eastAsia="Arial Unicode MS"/>
                <w:b/>
                <w:sz w:val="18"/>
                <w:szCs w:val="18"/>
              </w:rPr>
              <w:t>Etapa</w:t>
            </w:r>
          </w:p>
        </w:tc>
        <w:tc>
          <w:tcPr>
            <w:tcW w:w="4234" w:type="dxa"/>
            <w:gridSpan w:val="3"/>
            <w:shd w:val="pct12" w:color="auto" w:fill="auto"/>
            <w:vAlign w:val="center"/>
          </w:tcPr>
          <w:p w:rsidR="007742C0" w:rsidRPr="007742C0" w:rsidRDefault="007742C0" w:rsidP="007742C0">
            <w:pPr>
              <w:spacing w:before="0" w:after="0" w:line="264" w:lineRule="auto"/>
              <w:jc w:val="center"/>
              <w:rPr>
                <w:rFonts w:eastAsia="Arial Unicode MS"/>
                <w:b/>
                <w:sz w:val="18"/>
                <w:szCs w:val="18"/>
              </w:rPr>
            </w:pPr>
            <w:r w:rsidRPr="007742C0">
              <w:rPr>
                <w:rFonts w:eastAsia="Arial Unicode MS"/>
                <w:b/>
                <w:sz w:val="18"/>
                <w:szCs w:val="18"/>
              </w:rPr>
              <w:t>varianta Maximální</w:t>
            </w:r>
          </w:p>
        </w:tc>
      </w:tr>
      <w:tr w:rsidR="007742C0" w:rsidTr="007A3D48">
        <w:trPr>
          <w:cantSplit/>
          <w:jc w:val="center"/>
        </w:trPr>
        <w:tc>
          <w:tcPr>
            <w:tcW w:w="903" w:type="dxa"/>
            <w:vMerge/>
            <w:tcBorders>
              <w:bottom w:val="single" w:sz="12" w:space="0" w:color="auto"/>
            </w:tcBorders>
            <w:shd w:val="pct12" w:color="auto" w:fill="auto"/>
            <w:vAlign w:val="center"/>
          </w:tcPr>
          <w:p w:rsidR="007742C0" w:rsidRPr="007742C0" w:rsidRDefault="007742C0" w:rsidP="007742C0">
            <w:pPr>
              <w:spacing w:before="0" w:after="0" w:line="264" w:lineRule="auto"/>
              <w:jc w:val="center"/>
              <w:rPr>
                <w:rFonts w:eastAsia="Arial Unicode MS"/>
                <w:b/>
                <w:sz w:val="18"/>
                <w:szCs w:val="18"/>
              </w:rPr>
            </w:pPr>
          </w:p>
        </w:tc>
        <w:tc>
          <w:tcPr>
            <w:tcW w:w="1411" w:type="dxa"/>
            <w:tcBorders>
              <w:bottom w:val="single" w:sz="12" w:space="0" w:color="auto"/>
            </w:tcBorders>
            <w:shd w:val="pct12" w:color="auto" w:fill="auto"/>
            <w:vAlign w:val="center"/>
          </w:tcPr>
          <w:p w:rsidR="007742C0" w:rsidRPr="007742C0" w:rsidRDefault="007742C0" w:rsidP="007A3D48">
            <w:pPr>
              <w:spacing w:before="0" w:after="0" w:line="264" w:lineRule="auto"/>
              <w:jc w:val="center"/>
              <w:rPr>
                <w:rFonts w:eastAsia="Arial Unicode MS"/>
                <w:b/>
                <w:sz w:val="18"/>
                <w:szCs w:val="18"/>
              </w:rPr>
            </w:pPr>
            <w:r w:rsidRPr="007742C0">
              <w:rPr>
                <w:rFonts w:eastAsia="Arial Unicode MS"/>
                <w:b/>
                <w:sz w:val="18"/>
                <w:szCs w:val="18"/>
              </w:rPr>
              <w:t>žel. doprava</w:t>
            </w:r>
          </w:p>
        </w:tc>
        <w:tc>
          <w:tcPr>
            <w:tcW w:w="1411" w:type="dxa"/>
            <w:tcBorders>
              <w:bottom w:val="single" w:sz="12" w:space="0" w:color="auto"/>
            </w:tcBorders>
            <w:shd w:val="pct12" w:color="auto" w:fill="auto"/>
            <w:vAlign w:val="center"/>
          </w:tcPr>
          <w:p w:rsidR="007742C0" w:rsidRPr="007742C0" w:rsidRDefault="007742C0" w:rsidP="007A3D48">
            <w:pPr>
              <w:spacing w:before="0" w:after="0" w:line="264" w:lineRule="auto"/>
              <w:jc w:val="center"/>
              <w:rPr>
                <w:rFonts w:eastAsia="Arial Unicode MS"/>
                <w:b/>
                <w:sz w:val="18"/>
                <w:szCs w:val="18"/>
              </w:rPr>
            </w:pPr>
            <w:r w:rsidRPr="007742C0">
              <w:rPr>
                <w:rFonts w:eastAsia="Arial Unicode MS"/>
                <w:b/>
                <w:sz w:val="18"/>
                <w:szCs w:val="18"/>
              </w:rPr>
              <w:t>induk. doprava</w:t>
            </w:r>
          </w:p>
        </w:tc>
        <w:tc>
          <w:tcPr>
            <w:tcW w:w="1411" w:type="dxa"/>
            <w:tcBorders>
              <w:bottom w:val="single" w:sz="12" w:space="0" w:color="auto"/>
            </w:tcBorders>
            <w:shd w:val="pct12" w:color="auto" w:fill="auto"/>
            <w:vAlign w:val="center"/>
          </w:tcPr>
          <w:p w:rsidR="007742C0" w:rsidRPr="007742C0" w:rsidRDefault="007742C0" w:rsidP="007A3D48">
            <w:pPr>
              <w:spacing w:before="0" w:after="0" w:line="264" w:lineRule="auto"/>
              <w:jc w:val="center"/>
              <w:rPr>
                <w:rFonts w:eastAsia="Arial Unicode MS"/>
                <w:b/>
                <w:sz w:val="18"/>
                <w:szCs w:val="18"/>
              </w:rPr>
            </w:pPr>
            <w:r w:rsidRPr="007742C0">
              <w:rPr>
                <w:rFonts w:eastAsia="Arial Unicode MS"/>
                <w:b/>
                <w:sz w:val="18"/>
                <w:szCs w:val="18"/>
              </w:rPr>
              <w:t>přev. doprava</w:t>
            </w:r>
          </w:p>
        </w:tc>
        <w:tc>
          <w:tcPr>
            <w:tcW w:w="1411" w:type="dxa"/>
            <w:tcBorders>
              <w:bottom w:val="single" w:sz="12" w:space="0" w:color="auto"/>
            </w:tcBorders>
            <w:shd w:val="pct12" w:color="auto" w:fill="auto"/>
            <w:vAlign w:val="center"/>
          </w:tcPr>
          <w:p w:rsidR="007742C0" w:rsidRPr="007742C0" w:rsidRDefault="007742C0" w:rsidP="007A3D48">
            <w:pPr>
              <w:spacing w:before="0" w:after="0" w:line="264" w:lineRule="auto"/>
              <w:jc w:val="center"/>
              <w:rPr>
                <w:rFonts w:eastAsia="Arial Unicode MS"/>
                <w:b/>
                <w:sz w:val="18"/>
                <w:szCs w:val="18"/>
              </w:rPr>
            </w:pPr>
            <w:r w:rsidRPr="007742C0">
              <w:rPr>
                <w:rFonts w:eastAsia="Arial Unicode MS"/>
                <w:b/>
                <w:sz w:val="18"/>
                <w:szCs w:val="18"/>
              </w:rPr>
              <w:t>žel. doprava</w:t>
            </w:r>
          </w:p>
        </w:tc>
        <w:tc>
          <w:tcPr>
            <w:tcW w:w="1411" w:type="dxa"/>
            <w:tcBorders>
              <w:bottom w:val="single" w:sz="12" w:space="0" w:color="auto"/>
            </w:tcBorders>
            <w:shd w:val="pct12" w:color="auto" w:fill="auto"/>
            <w:vAlign w:val="center"/>
          </w:tcPr>
          <w:p w:rsidR="007742C0" w:rsidRPr="007742C0" w:rsidRDefault="007742C0" w:rsidP="007A3D48">
            <w:pPr>
              <w:spacing w:before="0" w:after="0" w:line="264" w:lineRule="auto"/>
              <w:jc w:val="center"/>
              <w:rPr>
                <w:rFonts w:eastAsia="Arial Unicode MS"/>
                <w:b/>
                <w:sz w:val="18"/>
                <w:szCs w:val="18"/>
              </w:rPr>
            </w:pPr>
            <w:r w:rsidRPr="007742C0">
              <w:rPr>
                <w:rFonts w:eastAsia="Arial Unicode MS"/>
                <w:b/>
                <w:sz w:val="18"/>
                <w:szCs w:val="18"/>
              </w:rPr>
              <w:t>induk. doprava</w:t>
            </w:r>
          </w:p>
        </w:tc>
        <w:tc>
          <w:tcPr>
            <w:tcW w:w="1412" w:type="dxa"/>
            <w:tcBorders>
              <w:bottom w:val="single" w:sz="12" w:space="0" w:color="auto"/>
            </w:tcBorders>
            <w:shd w:val="pct12" w:color="auto" w:fill="auto"/>
            <w:vAlign w:val="center"/>
          </w:tcPr>
          <w:p w:rsidR="007742C0" w:rsidRPr="007742C0" w:rsidRDefault="007742C0" w:rsidP="007A3D48">
            <w:pPr>
              <w:spacing w:before="0" w:after="0" w:line="264" w:lineRule="auto"/>
              <w:jc w:val="center"/>
              <w:rPr>
                <w:rFonts w:eastAsia="Arial Unicode MS"/>
                <w:b/>
                <w:sz w:val="18"/>
                <w:szCs w:val="18"/>
              </w:rPr>
            </w:pPr>
            <w:r w:rsidRPr="007742C0">
              <w:rPr>
                <w:rFonts w:eastAsia="Arial Unicode MS"/>
                <w:b/>
                <w:sz w:val="18"/>
                <w:szCs w:val="18"/>
              </w:rPr>
              <w:t>přev. doprava</w:t>
            </w:r>
          </w:p>
        </w:tc>
      </w:tr>
      <w:tr w:rsidR="007742C0" w:rsidTr="007A3D48">
        <w:trPr>
          <w:cantSplit/>
          <w:jc w:val="center"/>
        </w:trPr>
        <w:tc>
          <w:tcPr>
            <w:tcW w:w="903" w:type="dxa"/>
            <w:tcBorders>
              <w:top w:val="single" w:sz="12" w:space="0" w:color="auto"/>
            </w:tcBorders>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2016</w:t>
            </w:r>
          </w:p>
        </w:tc>
        <w:tc>
          <w:tcPr>
            <w:tcW w:w="1411" w:type="dxa"/>
            <w:tcBorders>
              <w:top w:val="single" w:sz="12" w:space="0" w:color="auto"/>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43 828</w:t>
            </w:r>
          </w:p>
        </w:tc>
        <w:tc>
          <w:tcPr>
            <w:tcW w:w="1411" w:type="dxa"/>
            <w:tcBorders>
              <w:top w:val="single" w:sz="12" w:space="0" w:color="auto"/>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2 507</w:t>
            </w:r>
          </w:p>
        </w:tc>
        <w:tc>
          <w:tcPr>
            <w:tcW w:w="1411" w:type="dxa"/>
            <w:tcBorders>
              <w:top w:val="single" w:sz="12" w:space="0" w:color="auto"/>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16 387</w:t>
            </w:r>
          </w:p>
        </w:tc>
        <w:tc>
          <w:tcPr>
            <w:tcW w:w="1411" w:type="dxa"/>
            <w:tcBorders>
              <w:top w:val="single" w:sz="12" w:space="0" w:color="auto"/>
            </w:tcBorders>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43 828</w:t>
            </w:r>
          </w:p>
        </w:tc>
        <w:tc>
          <w:tcPr>
            <w:tcW w:w="1411" w:type="dxa"/>
            <w:tcBorders>
              <w:top w:val="single" w:sz="12" w:space="0" w:color="auto"/>
            </w:tcBorders>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2 149</w:t>
            </w:r>
          </w:p>
        </w:tc>
        <w:tc>
          <w:tcPr>
            <w:tcW w:w="1412" w:type="dxa"/>
            <w:tcBorders>
              <w:top w:val="single" w:sz="12" w:space="0" w:color="auto"/>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18 244</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2017</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45 117</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2 581</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16 869</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45 117</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2 212</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18 781</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2018</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46 444</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2 657</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17 365</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46 444</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2 277</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19 333</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2019</w:t>
            </w:r>
          </w:p>
        </w:tc>
        <w:tc>
          <w:tcPr>
            <w:tcW w:w="1411" w:type="dxa"/>
            <w:tcBorders>
              <w:bottom w:val="single" w:sz="4" w:space="0" w:color="000000"/>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47 809</w:t>
            </w:r>
          </w:p>
        </w:tc>
        <w:tc>
          <w:tcPr>
            <w:tcW w:w="1411" w:type="dxa"/>
            <w:tcBorders>
              <w:bottom w:val="single" w:sz="4" w:space="0" w:color="000000"/>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2 735</w:t>
            </w:r>
          </w:p>
        </w:tc>
        <w:tc>
          <w:tcPr>
            <w:tcW w:w="1411" w:type="dxa"/>
            <w:tcBorders>
              <w:bottom w:val="single" w:sz="4" w:space="0" w:color="000000"/>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17 875</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47 809</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2 344</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19 901</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2020</w:t>
            </w:r>
          </w:p>
        </w:tc>
        <w:tc>
          <w:tcPr>
            <w:tcW w:w="1411" w:type="dxa"/>
            <w:tcBorders>
              <w:bottom w:val="single" w:sz="4" w:space="0" w:color="000000"/>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49 214</w:t>
            </w:r>
          </w:p>
        </w:tc>
        <w:tc>
          <w:tcPr>
            <w:tcW w:w="1411" w:type="dxa"/>
            <w:tcBorders>
              <w:bottom w:val="single" w:sz="4" w:space="0" w:color="000000"/>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2 815</w:t>
            </w:r>
          </w:p>
        </w:tc>
        <w:tc>
          <w:tcPr>
            <w:tcW w:w="1411" w:type="dxa"/>
            <w:tcBorders>
              <w:bottom w:val="single" w:sz="4" w:space="0" w:color="000000"/>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18 400</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89 753</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2 766</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27 571</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2021</w:t>
            </w:r>
          </w:p>
        </w:tc>
        <w:tc>
          <w:tcPr>
            <w:tcW w:w="1411" w:type="dxa"/>
            <w:tcBorders>
              <w:bottom w:val="single" w:sz="4" w:space="0" w:color="000000"/>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50 659</w:t>
            </w:r>
          </w:p>
        </w:tc>
        <w:tc>
          <w:tcPr>
            <w:tcW w:w="1411" w:type="dxa"/>
            <w:tcBorders>
              <w:bottom w:val="single" w:sz="4" w:space="0" w:color="000000"/>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2 898</w:t>
            </w:r>
          </w:p>
        </w:tc>
        <w:tc>
          <w:tcPr>
            <w:tcW w:w="1411" w:type="dxa"/>
            <w:tcBorders>
              <w:bottom w:val="single" w:sz="4" w:space="0" w:color="000000"/>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18 941</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92 389</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2 848</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28 380</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2022</w:t>
            </w:r>
          </w:p>
        </w:tc>
        <w:tc>
          <w:tcPr>
            <w:tcW w:w="1411" w:type="dxa"/>
            <w:tcBorders>
              <w:bottom w:val="single" w:sz="4" w:space="0" w:color="000000"/>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52 147</w:t>
            </w:r>
          </w:p>
        </w:tc>
        <w:tc>
          <w:tcPr>
            <w:tcW w:w="1411" w:type="dxa"/>
            <w:tcBorders>
              <w:bottom w:val="single" w:sz="4" w:space="0" w:color="000000"/>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2 983</w:t>
            </w:r>
          </w:p>
        </w:tc>
        <w:tc>
          <w:tcPr>
            <w:tcW w:w="1411" w:type="dxa"/>
            <w:tcBorders>
              <w:bottom w:val="single" w:sz="4" w:space="0" w:color="000000"/>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19 497</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110 797</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3 332</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36 476</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2023</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53 677</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3 070</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20 069</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114 049</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3 430</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37 546</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2024</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55 252</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3 160</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20 658</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117 395</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3 531</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38 648</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2025</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56 873</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3 253</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21 264</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120 839</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3 634</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39 782</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2026</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57 008</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3 261</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21 314</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121 126</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3 643</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39 876</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2027</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57 143</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3 269</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21 365</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121 414</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3 651</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39 971</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2028</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57 279</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3 276</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21 416</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121 702</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3 660</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40 066</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2029</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57 415</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3 284</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21 466</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121 990</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3 669</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40 161</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2030</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57 550</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3 292</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21 517</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122 279</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3 677</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40 256</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2031</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57 602</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3 295</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21 537</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122 389</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3 681</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40 292</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2032</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57 654</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3 298</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21 556</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122 499</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3 684</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40 328</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2033</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57 706</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3 301</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21 575</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122 608</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3 687</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40 364</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2034</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57 674</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3 299</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21 563</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122 541</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3 685</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40 342</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2035</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57 642</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3 297</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21 552</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122 474</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3 683</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40 320</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2036</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57 621</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3 296</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21 544</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122 429</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3 682</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40 305</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2037</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57 600</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3 295</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21 536</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122 384</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3 681</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40 290</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2038</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57 579</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3 293</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21 528</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122 339</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3 679</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40 275</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2039</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57 558</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3 292</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21 520</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122 294</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3 678</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40 261</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2040</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57 537</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3 291</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21 512</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122 249</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3 677</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40 246</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2041</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57 484</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3 288</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21 492</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122 137</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3 673</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40 209</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2042</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57 431</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3 285</w:t>
            </w:r>
          </w:p>
        </w:tc>
        <w:tc>
          <w:tcPr>
            <w:tcW w:w="1411"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21 473</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122 025</w:t>
            </w:r>
          </w:p>
        </w:tc>
        <w:tc>
          <w:tcPr>
            <w:tcW w:w="1411" w:type="dxa"/>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3 670</w:t>
            </w:r>
          </w:p>
        </w:tc>
        <w:tc>
          <w:tcPr>
            <w:tcW w:w="1412" w:type="dxa"/>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40 172</w:t>
            </w:r>
          </w:p>
        </w:tc>
      </w:tr>
      <w:tr w:rsidR="007742C0" w:rsidTr="007A3D48">
        <w:trPr>
          <w:cantSplit/>
          <w:jc w:val="center"/>
        </w:trPr>
        <w:tc>
          <w:tcPr>
            <w:tcW w:w="903" w:type="dxa"/>
            <w:shd w:val="pct12" w:color="auto" w:fill="auto"/>
          </w:tcPr>
          <w:p w:rsidR="007742C0" w:rsidRPr="007742C0" w:rsidRDefault="007742C0" w:rsidP="007742C0">
            <w:pPr>
              <w:spacing w:before="0" w:after="0" w:line="264" w:lineRule="auto"/>
              <w:rPr>
                <w:rFonts w:eastAsia="Arial Unicode MS"/>
                <w:sz w:val="18"/>
                <w:szCs w:val="18"/>
              </w:rPr>
            </w:pPr>
            <w:r w:rsidRPr="007742C0">
              <w:rPr>
                <w:rFonts w:eastAsia="Arial Unicode MS"/>
                <w:sz w:val="18"/>
                <w:szCs w:val="18"/>
              </w:rPr>
              <w:t>2043</w:t>
            </w:r>
          </w:p>
        </w:tc>
        <w:tc>
          <w:tcPr>
            <w:tcW w:w="1411" w:type="dxa"/>
            <w:tcBorders>
              <w:bottom w:val="single" w:sz="4" w:space="0" w:color="000000"/>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57 378</w:t>
            </w:r>
          </w:p>
        </w:tc>
        <w:tc>
          <w:tcPr>
            <w:tcW w:w="1411" w:type="dxa"/>
            <w:tcBorders>
              <w:bottom w:val="single" w:sz="4" w:space="0" w:color="000000"/>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3 282</w:t>
            </w:r>
          </w:p>
        </w:tc>
        <w:tc>
          <w:tcPr>
            <w:tcW w:w="1411" w:type="dxa"/>
            <w:tcBorders>
              <w:bottom w:val="single" w:sz="4" w:space="0" w:color="000000"/>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21 453</w:t>
            </w:r>
          </w:p>
        </w:tc>
        <w:tc>
          <w:tcPr>
            <w:tcW w:w="1411" w:type="dxa"/>
            <w:tcBorders>
              <w:bottom w:val="single" w:sz="4" w:space="0" w:color="000000"/>
            </w:tcBorders>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121 913</w:t>
            </w:r>
          </w:p>
        </w:tc>
        <w:tc>
          <w:tcPr>
            <w:tcW w:w="1411" w:type="dxa"/>
            <w:tcBorders>
              <w:bottom w:val="single" w:sz="4" w:space="0" w:color="000000"/>
            </w:tcBorders>
            <w:shd w:val="clear" w:color="auto" w:fill="auto"/>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3 666</w:t>
            </w:r>
          </w:p>
        </w:tc>
        <w:tc>
          <w:tcPr>
            <w:tcW w:w="1412" w:type="dxa"/>
            <w:tcBorders>
              <w:bottom w:val="single" w:sz="4" w:space="0" w:color="000000"/>
            </w:tcBorders>
            <w:vAlign w:val="center"/>
          </w:tcPr>
          <w:p w:rsidR="007742C0" w:rsidRPr="007742C0" w:rsidRDefault="007742C0" w:rsidP="007742C0">
            <w:pPr>
              <w:spacing w:before="0" w:after="0" w:line="264" w:lineRule="auto"/>
              <w:ind w:right="152"/>
              <w:jc w:val="right"/>
              <w:rPr>
                <w:rFonts w:eastAsia="Arial Unicode MS"/>
                <w:sz w:val="18"/>
                <w:szCs w:val="18"/>
              </w:rPr>
            </w:pPr>
            <w:r w:rsidRPr="007742C0">
              <w:rPr>
                <w:rFonts w:eastAsia="Arial Unicode MS"/>
                <w:sz w:val="18"/>
                <w:szCs w:val="18"/>
              </w:rPr>
              <w:t>40 135</w:t>
            </w:r>
          </w:p>
        </w:tc>
      </w:tr>
    </w:tbl>
    <w:p w:rsidR="00086835" w:rsidRPr="009E3917" w:rsidRDefault="00086835" w:rsidP="009E3917"/>
    <w:p w:rsidR="007A3D48" w:rsidRDefault="007A3D48">
      <w:pPr>
        <w:suppressAutoHyphens w:val="0"/>
        <w:spacing w:before="0" w:after="0" w:line="240" w:lineRule="auto"/>
        <w:jc w:val="left"/>
        <w:rPr>
          <w:b/>
          <w:bCs/>
          <w:sz w:val="24"/>
        </w:rPr>
      </w:pPr>
      <w:r>
        <w:br w:type="page"/>
      </w:r>
    </w:p>
    <w:p w:rsidR="00225B27" w:rsidRDefault="00225B27" w:rsidP="000D62F1">
      <w:pPr>
        <w:pStyle w:val="Nadpis3"/>
        <w:ind w:hanging="8234"/>
      </w:pPr>
      <w:r>
        <w:t>Vnější náklady</w:t>
      </w:r>
    </w:p>
    <w:p w:rsidR="00C40C5D" w:rsidRDefault="00C40C5D" w:rsidP="00C40C5D">
      <w:r>
        <w:t xml:space="preserve">V ekonomickém hodnocení je zohledněn dopad realizace projektu na náklady související s vedlejšími negativními účinky dopravy. </w:t>
      </w:r>
    </w:p>
    <w:p w:rsidR="00C40C5D" w:rsidRDefault="00A26538" w:rsidP="00C40C5D">
      <w:r>
        <w:t>Tyto účinky zahrnují</w:t>
      </w:r>
      <w:r w:rsidR="00C40C5D">
        <w:t xml:space="preserve">: </w:t>
      </w:r>
      <w:r w:rsidR="00C40C5D">
        <w:tab/>
      </w:r>
    </w:p>
    <w:p w:rsidR="00631EAB" w:rsidRDefault="00C40C5D" w:rsidP="00D20948">
      <w:pPr>
        <w:pStyle w:val="Odstavecseseznamem"/>
        <w:numPr>
          <w:ilvl w:val="0"/>
          <w:numId w:val="16"/>
        </w:numPr>
        <w:contextualSpacing/>
      </w:pPr>
      <w:r>
        <w:t>nehodovost v dopravě,</w:t>
      </w:r>
    </w:p>
    <w:p w:rsidR="00631EAB" w:rsidRDefault="00C40C5D" w:rsidP="00D20948">
      <w:pPr>
        <w:pStyle w:val="Odstavecseseznamem"/>
        <w:numPr>
          <w:ilvl w:val="0"/>
          <w:numId w:val="16"/>
        </w:numPr>
        <w:contextualSpacing/>
      </w:pPr>
      <w:r>
        <w:t>hlučnost z dopravy,</w:t>
      </w:r>
    </w:p>
    <w:p w:rsidR="00631EAB" w:rsidRDefault="00C40C5D" w:rsidP="00D20948">
      <w:pPr>
        <w:pStyle w:val="Odstavecseseznamem"/>
        <w:numPr>
          <w:ilvl w:val="0"/>
          <w:numId w:val="16"/>
        </w:numPr>
        <w:contextualSpacing/>
      </w:pPr>
      <w:r>
        <w:t>emise z dopravy,</w:t>
      </w:r>
    </w:p>
    <w:p w:rsidR="00631EAB" w:rsidRDefault="00C40C5D" w:rsidP="00D20948">
      <w:pPr>
        <w:pStyle w:val="Odstavecseseznamem"/>
        <w:numPr>
          <w:ilvl w:val="0"/>
          <w:numId w:val="16"/>
        </w:numPr>
        <w:contextualSpacing/>
      </w:pPr>
      <w:r>
        <w:t>změny klimatu.</w:t>
      </w:r>
    </w:p>
    <w:p w:rsidR="00C40C5D" w:rsidRDefault="00C40C5D" w:rsidP="00C40C5D">
      <w:r>
        <w:t xml:space="preserve">Ve výpočtu je zahrnuto porovnání varianty bez projektu s projektovými variantami a rovněž je zohledněna „převedená doprava“. Jak již bylo dříve popsáno, </w:t>
      </w:r>
      <w:r w:rsidRPr="00E8514F">
        <w:rPr>
          <w:u w:val="single"/>
        </w:rPr>
        <w:t>dojde k p</w:t>
      </w:r>
      <w:r w:rsidRPr="00E8514F">
        <w:rPr>
          <w:rFonts w:hint="eastAsia"/>
          <w:u w:val="single"/>
        </w:rPr>
        <w:t>ř</w:t>
      </w:r>
      <w:r w:rsidRPr="00E8514F">
        <w:rPr>
          <w:u w:val="single"/>
        </w:rPr>
        <w:t xml:space="preserve">evedení dopravy pouze u </w:t>
      </w:r>
      <w:r w:rsidR="00DA6F09">
        <w:rPr>
          <w:u w:val="single"/>
        </w:rPr>
        <w:t>osobní</w:t>
      </w:r>
      <w:r w:rsidRPr="00E8514F">
        <w:rPr>
          <w:u w:val="single"/>
        </w:rPr>
        <w:t xml:space="preserve"> dopravy a to ze </w:t>
      </w:r>
      <w:r w:rsidR="00DA6F09">
        <w:rPr>
          <w:u w:val="single"/>
        </w:rPr>
        <w:t>silnice</w:t>
      </w:r>
      <w:r w:rsidRPr="00E8514F">
        <w:rPr>
          <w:u w:val="single"/>
        </w:rPr>
        <w:t xml:space="preserve"> na </w:t>
      </w:r>
      <w:r w:rsidR="00DA6F09">
        <w:rPr>
          <w:u w:val="single"/>
        </w:rPr>
        <w:t>železnici</w:t>
      </w:r>
      <w:r w:rsidRPr="00E8514F">
        <w:rPr>
          <w:u w:val="single"/>
        </w:rPr>
        <w:t>.</w:t>
      </w:r>
      <w:r>
        <w:t xml:space="preserve"> </w:t>
      </w:r>
    </w:p>
    <w:p w:rsidR="00C40C5D" w:rsidRDefault="00C40C5D" w:rsidP="00C40C5D">
      <w:r>
        <w:t>Poměrné náklady a vyvolané vnější náklady v silniční dopravě, jsou převzaté z materiálu „Průvodce analýzou nákladů a výnosů investičních projektů“ pro Strukturální fond – ERDF, Kohezní fond a ISPA z roku 2004 (viz následující tabulka).</w:t>
      </w:r>
    </w:p>
    <w:tbl>
      <w:tblPr>
        <w:tblW w:w="9342" w:type="dxa"/>
        <w:jc w:val="center"/>
        <w:tblInd w:w="-20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5"/>
        <w:gridCol w:w="1472"/>
        <w:gridCol w:w="1472"/>
        <w:gridCol w:w="1472"/>
        <w:gridCol w:w="1491"/>
      </w:tblGrid>
      <w:tr w:rsidR="00A94109" w:rsidTr="007E6A13">
        <w:trPr>
          <w:jc w:val="center"/>
        </w:trPr>
        <w:tc>
          <w:tcPr>
            <w:tcW w:w="9342" w:type="dxa"/>
            <w:gridSpan w:val="5"/>
            <w:tcBorders>
              <w:bottom w:val="single" w:sz="4" w:space="0" w:color="000000"/>
            </w:tcBorders>
          </w:tcPr>
          <w:p w:rsidR="00A94109" w:rsidRPr="00A94109" w:rsidRDefault="00A94109" w:rsidP="007E6A13">
            <w:pPr>
              <w:pStyle w:val="Titulek"/>
              <w:rPr>
                <w:rFonts w:eastAsia="Arial Unicode MS"/>
                <w:color w:val="FF0000"/>
              </w:rPr>
            </w:pPr>
            <w:bookmarkStart w:id="333" w:name="_Toc316377690"/>
            <w:bookmarkStart w:id="334" w:name="_Toc390958794"/>
            <w:bookmarkStart w:id="335" w:name="_Toc391034598"/>
            <w:r w:rsidRPr="00A94109">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18</w:t>
            </w:r>
            <w:r w:rsidR="000E79AE">
              <w:fldChar w:fldCharType="end"/>
            </w:r>
            <w:r w:rsidRPr="00A94109">
              <w:t>: Odhad průměrných vnějších nákladů na dopravu, CÚ 2004</w:t>
            </w:r>
            <w:bookmarkEnd w:id="333"/>
            <w:bookmarkEnd w:id="334"/>
            <w:bookmarkEnd w:id="335"/>
          </w:p>
        </w:tc>
      </w:tr>
      <w:tr w:rsidR="00A94109" w:rsidTr="007E6A13">
        <w:trPr>
          <w:jc w:val="center"/>
        </w:trPr>
        <w:tc>
          <w:tcPr>
            <w:tcW w:w="9342" w:type="dxa"/>
            <w:gridSpan w:val="5"/>
            <w:tcBorders>
              <w:bottom w:val="single" w:sz="4" w:space="0" w:color="000000"/>
            </w:tcBorders>
            <w:shd w:val="pct12" w:color="auto" w:fill="auto"/>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osobní doprava [EUR/1000 oskm (Kč/1000 oskm*)]</w:t>
            </w:r>
          </w:p>
        </w:tc>
      </w:tr>
      <w:tr w:rsidR="00A94109" w:rsidTr="007E6A13">
        <w:trPr>
          <w:jc w:val="center"/>
        </w:trPr>
        <w:tc>
          <w:tcPr>
            <w:tcW w:w="3435" w:type="dxa"/>
            <w:tcBorders>
              <w:bottom w:val="single" w:sz="12" w:space="0" w:color="auto"/>
            </w:tcBorders>
            <w:shd w:val="pct12" w:color="auto" w:fill="auto"/>
          </w:tcPr>
          <w:p w:rsidR="00A94109" w:rsidRPr="007E6A13" w:rsidRDefault="00A94109" w:rsidP="007E6A13">
            <w:pPr>
              <w:spacing w:before="100" w:beforeAutospacing="1" w:after="100" w:afterAutospacing="1"/>
              <w:rPr>
                <w:rFonts w:eastAsia="Arial Unicode MS"/>
                <w:sz w:val="18"/>
                <w:szCs w:val="18"/>
              </w:rPr>
            </w:pPr>
          </w:p>
        </w:tc>
        <w:tc>
          <w:tcPr>
            <w:tcW w:w="1472" w:type="dxa"/>
            <w:tcBorders>
              <w:bottom w:val="single" w:sz="12" w:space="0" w:color="auto"/>
            </w:tcBorders>
            <w:shd w:val="pct12" w:color="auto" w:fill="auto"/>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automobilová</w:t>
            </w:r>
          </w:p>
        </w:tc>
        <w:tc>
          <w:tcPr>
            <w:tcW w:w="1472" w:type="dxa"/>
            <w:tcBorders>
              <w:bottom w:val="single" w:sz="12" w:space="0" w:color="auto"/>
            </w:tcBorders>
            <w:shd w:val="pct12" w:color="auto" w:fill="auto"/>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motocyklová</w:t>
            </w:r>
          </w:p>
        </w:tc>
        <w:tc>
          <w:tcPr>
            <w:tcW w:w="1472" w:type="dxa"/>
            <w:tcBorders>
              <w:bottom w:val="single" w:sz="12" w:space="0" w:color="auto"/>
            </w:tcBorders>
            <w:shd w:val="pct12" w:color="auto" w:fill="auto"/>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autobusová</w:t>
            </w:r>
          </w:p>
        </w:tc>
        <w:tc>
          <w:tcPr>
            <w:tcW w:w="1491" w:type="dxa"/>
            <w:tcBorders>
              <w:bottom w:val="single" w:sz="12" w:space="0" w:color="auto"/>
            </w:tcBorders>
            <w:shd w:val="pct12" w:color="auto" w:fill="auto"/>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železniční</w:t>
            </w:r>
          </w:p>
        </w:tc>
      </w:tr>
      <w:tr w:rsidR="00A94109" w:rsidTr="007E6A13">
        <w:trPr>
          <w:jc w:val="center"/>
        </w:trPr>
        <w:tc>
          <w:tcPr>
            <w:tcW w:w="3435" w:type="dxa"/>
            <w:tcBorders>
              <w:top w:val="single" w:sz="12" w:space="0" w:color="auto"/>
              <w:right w:val="single" w:sz="12" w:space="0" w:color="auto"/>
            </w:tcBorders>
            <w:shd w:val="pct12" w:color="auto" w:fill="auto"/>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nehody</w:t>
            </w:r>
          </w:p>
        </w:tc>
        <w:tc>
          <w:tcPr>
            <w:tcW w:w="1472" w:type="dxa"/>
            <w:tcBorders>
              <w:top w:val="single" w:sz="12" w:space="0" w:color="auto"/>
              <w:left w:val="single" w:sz="12" w:space="0" w:color="auto"/>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36,0 (1 148,4)</w:t>
            </w:r>
          </w:p>
        </w:tc>
        <w:tc>
          <w:tcPr>
            <w:tcW w:w="1472" w:type="dxa"/>
            <w:tcBorders>
              <w:top w:val="single" w:sz="12" w:space="0" w:color="auto"/>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250,0 (7975,0)</w:t>
            </w:r>
          </w:p>
        </w:tc>
        <w:tc>
          <w:tcPr>
            <w:tcW w:w="1472" w:type="dxa"/>
            <w:tcBorders>
              <w:top w:val="single" w:sz="12" w:space="0" w:color="auto"/>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3,1 (98,9)</w:t>
            </w:r>
          </w:p>
        </w:tc>
        <w:tc>
          <w:tcPr>
            <w:tcW w:w="1491" w:type="dxa"/>
            <w:tcBorders>
              <w:top w:val="single" w:sz="12" w:space="0" w:color="auto"/>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0,9 (28,7)</w:t>
            </w:r>
          </w:p>
        </w:tc>
      </w:tr>
      <w:tr w:rsidR="00A94109" w:rsidTr="007E6A13">
        <w:trPr>
          <w:trHeight w:val="161"/>
          <w:jc w:val="center"/>
        </w:trPr>
        <w:tc>
          <w:tcPr>
            <w:tcW w:w="3435" w:type="dxa"/>
            <w:tcBorders>
              <w:right w:val="single" w:sz="12" w:space="0" w:color="auto"/>
            </w:tcBorders>
            <w:shd w:val="pct12" w:color="auto" w:fill="auto"/>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hluk</w:t>
            </w:r>
          </w:p>
        </w:tc>
        <w:tc>
          <w:tcPr>
            <w:tcW w:w="1472" w:type="dxa"/>
            <w:tcBorders>
              <w:left w:val="single" w:sz="12" w:space="0" w:color="auto"/>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5,7 (181,8)</w:t>
            </w:r>
          </w:p>
        </w:tc>
        <w:tc>
          <w:tcPr>
            <w:tcW w:w="1472" w:type="dxa"/>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17,0 (542,3)</w:t>
            </w:r>
          </w:p>
        </w:tc>
        <w:tc>
          <w:tcPr>
            <w:tcW w:w="1472" w:type="dxa"/>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1,3 (41,5)</w:t>
            </w:r>
          </w:p>
        </w:tc>
        <w:tc>
          <w:tcPr>
            <w:tcW w:w="1491" w:type="dxa"/>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3,9 (124,4)</w:t>
            </w:r>
          </w:p>
        </w:tc>
      </w:tr>
      <w:tr w:rsidR="00A94109" w:rsidTr="007E6A13">
        <w:trPr>
          <w:jc w:val="center"/>
        </w:trPr>
        <w:tc>
          <w:tcPr>
            <w:tcW w:w="3435" w:type="dxa"/>
            <w:tcBorders>
              <w:right w:val="single" w:sz="12" w:space="0" w:color="auto"/>
            </w:tcBorders>
            <w:shd w:val="pct12" w:color="auto" w:fill="auto"/>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zneč. ovzduší</w:t>
            </w:r>
          </w:p>
        </w:tc>
        <w:tc>
          <w:tcPr>
            <w:tcW w:w="1472" w:type="dxa"/>
            <w:tcBorders>
              <w:left w:val="single" w:sz="12" w:space="0" w:color="auto"/>
              <w:bottom w:val="single" w:sz="4" w:space="0" w:color="000000"/>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17,3 (551,9)</w:t>
            </w:r>
          </w:p>
        </w:tc>
        <w:tc>
          <w:tcPr>
            <w:tcW w:w="1472" w:type="dxa"/>
            <w:tcBorders>
              <w:bottom w:val="single" w:sz="4" w:space="0" w:color="000000"/>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7,9 (252,0)</w:t>
            </w:r>
          </w:p>
        </w:tc>
        <w:tc>
          <w:tcPr>
            <w:tcW w:w="1472" w:type="dxa"/>
            <w:tcBorders>
              <w:bottom w:val="single" w:sz="4" w:space="0" w:color="000000"/>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19,6 (625,2)</w:t>
            </w:r>
          </w:p>
        </w:tc>
        <w:tc>
          <w:tcPr>
            <w:tcW w:w="1491" w:type="dxa"/>
            <w:tcBorders>
              <w:bottom w:val="single" w:sz="4" w:space="0" w:color="000000"/>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4,9 (156,3)</w:t>
            </w:r>
          </w:p>
        </w:tc>
      </w:tr>
      <w:tr w:rsidR="00A94109" w:rsidTr="007E6A13">
        <w:trPr>
          <w:jc w:val="center"/>
        </w:trPr>
        <w:tc>
          <w:tcPr>
            <w:tcW w:w="3435" w:type="dxa"/>
            <w:tcBorders>
              <w:bottom w:val="single" w:sz="12" w:space="0" w:color="auto"/>
              <w:right w:val="single" w:sz="12" w:space="0" w:color="auto"/>
            </w:tcBorders>
            <w:shd w:val="pct12" w:color="auto" w:fill="auto"/>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změny klimatu</w:t>
            </w:r>
          </w:p>
        </w:tc>
        <w:tc>
          <w:tcPr>
            <w:tcW w:w="1472" w:type="dxa"/>
            <w:tcBorders>
              <w:left w:val="single" w:sz="12" w:space="0" w:color="auto"/>
              <w:bottom w:val="single" w:sz="12" w:space="0" w:color="auto"/>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15,9 (507,2)</w:t>
            </w:r>
          </w:p>
        </w:tc>
        <w:tc>
          <w:tcPr>
            <w:tcW w:w="1472" w:type="dxa"/>
            <w:tcBorders>
              <w:bottom w:val="single" w:sz="12" w:space="0" w:color="auto"/>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13,8 (440,2)</w:t>
            </w:r>
          </w:p>
        </w:tc>
        <w:tc>
          <w:tcPr>
            <w:tcW w:w="1472" w:type="dxa"/>
            <w:tcBorders>
              <w:bottom w:val="single" w:sz="12" w:space="0" w:color="auto"/>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8,9 (283,9)</w:t>
            </w:r>
          </w:p>
        </w:tc>
        <w:tc>
          <w:tcPr>
            <w:tcW w:w="1491" w:type="dxa"/>
            <w:tcBorders>
              <w:bottom w:val="single" w:sz="12" w:space="0" w:color="auto"/>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5,3 (169,1)</w:t>
            </w:r>
          </w:p>
        </w:tc>
      </w:tr>
      <w:tr w:rsidR="00A94109" w:rsidTr="007E6A13">
        <w:trPr>
          <w:jc w:val="center"/>
        </w:trPr>
        <w:tc>
          <w:tcPr>
            <w:tcW w:w="9342" w:type="dxa"/>
            <w:gridSpan w:val="5"/>
            <w:tcBorders>
              <w:top w:val="single" w:sz="12" w:space="0" w:color="auto"/>
              <w:bottom w:val="single" w:sz="4" w:space="0" w:color="000000"/>
            </w:tcBorders>
            <w:shd w:val="pct12" w:color="auto" w:fill="auto"/>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nákladní doprava [EUR/1000 tkm (Kč/1000 tkm*)]</w:t>
            </w:r>
          </w:p>
        </w:tc>
      </w:tr>
      <w:tr w:rsidR="00A94109" w:rsidTr="007E6A13">
        <w:trPr>
          <w:jc w:val="center"/>
        </w:trPr>
        <w:tc>
          <w:tcPr>
            <w:tcW w:w="3435" w:type="dxa"/>
            <w:tcBorders>
              <w:bottom w:val="single" w:sz="12" w:space="0" w:color="auto"/>
            </w:tcBorders>
            <w:shd w:val="pct12" w:color="auto" w:fill="auto"/>
          </w:tcPr>
          <w:p w:rsidR="00A94109" w:rsidRPr="007E6A13" w:rsidRDefault="00A94109" w:rsidP="007E6A13">
            <w:pPr>
              <w:spacing w:before="100" w:beforeAutospacing="1" w:after="100" w:afterAutospacing="1"/>
              <w:rPr>
                <w:rFonts w:eastAsia="Arial Unicode MS"/>
                <w:sz w:val="18"/>
                <w:szCs w:val="18"/>
              </w:rPr>
            </w:pPr>
          </w:p>
        </w:tc>
        <w:tc>
          <w:tcPr>
            <w:tcW w:w="1472" w:type="dxa"/>
            <w:tcBorders>
              <w:bottom w:val="single" w:sz="12" w:space="0" w:color="auto"/>
            </w:tcBorders>
            <w:shd w:val="pct12" w:color="auto" w:fill="auto"/>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lehké užitkové automobily</w:t>
            </w:r>
          </w:p>
        </w:tc>
        <w:tc>
          <w:tcPr>
            <w:tcW w:w="1472" w:type="dxa"/>
            <w:tcBorders>
              <w:bottom w:val="single" w:sz="12" w:space="0" w:color="auto"/>
            </w:tcBorders>
            <w:shd w:val="pct12" w:color="auto" w:fill="auto"/>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těžké užitkové automobily</w:t>
            </w:r>
          </w:p>
        </w:tc>
        <w:tc>
          <w:tcPr>
            <w:tcW w:w="1472" w:type="dxa"/>
            <w:tcBorders>
              <w:bottom w:val="single" w:sz="12" w:space="0" w:color="auto"/>
            </w:tcBorders>
            <w:shd w:val="pct12" w:color="auto" w:fill="auto"/>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železniční</w:t>
            </w:r>
          </w:p>
        </w:tc>
        <w:tc>
          <w:tcPr>
            <w:tcW w:w="1491" w:type="dxa"/>
            <w:tcBorders>
              <w:bottom w:val="single" w:sz="12" w:space="0" w:color="auto"/>
            </w:tcBorders>
            <w:shd w:val="pct12" w:color="auto" w:fill="auto"/>
            <w:vAlign w:val="bottom"/>
          </w:tcPr>
          <w:p w:rsidR="00A94109" w:rsidRPr="007E6A13" w:rsidRDefault="00A94109" w:rsidP="007E6A13">
            <w:pPr>
              <w:spacing w:before="100" w:beforeAutospacing="1" w:after="100" w:afterAutospacing="1"/>
              <w:rPr>
                <w:rFonts w:eastAsia="Arial Unicode MS"/>
                <w:sz w:val="18"/>
                <w:szCs w:val="18"/>
              </w:rPr>
            </w:pPr>
          </w:p>
        </w:tc>
      </w:tr>
      <w:tr w:rsidR="00A94109" w:rsidTr="007E6A13">
        <w:trPr>
          <w:jc w:val="center"/>
        </w:trPr>
        <w:tc>
          <w:tcPr>
            <w:tcW w:w="3435" w:type="dxa"/>
            <w:tcBorders>
              <w:top w:val="single" w:sz="12" w:space="0" w:color="auto"/>
              <w:right w:val="single" w:sz="12" w:space="0" w:color="auto"/>
            </w:tcBorders>
            <w:shd w:val="pct12" w:color="auto" w:fill="auto"/>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nehody</w:t>
            </w:r>
          </w:p>
        </w:tc>
        <w:tc>
          <w:tcPr>
            <w:tcW w:w="1472" w:type="dxa"/>
            <w:tcBorders>
              <w:top w:val="single" w:sz="12" w:space="0" w:color="auto"/>
              <w:left w:val="single" w:sz="12" w:space="0" w:color="auto"/>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100,0 (3 190,0)</w:t>
            </w:r>
          </w:p>
        </w:tc>
        <w:tc>
          <w:tcPr>
            <w:tcW w:w="1472" w:type="dxa"/>
            <w:tcBorders>
              <w:top w:val="single" w:sz="12" w:space="0" w:color="auto"/>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6,8 (216,9)</w:t>
            </w:r>
          </w:p>
        </w:tc>
        <w:tc>
          <w:tcPr>
            <w:tcW w:w="1472" w:type="dxa"/>
            <w:tcBorders>
              <w:top w:val="single" w:sz="12" w:space="0" w:color="auto"/>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11,5 (366,9)</w:t>
            </w:r>
          </w:p>
        </w:tc>
        <w:tc>
          <w:tcPr>
            <w:tcW w:w="1491" w:type="dxa"/>
            <w:tcBorders>
              <w:top w:val="single" w:sz="12" w:space="0" w:color="auto"/>
            </w:tcBorders>
            <w:vAlign w:val="bottom"/>
          </w:tcPr>
          <w:p w:rsidR="00A94109" w:rsidRPr="007E6A13" w:rsidRDefault="00A94109" w:rsidP="007E6A13">
            <w:pPr>
              <w:spacing w:before="100" w:beforeAutospacing="1" w:after="100" w:afterAutospacing="1"/>
              <w:rPr>
                <w:rFonts w:eastAsia="Arial Unicode MS"/>
                <w:sz w:val="18"/>
                <w:szCs w:val="18"/>
              </w:rPr>
            </w:pPr>
          </w:p>
        </w:tc>
      </w:tr>
      <w:tr w:rsidR="00A94109" w:rsidTr="007E6A13">
        <w:trPr>
          <w:jc w:val="center"/>
        </w:trPr>
        <w:tc>
          <w:tcPr>
            <w:tcW w:w="3435" w:type="dxa"/>
            <w:tcBorders>
              <w:right w:val="single" w:sz="12" w:space="0" w:color="auto"/>
            </w:tcBorders>
            <w:shd w:val="pct12" w:color="auto" w:fill="auto"/>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hluk</w:t>
            </w:r>
          </w:p>
        </w:tc>
        <w:tc>
          <w:tcPr>
            <w:tcW w:w="1472" w:type="dxa"/>
            <w:tcBorders>
              <w:left w:val="single" w:sz="12" w:space="0" w:color="auto"/>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35,7 (1 138,8)</w:t>
            </w:r>
          </w:p>
        </w:tc>
        <w:tc>
          <w:tcPr>
            <w:tcW w:w="1472" w:type="dxa"/>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5,1 (162,7)</w:t>
            </w:r>
          </w:p>
        </w:tc>
        <w:tc>
          <w:tcPr>
            <w:tcW w:w="1472" w:type="dxa"/>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3,5 (111,7)</w:t>
            </w:r>
          </w:p>
        </w:tc>
        <w:tc>
          <w:tcPr>
            <w:tcW w:w="1491" w:type="dxa"/>
            <w:vAlign w:val="bottom"/>
          </w:tcPr>
          <w:p w:rsidR="00A94109" w:rsidRPr="007E6A13" w:rsidRDefault="00A94109" w:rsidP="007E6A13">
            <w:pPr>
              <w:spacing w:before="100" w:beforeAutospacing="1" w:after="100" w:afterAutospacing="1"/>
              <w:rPr>
                <w:rFonts w:eastAsia="Arial Unicode MS"/>
                <w:sz w:val="18"/>
                <w:szCs w:val="18"/>
              </w:rPr>
            </w:pPr>
          </w:p>
        </w:tc>
      </w:tr>
      <w:tr w:rsidR="00A94109" w:rsidTr="007E6A13">
        <w:trPr>
          <w:jc w:val="center"/>
        </w:trPr>
        <w:tc>
          <w:tcPr>
            <w:tcW w:w="3435" w:type="dxa"/>
            <w:tcBorders>
              <w:right w:val="single" w:sz="12" w:space="0" w:color="auto"/>
            </w:tcBorders>
            <w:shd w:val="pct12" w:color="auto" w:fill="auto"/>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zneč. ovzduší</w:t>
            </w:r>
          </w:p>
        </w:tc>
        <w:tc>
          <w:tcPr>
            <w:tcW w:w="1472" w:type="dxa"/>
            <w:tcBorders>
              <w:left w:val="single" w:sz="12" w:space="0" w:color="auto"/>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131 (4 178,9)</w:t>
            </w:r>
          </w:p>
        </w:tc>
        <w:tc>
          <w:tcPr>
            <w:tcW w:w="1472" w:type="dxa"/>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32,4 (1033,6)</w:t>
            </w:r>
          </w:p>
        </w:tc>
        <w:tc>
          <w:tcPr>
            <w:tcW w:w="1472" w:type="dxa"/>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4,0 (127,6)</w:t>
            </w:r>
          </w:p>
        </w:tc>
        <w:tc>
          <w:tcPr>
            <w:tcW w:w="1491" w:type="dxa"/>
            <w:vAlign w:val="bottom"/>
          </w:tcPr>
          <w:p w:rsidR="00A94109" w:rsidRPr="007E6A13" w:rsidRDefault="00A94109" w:rsidP="007E6A13">
            <w:pPr>
              <w:spacing w:before="100" w:beforeAutospacing="1" w:after="100" w:afterAutospacing="1"/>
              <w:rPr>
                <w:rFonts w:eastAsia="Arial Unicode MS"/>
                <w:sz w:val="18"/>
                <w:szCs w:val="18"/>
              </w:rPr>
            </w:pPr>
          </w:p>
        </w:tc>
      </w:tr>
      <w:tr w:rsidR="00A94109" w:rsidTr="007E6A13">
        <w:trPr>
          <w:jc w:val="center"/>
        </w:trPr>
        <w:tc>
          <w:tcPr>
            <w:tcW w:w="3435" w:type="dxa"/>
            <w:tcBorders>
              <w:right w:val="single" w:sz="12" w:space="0" w:color="auto"/>
            </w:tcBorders>
            <w:shd w:val="pct12" w:color="auto" w:fill="auto"/>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změny klimatu</w:t>
            </w:r>
          </w:p>
        </w:tc>
        <w:tc>
          <w:tcPr>
            <w:tcW w:w="1472" w:type="dxa"/>
            <w:tcBorders>
              <w:left w:val="single" w:sz="12" w:space="0" w:color="auto"/>
            </w:tcBorders>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134 (4 274,6)</w:t>
            </w:r>
          </w:p>
        </w:tc>
        <w:tc>
          <w:tcPr>
            <w:tcW w:w="1472" w:type="dxa"/>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15,1 (481,7)</w:t>
            </w:r>
          </w:p>
        </w:tc>
        <w:tc>
          <w:tcPr>
            <w:tcW w:w="1472" w:type="dxa"/>
            <w:vAlign w:val="center"/>
          </w:tcPr>
          <w:p w:rsidR="00A94109" w:rsidRPr="007E6A13" w:rsidRDefault="00A94109" w:rsidP="007E6A13">
            <w:pPr>
              <w:spacing w:before="100" w:beforeAutospacing="1" w:after="100" w:afterAutospacing="1"/>
              <w:rPr>
                <w:rFonts w:eastAsia="Arial Unicode MS"/>
                <w:sz w:val="18"/>
                <w:szCs w:val="18"/>
              </w:rPr>
            </w:pPr>
            <w:r w:rsidRPr="007E6A13">
              <w:rPr>
                <w:rFonts w:eastAsia="Arial Unicode MS"/>
                <w:sz w:val="18"/>
                <w:szCs w:val="18"/>
              </w:rPr>
              <w:t>4,7 (149,9)</w:t>
            </w:r>
          </w:p>
        </w:tc>
        <w:tc>
          <w:tcPr>
            <w:tcW w:w="1491" w:type="dxa"/>
            <w:vAlign w:val="bottom"/>
          </w:tcPr>
          <w:p w:rsidR="00A94109" w:rsidRPr="007E6A13" w:rsidRDefault="00A94109" w:rsidP="007E6A13">
            <w:pPr>
              <w:spacing w:before="100" w:beforeAutospacing="1" w:after="100" w:afterAutospacing="1"/>
              <w:rPr>
                <w:rFonts w:eastAsia="Arial Unicode MS"/>
                <w:sz w:val="18"/>
                <w:szCs w:val="18"/>
              </w:rPr>
            </w:pPr>
          </w:p>
        </w:tc>
      </w:tr>
      <w:tr w:rsidR="007E6A13" w:rsidTr="007E6A13">
        <w:trPr>
          <w:jc w:val="center"/>
        </w:trPr>
        <w:tc>
          <w:tcPr>
            <w:tcW w:w="9342" w:type="dxa"/>
            <w:gridSpan w:val="5"/>
            <w:tcBorders>
              <w:left w:val="nil"/>
              <w:bottom w:val="nil"/>
              <w:right w:val="nil"/>
            </w:tcBorders>
            <w:shd w:val="clear" w:color="auto" w:fill="FFFFFF" w:themeFill="background1"/>
            <w:vAlign w:val="center"/>
          </w:tcPr>
          <w:p w:rsidR="007E6A13" w:rsidRDefault="007E6A13" w:rsidP="001514BF">
            <w:pPr>
              <w:spacing w:before="40" w:after="0"/>
              <w:jc w:val="left"/>
              <w:rPr>
                <w:i/>
                <w:sz w:val="16"/>
                <w:szCs w:val="16"/>
              </w:rPr>
            </w:pPr>
            <w:r w:rsidRPr="0092715E">
              <w:rPr>
                <w:i/>
                <w:sz w:val="16"/>
                <w:szCs w:val="16"/>
              </w:rPr>
              <w:t>* kurz 31,9 Kč/EUR – průměrný kurz pro rok 2004 dle ČNB</w:t>
            </w:r>
          </w:p>
          <w:p w:rsidR="007E6A13" w:rsidRPr="007E6A13" w:rsidRDefault="007E6A13" w:rsidP="001514BF">
            <w:pPr>
              <w:spacing w:before="40" w:after="0"/>
              <w:jc w:val="left"/>
              <w:rPr>
                <w:i/>
                <w:sz w:val="16"/>
                <w:szCs w:val="16"/>
              </w:rPr>
            </w:pPr>
            <w:r w:rsidRPr="0092715E">
              <w:rPr>
                <w:i/>
                <w:sz w:val="16"/>
                <w:szCs w:val="16"/>
              </w:rPr>
              <w:t>Zdroj: Průvodce analýzou nákladů a výnosů inv. projektů, Strukturální fond – ERDF, Kohezní fond a ISPA, rok 2004</w:t>
            </w:r>
          </w:p>
        </w:tc>
      </w:tr>
    </w:tbl>
    <w:p w:rsidR="009E470A" w:rsidRDefault="009E470A" w:rsidP="009E470A">
      <w:r>
        <w:t>Pro potřeby ekonomického hodnocení byly tyto hodnoty přepočteny na české koruny a převedeny na cenovou úroveň roku 201</w:t>
      </w:r>
      <w:r w:rsidR="0012020B">
        <w:t>3</w:t>
      </w:r>
      <w:r>
        <w:t xml:space="preserve"> (s využitím stejných inflačních koeficientů jako u přepočtu hodnoty času).</w:t>
      </w:r>
    </w:p>
    <w:p w:rsidR="009E470A" w:rsidRDefault="009E470A" w:rsidP="009E470A">
      <w:r>
        <w:t>Vnější náklady byly stanoveny na základě měrného ohodnocení jednotlivých účinků v osobní dopravě a</w:t>
      </w:r>
      <w:r w:rsidR="00030266">
        <w:t> </w:t>
      </w:r>
      <w:r>
        <w:t>objemu nákladní „převedené dopravy“. Měrná ohodnocení jednotlivých účinků zohledňují podíl lehkých a těžkých automobilů na objemu nákladní převedené dopravy. Jednotlivé hodnoty úspor se budou postupně měnit v závislosti na výkonech v jednotlivých variantách.</w:t>
      </w:r>
    </w:p>
    <w:p w:rsidR="009E470A" w:rsidRDefault="009E470A" w:rsidP="009E470A">
      <w:pPr>
        <w:spacing w:before="0" w:after="0" w:line="240" w:lineRule="auto"/>
      </w:pPr>
      <w:r>
        <w:t xml:space="preserve">Podrobné vyčíslení všech těchto úspor je uvedeno v následující tabulce. </w:t>
      </w:r>
      <w:r w:rsidR="00030266">
        <w:t>Ve variantě Minimální k úsporám nedochází, protože díky realizaci projektu nedojde k </w:t>
      </w:r>
      <w:r w:rsidR="00DF28BB">
        <w:t>převedení</w:t>
      </w:r>
      <w:r w:rsidR="00030266">
        <w:t xml:space="preserve"> dopravy ani zkrácení délky sledovaného úseku.</w:t>
      </w:r>
    </w:p>
    <w:p w:rsidR="00FA6D0E" w:rsidRDefault="00FA6D0E" w:rsidP="009E470A">
      <w:pPr>
        <w:spacing w:before="0" w:after="0" w:line="240" w:lineRule="auto"/>
      </w:pPr>
    </w:p>
    <w:p w:rsidR="001514BF" w:rsidRDefault="001514BF">
      <w:bookmarkStart w:id="336" w:name="_Toc316377691"/>
      <w:r>
        <w:rPr>
          <w:b/>
        </w:rPr>
        <w:br w:type="page"/>
      </w:r>
    </w:p>
    <w:tbl>
      <w:tblPr>
        <w:tblW w:w="93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0"/>
        <w:gridCol w:w="4035"/>
        <w:gridCol w:w="4035"/>
      </w:tblGrid>
      <w:tr w:rsidR="00FA6D0E" w:rsidTr="001514BF">
        <w:trPr>
          <w:cantSplit/>
          <w:jc w:val="center"/>
        </w:trPr>
        <w:tc>
          <w:tcPr>
            <w:tcW w:w="9340" w:type="dxa"/>
            <w:gridSpan w:val="3"/>
            <w:tcBorders>
              <w:bottom w:val="single" w:sz="4" w:space="0" w:color="000000"/>
            </w:tcBorders>
          </w:tcPr>
          <w:p w:rsidR="006819BA" w:rsidRDefault="00FA6D0E" w:rsidP="001514BF">
            <w:pPr>
              <w:pStyle w:val="Titulek"/>
              <w:rPr>
                <w:rFonts w:eastAsia="Arial Unicode MS"/>
                <w:color w:val="FF0000"/>
              </w:rPr>
            </w:pPr>
            <w:bookmarkStart w:id="337" w:name="_Toc390958795"/>
            <w:bookmarkStart w:id="338" w:name="_Toc391034599"/>
            <w:r w:rsidRPr="00FA6D0E">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19</w:t>
            </w:r>
            <w:r w:rsidR="000E79AE">
              <w:fldChar w:fldCharType="end"/>
            </w:r>
            <w:r w:rsidRPr="00FA6D0E">
              <w:t xml:space="preserve">: Úspora vnějších nákladů v tis. Kč (CÚ </w:t>
            </w:r>
            <w:r w:rsidR="0012020B" w:rsidRPr="00FA6D0E">
              <w:t>201</w:t>
            </w:r>
            <w:r w:rsidR="0012020B">
              <w:t>3</w:t>
            </w:r>
            <w:r w:rsidRPr="00FA6D0E">
              <w:t>)</w:t>
            </w:r>
            <w:bookmarkEnd w:id="336"/>
            <w:bookmarkEnd w:id="337"/>
            <w:bookmarkEnd w:id="338"/>
          </w:p>
        </w:tc>
      </w:tr>
      <w:tr w:rsidR="001514BF" w:rsidTr="001514BF">
        <w:trPr>
          <w:cantSplit/>
          <w:jc w:val="center"/>
        </w:trPr>
        <w:tc>
          <w:tcPr>
            <w:tcW w:w="1270" w:type="dxa"/>
            <w:tcBorders>
              <w:bottom w:val="single" w:sz="12" w:space="0" w:color="auto"/>
            </w:tcBorders>
            <w:shd w:val="pct12" w:color="auto" w:fill="auto"/>
          </w:tcPr>
          <w:p w:rsidR="001514BF" w:rsidRPr="001514BF" w:rsidRDefault="001514BF" w:rsidP="001514BF">
            <w:pPr>
              <w:spacing w:before="100" w:beforeAutospacing="1" w:after="100" w:afterAutospacing="1"/>
              <w:rPr>
                <w:rFonts w:eastAsia="Arial Unicode MS" w:cs="Tahoma"/>
                <w:b/>
                <w:sz w:val="18"/>
                <w:szCs w:val="18"/>
              </w:rPr>
            </w:pPr>
            <w:r w:rsidRPr="001514BF">
              <w:rPr>
                <w:rFonts w:eastAsia="Arial Unicode MS" w:cs="Tahoma"/>
                <w:b/>
                <w:sz w:val="18"/>
                <w:szCs w:val="18"/>
              </w:rPr>
              <w:t>rok</w:t>
            </w:r>
          </w:p>
        </w:tc>
        <w:tc>
          <w:tcPr>
            <w:tcW w:w="4035" w:type="dxa"/>
            <w:tcBorders>
              <w:bottom w:val="single" w:sz="12" w:space="0" w:color="auto"/>
            </w:tcBorders>
            <w:shd w:val="pct12" w:color="auto" w:fill="auto"/>
            <w:vAlign w:val="center"/>
          </w:tcPr>
          <w:p w:rsidR="001514BF" w:rsidRPr="001514BF" w:rsidRDefault="001514BF" w:rsidP="001514BF">
            <w:pPr>
              <w:spacing w:before="100" w:beforeAutospacing="1" w:after="100" w:afterAutospacing="1"/>
              <w:jc w:val="center"/>
              <w:rPr>
                <w:rFonts w:eastAsia="Arial Unicode MS" w:cs="Tahoma"/>
                <w:b/>
                <w:sz w:val="18"/>
                <w:szCs w:val="18"/>
              </w:rPr>
            </w:pPr>
            <w:r w:rsidRPr="001514BF">
              <w:rPr>
                <w:rFonts w:eastAsia="Arial Unicode MS" w:cs="Tahoma"/>
                <w:b/>
                <w:sz w:val="18"/>
                <w:szCs w:val="18"/>
              </w:rPr>
              <w:t>Etapa</w:t>
            </w:r>
          </w:p>
        </w:tc>
        <w:tc>
          <w:tcPr>
            <w:tcW w:w="4035" w:type="dxa"/>
            <w:tcBorders>
              <w:bottom w:val="single" w:sz="12" w:space="0" w:color="auto"/>
            </w:tcBorders>
            <w:shd w:val="pct12" w:color="auto" w:fill="auto"/>
            <w:vAlign w:val="center"/>
          </w:tcPr>
          <w:p w:rsidR="001514BF" w:rsidRPr="001514BF" w:rsidRDefault="001514BF" w:rsidP="001514BF">
            <w:pPr>
              <w:spacing w:before="100" w:beforeAutospacing="1" w:after="100" w:afterAutospacing="1"/>
              <w:jc w:val="center"/>
              <w:rPr>
                <w:rFonts w:eastAsia="Arial Unicode MS" w:cs="Tahoma"/>
                <w:b/>
                <w:sz w:val="18"/>
                <w:szCs w:val="18"/>
              </w:rPr>
            </w:pPr>
            <w:r w:rsidRPr="001514BF">
              <w:rPr>
                <w:rFonts w:eastAsia="Arial Unicode MS" w:cs="Tahoma"/>
                <w:b/>
                <w:sz w:val="18"/>
                <w:szCs w:val="18"/>
              </w:rPr>
              <w:t>varianta Maximální</w:t>
            </w:r>
          </w:p>
        </w:tc>
      </w:tr>
      <w:tr w:rsidR="001514BF" w:rsidTr="001514BF">
        <w:trPr>
          <w:cantSplit/>
          <w:jc w:val="center"/>
        </w:trPr>
        <w:tc>
          <w:tcPr>
            <w:tcW w:w="1270" w:type="dxa"/>
            <w:tcBorders>
              <w:top w:val="single" w:sz="12" w:space="0" w:color="auto"/>
            </w:tcBorders>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2016</w:t>
            </w:r>
          </w:p>
        </w:tc>
        <w:tc>
          <w:tcPr>
            <w:tcW w:w="4035" w:type="dxa"/>
            <w:tcBorders>
              <w:top w:val="single" w:sz="12" w:space="0" w:color="auto"/>
            </w:tcBorders>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10 506</w:t>
            </w:r>
          </w:p>
        </w:tc>
        <w:tc>
          <w:tcPr>
            <w:tcW w:w="4035" w:type="dxa"/>
            <w:tcBorders>
              <w:top w:val="single" w:sz="12" w:space="0" w:color="auto"/>
            </w:tcBorders>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10 506</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2017</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10 552</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10 552</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2018</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10 597</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10 597</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2019</w:t>
            </w:r>
          </w:p>
        </w:tc>
        <w:tc>
          <w:tcPr>
            <w:tcW w:w="4035" w:type="dxa"/>
            <w:tcBorders>
              <w:bottom w:val="single" w:sz="4" w:space="0" w:color="000000"/>
            </w:tcBorders>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10 642</w:t>
            </w:r>
          </w:p>
        </w:tc>
        <w:tc>
          <w:tcPr>
            <w:tcW w:w="4035" w:type="dxa"/>
            <w:tcBorders>
              <w:bottom w:val="single" w:sz="4" w:space="0" w:color="000000"/>
            </w:tcBorders>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10 642</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2020</w:t>
            </w:r>
          </w:p>
        </w:tc>
        <w:tc>
          <w:tcPr>
            <w:tcW w:w="4035" w:type="dxa"/>
            <w:tcBorders>
              <w:bottom w:val="single" w:sz="4" w:space="0" w:color="000000"/>
            </w:tcBorders>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10 688</w:t>
            </w:r>
          </w:p>
        </w:tc>
        <w:tc>
          <w:tcPr>
            <w:tcW w:w="4035" w:type="dxa"/>
            <w:tcBorders>
              <w:bottom w:val="single" w:sz="4" w:space="0" w:color="000000"/>
            </w:tcBorders>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12 553</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2021</w:t>
            </w:r>
          </w:p>
        </w:tc>
        <w:tc>
          <w:tcPr>
            <w:tcW w:w="4035" w:type="dxa"/>
            <w:tcBorders>
              <w:bottom w:val="single" w:sz="4" w:space="0" w:color="000000"/>
            </w:tcBorders>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10 733</w:t>
            </w:r>
          </w:p>
        </w:tc>
        <w:tc>
          <w:tcPr>
            <w:tcW w:w="4035" w:type="dxa"/>
            <w:tcBorders>
              <w:bottom w:val="single" w:sz="4" w:space="0" w:color="000000"/>
            </w:tcBorders>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12 606</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2022</w:t>
            </w:r>
          </w:p>
        </w:tc>
        <w:tc>
          <w:tcPr>
            <w:tcW w:w="4035" w:type="dxa"/>
            <w:tcBorders>
              <w:bottom w:val="single" w:sz="4" w:space="0" w:color="000000"/>
            </w:tcBorders>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10 779</w:t>
            </w:r>
          </w:p>
        </w:tc>
        <w:tc>
          <w:tcPr>
            <w:tcW w:w="4035" w:type="dxa"/>
            <w:tcBorders>
              <w:bottom w:val="single" w:sz="4" w:space="0" w:color="000000"/>
            </w:tcBorders>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14 351</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2023</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10 825</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14 412</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2024</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10 871</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14 473</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2025</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10 917</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14 534</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2026</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10 943</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14 568</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2027</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10 969</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14 603</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2028</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10 995</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14 638</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2029</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11 021</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14 672</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2030</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11 047</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14 707</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2031</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11 057</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14 720</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2032</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11 067</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14 734</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2033</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11 076</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14 747</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2034</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11 070</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14 739</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2035</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11 064</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14 731</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2036</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11 060</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14 725</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2037</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11 056</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14 720</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2038</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11 052</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14 714</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2039</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11 048</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14 709</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2040</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11 044</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14 704</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2041</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11 034</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14 690</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2042</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11 024</w:t>
            </w:r>
          </w:p>
        </w:tc>
        <w:tc>
          <w:tcPr>
            <w:tcW w:w="4035" w:type="dxa"/>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14 677</w:t>
            </w:r>
          </w:p>
        </w:tc>
      </w:tr>
      <w:tr w:rsidR="001514BF" w:rsidTr="001514BF">
        <w:trPr>
          <w:cantSplit/>
          <w:jc w:val="center"/>
        </w:trPr>
        <w:tc>
          <w:tcPr>
            <w:tcW w:w="1270" w:type="dxa"/>
            <w:shd w:val="pct12" w:color="auto" w:fill="auto"/>
          </w:tcPr>
          <w:p w:rsidR="001514BF" w:rsidRPr="001514BF" w:rsidRDefault="001514BF" w:rsidP="001514BF">
            <w:pPr>
              <w:spacing w:before="100" w:beforeAutospacing="1" w:after="100" w:afterAutospacing="1"/>
              <w:rPr>
                <w:rFonts w:eastAsia="Arial Unicode MS" w:cs="Tahoma"/>
                <w:sz w:val="18"/>
                <w:szCs w:val="18"/>
              </w:rPr>
            </w:pPr>
            <w:r w:rsidRPr="001514BF">
              <w:rPr>
                <w:rFonts w:eastAsia="Arial Unicode MS" w:cs="Tahoma"/>
                <w:sz w:val="18"/>
                <w:szCs w:val="18"/>
              </w:rPr>
              <w:t>2043</w:t>
            </w:r>
          </w:p>
        </w:tc>
        <w:tc>
          <w:tcPr>
            <w:tcW w:w="4035" w:type="dxa"/>
            <w:tcBorders>
              <w:bottom w:val="single" w:sz="4" w:space="0" w:color="000000"/>
            </w:tcBorders>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11 014</w:t>
            </w:r>
          </w:p>
        </w:tc>
        <w:tc>
          <w:tcPr>
            <w:tcW w:w="4035" w:type="dxa"/>
            <w:tcBorders>
              <w:bottom w:val="single" w:sz="4" w:space="0" w:color="000000"/>
            </w:tcBorders>
            <w:vAlign w:val="center"/>
          </w:tcPr>
          <w:p w:rsidR="001514BF" w:rsidRPr="001514BF" w:rsidRDefault="001514BF" w:rsidP="001514BF">
            <w:pPr>
              <w:spacing w:before="100" w:beforeAutospacing="1" w:after="100" w:afterAutospacing="1"/>
              <w:ind w:right="1517"/>
              <w:jc w:val="right"/>
              <w:rPr>
                <w:rFonts w:eastAsia="Arial Unicode MS" w:cs="Tahoma"/>
                <w:sz w:val="18"/>
                <w:szCs w:val="18"/>
              </w:rPr>
            </w:pPr>
            <w:r w:rsidRPr="001514BF">
              <w:rPr>
                <w:rFonts w:eastAsia="Arial Unicode MS" w:cs="Tahoma"/>
                <w:sz w:val="18"/>
                <w:szCs w:val="18"/>
              </w:rPr>
              <w:t>14 663</w:t>
            </w:r>
          </w:p>
        </w:tc>
      </w:tr>
    </w:tbl>
    <w:p w:rsidR="00225B27" w:rsidRPr="00C90180" w:rsidRDefault="00225B27" w:rsidP="000D62F1">
      <w:pPr>
        <w:pStyle w:val="Nadpis3"/>
        <w:ind w:hanging="8234"/>
      </w:pPr>
      <w:r w:rsidRPr="00C90180">
        <w:t>Úspory z bezpečnosti železniční dopravy</w:t>
      </w:r>
    </w:p>
    <w:p w:rsidR="002374BF" w:rsidRPr="00C90180" w:rsidRDefault="002374BF" w:rsidP="002374BF">
      <w:r w:rsidRPr="00C90180">
        <w:t xml:space="preserve">Projekt podstatně zvýší bezpečnost dopravy a tím umožní úsporu nákladů, jak v oblasti železniční dopravy, tak i v oblasti celospolečenské. Realizace projektu zlepší bezpečnostní situaci např. omezením vlivu lidského činitele na řízení dopravy nebo bezpečnějším přístupem na nástupiště. </w:t>
      </w:r>
    </w:p>
    <w:p w:rsidR="002374BF" w:rsidRPr="00C90180" w:rsidRDefault="002374BF" w:rsidP="002374BF">
      <w:r w:rsidRPr="00C90180">
        <w:t xml:space="preserve">Konkrétně se jedná o přínos z bezpečnosti vyplývající z řízení provozu na trati Pardubice hlavní nádraží – Hradec Králové hlavní nádraží z Regionálního dispečerského pracoviště Hradec Králové. V rámci dálkového řízení dochází k soustředění veškerých informací od jednotlivých systémů z železničních stanic a ostatních míst na trati (návěstidla, přejezdová zabezpečovací zařízení aj.) do dispečerského centra. Obsluhující pracovník (dispečer) má tyto systémy přehledně zobrazeny ve svém zorném poli a jedním přehlédnutím může vyhodnotit správnou funkci všech systémů a dopravní situaci v celé řízené oblasti. </w:t>
      </w:r>
    </w:p>
    <w:p w:rsidR="002374BF" w:rsidRPr="00C90180" w:rsidRDefault="002374BF" w:rsidP="002374BF">
      <w:r w:rsidRPr="00C90180">
        <w:t>Tímto soustředěním a řízením většího počtu stanic dochází ke zvýšení bezpečnosti železniční dopravy jak při řádné činnosti zařízení, tak i při mimořádných situacích. Přínosy tohoto soustředění lze při mimořádných situacích doložit na konkrétních příkladech. Ve více případech dispečer zabránil nehodě tím, že použil funkci „generální stop“, při které se jedním stisknutím tlačítka zastaví všechny vlaky na trati. Může se jednat o mimořádné případy, kdy hrozí střet vlaků nebo při stržení trolejového vedení, uváznutí automobilu na přejezdu, pádu stromu na trať apod. Současn</w:t>
      </w:r>
      <w:r w:rsidR="00740495" w:rsidRPr="00C90180">
        <w:t>ě</w:t>
      </w:r>
      <w:r w:rsidRPr="00C90180">
        <w:t xml:space="preserve"> vyráběná zabezpečovací zařízení mají zakomponovanou i funkci EZŠ (evidence ztráty šuntu). Ta se týká těch částí kolejiště, které jsou vybaveny kolejovými obvody</w:t>
      </w:r>
      <w:r w:rsidR="006B1CCA">
        <w:t>,</w:t>
      </w:r>
      <w:r w:rsidRPr="00C90180">
        <w:t xml:space="preserve"> a  spočívá v tom, že detekuje stav, ve kterém kolej, která byla obsazena vozidly se náhle jeví jako volná, aniž by byl dán povel k odjezdu těchto vozidel buď jako vlak nebo jako posun. Tato ztráta citlivosti kolejových obvodů v ojedinělých případech může nastat -  například v žst. Otrokovice se toto stalo u osobního vlaku. Vzhledem k tomu, že celá trať je dálkově řízena, tuto ztrátu šuntu zaregistroval dispečer, který přes kamerový systém tuto skutečnost ověřil a následně zastavil provoz v obvodu celé žst.</w:t>
      </w:r>
    </w:p>
    <w:p w:rsidR="002374BF" w:rsidRPr="00C90180" w:rsidRDefault="002374BF" w:rsidP="002374BF">
      <w:r w:rsidRPr="00C90180">
        <w:t xml:space="preserve">Další velmi užitečnou funkcí soudobých elektronických stavědel je VNPN (výstraha při nedovoleném projetí návěstidla) – ta upozorňuje dispečera, že vlak minul návěstidlo, i když návěstidlo zakazovalo jízdu a dispečer tak má možnost okamžitě zasáhnout. Tyto případy jsou způsobené nepozorností strojvedoucího a jsou poměrně časté. Nedovolený odjezd ze stanice byl i příčinou nejtragičtější nehody na železnici – v roce 1960 se právě mezi železničními stanicemi Stéblová a Rosice nad Labem srazily dva protijedoucí plně obsazené vlaky a následky srážky ještě umocnil vzniklý požár. Tato nehoda měla 110 obětí na životech a 106 zraněných.   </w:t>
      </w:r>
    </w:p>
    <w:p w:rsidR="002374BF" w:rsidRPr="00C90180" w:rsidRDefault="002374BF" w:rsidP="002374BF">
      <w:r w:rsidRPr="00C90180">
        <w:t xml:space="preserve">V úseku Pardubice-Rosice nad Labem – Opatovice nad Labem se dosud jízdy vlaků zabezpečují telefonickým stykem výpravčích – vlaky se nabízejí a přijímají, po dojezdu vlaku do stanice dá výpravčí telefonickou zprávu výpravčímu stanice, ze které vlak přijel, že vlak dojel. Tento způsob řízení dopravy je zcela závislý na bezchybném výkonu funkce výpravčích a v minulosti se stalo mnoho nehod i s fatálními následky právě proto, že některý z výpravčích, případně jiných pracovníků, udělal chybu. Při nasazení moderní techniky a řízení provozu z jednoho místa je taková nehoda prakticky vyloučena.   </w:t>
      </w:r>
    </w:p>
    <w:p w:rsidR="002374BF" w:rsidRPr="00C90180" w:rsidRDefault="002374BF" w:rsidP="002374BF">
      <w:r w:rsidRPr="00C90180">
        <w:t xml:space="preserve">Při mimořádných stavech, které jsou způsobeny výpadkem zařízení, kdy obsluha je nucena využívat nouzové povely (nouzové uzavření přejezdu, přivolávací návěst apod.) dálkové řízení předchází potencionálním chybám obsluhy. Je to především možností vhodnějšího volby obsluhy, jakou je i možnost přesunutí křižování vlaků do jiné dopravny s funkčním zabezpečovacím zařízením. Výhodou dálkového řízení v těchto případech je i soustředění většího množství pracovníků se shodnou kvalifikací v jedné místnosti. Pracovníci mají k dispozici přehledové zobrazení aktuální dopravní situace a podvědomě zajišťují jistou kontrolu ostatních. </w:t>
      </w:r>
    </w:p>
    <w:p w:rsidR="00AC155C" w:rsidRPr="00C90180" w:rsidRDefault="002374BF" w:rsidP="002374BF">
      <w:r w:rsidRPr="00C90180">
        <w:t>Dalším nepochybným přínosem k bezpečnosti a i k vyšší kultuře cestování je výstavba nových nástupišť a podchodů případně rekonstrukce stávajících nástupišť a podchodů. Současný přístup k vlakům, jaký je například v Pardubicích-Rosicích nad Labem a Opatovicích nad Labem jednak činí potíže zejména cestujícím se sníženou pohyblivostí, dětem a kočárkům, a zadruhé mohou být zdrojem konfliktních situací, pokud nechtěně dojde ke křížení dráhy vlaku s pohybem cestujících. Dalším efektem je zrychlení nástupu a výstupu cestujících a při nasazení nových nízkopodlažních vozidel (například nový elektrická jednotka RegioPanter) je přístup do vozidel zcela bezbariérový.</w:t>
      </w:r>
    </w:p>
    <w:p w:rsidR="00040C67" w:rsidRDefault="002374BF" w:rsidP="00040C67">
      <w:r>
        <w:t xml:space="preserve">Přesné vyčíslení popsaných účinků není reálné, a proto byly použity sazby úspor z bezpečnosti převzaté </w:t>
      </w:r>
      <w:r w:rsidR="00040C67">
        <w:t xml:space="preserve">z materiálu „Aktualizace metodiky pro výpočet efektivnosti investic na SŽDC, s.o“, MD ČR, </w:t>
      </w:r>
      <w:smartTag w:uri="urn:schemas-microsoft-com:office:smarttags" w:element="metricconverter">
        <w:smartTagPr>
          <w:attr w:name="ProductID" w:val="2009 a"/>
        </w:smartTagPr>
        <w:r w:rsidR="00040C67">
          <w:t>2009 a</w:t>
        </w:r>
      </w:smartTag>
      <w:r w:rsidR="00040C67">
        <w:t xml:space="preserve"> jsou uvažovány ve výši 3% z investičních nákladů vynaložených na příslušné stavební objekty a provozní soubory (zabezpečovací a sdělovací zařízení, nová nástupiště a podchody).</w:t>
      </w:r>
    </w:p>
    <w:p w:rsidR="004B3B41" w:rsidRDefault="004B3B41">
      <w:pPr>
        <w:suppressAutoHyphens w:val="0"/>
        <w:spacing w:before="0" w:after="0" w:line="240" w:lineRule="auto"/>
        <w:jc w:val="left"/>
      </w:pPr>
      <w:r>
        <w:br w:type="page"/>
      </w:r>
    </w:p>
    <w:p w:rsidR="00040C67" w:rsidRPr="00A72B8E" w:rsidRDefault="00040C67" w:rsidP="00040C67">
      <w:r>
        <w:t xml:space="preserve">Úspory z bezpečnosti dopravy jsou vyjádřeny od uvedení traťového úseku do provozu (r. 2016) v cenové úrovni roku </w:t>
      </w:r>
      <w:r w:rsidR="006B1CCA">
        <w:t xml:space="preserve">2013 </w:t>
      </w:r>
      <w:r>
        <w:t xml:space="preserve">a </w:t>
      </w:r>
      <w:r w:rsidRPr="00A72B8E">
        <w:t xml:space="preserve">jsou </w:t>
      </w:r>
      <w:r w:rsidR="00D540F8" w:rsidRPr="00A72B8E">
        <w:t xml:space="preserve">ve variantách Minimální a </w:t>
      </w:r>
      <w:r w:rsidR="009E270E" w:rsidRPr="00A72B8E">
        <w:t>Etapa</w:t>
      </w:r>
      <w:r w:rsidR="00D540F8" w:rsidRPr="00A72B8E">
        <w:t xml:space="preserve"> </w:t>
      </w:r>
      <w:r w:rsidRPr="00A72B8E">
        <w:t>po celou dobu hodnocení konstantní</w:t>
      </w:r>
      <w:r w:rsidR="00D540F8" w:rsidRPr="00A72B8E">
        <w:t xml:space="preserve">. Ve </w:t>
      </w:r>
      <w:r w:rsidR="009E270E" w:rsidRPr="00A72B8E">
        <w:t xml:space="preserve">variantě </w:t>
      </w:r>
      <w:r w:rsidR="00D540F8" w:rsidRPr="00495E2A">
        <w:t>Maximální</w:t>
      </w:r>
      <w:r w:rsidR="00D540F8" w:rsidRPr="00A72B8E">
        <w:t xml:space="preserve"> je uvažováno postupné uvádění do provozu a proto i úspora z bezpečnosti je uvažována částečně již po zprovoznění</w:t>
      </w:r>
      <w:r w:rsidR="00D540F8">
        <w:t xml:space="preserve"> prvního uceleného úseku (Stéblová – </w:t>
      </w:r>
      <w:r w:rsidR="00D540F8" w:rsidRPr="00A72B8E">
        <w:t>Opatovice</w:t>
      </w:r>
      <w:r w:rsidR="006B1CCA" w:rsidRPr="00A72B8E">
        <w:t> </w:t>
      </w:r>
      <w:r w:rsidR="00D540F8" w:rsidRPr="00A72B8E">
        <w:t>n.L.)</w:t>
      </w:r>
      <w:r w:rsidRPr="00A72B8E">
        <w:t>:</w:t>
      </w:r>
    </w:p>
    <w:p w:rsidR="00631EAB" w:rsidRPr="00A72B8E" w:rsidRDefault="00040C67" w:rsidP="00D20948">
      <w:pPr>
        <w:pStyle w:val="Odstavecseseznamem"/>
        <w:numPr>
          <w:ilvl w:val="0"/>
          <w:numId w:val="17"/>
        </w:numPr>
        <w:contextualSpacing/>
      </w:pPr>
      <w:r w:rsidRPr="00A72B8E">
        <w:t xml:space="preserve">varianta </w:t>
      </w:r>
      <w:r w:rsidR="00571239" w:rsidRPr="00A72B8E">
        <w:t>Minimální</w:t>
      </w:r>
      <w:r w:rsidR="00D540F8" w:rsidRPr="00A72B8E">
        <w:tab/>
      </w:r>
      <w:r w:rsidR="00D540F8" w:rsidRPr="00A72B8E">
        <w:tab/>
      </w:r>
      <w:r w:rsidR="004B3B41">
        <w:tab/>
      </w:r>
      <w:r w:rsidR="006B1CCA" w:rsidRPr="00A72B8E">
        <w:t xml:space="preserve">26 </w:t>
      </w:r>
      <w:r w:rsidR="004B61C4" w:rsidRPr="00A72B8E">
        <w:t xml:space="preserve">107 </w:t>
      </w:r>
      <w:r w:rsidRPr="00A72B8E">
        <w:t>tis. Kč/rok</w:t>
      </w:r>
      <w:r w:rsidR="00D540F8" w:rsidRPr="00A72B8E">
        <w:t xml:space="preserve"> (2016 – 2043)</w:t>
      </w:r>
      <w:r w:rsidRPr="00A72B8E">
        <w:t xml:space="preserve">, </w:t>
      </w:r>
    </w:p>
    <w:p w:rsidR="00631EAB" w:rsidRPr="00A72B8E" w:rsidRDefault="00040C67" w:rsidP="00D20948">
      <w:pPr>
        <w:pStyle w:val="Odstavecseseznamem"/>
        <w:numPr>
          <w:ilvl w:val="0"/>
          <w:numId w:val="17"/>
        </w:numPr>
        <w:contextualSpacing/>
      </w:pPr>
      <w:r w:rsidRPr="00A72B8E">
        <w:t xml:space="preserve">varianta </w:t>
      </w:r>
      <w:r w:rsidR="009E270E" w:rsidRPr="00A72B8E">
        <w:t>Etapa</w:t>
      </w:r>
      <w:r w:rsidRPr="00A72B8E">
        <w:tab/>
      </w:r>
      <w:r w:rsidRPr="00A72B8E">
        <w:tab/>
      </w:r>
      <w:r w:rsidR="004B3B41">
        <w:tab/>
      </w:r>
      <w:r w:rsidR="004B3B41">
        <w:tab/>
        <w:t xml:space="preserve"> </w:t>
      </w:r>
      <w:r w:rsidR="004B61C4" w:rsidRPr="00A72B8E">
        <w:t xml:space="preserve">6 024 </w:t>
      </w:r>
      <w:r w:rsidRPr="00A72B8E">
        <w:t>tis. Kč/rok</w:t>
      </w:r>
      <w:r w:rsidR="00D540F8" w:rsidRPr="00A72B8E">
        <w:t xml:space="preserve"> (2016 – 2043)</w:t>
      </w:r>
      <w:r w:rsidRPr="00A72B8E">
        <w:t xml:space="preserve">, </w:t>
      </w:r>
    </w:p>
    <w:p w:rsidR="00631EAB" w:rsidRPr="00A72B8E" w:rsidRDefault="00040C67" w:rsidP="00D20948">
      <w:pPr>
        <w:pStyle w:val="Odstavecseseznamem"/>
        <w:numPr>
          <w:ilvl w:val="0"/>
          <w:numId w:val="17"/>
        </w:numPr>
        <w:contextualSpacing/>
      </w:pPr>
      <w:r w:rsidRPr="00A72B8E">
        <w:t xml:space="preserve">varianta </w:t>
      </w:r>
      <w:r w:rsidR="00571239" w:rsidRPr="00A72B8E">
        <w:t>Maximální</w:t>
      </w:r>
      <w:r w:rsidRPr="00A72B8E">
        <w:tab/>
      </w:r>
      <w:r w:rsidRPr="00A72B8E">
        <w:tab/>
      </w:r>
      <w:r w:rsidR="004B3B41">
        <w:tab/>
        <w:t xml:space="preserve"> </w:t>
      </w:r>
      <w:r w:rsidR="00EF7738" w:rsidRPr="00A72B8E">
        <w:t>6 024</w:t>
      </w:r>
      <w:r w:rsidR="006B1CCA" w:rsidRPr="00A72B8E">
        <w:t xml:space="preserve"> </w:t>
      </w:r>
      <w:r w:rsidR="000A5151" w:rsidRPr="00A72B8E">
        <w:t xml:space="preserve">tis. Kč/rok (2016 – </w:t>
      </w:r>
      <w:r w:rsidR="006B1CCA" w:rsidRPr="00A72B8E">
        <w:t>2019</w:t>
      </w:r>
      <w:r w:rsidR="000A5151" w:rsidRPr="00A72B8E">
        <w:t>),</w:t>
      </w:r>
    </w:p>
    <w:p w:rsidR="006B1CCA" w:rsidRDefault="00EF7738" w:rsidP="004B3B41">
      <w:pPr>
        <w:pStyle w:val="Odstavecseseznamem"/>
        <w:ind w:left="3556" w:firstLine="698"/>
        <w:contextualSpacing/>
      </w:pPr>
      <w:r>
        <w:t>36 548</w:t>
      </w:r>
      <w:r w:rsidR="006B1CCA">
        <w:t xml:space="preserve"> </w:t>
      </w:r>
      <w:r w:rsidR="000A5151">
        <w:t>tis. Kč/rok (</w:t>
      </w:r>
      <w:r w:rsidR="006B1CCA">
        <w:t xml:space="preserve">2020 </w:t>
      </w:r>
      <w:r w:rsidR="000A5151">
        <w:t xml:space="preserve">– </w:t>
      </w:r>
      <w:r w:rsidR="006B1CCA">
        <w:t>2021</w:t>
      </w:r>
      <w:r w:rsidR="000A5151">
        <w:t>)</w:t>
      </w:r>
      <w:r w:rsidR="006B1CCA">
        <w:t>,</w:t>
      </w:r>
    </w:p>
    <w:p w:rsidR="00040C67" w:rsidRPr="00040C67" w:rsidRDefault="00EF7738" w:rsidP="004B3B41">
      <w:pPr>
        <w:pStyle w:val="Odstavecseseznamem"/>
        <w:ind w:left="3556" w:firstLine="698"/>
        <w:contextualSpacing/>
      </w:pPr>
      <w:r>
        <w:t xml:space="preserve">39 509 </w:t>
      </w:r>
      <w:r w:rsidR="006B1CCA">
        <w:t>tis. Kč/rok (2022 – 2043).</w:t>
      </w:r>
    </w:p>
    <w:p w:rsidR="00225B27" w:rsidRDefault="00225B27" w:rsidP="000D62F1">
      <w:pPr>
        <w:pStyle w:val="Nadpis3"/>
        <w:ind w:hanging="8234"/>
      </w:pPr>
      <w:r>
        <w:t>Výsledky ekonomické analýzy</w:t>
      </w:r>
    </w:p>
    <w:p w:rsidR="000A5151" w:rsidRDefault="000A5151" w:rsidP="000A5151">
      <w:r>
        <w:t>Všechny výše uvedené finanční toky byly použity při sestavení ekonomické analýzy. Při výpočtu byla použita diskontní sazba 5,5 %. Z těchto finančních toků je vypracována tabulka cash-flow a z ní odvozeno ekonomické vnitřní výnosové procento (ERR), ekonomická čistá současná hodnota (ENPV) a poměr přínosů a nákladů (B/C Ratio).</w:t>
      </w:r>
    </w:p>
    <w:p w:rsidR="000A5151" w:rsidRDefault="000A5151" w:rsidP="000A5151">
      <w:r>
        <w:t>Ekonomické příjmy a náklady, ze kterých je sestavena ekonomická analýza</w:t>
      </w:r>
      <w:r w:rsidR="00A26538">
        <w:t>,</w:t>
      </w:r>
      <w:r>
        <w:t xml:space="preserve"> jsou uvedeny v tzv. ekonomických cenách, tj. v účetních cenách, které byly získány transformací tržních cen použitých ve finanční analýze.</w:t>
      </w:r>
    </w:p>
    <w:p w:rsidR="000A5151" w:rsidRDefault="000A5151" w:rsidP="000A5151">
      <w:r>
        <w:t>V následujících tabulkách jsou uvedeny výsledky zpracované ekonomické analýzy a jednotlivé finanční toky ekonomické analýzy.</w:t>
      </w:r>
    </w:p>
    <w:p w:rsidR="00C90180" w:rsidRDefault="00C90180" w:rsidP="000A5151"/>
    <w:tbl>
      <w:tblPr>
        <w:tblW w:w="9347" w:type="dxa"/>
        <w:jc w:val="center"/>
        <w:tblInd w:w="-2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69"/>
        <w:gridCol w:w="1926"/>
        <w:gridCol w:w="1926"/>
        <w:gridCol w:w="1926"/>
      </w:tblGrid>
      <w:tr w:rsidR="004F78DD" w:rsidTr="00006758">
        <w:trPr>
          <w:jc w:val="center"/>
        </w:trPr>
        <w:tc>
          <w:tcPr>
            <w:tcW w:w="9347" w:type="dxa"/>
            <w:gridSpan w:val="4"/>
            <w:tcBorders>
              <w:bottom w:val="single" w:sz="4" w:space="0" w:color="000000"/>
            </w:tcBorders>
          </w:tcPr>
          <w:p w:rsidR="004F78DD" w:rsidRPr="004F78DD" w:rsidRDefault="004F78DD" w:rsidP="00006758">
            <w:pPr>
              <w:pStyle w:val="Titulek"/>
              <w:rPr>
                <w:rFonts w:eastAsia="Arial Unicode MS"/>
                <w:color w:val="FF0000"/>
              </w:rPr>
            </w:pPr>
            <w:bookmarkStart w:id="339" w:name="_Toc316377692"/>
            <w:bookmarkStart w:id="340" w:name="_Toc390958796"/>
            <w:bookmarkStart w:id="341" w:name="_Toc391034600"/>
            <w:r w:rsidRPr="004F78DD">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20</w:t>
            </w:r>
            <w:r w:rsidR="000E79AE">
              <w:fldChar w:fldCharType="end"/>
            </w:r>
            <w:r w:rsidRPr="004F78DD">
              <w:t>: Přehled výsledků ekonomické analýzy</w:t>
            </w:r>
            <w:bookmarkEnd w:id="339"/>
            <w:bookmarkEnd w:id="340"/>
            <w:bookmarkEnd w:id="341"/>
          </w:p>
        </w:tc>
      </w:tr>
      <w:tr w:rsidR="00006758" w:rsidTr="00006758">
        <w:trPr>
          <w:jc w:val="center"/>
        </w:trPr>
        <w:tc>
          <w:tcPr>
            <w:tcW w:w="3569" w:type="dxa"/>
            <w:tcBorders>
              <w:bottom w:val="single" w:sz="12" w:space="0" w:color="auto"/>
            </w:tcBorders>
            <w:shd w:val="pct12" w:color="auto" w:fill="auto"/>
            <w:vAlign w:val="center"/>
          </w:tcPr>
          <w:p w:rsidR="00006758" w:rsidRPr="00006758" w:rsidRDefault="00006758" w:rsidP="00006758">
            <w:pPr>
              <w:spacing w:before="100" w:beforeAutospacing="1" w:after="100" w:afterAutospacing="1"/>
              <w:jc w:val="left"/>
              <w:rPr>
                <w:rFonts w:eastAsia="Arial Unicode MS"/>
                <w:b/>
                <w:sz w:val="18"/>
              </w:rPr>
            </w:pPr>
            <w:r w:rsidRPr="00006758">
              <w:rPr>
                <w:rFonts w:eastAsia="Arial Unicode MS"/>
                <w:b/>
                <w:sz w:val="18"/>
              </w:rPr>
              <w:t>ukazatel</w:t>
            </w:r>
          </w:p>
        </w:tc>
        <w:tc>
          <w:tcPr>
            <w:tcW w:w="1926" w:type="dxa"/>
            <w:tcBorders>
              <w:bottom w:val="single" w:sz="12" w:space="0" w:color="auto"/>
            </w:tcBorders>
            <w:shd w:val="pct12" w:color="auto" w:fill="auto"/>
            <w:vAlign w:val="center"/>
          </w:tcPr>
          <w:p w:rsidR="00006758" w:rsidRPr="00006758" w:rsidRDefault="00006758" w:rsidP="00006758">
            <w:pPr>
              <w:spacing w:before="100" w:beforeAutospacing="1" w:after="100" w:afterAutospacing="1"/>
              <w:jc w:val="center"/>
              <w:rPr>
                <w:rFonts w:eastAsia="Arial Unicode MS"/>
                <w:b/>
                <w:sz w:val="18"/>
              </w:rPr>
            </w:pPr>
            <w:r w:rsidRPr="00006758">
              <w:rPr>
                <w:rFonts w:eastAsia="Arial Unicode MS"/>
                <w:b/>
                <w:sz w:val="18"/>
              </w:rPr>
              <w:t>varianta Minimální</w:t>
            </w:r>
          </w:p>
        </w:tc>
        <w:tc>
          <w:tcPr>
            <w:tcW w:w="1926" w:type="dxa"/>
            <w:tcBorders>
              <w:bottom w:val="single" w:sz="12" w:space="0" w:color="auto"/>
            </w:tcBorders>
            <w:shd w:val="pct12" w:color="auto" w:fill="auto"/>
            <w:vAlign w:val="center"/>
          </w:tcPr>
          <w:p w:rsidR="00006758" w:rsidRPr="00006758" w:rsidRDefault="00006758" w:rsidP="00006758">
            <w:pPr>
              <w:spacing w:before="100" w:beforeAutospacing="1" w:after="100" w:afterAutospacing="1"/>
              <w:jc w:val="center"/>
              <w:rPr>
                <w:rFonts w:eastAsia="Arial Unicode MS"/>
                <w:b/>
                <w:sz w:val="18"/>
              </w:rPr>
            </w:pPr>
            <w:r w:rsidRPr="00006758">
              <w:rPr>
                <w:rFonts w:eastAsia="Arial Unicode MS"/>
                <w:b/>
                <w:sz w:val="18"/>
              </w:rPr>
              <w:t>Etapa</w:t>
            </w:r>
          </w:p>
        </w:tc>
        <w:tc>
          <w:tcPr>
            <w:tcW w:w="1926" w:type="dxa"/>
            <w:tcBorders>
              <w:bottom w:val="single" w:sz="12" w:space="0" w:color="auto"/>
            </w:tcBorders>
            <w:shd w:val="pct12" w:color="auto" w:fill="auto"/>
            <w:vAlign w:val="center"/>
          </w:tcPr>
          <w:p w:rsidR="00006758" w:rsidRPr="00006758" w:rsidRDefault="00006758" w:rsidP="00006758">
            <w:pPr>
              <w:spacing w:before="100" w:beforeAutospacing="1" w:after="100" w:afterAutospacing="1"/>
              <w:jc w:val="center"/>
              <w:rPr>
                <w:rFonts w:eastAsia="Arial Unicode MS"/>
                <w:b/>
                <w:sz w:val="18"/>
              </w:rPr>
            </w:pPr>
            <w:r w:rsidRPr="00006758">
              <w:rPr>
                <w:rFonts w:eastAsia="Arial Unicode MS"/>
                <w:b/>
                <w:sz w:val="18"/>
              </w:rPr>
              <w:t>varianta Maximální</w:t>
            </w:r>
          </w:p>
        </w:tc>
      </w:tr>
      <w:tr w:rsidR="00006758" w:rsidTr="00006758">
        <w:trPr>
          <w:jc w:val="center"/>
        </w:trPr>
        <w:tc>
          <w:tcPr>
            <w:tcW w:w="3569" w:type="dxa"/>
            <w:tcBorders>
              <w:top w:val="single" w:sz="12" w:space="0" w:color="auto"/>
            </w:tcBorders>
            <w:shd w:val="pct12" w:color="auto" w:fill="auto"/>
          </w:tcPr>
          <w:p w:rsidR="00006758" w:rsidRPr="00006758" w:rsidRDefault="00006758" w:rsidP="00006758">
            <w:pPr>
              <w:spacing w:before="60" w:after="60"/>
              <w:rPr>
                <w:rFonts w:eastAsia="Arial Unicode MS"/>
                <w:sz w:val="18"/>
              </w:rPr>
            </w:pPr>
            <w:r w:rsidRPr="00006758">
              <w:rPr>
                <w:rFonts w:eastAsia="Arial Unicode MS"/>
                <w:sz w:val="18"/>
              </w:rPr>
              <w:t>ERR [%]</w:t>
            </w:r>
          </w:p>
        </w:tc>
        <w:tc>
          <w:tcPr>
            <w:tcW w:w="1926" w:type="dxa"/>
            <w:tcBorders>
              <w:top w:val="single" w:sz="12" w:space="0" w:color="auto"/>
            </w:tcBorders>
            <w:vAlign w:val="center"/>
          </w:tcPr>
          <w:p w:rsidR="00006758" w:rsidRPr="00006758" w:rsidRDefault="00006758" w:rsidP="00006758">
            <w:pPr>
              <w:spacing w:before="60" w:after="60"/>
              <w:ind w:right="428"/>
              <w:jc w:val="right"/>
              <w:rPr>
                <w:rFonts w:eastAsia="Arial Unicode MS"/>
                <w:bCs/>
                <w:kern w:val="28"/>
                <w:sz w:val="18"/>
              </w:rPr>
            </w:pPr>
            <w:r w:rsidRPr="00006758">
              <w:rPr>
                <w:rFonts w:eastAsia="Arial Unicode MS"/>
                <w:sz w:val="18"/>
              </w:rPr>
              <w:t>3,27</w:t>
            </w:r>
          </w:p>
        </w:tc>
        <w:tc>
          <w:tcPr>
            <w:tcW w:w="1926" w:type="dxa"/>
            <w:tcBorders>
              <w:top w:val="single" w:sz="12" w:space="0" w:color="auto"/>
            </w:tcBorders>
            <w:vAlign w:val="center"/>
          </w:tcPr>
          <w:p w:rsidR="00006758" w:rsidRPr="00006758" w:rsidRDefault="00006758" w:rsidP="00006758">
            <w:pPr>
              <w:spacing w:before="60" w:after="60"/>
              <w:ind w:right="428"/>
              <w:jc w:val="right"/>
              <w:rPr>
                <w:rFonts w:eastAsia="Arial Unicode MS"/>
                <w:bCs/>
                <w:kern w:val="28"/>
                <w:sz w:val="18"/>
              </w:rPr>
            </w:pPr>
            <w:r w:rsidRPr="00006758">
              <w:rPr>
                <w:rFonts w:eastAsia="Arial Unicode MS"/>
                <w:sz w:val="18"/>
              </w:rPr>
              <w:t>16,23</w:t>
            </w:r>
          </w:p>
        </w:tc>
        <w:tc>
          <w:tcPr>
            <w:tcW w:w="1926" w:type="dxa"/>
            <w:tcBorders>
              <w:top w:val="single" w:sz="12" w:space="0" w:color="auto"/>
            </w:tcBorders>
            <w:vAlign w:val="center"/>
          </w:tcPr>
          <w:p w:rsidR="00006758" w:rsidRPr="00006758" w:rsidRDefault="00006758" w:rsidP="00006758">
            <w:pPr>
              <w:spacing w:before="60" w:after="60"/>
              <w:ind w:right="428"/>
              <w:jc w:val="right"/>
              <w:rPr>
                <w:rFonts w:eastAsia="Arial Unicode MS"/>
                <w:bCs/>
                <w:kern w:val="28"/>
                <w:sz w:val="18"/>
              </w:rPr>
            </w:pPr>
            <w:r w:rsidRPr="00006758">
              <w:rPr>
                <w:rFonts w:eastAsia="Arial Unicode MS"/>
                <w:sz w:val="18"/>
              </w:rPr>
              <w:t>7,27</w:t>
            </w:r>
          </w:p>
        </w:tc>
      </w:tr>
      <w:tr w:rsidR="00006758" w:rsidTr="00006758">
        <w:trPr>
          <w:jc w:val="center"/>
        </w:trPr>
        <w:tc>
          <w:tcPr>
            <w:tcW w:w="3569" w:type="dxa"/>
            <w:shd w:val="pct12" w:color="auto" w:fill="auto"/>
          </w:tcPr>
          <w:p w:rsidR="00006758" w:rsidRPr="00006758" w:rsidRDefault="00006758" w:rsidP="00006758">
            <w:pPr>
              <w:spacing w:before="60" w:after="60"/>
              <w:rPr>
                <w:rFonts w:eastAsia="Arial Unicode MS"/>
                <w:sz w:val="18"/>
              </w:rPr>
            </w:pPr>
            <w:r w:rsidRPr="00006758">
              <w:rPr>
                <w:rFonts w:eastAsia="Arial Unicode MS"/>
                <w:sz w:val="18"/>
              </w:rPr>
              <w:t>ENPV [tis. Kč]</w:t>
            </w:r>
          </w:p>
        </w:tc>
        <w:tc>
          <w:tcPr>
            <w:tcW w:w="1926" w:type="dxa"/>
            <w:vAlign w:val="center"/>
          </w:tcPr>
          <w:p w:rsidR="00006758" w:rsidRPr="00006758" w:rsidRDefault="00006758" w:rsidP="00006758">
            <w:pPr>
              <w:spacing w:before="60" w:after="60"/>
              <w:ind w:right="428"/>
              <w:jc w:val="right"/>
              <w:rPr>
                <w:rFonts w:eastAsia="Arial Unicode MS"/>
                <w:bCs/>
                <w:kern w:val="28"/>
                <w:sz w:val="18"/>
              </w:rPr>
            </w:pPr>
            <w:r w:rsidRPr="00006758">
              <w:rPr>
                <w:rFonts w:eastAsia="Arial Unicode MS"/>
                <w:sz w:val="18"/>
              </w:rPr>
              <w:t>- 184 406</w:t>
            </w:r>
          </w:p>
        </w:tc>
        <w:tc>
          <w:tcPr>
            <w:tcW w:w="1926" w:type="dxa"/>
            <w:vAlign w:val="center"/>
          </w:tcPr>
          <w:p w:rsidR="00006758" w:rsidRPr="00006758" w:rsidRDefault="00006758" w:rsidP="00006758">
            <w:pPr>
              <w:spacing w:before="60" w:after="60"/>
              <w:ind w:right="428"/>
              <w:jc w:val="right"/>
              <w:rPr>
                <w:rFonts w:eastAsia="Arial Unicode MS"/>
                <w:bCs/>
                <w:kern w:val="28"/>
                <w:sz w:val="18"/>
              </w:rPr>
            </w:pPr>
            <w:r w:rsidRPr="00006758">
              <w:rPr>
                <w:rFonts w:eastAsia="Arial Unicode MS"/>
                <w:sz w:val="18"/>
              </w:rPr>
              <w:t>949 570</w:t>
            </w:r>
          </w:p>
        </w:tc>
        <w:tc>
          <w:tcPr>
            <w:tcW w:w="1926" w:type="dxa"/>
            <w:vAlign w:val="center"/>
          </w:tcPr>
          <w:p w:rsidR="00006758" w:rsidRPr="00006758" w:rsidRDefault="00006758" w:rsidP="00006758">
            <w:pPr>
              <w:spacing w:before="60" w:after="60"/>
              <w:ind w:right="428"/>
              <w:jc w:val="right"/>
              <w:rPr>
                <w:rFonts w:eastAsia="Arial Unicode MS"/>
                <w:bCs/>
                <w:kern w:val="28"/>
                <w:sz w:val="18"/>
              </w:rPr>
            </w:pPr>
            <w:r w:rsidRPr="00006758">
              <w:rPr>
                <w:rFonts w:eastAsia="Arial Unicode MS"/>
                <w:sz w:val="18"/>
              </w:rPr>
              <w:t>454 675</w:t>
            </w:r>
          </w:p>
        </w:tc>
      </w:tr>
      <w:tr w:rsidR="00006758" w:rsidTr="00006758">
        <w:trPr>
          <w:jc w:val="center"/>
        </w:trPr>
        <w:tc>
          <w:tcPr>
            <w:tcW w:w="3569" w:type="dxa"/>
            <w:shd w:val="pct12" w:color="auto" w:fill="auto"/>
          </w:tcPr>
          <w:p w:rsidR="00006758" w:rsidRPr="00006758" w:rsidRDefault="00006758" w:rsidP="00006758">
            <w:pPr>
              <w:spacing w:before="60" w:after="60"/>
              <w:rPr>
                <w:rFonts w:eastAsia="Arial Unicode MS"/>
                <w:sz w:val="18"/>
              </w:rPr>
            </w:pPr>
            <w:r w:rsidRPr="00006758">
              <w:rPr>
                <w:rFonts w:eastAsia="Arial Unicode MS"/>
                <w:sz w:val="18"/>
              </w:rPr>
              <w:t>B/C Ratio</w:t>
            </w:r>
          </w:p>
        </w:tc>
        <w:tc>
          <w:tcPr>
            <w:tcW w:w="1926" w:type="dxa"/>
            <w:vAlign w:val="center"/>
          </w:tcPr>
          <w:p w:rsidR="00006758" w:rsidRPr="00006758" w:rsidRDefault="00006758" w:rsidP="00006758">
            <w:pPr>
              <w:spacing w:before="60" w:after="60"/>
              <w:ind w:right="428"/>
              <w:jc w:val="right"/>
              <w:rPr>
                <w:rFonts w:eastAsia="Arial Unicode MS"/>
                <w:bCs/>
                <w:kern w:val="28"/>
                <w:sz w:val="18"/>
              </w:rPr>
            </w:pPr>
            <w:r w:rsidRPr="00006758">
              <w:rPr>
                <w:rFonts w:eastAsia="Arial Unicode MS"/>
                <w:sz w:val="18"/>
              </w:rPr>
              <w:t>0,897</w:t>
            </w:r>
          </w:p>
        </w:tc>
        <w:tc>
          <w:tcPr>
            <w:tcW w:w="1926" w:type="dxa"/>
            <w:vAlign w:val="center"/>
          </w:tcPr>
          <w:p w:rsidR="00006758" w:rsidRPr="00006758" w:rsidRDefault="00006758" w:rsidP="00006758">
            <w:pPr>
              <w:spacing w:before="60" w:after="60"/>
              <w:ind w:right="428"/>
              <w:jc w:val="right"/>
              <w:rPr>
                <w:rFonts w:eastAsia="Arial Unicode MS"/>
                <w:bCs/>
                <w:kern w:val="28"/>
                <w:sz w:val="18"/>
              </w:rPr>
            </w:pPr>
            <w:r w:rsidRPr="00006758">
              <w:rPr>
                <w:rFonts w:eastAsia="Arial Unicode MS"/>
                <w:sz w:val="18"/>
              </w:rPr>
              <w:t>2,194</w:t>
            </w:r>
          </w:p>
        </w:tc>
        <w:tc>
          <w:tcPr>
            <w:tcW w:w="1926" w:type="dxa"/>
            <w:vAlign w:val="center"/>
          </w:tcPr>
          <w:p w:rsidR="00006758" w:rsidRPr="00006758" w:rsidRDefault="00006758" w:rsidP="00006758">
            <w:pPr>
              <w:spacing w:before="60" w:after="60"/>
              <w:ind w:right="428"/>
              <w:jc w:val="right"/>
              <w:rPr>
                <w:rFonts w:eastAsia="Arial Unicode MS"/>
                <w:bCs/>
                <w:kern w:val="28"/>
                <w:sz w:val="18"/>
              </w:rPr>
            </w:pPr>
            <w:r w:rsidRPr="00006758">
              <w:rPr>
                <w:rFonts w:eastAsia="Arial Unicode MS"/>
                <w:sz w:val="18"/>
              </w:rPr>
              <w:t>1,137</w:t>
            </w:r>
          </w:p>
        </w:tc>
      </w:tr>
    </w:tbl>
    <w:p w:rsidR="00E816C7" w:rsidRDefault="00E816C7" w:rsidP="000A5151"/>
    <w:p w:rsidR="00E816C7" w:rsidRDefault="00E816C7" w:rsidP="000A5151">
      <w:pPr>
        <w:sectPr w:rsidR="00E816C7" w:rsidSect="00426813">
          <w:footerReference w:type="default" r:id="rId107"/>
          <w:footnotePr>
            <w:pos w:val="beneathText"/>
          </w:footnotePr>
          <w:pgSz w:w="11905" w:h="16837" w:code="9"/>
          <w:pgMar w:top="1492" w:right="1134" w:bottom="1134" w:left="1418" w:header="709" w:footer="215" w:gutter="0"/>
          <w:cols w:space="708"/>
          <w:docGrid w:linePitch="360"/>
        </w:sectPr>
      </w:pPr>
    </w:p>
    <w:tbl>
      <w:tblPr>
        <w:tblW w:w="141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1225"/>
        <w:gridCol w:w="1043"/>
        <w:gridCol w:w="1560"/>
        <w:gridCol w:w="1134"/>
        <w:gridCol w:w="1163"/>
        <w:gridCol w:w="1226"/>
        <w:gridCol w:w="1154"/>
        <w:gridCol w:w="1139"/>
        <w:gridCol w:w="1382"/>
        <w:gridCol w:w="1307"/>
        <w:gridCol w:w="1144"/>
      </w:tblGrid>
      <w:tr w:rsidR="00E43AAA" w:rsidTr="00B11F55">
        <w:trPr>
          <w:cantSplit/>
          <w:trHeight w:val="20"/>
          <w:jc w:val="center"/>
        </w:trPr>
        <w:tc>
          <w:tcPr>
            <w:tcW w:w="14152" w:type="dxa"/>
            <w:gridSpan w:val="12"/>
            <w:tcBorders>
              <w:bottom w:val="single" w:sz="4" w:space="0" w:color="000000"/>
            </w:tcBorders>
          </w:tcPr>
          <w:p w:rsidR="006819BA" w:rsidRDefault="00E43AAA" w:rsidP="00B11F55">
            <w:pPr>
              <w:pStyle w:val="Titulek"/>
            </w:pPr>
            <w:bookmarkStart w:id="342" w:name="_Toc316377693"/>
            <w:bookmarkStart w:id="343" w:name="_Toc390958797"/>
            <w:bookmarkStart w:id="344" w:name="_Toc391034601"/>
            <w:r w:rsidRPr="00E43AAA">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21</w:t>
            </w:r>
            <w:r w:rsidR="000E79AE">
              <w:fldChar w:fldCharType="end"/>
            </w:r>
            <w:r w:rsidRPr="00E43AAA">
              <w:t xml:space="preserve">: Ekonomická analýza varianta </w:t>
            </w:r>
            <w:r>
              <w:t>Minimální</w:t>
            </w:r>
            <w:r w:rsidRPr="00E43AAA">
              <w:t xml:space="preserve"> v tis. Kč (CÚ </w:t>
            </w:r>
            <w:r w:rsidR="00D35BA3" w:rsidRPr="00E43AAA">
              <w:t>201</w:t>
            </w:r>
            <w:r w:rsidR="00D35BA3">
              <w:t>3</w:t>
            </w:r>
            <w:r w:rsidRPr="00E43AAA">
              <w:t>)</w:t>
            </w:r>
            <w:bookmarkEnd w:id="342"/>
            <w:bookmarkEnd w:id="343"/>
            <w:bookmarkEnd w:id="344"/>
          </w:p>
        </w:tc>
      </w:tr>
      <w:tr w:rsidR="00E43AAA" w:rsidTr="00B11F55">
        <w:trPr>
          <w:cantSplit/>
          <w:trHeight w:val="20"/>
          <w:jc w:val="center"/>
        </w:trPr>
        <w:tc>
          <w:tcPr>
            <w:tcW w:w="675" w:type="dxa"/>
            <w:tcBorders>
              <w:bottom w:val="single" w:sz="12" w:space="0" w:color="auto"/>
            </w:tcBorders>
            <w:shd w:val="pct12" w:color="auto" w:fill="auto"/>
            <w:vAlign w:val="center"/>
          </w:tcPr>
          <w:p w:rsidR="00E43AAA" w:rsidRPr="00B11F55" w:rsidRDefault="00E43AAA" w:rsidP="00B11F55">
            <w:pPr>
              <w:spacing w:before="100" w:beforeAutospacing="1" w:after="100" w:afterAutospacing="1" w:line="264" w:lineRule="auto"/>
              <w:rPr>
                <w:rFonts w:eastAsia="Arial Unicode MS"/>
                <w:b/>
                <w:sz w:val="18"/>
                <w:szCs w:val="18"/>
              </w:rPr>
            </w:pPr>
            <w:r w:rsidRPr="00B11F55">
              <w:rPr>
                <w:rFonts w:eastAsia="Arial Unicode MS"/>
                <w:b/>
                <w:sz w:val="18"/>
                <w:szCs w:val="18"/>
              </w:rPr>
              <w:t>rok</w:t>
            </w:r>
          </w:p>
        </w:tc>
        <w:tc>
          <w:tcPr>
            <w:tcW w:w="1225" w:type="dxa"/>
            <w:tcBorders>
              <w:bottom w:val="single" w:sz="12" w:space="0" w:color="auto"/>
            </w:tcBorders>
            <w:shd w:val="pct12" w:color="auto" w:fill="auto"/>
            <w:vAlign w:val="center"/>
          </w:tcPr>
          <w:p w:rsidR="00E43AAA" w:rsidRPr="00B11F55" w:rsidRDefault="00E43AAA" w:rsidP="00B11F55">
            <w:pPr>
              <w:spacing w:before="100" w:beforeAutospacing="1" w:after="100" w:afterAutospacing="1" w:line="264" w:lineRule="auto"/>
              <w:jc w:val="center"/>
              <w:rPr>
                <w:rFonts w:eastAsia="Arial Unicode MS"/>
                <w:b/>
                <w:sz w:val="18"/>
                <w:szCs w:val="18"/>
              </w:rPr>
            </w:pPr>
            <w:r w:rsidRPr="00B11F55">
              <w:rPr>
                <w:rFonts w:eastAsia="Arial Unicode MS"/>
                <w:b/>
                <w:sz w:val="18"/>
                <w:szCs w:val="18"/>
              </w:rPr>
              <w:t>investiční náklady</w:t>
            </w:r>
          </w:p>
        </w:tc>
        <w:tc>
          <w:tcPr>
            <w:tcW w:w="1043" w:type="dxa"/>
            <w:tcBorders>
              <w:bottom w:val="single" w:sz="12" w:space="0" w:color="auto"/>
            </w:tcBorders>
            <w:shd w:val="pct12" w:color="auto" w:fill="auto"/>
            <w:vAlign w:val="center"/>
          </w:tcPr>
          <w:p w:rsidR="00E43AAA" w:rsidRPr="00B11F55" w:rsidRDefault="00E43AAA" w:rsidP="00B11F55">
            <w:pPr>
              <w:spacing w:before="100" w:beforeAutospacing="1" w:after="100" w:afterAutospacing="1" w:line="264" w:lineRule="auto"/>
              <w:jc w:val="center"/>
              <w:rPr>
                <w:rFonts w:eastAsia="Arial Unicode MS"/>
                <w:b/>
                <w:sz w:val="18"/>
                <w:szCs w:val="18"/>
              </w:rPr>
            </w:pPr>
            <w:r w:rsidRPr="00B11F55">
              <w:rPr>
                <w:rFonts w:eastAsia="Arial Unicode MS"/>
                <w:b/>
                <w:sz w:val="18"/>
                <w:szCs w:val="18"/>
              </w:rPr>
              <w:t>zbytková hodnota</w:t>
            </w:r>
          </w:p>
        </w:tc>
        <w:tc>
          <w:tcPr>
            <w:tcW w:w="1560" w:type="dxa"/>
            <w:tcBorders>
              <w:bottom w:val="single" w:sz="12" w:space="0" w:color="auto"/>
            </w:tcBorders>
            <w:shd w:val="pct12" w:color="auto" w:fill="auto"/>
            <w:vAlign w:val="center"/>
          </w:tcPr>
          <w:p w:rsidR="00E43AAA" w:rsidRPr="00B11F55" w:rsidRDefault="00E43AAA" w:rsidP="00B11F55">
            <w:pPr>
              <w:spacing w:before="100" w:beforeAutospacing="1" w:after="100" w:afterAutospacing="1" w:line="264" w:lineRule="auto"/>
              <w:jc w:val="center"/>
              <w:rPr>
                <w:rFonts w:eastAsia="Arial Unicode MS"/>
                <w:b/>
                <w:sz w:val="18"/>
                <w:szCs w:val="18"/>
              </w:rPr>
            </w:pPr>
            <w:r w:rsidRPr="00B11F55">
              <w:rPr>
                <w:rFonts w:eastAsia="Arial Unicode MS"/>
                <w:b/>
                <w:sz w:val="18"/>
                <w:szCs w:val="18"/>
              </w:rPr>
              <w:t>úspora PN na řízení dopravy</w:t>
            </w:r>
          </w:p>
        </w:tc>
        <w:tc>
          <w:tcPr>
            <w:tcW w:w="1134" w:type="dxa"/>
            <w:tcBorders>
              <w:bottom w:val="single" w:sz="12" w:space="0" w:color="auto"/>
            </w:tcBorders>
            <w:shd w:val="pct12" w:color="auto" w:fill="auto"/>
            <w:vAlign w:val="center"/>
          </w:tcPr>
          <w:p w:rsidR="00E43AAA" w:rsidRPr="00B11F55" w:rsidRDefault="00E43AAA" w:rsidP="00B11F55">
            <w:pPr>
              <w:spacing w:before="100" w:beforeAutospacing="1" w:after="100" w:afterAutospacing="1" w:line="264" w:lineRule="auto"/>
              <w:jc w:val="center"/>
              <w:rPr>
                <w:rFonts w:eastAsia="Arial Unicode MS"/>
                <w:b/>
                <w:sz w:val="18"/>
                <w:szCs w:val="18"/>
              </w:rPr>
            </w:pPr>
            <w:r w:rsidRPr="00B11F55">
              <w:rPr>
                <w:rFonts w:eastAsia="Arial Unicode MS"/>
                <w:b/>
                <w:sz w:val="18"/>
                <w:szCs w:val="18"/>
              </w:rPr>
              <w:t>úspora PN infra.</w:t>
            </w:r>
          </w:p>
        </w:tc>
        <w:tc>
          <w:tcPr>
            <w:tcW w:w="1163" w:type="dxa"/>
            <w:tcBorders>
              <w:bottom w:val="single" w:sz="12" w:space="0" w:color="auto"/>
            </w:tcBorders>
            <w:shd w:val="pct12" w:color="auto" w:fill="auto"/>
            <w:vAlign w:val="center"/>
          </w:tcPr>
          <w:p w:rsidR="00E43AAA" w:rsidRPr="00B11F55" w:rsidRDefault="00E43AAA" w:rsidP="00B11F55">
            <w:pPr>
              <w:spacing w:before="100" w:beforeAutospacing="1" w:after="100" w:afterAutospacing="1" w:line="264" w:lineRule="auto"/>
              <w:jc w:val="center"/>
              <w:rPr>
                <w:rFonts w:eastAsia="Arial Unicode MS"/>
                <w:b/>
                <w:sz w:val="18"/>
                <w:szCs w:val="18"/>
              </w:rPr>
            </w:pPr>
            <w:r w:rsidRPr="00B11F55">
              <w:rPr>
                <w:rFonts w:eastAsia="Arial Unicode MS"/>
                <w:b/>
                <w:sz w:val="18"/>
                <w:szCs w:val="18"/>
              </w:rPr>
              <w:t>úspora PN vlaků</w:t>
            </w:r>
          </w:p>
        </w:tc>
        <w:tc>
          <w:tcPr>
            <w:tcW w:w="1226" w:type="dxa"/>
            <w:tcBorders>
              <w:bottom w:val="single" w:sz="12" w:space="0" w:color="auto"/>
            </w:tcBorders>
            <w:shd w:val="pct12" w:color="auto" w:fill="auto"/>
            <w:vAlign w:val="center"/>
          </w:tcPr>
          <w:p w:rsidR="00E43AAA" w:rsidRPr="00B11F55" w:rsidRDefault="00E43AAA" w:rsidP="00B11F55">
            <w:pPr>
              <w:spacing w:before="100" w:beforeAutospacing="1" w:after="100" w:afterAutospacing="1" w:line="264" w:lineRule="auto"/>
              <w:jc w:val="center"/>
              <w:rPr>
                <w:rFonts w:eastAsia="Arial Unicode MS"/>
                <w:b/>
                <w:sz w:val="18"/>
                <w:szCs w:val="18"/>
              </w:rPr>
            </w:pPr>
            <w:r w:rsidRPr="00B11F55">
              <w:rPr>
                <w:rFonts w:eastAsia="Arial Unicode MS"/>
                <w:b/>
                <w:sz w:val="18"/>
                <w:szCs w:val="18"/>
              </w:rPr>
              <w:t>úspora PN silnice</w:t>
            </w:r>
          </w:p>
        </w:tc>
        <w:tc>
          <w:tcPr>
            <w:tcW w:w="1154" w:type="dxa"/>
            <w:tcBorders>
              <w:bottom w:val="single" w:sz="12" w:space="0" w:color="auto"/>
            </w:tcBorders>
            <w:shd w:val="pct12" w:color="auto" w:fill="auto"/>
            <w:vAlign w:val="center"/>
          </w:tcPr>
          <w:p w:rsidR="00E43AAA" w:rsidRPr="00B11F55" w:rsidRDefault="00E43AAA" w:rsidP="00B11F55">
            <w:pPr>
              <w:spacing w:before="100" w:beforeAutospacing="1" w:after="100" w:afterAutospacing="1" w:line="264" w:lineRule="auto"/>
              <w:jc w:val="center"/>
              <w:rPr>
                <w:rFonts w:eastAsia="Arial Unicode MS"/>
                <w:b/>
                <w:sz w:val="18"/>
                <w:szCs w:val="18"/>
              </w:rPr>
            </w:pPr>
            <w:r w:rsidRPr="00B11F55">
              <w:rPr>
                <w:rFonts w:eastAsia="Arial Unicode MS"/>
                <w:b/>
                <w:sz w:val="18"/>
                <w:szCs w:val="18"/>
              </w:rPr>
              <w:t>úspora času</w:t>
            </w:r>
          </w:p>
        </w:tc>
        <w:tc>
          <w:tcPr>
            <w:tcW w:w="1139" w:type="dxa"/>
            <w:tcBorders>
              <w:bottom w:val="single" w:sz="12" w:space="0" w:color="auto"/>
            </w:tcBorders>
            <w:shd w:val="pct12" w:color="auto" w:fill="auto"/>
            <w:vAlign w:val="center"/>
          </w:tcPr>
          <w:p w:rsidR="00E43AAA" w:rsidRPr="00B11F55" w:rsidRDefault="00E43AAA" w:rsidP="00B11F55">
            <w:pPr>
              <w:spacing w:before="100" w:beforeAutospacing="1" w:after="100" w:afterAutospacing="1" w:line="264" w:lineRule="auto"/>
              <w:jc w:val="center"/>
              <w:rPr>
                <w:rFonts w:eastAsia="Arial Unicode MS"/>
                <w:b/>
                <w:sz w:val="18"/>
                <w:szCs w:val="18"/>
              </w:rPr>
            </w:pPr>
            <w:r w:rsidRPr="00B11F55">
              <w:rPr>
                <w:rFonts w:eastAsia="Arial Unicode MS"/>
                <w:b/>
                <w:sz w:val="18"/>
                <w:szCs w:val="18"/>
              </w:rPr>
              <w:t>úspora VN</w:t>
            </w:r>
          </w:p>
        </w:tc>
        <w:tc>
          <w:tcPr>
            <w:tcW w:w="1382" w:type="dxa"/>
            <w:tcBorders>
              <w:bottom w:val="single" w:sz="12" w:space="0" w:color="auto"/>
            </w:tcBorders>
            <w:shd w:val="pct12" w:color="auto" w:fill="auto"/>
            <w:vAlign w:val="center"/>
          </w:tcPr>
          <w:p w:rsidR="00E43AAA" w:rsidRPr="00B11F55" w:rsidRDefault="00E43AAA" w:rsidP="00B11F55">
            <w:pPr>
              <w:spacing w:before="100" w:beforeAutospacing="1" w:after="100" w:afterAutospacing="1" w:line="264" w:lineRule="auto"/>
              <w:jc w:val="center"/>
              <w:rPr>
                <w:rFonts w:eastAsia="Arial Unicode MS"/>
                <w:b/>
                <w:sz w:val="18"/>
                <w:szCs w:val="18"/>
              </w:rPr>
            </w:pPr>
            <w:r w:rsidRPr="00B11F55">
              <w:rPr>
                <w:rFonts w:eastAsia="Arial Unicode MS"/>
                <w:b/>
                <w:sz w:val="18"/>
                <w:szCs w:val="18"/>
              </w:rPr>
              <w:t>úspora bezpečnosti</w:t>
            </w:r>
          </w:p>
        </w:tc>
        <w:tc>
          <w:tcPr>
            <w:tcW w:w="1307" w:type="dxa"/>
            <w:tcBorders>
              <w:bottom w:val="single" w:sz="12" w:space="0" w:color="auto"/>
            </w:tcBorders>
            <w:shd w:val="pct12" w:color="auto" w:fill="auto"/>
            <w:vAlign w:val="center"/>
          </w:tcPr>
          <w:p w:rsidR="00E43AAA" w:rsidRPr="00B11F55" w:rsidRDefault="00E43AAA" w:rsidP="00B11F55">
            <w:pPr>
              <w:spacing w:before="100" w:beforeAutospacing="1" w:after="100" w:afterAutospacing="1" w:line="264" w:lineRule="auto"/>
              <w:jc w:val="center"/>
              <w:rPr>
                <w:rFonts w:eastAsia="Arial Unicode MS"/>
                <w:b/>
                <w:sz w:val="18"/>
                <w:szCs w:val="18"/>
              </w:rPr>
            </w:pPr>
            <w:r w:rsidRPr="00B11F55">
              <w:rPr>
                <w:rFonts w:eastAsia="Arial Unicode MS"/>
                <w:b/>
                <w:sz w:val="18"/>
                <w:szCs w:val="18"/>
              </w:rPr>
              <w:t>cash flow</w:t>
            </w:r>
          </w:p>
        </w:tc>
        <w:tc>
          <w:tcPr>
            <w:tcW w:w="1144" w:type="dxa"/>
            <w:tcBorders>
              <w:bottom w:val="single" w:sz="12" w:space="0" w:color="auto"/>
            </w:tcBorders>
            <w:shd w:val="pct12" w:color="auto" w:fill="auto"/>
            <w:vAlign w:val="center"/>
          </w:tcPr>
          <w:p w:rsidR="00E43AAA" w:rsidRPr="00B11F55" w:rsidRDefault="00E43AAA" w:rsidP="00B11F55">
            <w:pPr>
              <w:spacing w:before="100" w:beforeAutospacing="1" w:after="100" w:afterAutospacing="1" w:line="264" w:lineRule="auto"/>
              <w:jc w:val="center"/>
              <w:rPr>
                <w:rFonts w:eastAsia="Arial Unicode MS"/>
                <w:b/>
                <w:sz w:val="18"/>
                <w:szCs w:val="18"/>
              </w:rPr>
            </w:pPr>
            <w:r w:rsidRPr="00B11F55">
              <w:rPr>
                <w:rFonts w:eastAsia="Arial Unicode MS"/>
                <w:b/>
                <w:sz w:val="18"/>
                <w:szCs w:val="18"/>
              </w:rPr>
              <w:t>Kumul. CF</w:t>
            </w:r>
          </w:p>
        </w:tc>
      </w:tr>
      <w:tr w:rsidR="00971524" w:rsidTr="00B11F55">
        <w:trPr>
          <w:cantSplit/>
          <w:trHeight w:val="20"/>
          <w:jc w:val="center"/>
        </w:trPr>
        <w:tc>
          <w:tcPr>
            <w:tcW w:w="675" w:type="dxa"/>
            <w:tcBorders>
              <w:top w:val="single" w:sz="12" w:space="0" w:color="auto"/>
            </w:tcBorders>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2014</w:t>
            </w:r>
          </w:p>
        </w:tc>
        <w:tc>
          <w:tcPr>
            <w:tcW w:w="1225" w:type="dxa"/>
            <w:tcBorders>
              <w:top w:val="single" w:sz="12" w:space="0" w:color="auto"/>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753 693</w:t>
            </w:r>
          </w:p>
        </w:tc>
        <w:tc>
          <w:tcPr>
            <w:tcW w:w="1043" w:type="dxa"/>
            <w:tcBorders>
              <w:top w:val="single" w:sz="12" w:space="0" w:color="auto"/>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tcBorders>
              <w:top w:val="single" w:sz="12" w:space="0" w:color="auto"/>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4" w:type="dxa"/>
            <w:tcBorders>
              <w:top w:val="single" w:sz="12" w:space="0" w:color="auto"/>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138 006</w:t>
            </w:r>
          </w:p>
        </w:tc>
        <w:tc>
          <w:tcPr>
            <w:tcW w:w="1163" w:type="dxa"/>
            <w:tcBorders>
              <w:top w:val="single" w:sz="12" w:space="0" w:color="auto"/>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tcBorders>
              <w:top w:val="single" w:sz="12" w:space="0" w:color="auto"/>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tcBorders>
              <w:top w:val="single" w:sz="12" w:space="0" w:color="auto"/>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tcBorders>
              <w:top w:val="single" w:sz="12" w:space="0" w:color="auto"/>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tcBorders>
              <w:top w:val="single" w:sz="12" w:space="0" w:color="auto"/>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07" w:type="dxa"/>
            <w:tcBorders>
              <w:top w:val="single" w:sz="12" w:space="0" w:color="auto"/>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-615 687</w:t>
            </w:r>
          </w:p>
        </w:tc>
        <w:tc>
          <w:tcPr>
            <w:tcW w:w="1144" w:type="dxa"/>
            <w:tcBorders>
              <w:top w:val="single" w:sz="12" w:space="0" w:color="auto"/>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-615 687</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2015</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1 122 460</w:t>
            </w: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-2 056</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262 504</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-862 011</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-1 477 698</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2016</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15 801</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326 617</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368 525</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-1 109 173</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2017</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16 196</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286 746</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329 050</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-780 123</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2018</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16 990</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78 037</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121 133</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-658 990</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2019</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13 772</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1 548</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41 426</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-617 564</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2020</w:t>
            </w:r>
          </w:p>
        </w:tc>
        <w:tc>
          <w:tcPr>
            <w:tcW w:w="1225"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14 116</w:t>
            </w:r>
          </w:p>
        </w:tc>
        <w:tc>
          <w:tcPr>
            <w:tcW w:w="1134"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157 029</w:t>
            </w:r>
          </w:p>
        </w:tc>
        <w:tc>
          <w:tcPr>
            <w:tcW w:w="1163"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197 252</w:t>
            </w:r>
          </w:p>
        </w:tc>
        <w:tc>
          <w:tcPr>
            <w:tcW w:w="1144"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-420 312</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2021</w:t>
            </w:r>
          </w:p>
        </w:tc>
        <w:tc>
          <w:tcPr>
            <w:tcW w:w="1225"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14 469</w:t>
            </w:r>
          </w:p>
        </w:tc>
        <w:tc>
          <w:tcPr>
            <w:tcW w:w="1134"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607</w:t>
            </w:r>
          </w:p>
        </w:tc>
        <w:tc>
          <w:tcPr>
            <w:tcW w:w="1163"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41 183</w:t>
            </w:r>
          </w:p>
        </w:tc>
        <w:tc>
          <w:tcPr>
            <w:tcW w:w="1144"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-379 129</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2022</w:t>
            </w:r>
          </w:p>
        </w:tc>
        <w:tc>
          <w:tcPr>
            <w:tcW w:w="1225"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14 831</w:t>
            </w:r>
          </w:p>
        </w:tc>
        <w:tc>
          <w:tcPr>
            <w:tcW w:w="1134"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680</w:t>
            </w:r>
          </w:p>
        </w:tc>
        <w:tc>
          <w:tcPr>
            <w:tcW w:w="1163"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41 617</w:t>
            </w:r>
          </w:p>
        </w:tc>
        <w:tc>
          <w:tcPr>
            <w:tcW w:w="1144"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-337 512</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2023</w:t>
            </w:r>
          </w:p>
        </w:tc>
        <w:tc>
          <w:tcPr>
            <w:tcW w:w="1225"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15 201</w:t>
            </w:r>
          </w:p>
        </w:tc>
        <w:tc>
          <w:tcPr>
            <w:tcW w:w="1134"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753</w:t>
            </w:r>
          </w:p>
        </w:tc>
        <w:tc>
          <w:tcPr>
            <w:tcW w:w="1163"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42 061</w:t>
            </w:r>
          </w:p>
        </w:tc>
        <w:tc>
          <w:tcPr>
            <w:tcW w:w="1144"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-295 450</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2024</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15 581</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828</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42 516</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-252 934</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2025</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15 971</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903</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42 981</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-209 953</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2026</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15 971</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980</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43 058</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-166 895</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2027</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15 971</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1 058</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43 136</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-123 759</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2028</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15 971</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1 137</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43 215</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-80 545</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2029</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15 971</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6 403</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48 481</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-32 064</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2030</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15 971</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74 229</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116 307</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84 243</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2031</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15 971</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37 774</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79 852</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164 095</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2032</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15 971</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5 103</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47 181</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211 276</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2033</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15 971</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-25 226</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16 852</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228 128</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2034</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17 119</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131 752</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174 978</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403 106</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2035</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7 407</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583</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34 097</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437 203</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2036</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7 407</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-400 539</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-367 025</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70 178</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2037</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7 407</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1 611</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35 126</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105 304</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2038</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7 407</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1 627</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35 142</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140 445</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2039</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7 407</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2 164</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35 678</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176 123</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2040</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7 407</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9 946</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43 460</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219 583</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2041</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7 407</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1 677</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35 191</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254 774</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2042</w:t>
            </w:r>
          </w:p>
        </w:tc>
        <w:tc>
          <w:tcPr>
            <w:tcW w:w="1225"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 </w:t>
            </w:r>
          </w:p>
        </w:tc>
        <w:tc>
          <w:tcPr>
            <w:tcW w:w="1560"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7 407</w:t>
            </w:r>
          </w:p>
        </w:tc>
        <w:tc>
          <w:tcPr>
            <w:tcW w:w="113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1 693</w:t>
            </w:r>
          </w:p>
        </w:tc>
        <w:tc>
          <w:tcPr>
            <w:tcW w:w="1163"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35 208</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289 982</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sz w:val="18"/>
                <w:szCs w:val="18"/>
              </w:rPr>
            </w:pPr>
            <w:r w:rsidRPr="00B11F55">
              <w:rPr>
                <w:rFonts w:eastAsia="Arial Unicode MS"/>
                <w:sz w:val="18"/>
                <w:szCs w:val="18"/>
              </w:rPr>
              <w:t>2043</w:t>
            </w:r>
          </w:p>
        </w:tc>
        <w:tc>
          <w:tcPr>
            <w:tcW w:w="1225"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043"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97 660</w:t>
            </w:r>
          </w:p>
        </w:tc>
        <w:tc>
          <w:tcPr>
            <w:tcW w:w="1560"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7 407</w:t>
            </w:r>
          </w:p>
        </w:tc>
        <w:tc>
          <w:tcPr>
            <w:tcW w:w="1134"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1 710</w:t>
            </w:r>
          </w:p>
        </w:tc>
        <w:tc>
          <w:tcPr>
            <w:tcW w:w="1163"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226"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54"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139"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p>
        </w:tc>
        <w:tc>
          <w:tcPr>
            <w:tcW w:w="1382"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26 107</w:t>
            </w:r>
          </w:p>
        </w:tc>
        <w:tc>
          <w:tcPr>
            <w:tcW w:w="1307"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132 884</w:t>
            </w:r>
          </w:p>
        </w:tc>
        <w:tc>
          <w:tcPr>
            <w:tcW w:w="1144" w:type="dxa"/>
            <w:vAlign w:val="center"/>
          </w:tcPr>
          <w:p w:rsidR="00971524" w:rsidRPr="00B11F55" w:rsidRDefault="00971524" w:rsidP="00B11F55">
            <w:pPr>
              <w:spacing w:before="100" w:beforeAutospacing="1" w:after="100" w:afterAutospacing="1" w:line="264" w:lineRule="auto"/>
              <w:jc w:val="right"/>
              <w:rPr>
                <w:rFonts w:eastAsia="Arial Unicode MS"/>
                <w:sz w:val="18"/>
                <w:szCs w:val="18"/>
              </w:rPr>
            </w:pPr>
            <w:r w:rsidRPr="00B11F55">
              <w:rPr>
                <w:rFonts w:eastAsia="Arial Unicode MS"/>
                <w:sz w:val="18"/>
                <w:szCs w:val="18"/>
              </w:rPr>
              <w:t>422 866</w:t>
            </w:r>
          </w:p>
        </w:tc>
      </w:tr>
      <w:tr w:rsidR="00971524" w:rsidTr="00B11F55">
        <w:trPr>
          <w:cantSplit/>
          <w:trHeight w:val="20"/>
          <w:jc w:val="center"/>
        </w:trPr>
        <w:tc>
          <w:tcPr>
            <w:tcW w:w="675" w:type="dxa"/>
            <w:shd w:val="pct12" w:color="auto" w:fill="auto"/>
            <w:vAlign w:val="center"/>
          </w:tcPr>
          <w:p w:rsidR="00971524" w:rsidRPr="00B11F55" w:rsidRDefault="00971524" w:rsidP="00B11F55">
            <w:pPr>
              <w:spacing w:before="100" w:beforeAutospacing="1" w:after="100" w:afterAutospacing="1" w:line="264" w:lineRule="auto"/>
              <w:rPr>
                <w:rFonts w:eastAsia="Arial Unicode MS"/>
                <w:b/>
                <w:sz w:val="18"/>
                <w:szCs w:val="18"/>
              </w:rPr>
            </w:pPr>
            <w:r w:rsidRPr="00B11F55">
              <w:rPr>
                <w:rFonts w:eastAsia="Arial Unicode MS"/>
                <w:b/>
                <w:sz w:val="18"/>
                <w:szCs w:val="18"/>
              </w:rPr>
              <w:t>NPV</w:t>
            </w:r>
          </w:p>
        </w:tc>
        <w:tc>
          <w:tcPr>
            <w:tcW w:w="1225" w:type="dxa"/>
            <w:tcBorders>
              <w:bottom w:val="single" w:sz="4" w:space="0" w:color="000000"/>
            </w:tcBorders>
            <w:shd w:val="pct12" w:color="auto" w:fill="auto"/>
            <w:vAlign w:val="center"/>
          </w:tcPr>
          <w:p w:rsidR="00971524" w:rsidRPr="00B11F55" w:rsidRDefault="00971524" w:rsidP="00B11F55">
            <w:pPr>
              <w:spacing w:before="100" w:beforeAutospacing="1" w:after="100" w:afterAutospacing="1" w:line="264" w:lineRule="auto"/>
              <w:jc w:val="right"/>
              <w:rPr>
                <w:rFonts w:eastAsia="Arial Unicode MS"/>
                <w:b/>
                <w:sz w:val="18"/>
                <w:szCs w:val="18"/>
              </w:rPr>
            </w:pPr>
            <w:r w:rsidRPr="00B11F55">
              <w:rPr>
                <w:rFonts w:eastAsia="Arial Unicode MS"/>
                <w:b/>
                <w:sz w:val="18"/>
                <w:szCs w:val="18"/>
              </w:rPr>
              <w:t>1 817 636</w:t>
            </w:r>
          </w:p>
        </w:tc>
        <w:tc>
          <w:tcPr>
            <w:tcW w:w="1043" w:type="dxa"/>
            <w:tcBorders>
              <w:bottom w:val="single" w:sz="4" w:space="0" w:color="000000"/>
            </w:tcBorders>
            <w:shd w:val="pct12" w:color="auto" w:fill="auto"/>
            <w:vAlign w:val="center"/>
          </w:tcPr>
          <w:p w:rsidR="00971524" w:rsidRPr="00B11F55" w:rsidRDefault="00971524" w:rsidP="00B11F55">
            <w:pPr>
              <w:spacing w:before="100" w:beforeAutospacing="1" w:after="100" w:afterAutospacing="1" w:line="264" w:lineRule="auto"/>
              <w:jc w:val="right"/>
              <w:rPr>
                <w:rFonts w:eastAsia="Arial Unicode MS"/>
                <w:b/>
                <w:sz w:val="18"/>
                <w:szCs w:val="18"/>
              </w:rPr>
            </w:pPr>
            <w:r w:rsidRPr="00B11F55">
              <w:rPr>
                <w:rFonts w:eastAsia="Arial Unicode MS"/>
                <w:b/>
                <w:sz w:val="18"/>
                <w:szCs w:val="18"/>
              </w:rPr>
              <w:t>20 673</w:t>
            </w:r>
          </w:p>
        </w:tc>
        <w:tc>
          <w:tcPr>
            <w:tcW w:w="1560" w:type="dxa"/>
            <w:tcBorders>
              <w:bottom w:val="single" w:sz="4" w:space="0" w:color="000000"/>
            </w:tcBorders>
            <w:shd w:val="pct12" w:color="auto" w:fill="auto"/>
            <w:vAlign w:val="center"/>
          </w:tcPr>
          <w:p w:rsidR="00971524" w:rsidRPr="00B11F55" w:rsidRDefault="00971524" w:rsidP="00B11F55">
            <w:pPr>
              <w:spacing w:before="100" w:beforeAutospacing="1" w:after="100" w:afterAutospacing="1" w:line="264" w:lineRule="auto"/>
              <w:jc w:val="right"/>
              <w:rPr>
                <w:rFonts w:eastAsia="Arial Unicode MS"/>
                <w:b/>
                <w:sz w:val="18"/>
                <w:szCs w:val="18"/>
              </w:rPr>
            </w:pPr>
            <w:r w:rsidRPr="00B11F55">
              <w:rPr>
                <w:rFonts w:eastAsia="Arial Unicode MS"/>
                <w:b/>
                <w:sz w:val="18"/>
                <w:szCs w:val="18"/>
              </w:rPr>
              <w:t>187 170</w:t>
            </w:r>
          </w:p>
        </w:tc>
        <w:tc>
          <w:tcPr>
            <w:tcW w:w="1134" w:type="dxa"/>
            <w:tcBorders>
              <w:bottom w:val="single" w:sz="4" w:space="0" w:color="000000"/>
            </w:tcBorders>
            <w:shd w:val="pct12" w:color="auto" w:fill="auto"/>
            <w:vAlign w:val="center"/>
          </w:tcPr>
          <w:p w:rsidR="00971524" w:rsidRPr="00B11F55" w:rsidRDefault="00971524" w:rsidP="00B11F55">
            <w:pPr>
              <w:spacing w:before="100" w:beforeAutospacing="1" w:after="100" w:afterAutospacing="1" w:line="264" w:lineRule="auto"/>
              <w:jc w:val="right"/>
              <w:rPr>
                <w:rFonts w:eastAsia="Arial Unicode MS"/>
                <w:b/>
                <w:sz w:val="18"/>
                <w:szCs w:val="18"/>
              </w:rPr>
            </w:pPr>
            <w:r w:rsidRPr="00B11F55">
              <w:rPr>
                <w:rFonts w:eastAsia="Arial Unicode MS"/>
                <w:b/>
                <w:sz w:val="18"/>
                <w:szCs w:val="18"/>
              </w:rPr>
              <w:t>1 075 940</w:t>
            </w:r>
          </w:p>
        </w:tc>
        <w:tc>
          <w:tcPr>
            <w:tcW w:w="1163" w:type="dxa"/>
            <w:tcBorders>
              <w:bottom w:val="single" w:sz="4" w:space="0" w:color="000000"/>
            </w:tcBorders>
            <w:shd w:val="pct12" w:color="auto" w:fill="auto"/>
            <w:vAlign w:val="center"/>
          </w:tcPr>
          <w:p w:rsidR="00971524" w:rsidRPr="00B11F55" w:rsidRDefault="00971524" w:rsidP="00B11F55">
            <w:pPr>
              <w:spacing w:before="100" w:beforeAutospacing="1" w:after="100" w:afterAutospacing="1" w:line="264" w:lineRule="auto"/>
              <w:jc w:val="right"/>
              <w:rPr>
                <w:rFonts w:eastAsia="Arial Unicode MS"/>
                <w:b/>
                <w:sz w:val="18"/>
                <w:szCs w:val="18"/>
              </w:rPr>
            </w:pPr>
            <w:r w:rsidRPr="00B11F55">
              <w:rPr>
                <w:rFonts w:eastAsia="Arial Unicode MS"/>
                <w:b/>
                <w:sz w:val="18"/>
                <w:szCs w:val="18"/>
              </w:rPr>
              <w:t>0</w:t>
            </w:r>
          </w:p>
        </w:tc>
        <w:tc>
          <w:tcPr>
            <w:tcW w:w="1226" w:type="dxa"/>
            <w:tcBorders>
              <w:bottom w:val="single" w:sz="4" w:space="0" w:color="000000"/>
            </w:tcBorders>
            <w:shd w:val="pct12" w:color="auto" w:fill="auto"/>
            <w:vAlign w:val="center"/>
          </w:tcPr>
          <w:p w:rsidR="00971524" w:rsidRPr="00B11F55" w:rsidRDefault="00971524" w:rsidP="00B11F55">
            <w:pPr>
              <w:spacing w:before="100" w:beforeAutospacing="1" w:after="100" w:afterAutospacing="1" w:line="264" w:lineRule="auto"/>
              <w:jc w:val="right"/>
              <w:rPr>
                <w:rFonts w:eastAsia="Arial Unicode MS"/>
                <w:b/>
                <w:sz w:val="18"/>
                <w:szCs w:val="18"/>
              </w:rPr>
            </w:pPr>
            <w:r w:rsidRPr="00B11F55">
              <w:rPr>
                <w:rFonts w:eastAsia="Arial Unicode MS"/>
                <w:b/>
                <w:sz w:val="18"/>
                <w:szCs w:val="18"/>
              </w:rPr>
              <w:t>0</w:t>
            </w:r>
          </w:p>
        </w:tc>
        <w:tc>
          <w:tcPr>
            <w:tcW w:w="1154" w:type="dxa"/>
            <w:tcBorders>
              <w:bottom w:val="single" w:sz="4" w:space="0" w:color="000000"/>
            </w:tcBorders>
            <w:shd w:val="pct12" w:color="auto" w:fill="auto"/>
            <w:vAlign w:val="center"/>
          </w:tcPr>
          <w:p w:rsidR="00971524" w:rsidRPr="00B11F55" w:rsidRDefault="00971524" w:rsidP="00B11F55">
            <w:pPr>
              <w:spacing w:before="100" w:beforeAutospacing="1" w:after="100" w:afterAutospacing="1" w:line="264" w:lineRule="auto"/>
              <w:jc w:val="right"/>
              <w:rPr>
                <w:rFonts w:eastAsia="Arial Unicode MS"/>
                <w:b/>
                <w:sz w:val="18"/>
                <w:szCs w:val="18"/>
              </w:rPr>
            </w:pPr>
            <w:r w:rsidRPr="00B11F55">
              <w:rPr>
                <w:rFonts w:eastAsia="Arial Unicode MS"/>
                <w:b/>
                <w:sz w:val="18"/>
                <w:szCs w:val="18"/>
              </w:rPr>
              <w:t>0</w:t>
            </w:r>
          </w:p>
        </w:tc>
        <w:tc>
          <w:tcPr>
            <w:tcW w:w="1139" w:type="dxa"/>
            <w:tcBorders>
              <w:bottom w:val="single" w:sz="4" w:space="0" w:color="000000"/>
            </w:tcBorders>
            <w:shd w:val="pct12" w:color="auto" w:fill="auto"/>
            <w:vAlign w:val="center"/>
          </w:tcPr>
          <w:p w:rsidR="00971524" w:rsidRPr="00B11F55" w:rsidRDefault="00971524" w:rsidP="00B11F55">
            <w:pPr>
              <w:spacing w:before="100" w:beforeAutospacing="1" w:after="100" w:afterAutospacing="1" w:line="264" w:lineRule="auto"/>
              <w:jc w:val="right"/>
              <w:rPr>
                <w:rFonts w:eastAsia="Arial Unicode MS"/>
                <w:b/>
                <w:sz w:val="18"/>
                <w:szCs w:val="18"/>
              </w:rPr>
            </w:pPr>
            <w:r w:rsidRPr="00B11F55">
              <w:rPr>
                <w:rFonts w:eastAsia="Arial Unicode MS"/>
                <w:b/>
                <w:sz w:val="18"/>
                <w:szCs w:val="18"/>
              </w:rPr>
              <w:t>0</w:t>
            </w:r>
          </w:p>
        </w:tc>
        <w:tc>
          <w:tcPr>
            <w:tcW w:w="1382" w:type="dxa"/>
            <w:tcBorders>
              <w:bottom w:val="single" w:sz="4" w:space="0" w:color="000000"/>
            </w:tcBorders>
            <w:shd w:val="pct12" w:color="auto" w:fill="auto"/>
            <w:vAlign w:val="center"/>
          </w:tcPr>
          <w:p w:rsidR="00971524" w:rsidRPr="00B11F55" w:rsidRDefault="00971524" w:rsidP="00B11F55">
            <w:pPr>
              <w:spacing w:before="100" w:beforeAutospacing="1" w:after="100" w:afterAutospacing="1" w:line="264" w:lineRule="auto"/>
              <w:jc w:val="right"/>
              <w:rPr>
                <w:rFonts w:eastAsia="Arial Unicode MS"/>
                <w:b/>
                <w:sz w:val="18"/>
                <w:szCs w:val="18"/>
              </w:rPr>
            </w:pPr>
            <w:r w:rsidRPr="00B11F55">
              <w:rPr>
                <w:rFonts w:eastAsia="Arial Unicode MS"/>
                <w:b/>
                <w:sz w:val="18"/>
                <w:szCs w:val="18"/>
              </w:rPr>
              <w:t>349 448</w:t>
            </w:r>
          </w:p>
        </w:tc>
        <w:tc>
          <w:tcPr>
            <w:tcW w:w="1307" w:type="dxa"/>
            <w:tcBorders>
              <w:bottom w:val="single" w:sz="4" w:space="0" w:color="000000"/>
            </w:tcBorders>
            <w:shd w:val="pct12" w:color="auto" w:fill="auto"/>
            <w:vAlign w:val="center"/>
          </w:tcPr>
          <w:p w:rsidR="00971524" w:rsidRPr="00B11F55" w:rsidRDefault="00971524" w:rsidP="00B11F55">
            <w:pPr>
              <w:spacing w:before="100" w:beforeAutospacing="1" w:after="100" w:afterAutospacing="1" w:line="264" w:lineRule="auto"/>
              <w:jc w:val="right"/>
              <w:rPr>
                <w:rFonts w:eastAsia="Arial Unicode MS"/>
                <w:b/>
                <w:sz w:val="18"/>
                <w:szCs w:val="18"/>
              </w:rPr>
            </w:pPr>
            <w:r w:rsidRPr="00B11F55">
              <w:rPr>
                <w:rFonts w:eastAsia="Arial Unicode MS"/>
                <w:b/>
                <w:sz w:val="18"/>
                <w:szCs w:val="18"/>
              </w:rPr>
              <w:t>-184 406</w:t>
            </w:r>
          </w:p>
        </w:tc>
        <w:tc>
          <w:tcPr>
            <w:tcW w:w="1144" w:type="dxa"/>
            <w:tcBorders>
              <w:bottom w:val="single" w:sz="4" w:space="0" w:color="000000"/>
            </w:tcBorders>
            <w:vAlign w:val="center"/>
          </w:tcPr>
          <w:p w:rsidR="00971524" w:rsidRPr="00B11F55" w:rsidRDefault="00971524" w:rsidP="00B11F55">
            <w:pPr>
              <w:spacing w:before="100" w:beforeAutospacing="1" w:after="100" w:afterAutospacing="1" w:line="264" w:lineRule="auto"/>
              <w:jc w:val="right"/>
              <w:rPr>
                <w:rFonts w:eastAsia="Arial Unicode MS"/>
                <w:b/>
                <w:sz w:val="18"/>
                <w:szCs w:val="18"/>
              </w:rPr>
            </w:pPr>
            <w:r w:rsidRPr="00B11F55">
              <w:rPr>
                <w:rFonts w:eastAsia="Arial Unicode MS"/>
                <w:b/>
                <w:sz w:val="18"/>
                <w:szCs w:val="18"/>
              </w:rPr>
              <w:t> </w:t>
            </w:r>
          </w:p>
        </w:tc>
      </w:tr>
    </w:tbl>
    <w:p w:rsidR="00B11F55" w:rsidRDefault="00B11F55"/>
    <w:tbl>
      <w:tblPr>
        <w:tblW w:w="141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1225"/>
        <w:gridCol w:w="1043"/>
        <w:gridCol w:w="1560"/>
        <w:gridCol w:w="1134"/>
        <w:gridCol w:w="1163"/>
        <w:gridCol w:w="1226"/>
        <w:gridCol w:w="1154"/>
        <w:gridCol w:w="1139"/>
        <w:gridCol w:w="1382"/>
        <w:gridCol w:w="1307"/>
        <w:gridCol w:w="1144"/>
      </w:tblGrid>
      <w:tr w:rsidR="00C37620" w:rsidTr="00B11F55">
        <w:trPr>
          <w:cantSplit/>
          <w:trHeight w:val="20"/>
          <w:jc w:val="center"/>
        </w:trPr>
        <w:tc>
          <w:tcPr>
            <w:tcW w:w="14152" w:type="dxa"/>
            <w:gridSpan w:val="12"/>
            <w:tcBorders>
              <w:bottom w:val="single" w:sz="4" w:space="0" w:color="000000"/>
            </w:tcBorders>
          </w:tcPr>
          <w:p w:rsidR="006819BA" w:rsidRDefault="00C37620" w:rsidP="00B11F55">
            <w:pPr>
              <w:pStyle w:val="Titulek"/>
            </w:pPr>
            <w:bookmarkStart w:id="345" w:name="_Toc390958798"/>
            <w:bookmarkStart w:id="346" w:name="_Toc391034602"/>
            <w:r w:rsidRPr="00A72B8E">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22</w:t>
            </w:r>
            <w:r w:rsidR="000E79AE">
              <w:fldChar w:fldCharType="end"/>
            </w:r>
            <w:r w:rsidRPr="00A72B8E">
              <w:t xml:space="preserve">: Ekonomická analýza </w:t>
            </w:r>
            <w:r w:rsidR="009E270E" w:rsidRPr="00A72B8E">
              <w:t>Etapa</w:t>
            </w:r>
            <w:r w:rsidRPr="00A72B8E">
              <w:t xml:space="preserve"> v tis. Kč (CÚ </w:t>
            </w:r>
            <w:r w:rsidR="00D35BA3" w:rsidRPr="00A72B8E">
              <w:t>2013</w:t>
            </w:r>
            <w:r w:rsidRPr="00A72B8E">
              <w:t>)</w:t>
            </w:r>
            <w:bookmarkEnd w:id="345"/>
            <w:bookmarkEnd w:id="346"/>
          </w:p>
        </w:tc>
      </w:tr>
      <w:tr w:rsidR="00C37620" w:rsidTr="00B11F55">
        <w:trPr>
          <w:cantSplit/>
          <w:trHeight w:val="20"/>
          <w:jc w:val="center"/>
        </w:trPr>
        <w:tc>
          <w:tcPr>
            <w:tcW w:w="675" w:type="dxa"/>
            <w:tcBorders>
              <w:bottom w:val="single" w:sz="12" w:space="0" w:color="auto"/>
            </w:tcBorders>
            <w:shd w:val="pct12" w:color="auto" w:fill="auto"/>
            <w:vAlign w:val="center"/>
          </w:tcPr>
          <w:p w:rsidR="00C37620" w:rsidRPr="00B11F55" w:rsidRDefault="00C37620" w:rsidP="00B11F55">
            <w:pPr>
              <w:spacing w:before="100" w:beforeAutospacing="1" w:after="100" w:afterAutospacing="1" w:line="240" w:lineRule="auto"/>
              <w:jc w:val="center"/>
              <w:rPr>
                <w:rFonts w:eastAsia="Arial Unicode MS"/>
                <w:b/>
                <w:sz w:val="18"/>
                <w:szCs w:val="18"/>
              </w:rPr>
            </w:pPr>
            <w:r w:rsidRPr="00B11F55">
              <w:rPr>
                <w:rFonts w:eastAsia="Arial Unicode MS"/>
                <w:b/>
                <w:sz w:val="18"/>
                <w:szCs w:val="18"/>
              </w:rPr>
              <w:t>rok</w:t>
            </w:r>
          </w:p>
        </w:tc>
        <w:tc>
          <w:tcPr>
            <w:tcW w:w="1225" w:type="dxa"/>
            <w:tcBorders>
              <w:bottom w:val="single" w:sz="12" w:space="0" w:color="auto"/>
            </w:tcBorders>
            <w:shd w:val="pct12" w:color="auto" w:fill="auto"/>
            <w:vAlign w:val="center"/>
          </w:tcPr>
          <w:p w:rsidR="00C37620" w:rsidRPr="00B11F55" w:rsidRDefault="00C37620" w:rsidP="00B11F55">
            <w:pPr>
              <w:spacing w:before="100" w:beforeAutospacing="1" w:after="100" w:afterAutospacing="1" w:line="240" w:lineRule="auto"/>
              <w:jc w:val="center"/>
              <w:rPr>
                <w:rFonts w:eastAsia="Arial Unicode MS"/>
                <w:b/>
                <w:sz w:val="18"/>
                <w:szCs w:val="18"/>
              </w:rPr>
            </w:pPr>
            <w:r w:rsidRPr="00B11F55">
              <w:rPr>
                <w:rFonts w:eastAsia="Arial Unicode MS"/>
                <w:b/>
                <w:sz w:val="18"/>
                <w:szCs w:val="18"/>
              </w:rPr>
              <w:t>investiční náklady</w:t>
            </w:r>
          </w:p>
        </w:tc>
        <w:tc>
          <w:tcPr>
            <w:tcW w:w="1043" w:type="dxa"/>
            <w:tcBorders>
              <w:bottom w:val="single" w:sz="12" w:space="0" w:color="auto"/>
            </w:tcBorders>
            <w:shd w:val="pct12" w:color="auto" w:fill="auto"/>
            <w:vAlign w:val="center"/>
          </w:tcPr>
          <w:p w:rsidR="00C37620" w:rsidRPr="00B11F55" w:rsidRDefault="00C37620" w:rsidP="00B11F55">
            <w:pPr>
              <w:spacing w:before="100" w:beforeAutospacing="1" w:after="100" w:afterAutospacing="1" w:line="240" w:lineRule="auto"/>
              <w:jc w:val="center"/>
              <w:rPr>
                <w:rFonts w:eastAsia="Arial Unicode MS"/>
                <w:b/>
                <w:sz w:val="18"/>
                <w:szCs w:val="18"/>
              </w:rPr>
            </w:pPr>
            <w:r w:rsidRPr="00B11F55">
              <w:rPr>
                <w:rFonts w:eastAsia="Arial Unicode MS"/>
                <w:b/>
                <w:sz w:val="18"/>
                <w:szCs w:val="18"/>
              </w:rPr>
              <w:t>zbytková hodnota</w:t>
            </w:r>
          </w:p>
        </w:tc>
        <w:tc>
          <w:tcPr>
            <w:tcW w:w="1560" w:type="dxa"/>
            <w:tcBorders>
              <w:bottom w:val="single" w:sz="12" w:space="0" w:color="auto"/>
            </w:tcBorders>
            <w:shd w:val="pct12" w:color="auto" w:fill="auto"/>
            <w:vAlign w:val="center"/>
          </w:tcPr>
          <w:p w:rsidR="00C37620" w:rsidRPr="00B11F55" w:rsidRDefault="00C37620" w:rsidP="00B11F55">
            <w:pPr>
              <w:spacing w:before="100" w:beforeAutospacing="1" w:after="100" w:afterAutospacing="1" w:line="240" w:lineRule="auto"/>
              <w:jc w:val="center"/>
              <w:rPr>
                <w:rFonts w:eastAsia="Arial Unicode MS"/>
                <w:b/>
                <w:sz w:val="18"/>
                <w:szCs w:val="18"/>
              </w:rPr>
            </w:pPr>
            <w:r w:rsidRPr="00B11F55">
              <w:rPr>
                <w:rFonts w:eastAsia="Arial Unicode MS"/>
                <w:b/>
                <w:sz w:val="18"/>
                <w:szCs w:val="18"/>
              </w:rPr>
              <w:t>úspora PN na řízení dopravy</w:t>
            </w:r>
          </w:p>
        </w:tc>
        <w:tc>
          <w:tcPr>
            <w:tcW w:w="1134" w:type="dxa"/>
            <w:tcBorders>
              <w:bottom w:val="single" w:sz="12" w:space="0" w:color="auto"/>
            </w:tcBorders>
            <w:shd w:val="pct12" w:color="auto" w:fill="auto"/>
            <w:vAlign w:val="center"/>
          </w:tcPr>
          <w:p w:rsidR="00C37620" w:rsidRPr="00B11F55" w:rsidRDefault="00C37620" w:rsidP="00B11F55">
            <w:pPr>
              <w:spacing w:before="100" w:beforeAutospacing="1" w:after="100" w:afterAutospacing="1" w:line="240" w:lineRule="auto"/>
              <w:jc w:val="center"/>
              <w:rPr>
                <w:rFonts w:eastAsia="Arial Unicode MS"/>
                <w:b/>
                <w:sz w:val="18"/>
                <w:szCs w:val="18"/>
              </w:rPr>
            </w:pPr>
            <w:r w:rsidRPr="00B11F55">
              <w:rPr>
                <w:rFonts w:eastAsia="Arial Unicode MS"/>
                <w:b/>
                <w:sz w:val="18"/>
                <w:szCs w:val="18"/>
              </w:rPr>
              <w:t>úspora PN infra.</w:t>
            </w:r>
          </w:p>
        </w:tc>
        <w:tc>
          <w:tcPr>
            <w:tcW w:w="1163" w:type="dxa"/>
            <w:tcBorders>
              <w:bottom w:val="single" w:sz="12" w:space="0" w:color="auto"/>
            </w:tcBorders>
            <w:shd w:val="pct12" w:color="auto" w:fill="auto"/>
            <w:vAlign w:val="center"/>
          </w:tcPr>
          <w:p w:rsidR="00C37620" w:rsidRPr="00B11F55" w:rsidRDefault="00C37620" w:rsidP="00B11F55">
            <w:pPr>
              <w:spacing w:before="100" w:beforeAutospacing="1" w:after="100" w:afterAutospacing="1" w:line="240" w:lineRule="auto"/>
              <w:jc w:val="center"/>
              <w:rPr>
                <w:rFonts w:eastAsia="Arial Unicode MS"/>
                <w:b/>
                <w:sz w:val="18"/>
                <w:szCs w:val="18"/>
              </w:rPr>
            </w:pPr>
            <w:r w:rsidRPr="00B11F55">
              <w:rPr>
                <w:rFonts w:eastAsia="Arial Unicode MS"/>
                <w:b/>
                <w:sz w:val="18"/>
                <w:szCs w:val="18"/>
              </w:rPr>
              <w:t>úspora PN vlaků</w:t>
            </w:r>
          </w:p>
        </w:tc>
        <w:tc>
          <w:tcPr>
            <w:tcW w:w="1226" w:type="dxa"/>
            <w:tcBorders>
              <w:bottom w:val="single" w:sz="12" w:space="0" w:color="auto"/>
            </w:tcBorders>
            <w:shd w:val="pct12" w:color="auto" w:fill="auto"/>
            <w:vAlign w:val="center"/>
          </w:tcPr>
          <w:p w:rsidR="00C37620" w:rsidRPr="00B11F55" w:rsidRDefault="00C37620" w:rsidP="00B11F55">
            <w:pPr>
              <w:spacing w:before="100" w:beforeAutospacing="1" w:after="100" w:afterAutospacing="1" w:line="240" w:lineRule="auto"/>
              <w:jc w:val="center"/>
              <w:rPr>
                <w:rFonts w:eastAsia="Arial Unicode MS"/>
                <w:b/>
                <w:sz w:val="18"/>
                <w:szCs w:val="18"/>
              </w:rPr>
            </w:pPr>
            <w:r w:rsidRPr="00B11F55">
              <w:rPr>
                <w:rFonts w:eastAsia="Arial Unicode MS"/>
                <w:b/>
                <w:sz w:val="18"/>
                <w:szCs w:val="18"/>
              </w:rPr>
              <w:t>úspora PN silnice</w:t>
            </w:r>
          </w:p>
        </w:tc>
        <w:tc>
          <w:tcPr>
            <w:tcW w:w="1154" w:type="dxa"/>
            <w:tcBorders>
              <w:bottom w:val="single" w:sz="12" w:space="0" w:color="auto"/>
            </w:tcBorders>
            <w:shd w:val="pct12" w:color="auto" w:fill="auto"/>
            <w:vAlign w:val="center"/>
          </w:tcPr>
          <w:p w:rsidR="00C37620" w:rsidRPr="00B11F55" w:rsidRDefault="00C37620" w:rsidP="00B11F55">
            <w:pPr>
              <w:spacing w:before="100" w:beforeAutospacing="1" w:after="100" w:afterAutospacing="1" w:line="240" w:lineRule="auto"/>
              <w:jc w:val="center"/>
              <w:rPr>
                <w:rFonts w:eastAsia="Arial Unicode MS"/>
                <w:b/>
                <w:sz w:val="18"/>
                <w:szCs w:val="18"/>
              </w:rPr>
            </w:pPr>
            <w:r w:rsidRPr="00B11F55">
              <w:rPr>
                <w:rFonts w:eastAsia="Arial Unicode MS"/>
                <w:b/>
                <w:sz w:val="18"/>
                <w:szCs w:val="18"/>
              </w:rPr>
              <w:t>úspora času</w:t>
            </w:r>
          </w:p>
        </w:tc>
        <w:tc>
          <w:tcPr>
            <w:tcW w:w="1139" w:type="dxa"/>
            <w:tcBorders>
              <w:bottom w:val="single" w:sz="12" w:space="0" w:color="auto"/>
            </w:tcBorders>
            <w:shd w:val="pct12" w:color="auto" w:fill="auto"/>
            <w:vAlign w:val="center"/>
          </w:tcPr>
          <w:p w:rsidR="00C37620" w:rsidRPr="00B11F55" w:rsidRDefault="00C37620" w:rsidP="00B11F55">
            <w:pPr>
              <w:spacing w:before="100" w:beforeAutospacing="1" w:after="100" w:afterAutospacing="1" w:line="240" w:lineRule="auto"/>
              <w:jc w:val="center"/>
              <w:rPr>
                <w:rFonts w:eastAsia="Arial Unicode MS"/>
                <w:b/>
                <w:sz w:val="18"/>
                <w:szCs w:val="18"/>
              </w:rPr>
            </w:pPr>
            <w:r w:rsidRPr="00B11F55">
              <w:rPr>
                <w:rFonts w:eastAsia="Arial Unicode MS"/>
                <w:b/>
                <w:sz w:val="18"/>
                <w:szCs w:val="18"/>
              </w:rPr>
              <w:t>úspora VN</w:t>
            </w:r>
          </w:p>
        </w:tc>
        <w:tc>
          <w:tcPr>
            <w:tcW w:w="1382" w:type="dxa"/>
            <w:tcBorders>
              <w:bottom w:val="single" w:sz="12" w:space="0" w:color="auto"/>
            </w:tcBorders>
            <w:shd w:val="pct12" w:color="auto" w:fill="auto"/>
            <w:vAlign w:val="center"/>
          </w:tcPr>
          <w:p w:rsidR="00C37620" w:rsidRPr="00B11F55" w:rsidRDefault="00C37620" w:rsidP="00B11F55">
            <w:pPr>
              <w:spacing w:before="100" w:beforeAutospacing="1" w:after="100" w:afterAutospacing="1" w:line="240" w:lineRule="auto"/>
              <w:jc w:val="center"/>
              <w:rPr>
                <w:rFonts w:eastAsia="Arial Unicode MS"/>
                <w:b/>
                <w:sz w:val="18"/>
                <w:szCs w:val="18"/>
              </w:rPr>
            </w:pPr>
            <w:r w:rsidRPr="00B11F55">
              <w:rPr>
                <w:rFonts w:eastAsia="Arial Unicode MS"/>
                <w:b/>
                <w:sz w:val="18"/>
                <w:szCs w:val="18"/>
              </w:rPr>
              <w:t>úspora bezpečnosti</w:t>
            </w:r>
          </w:p>
        </w:tc>
        <w:tc>
          <w:tcPr>
            <w:tcW w:w="1307" w:type="dxa"/>
            <w:tcBorders>
              <w:bottom w:val="single" w:sz="12" w:space="0" w:color="auto"/>
            </w:tcBorders>
            <w:shd w:val="pct12" w:color="auto" w:fill="auto"/>
            <w:vAlign w:val="center"/>
          </w:tcPr>
          <w:p w:rsidR="00C37620" w:rsidRPr="00B11F55" w:rsidRDefault="00C37620" w:rsidP="00B11F55">
            <w:pPr>
              <w:spacing w:before="100" w:beforeAutospacing="1" w:after="100" w:afterAutospacing="1" w:line="240" w:lineRule="auto"/>
              <w:jc w:val="center"/>
              <w:rPr>
                <w:rFonts w:eastAsia="Arial Unicode MS"/>
                <w:b/>
                <w:sz w:val="18"/>
                <w:szCs w:val="18"/>
              </w:rPr>
            </w:pPr>
            <w:r w:rsidRPr="00B11F55">
              <w:rPr>
                <w:rFonts w:eastAsia="Arial Unicode MS"/>
                <w:b/>
                <w:sz w:val="18"/>
                <w:szCs w:val="18"/>
              </w:rPr>
              <w:t>cash flow</w:t>
            </w:r>
          </w:p>
        </w:tc>
        <w:tc>
          <w:tcPr>
            <w:tcW w:w="1144" w:type="dxa"/>
            <w:tcBorders>
              <w:bottom w:val="single" w:sz="12" w:space="0" w:color="auto"/>
            </w:tcBorders>
            <w:shd w:val="pct12" w:color="auto" w:fill="auto"/>
            <w:vAlign w:val="center"/>
          </w:tcPr>
          <w:p w:rsidR="00C37620" w:rsidRPr="00B11F55" w:rsidRDefault="00C37620" w:rsidP="00B11F55">
            <w:pPr>
              <w:spacing w:before="100" w:beforeAutospacing="1" w:after="100" w:afterAutospacing="1" w:line="240" w:lineRule="auto"/>
              <w:jc w:val="center"/>
              <w:rPr>
                <w:rFonts w:eastAsia="Arial Unicode MS"/>
                <w:b/>
                <w:sz w:val="18"/>
                <w:szCs w:val="18"/>
              </w:rPr>
            </w:pPr>
            <w:r w:rsidRPr="00B11F55">
              <w:rPr>
                <w:rFonts w:eastAsia="Arial Unicode MS"/>
                <w:b/>
                <w:sz w:val="18"/>
                <w:szCs w:val="18"/>
              </w:rPr>
              <w:t>Kumul. CF</w:t>
            </w:r>
          </w:p>
        </w:tc>
      </w:tr>
      <w:tr w:rsidR="00A704D9" w:rsidTr="00B11F55">
        <w:trPr>
          <w:cantSplit/>
          <w:trHeight w:val="20"/>
          <w:jc w:val="center"/>
        </w:trPr>
        <w:tc>
          <w:tcPr>
            <w:tcW w:w="675" w:type="dxa"/>
            <w:tcBorders>
              <w:top w:val="single" w:sz="12" w:space="0" w:color="auto"/>
            </w:tcBorders>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2014</w:t>
            </w:r>
          </w:p>
        </w:tc>
        <w:tc>
          <w:tcPr>
            <w:tcW w:w="1225" w:type="dxa"/>
            <w:tcBorders>
              <w:top w:val="single" w:sz="12" w:space="0" w:color="auto"/>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649 638</w:t>
            </w:r>
          </w:p>
        </w:tc>
        <w:tc>
          <w:tcPr>
            <w:tcW w:w="1043" w:type="dxa"/>
            <w:tcBorders>
              <w:top w:val="single" w:sz="12" w:space="0" w:color="auto"/>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tcBorders>
              <w:top w:val="single" w:sz="12" w:space="0" w:color="auto"/>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134" w:type="dxa"/>
            <w:tcBorders>
              <w:top w:val="single" w:sz="12" w:space="0" w:color="auto"/>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85 063</w:t>
            </w:r>
          </w:p>
        </w:tc>
        <w:tc>
          <w:tcPr>
            <w:tcW w:w="1163" w:type="dxa"/>
            <w:tcBorders>
              <w:top w:val="single" w:sz="12" w:space="0" w:color="auto"/>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226" w:type="dxa"/>
            <w:tcBorders>
              <w:top w:val="single" w:sz="12" w:space="0" w:color="auto"/>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154" w:type="dxa"/>
            <w:tcBorders>
              <w:top w:val="single" w:sz="12" w:space="0" w:color="auto"/>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139" w:type="dxa"/>
            <w:tcBorders>
              <w:top w:val="single" w:sz="12" w:space="0" w:color="auto"/>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382" w:type="dxa"/>
            <w:tcBorders>
              <w:top w:val="single" w:sz="12" w:space="0" w:color="auto"/>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307" w:type="dxa"/>
            <w:tcBorders>
              <w:top w:val="single" w:sz="12" w:space="0" w:color="auto"/>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-564 575</w:t>
            </w:r>
          </w:p>
        </w:tc>
        <w:tc>
          <w:tcPr>
            <w:tcW w:w="1144" w:type="dxa"/>
            <w:tcBorders>
              <w:top w:val="single" w:sz="12" w:space="0" w:color="auto"/>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-564 575</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2015</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161 336</w:t>
            </w: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-1 807</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171 386</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8 244</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-556 330</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2016</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13 895</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66 026</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19 152</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62 722</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10 506</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174 574</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-381 756</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2017</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14 242</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-125 799</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19 235</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64 567</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10 552</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-14 930</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-396 686</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2018</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14 987</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-16 357</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19 317</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66 465</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10 597</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97 282</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-299 404</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2019</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11 719</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-5 157</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19 400</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68 419</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10 642</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107 296</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-192 108</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2020</w:t>
            </w:r>
          </w:p>
        </w:tc>
        <w:tc>
          <w:tcPr>
            <w:tcW w:w="1225"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12 012</w:t>
            </w:r>
          </w:p>
        </w:tc>
        <w:tc>
          <w:tcPr>
            <w:tcW w:w="1134"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2 750</w:t>
            </w:r>
          </w:p>
        </w:tc>
        <w:tc>
          <w:tcPr>
            <w:tcW w:w="1163"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19 483</w:t>
            </w:r>
          </w:p>
        </w:tc>
        <w:tc>
          <w:tcPr>
            <w:tcW w:w="1154"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70 429</w:t>
            </w:r>
          </w:p>
        </w:tc>
        <w:tc>
          <w:tcPr>
            <w:tcW w:w="1139"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10 688</w:t>
            </w:r>
          </w:p>
        </w:tc>
        <w:tc>
          <w:tcPr>
            <w:tcW w:w="1382"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117 634</w:t>
            </w:r>
          </w:p>
        </w:tc>
        <w:tc>
          <w:tcPr>
            <w:tcW w:w="1144"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-74 474</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2021</w:t>
            </w:r>
          </w:p>
        </w:tc>
        <w:tc>
          <w:tcPr>
            <w:tcW w:w="1225"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12 312</w:t>
            </w:r>
          </w:p>
        </w:tc>
        <w:tc>
          <w:tcPr>
            <w:tcW w:w="1134"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-7 592</w:t>
            </w:r>
          </w:p>
        </w:tc>
        <w:tc>
          <w:tcPr>
            <w:tcW w:w="1163"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19 566</w:t>
            </w:r>
          </w:p>
        </w:tc>
        <w:tc>
          <w:tcPr>
            <w:tcW w:w="1154"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72 498</w:t>
            </w:r>
          </w:p>
        </w:tc>
        <w:tc>
          <w:tcPr>
            <w:tcW w:w="1139"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10 733</w:t>
            </w:r>
          </w:p>
        </w:tc>
        <w:tc>
          <w:tcPr>
            <w:tcW w:w="1382"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109 790</w:t>
            </w:r>
          </w:p>
        </w:tc>
        <w:tc>
          <w:tcPr>
            <w:tcW w:w="1144"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35 316</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2022</w:t>
            </w:r>
          </w:p>
        </w:tc>
        <w:tc>
          <w:tcPr>
            <w:tcW w:w="1225"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12 620</w:t>
            </w:r>
          </w:p>
        </w:tc>
        <w:tc>
          <w:tcPr>
            <w:tcW w:w="1134"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-5 313</w:t>
            </w:r>
          </w:p>
        </w:tc>
        <w:tc>
          <w:tcPr>
            <w:tcW w:w="1163"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19 649</w:t>
            </w:r>
          </w:p>
        </w:tc>
        <w:tc>
          <w:tcPr>
            <w:tcW w:w="1154"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74 626</w:t>
            </w:r>
          </w:p>
        </w:tc>
        <w:tc>
          <w:tcPr>
            <w:tcW w:w="1139"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10 779</w:t>
            </w:r>
          </w:p>
        </w:tc>
        <w:tc>
          <w:tcPr>
            <w:tcW w:w="1382"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114 634</w:t>
            </w:r>
          </w:p>
        </w:tc>
        <w:tc>
          <w:tcPr>
            <w:tcW w:w="1144"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149 950</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2023</w:t>
            </w:r>
          </w:p>
        </w:tc>
        <w:tc>
          <w:tcPr>
            <w:tcW w:w="1225"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12 935</w:t>
            </w:r>
          </w:p>
        </w:tc>
        <w:tc>
          <w:tcPr>
            <w:tcW w:w="1134"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-5 270</w:t>
            </w:r>
          </w:p>
        </w:tc>
        <w:tc>
          <w:tcPr>
            <w:tcW w:w="1163"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19 733</w:t>
            </w:r>
          </w:p>
        </w:tc>
        <w:tc>
          <w:tcPr>
            <w:tcW w:w="1154"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76 817</w:t>
            </w:r>
          </w:p>
        </w:tc>
        <w:tc>
          <w:tcPr>
            <w:tcW w:w="1139"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10 825</w:t>
            </w:r>
          </w:p>
        </w:tc>
        <w:tc>
          <w:tcPr>
            <w:tcW w:w="1382"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117 313</w:t>
            </w:r>
          </w:p>
        </w:tc>
        <w:tc>
          <w:tcPr>
            <w:tcW w:w="1144"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267 263</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2024</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13 259</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-5 225</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19 816</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79 070</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10 871</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120 064</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387 327</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2025</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13 590</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-5 180</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19 900</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81 390</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10 917</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122 889</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510 216</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2026</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13 590</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-5 134</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19 947</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81 583</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10 943</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123 203</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633 419</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2027</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13 590</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-5 086</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19 995</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81 777</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10 969</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123 517</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756 936</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2028</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13 590</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-5 038</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20 042</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81 971</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10 995</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123 833</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880 768</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2029</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13 590</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-26 811</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20 090</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82 165</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11 021</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102 327</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983 095</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2030</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13 590</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-20 058</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20 137</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82 359</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11 047</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109 349</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1 092 444</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2031</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13 590</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-1 667</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20 155</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82 434</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11 057</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127 842</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1 220 286</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2032</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13 590</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-8 651</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20 173</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82 508</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11 067</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120 960</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1 341 246</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2033</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13 590</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-36 287</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20 192</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82 581</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11 076</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93 425</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1 434 671</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2034</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14 738</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125 359</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20 180</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82 536</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11 070</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256 156</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1 690 826</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2035</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5 026</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-10 188</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20 169</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82 491</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11 064</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110 836</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1 801 662</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2036</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5 026</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-77 395</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20 162</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82 461</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11 060</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43 587</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1 845 249</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2037</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5 026</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-12 431</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20 155</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82 430</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11 056</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108 509</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1 953 759</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2038</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5 026</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-5 026</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20 147</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82 400</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11 052</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115 873</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2 069 631</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2039</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5 026</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-4 557</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20 140</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82 370</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11 048</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116 301</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2 185 932</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2040</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5 026</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3 159</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20 132</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82 340</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11 044</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123 974</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2 309 906</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2041</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5 026</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-5 178</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20 114</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82 264</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11 034</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115 533</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2 425 439</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2042</w:t>
            </w:r>
          </w:p>
        </w:tc>
        <w:tc>
          <w:tcPr>
            <w:tcW w:w="1225"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 </w:t>
            </w:r>
          </w:p>
        </w:tc>
        <w:tc>
          <w:tcPr>
            <w:tcW w:w="1560"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5 026</w:t>
            </w:r>
          </w:p>
        </w:tc>
        <w:tc>
          <w:tcPr>
            <w:tcW w:w="113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-5 230</w:t>
            </w:r>
          </w:p>
        </w:tc>
        <w:tc>
          <w:tcPr>
            <w:tcW w:w="1163"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20 095</w:t>
            </w:r>
          </w:p>
        </w:tc>
        <w:tc>
          <w:tcPr>
            <w:tcW w:w="115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82 189</w:t>
            </w:r>
          </w:p>
        </w:tc>
        <w:tc>
          <w:tcPr>
            <w:tcW w:w="1139"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11 024</w:t>
            </w:r>
          </w:p>
        </w:tc>
        <w:tc>
          <w:tcPr>
            <w:tcW w:w="1382"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115 377</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2 540 815</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sz w:val="18"/>
                <w:szCs w:val="18"/>
              </w:rPr>
            </w:pPr>
            <w:r w:rsidRPr="00B11F55">
              <w:rPr>
                <w:rFonts w:eastAsia="Arial Unicode MS"/>
                <w:sz w:val="18"/>
                <w:szCs w:val="18"/>
              </w:rPr>
              <w:t>2043</w:t>
            </w:r>
          </w:p>
        </w:tc>
        <w:tc>
          <w:tcPr>
            <w:tcW w:w="1225"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p>
        </w:tc>
        <w:tc>
          <w:tcPr>
            <w:tcW w:w="1043"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32 975</w:t>
            </w:r>
          </w:p>
        </w:tc>
        <w:tc>
          <w:tcPr>
            <w:tcW w:w="1560"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5 026</w:t>
            </w:r>
          </w:p>
        </w:tc>
        <w:tc>
          <w:tcPr>
            <w:tcW w:w="1134"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-5 283</w:t>
            </w:r>
          </w:p>
        </w:tc>
        <w:tc>
          <w:tcPr>
            <w:tcW w:w="1163"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-3 752</w:t>
            </w:r>
          </w:p>
        </w:tc>
        <w:tc>
          <w:tcPr>
            <w:tcW w:w="1226"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20 077</w:t>
            </w:r>
          </w:p>
        </w:tc>
        <w:tc>
          <w:tcPr>
            <w:tcW w:w="1154"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82 113</w:t>
            </w:r>
          </w:p>
        </w:tc>
        <w:tc>
          <w:tcPr>
            <w:tcW w:w="1139"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11 014</w:t>
            </w:r>
          </w:p>
        </w:tc>
        <w:tc>
          <w:tcPr>
            <w:tcW w:w="1382"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6 024</w:t>
            </w:r>
          </w:p>
        </w:tc>
        <w:tc>
          <w:tcPr>
            <w:tcW w:w="1307"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148 196</w:t>
            </w:r>
          </w:p>
        </w:tc>
        <w:tc>
          <w:tcPr>
            <w:tcW w:w="1144" w:type="dxa"/>
            <w:vAlign w:val="center"/>
          </w:tcPr>
          <w:p w:rsidR="00A704D9" w:rsidRPr="00B11F55" w:rsidRDefault="00A704D9" w:rsidP="00B11F55">
            <w:pPr>
              <w:spacing w:before="100" w:beforeAutospacing="1" w:after="100" w:afterAutospacing="1" w:line="240" w:lineRule="auto"/>
              <w:jc w:val="right"/>
              <w:rPr>
                <w:rFonts w:eastAsia="Arial Unicode MS"/>
                <w:sz w:val="18"/>
                <w:szCs w:val="18"/>
              </w:rPr>
            </w:pPr>
            <w:r w:rsidRPr="00B11F55">
              <w:rPr>
                <w:rFonts w:eastAsia="Arial Unicode MS"/>
                <w:sz w:val="18"/>
                <w:szCs w:val="18"/>
              </w:rPr>
              <w:t>2 689 011</w:t>
            </w:r>
          </w:p>
        </w:tc>
      </w:tr>
      <w:tr w:rsidR="00A704D9" w:rsidTr="00B11F55">
        <w:trPr>
          <w:cantSplit/>
          <w:trHeight w:val="20"/>
          <w:jc w:val="center"/>
        </w:trPr>
        <w:tc>
          <w:tcPr>
            <w:tcW w:w="675" w:type="dxa"/>
            <w:shd w:val="pct12" w:color="auto" w:fill="auto"/>
            <w:vAlign w:val="center"/>
          </w:tcPr>
          <w:p w:rsidR="00A704D9" w:rsidRPr="00B11F55" w:rsidRDefault="00A704D9" w:rsidP="00B11F55">
            <w:pPr>
              <w:spacing w:before="100" w:beforeAutospacing="1" w:after="100" w:afterAutospacing="1" w:line="240" w:lineRule="auto"/>
              <w:rPr>
                <w:rFonts w:eastAsia="Arial Unicode MS"/>
                <w:b/>
                <w:sz w:val="18"/>
                <w:szCs w:val="18"/>
              </w:rPr>
            </w:pPr>
            <w:r w:rsidRPr="00B11F55">
              <w:rPr>
                <w:rFonts w:eastAsia="Arial Unicode MS"/>
                <w:b/>
                <w:sz w:val="18"/>
                <w:szCs w:val="18"/>
              </w:rPr>
              <w:t>NPV</w:t>
            </w:r>
          </w:p>
        </w:tc>
        <w:tc>
          <w:tcPr>
            <w:tcW w:w="1225" w:type="dxa"/>
            <w:tcBorders>
              <w:bottom w:val="single" w:sz="4" w:space="0" w:color="000000"/>
            </w:tcBorders>
            <w:shd w:val="pct12" w:color="auto" w:fill="auto"/>
            <w:vAlign w:val="center"/>
          </w:tcPr>
          <w:p w:rsidR="00A704D9" w:rsidRPr="00B11F55" w:rsidRDefault="00A704D9" w:rsidP="00B11F55">
            <w:pPr>
              <w:spacing w:before="100" w:beforeAutospacing="1" w:after="100" w:afterAutospacing="1" w:line="240" w:lineRule="auto"/>
              <w:jc w:val="right"/>
              <w:rPr>
                <w:rFonts w:eastAsia="Arial Unicode MS"/>
                <w:b/>
                <w:sz w:val="18"/>
                <w:szCs w:val="18"/>
              </w:rPr>
            </w:pPr>
            <w:r w:rsidRPr="00B11F55">
              <w:rPr>
                <w:rFonts w:eastAsia="Arial Unicode MS"/>
                <w:b/>
                <w:sz w:val="18"/>
                <w:szCs w:val="18"/>
              </w:rPr>
              <w:t>802 563</w:t>
            </w:r>
          </w:p>
        </w:tc>
        <w:tc>
          <w:tcPr>
            <w:tcW w:w="1043" w:type="dxa"/>
            <w:tcBorders>
              <w:bottom w:val="single" w:sz="4" w:space="0" w:color="000000"/>
            </w:tcBorders>
            <w:shd w:val="pct12" w:color="auto" w:fill="auto"/>
            <w:vAlign w:val="center"/>
          </w:tcPr>
          <w:p w:rsidR="00A704D9" w:rsidRPr="00B11F55" w:rsidRDefault="00A704D9" w:rsidP="00B11F55">
            <w:pPr>
              <w:spacing w:before="100" w:beforeAutospacing="1" w:after="100" w:afterAutospacing="1" w:line="240" w:lineRule="auto"/>
              <w:jc w:val="right"/>
              <w:rPr>
                <w:rFonts w:eastAsia="Arial Unicode MS"/>
                <w:b/>
                <w:sz w:val="18"/>
                <w:szCs w:val="18"/>
              </w:rPr>
            </w:pPr>
            <w:r w:rsidRPr="00B11F55">
              <w:rPr>
                <w:rFonts w:eastAsia="Arial Unicode MS"/>
                <w:b/>
                <w:sz w:val="18"/>
                <w:szCs w:val="18"/>
              </w:rPr>
              <w:t>6 980</w:t>
            </w:r>
          </w:p>
        </w:tc>
        <w:tc>
          <w:tcPr>
            <w:tcW w:w="1560" w:type="dxa"/>
            <w:tcBorders>
              <w:bottom w:val="single" w:sz="4" w:space="0" w:color="000000"/>
            </w:tcBorders>
            <w:shd w:val="pct12" w:color="auto" w:fill="auto"/>
            <w:vAlign w:val="center"/>
          </w:tcPr>
          <w:p w:rsidR="00A704D9" w:rsidRPr="00B11F55" w:rsidRDefault="00A704D9" w:rsidP="00B11F55">
            <w:pPr>
              <w:spacing w:before="100" w:beforeAutospacing="1" w:after="100" w:afterAutospacing="1" w:line="240" w:lineRule="auto"/>
              <w:jc w:val="right"/>
              <w:rPr>
                <w:rFonts w:eastAsia="Arial Unicode MS"/>
                <w:b/>
                <w:sz w:val="18"/>
                <w:szCs w:val="18"/>
              </w:rPr>
            </w:pPr>
            <w:r w:rsidRPr="00B11F55">
              <w:rPr>
                <w:rFonts w:eastAsia="Arial Unicode MS"/>
                <w:b/>
                <w:sz w:val="18"/>
                <w:szCs w:val="18"/>
              </w:rPr>
              <w:t>157 453</w:t>
            </w:r>
          </w:p>
        </w:tc>
        <w:tc>
          <w:tcPr>
            <w:tcW w:w="1134" w:type="dxa"/>
            <w:tcBorders>
              <w:bottom w:val="single" w:sz="4" w:space="0" w:color="000000"/>
            </w:tcBorders>
            <w:shd w:val="pct12" w:color="auto" w:fill="auto"/>
            <w:vAlign w:val="center"/>
          </w:tcPr>
          <w:p w:rsidR="00A704D9" w:rsidRPr="00B11F55" w:rsidRDefault="00A704D9" w:rsidP="00B11F55">
            <w:pPr>
              <w:spacing w:before="100" w:beforeAutospacing="1" w:after="100" w:afterAutospacing="1" w:line="240" w:lineRule="auto"/>
              <w:jc w:val="right"/>
              <w:rPr>
                <w:rFonts w:eastAsia="Arial Unicode MS"/>
                <w:b/>
                <w:sz w:val="18"/>
                <w:szCs w:val="18"/>
              </w:rPr>
            </w:pPr>
            <w:r w:rsidRPr="00B11F55">
              <w:rPr>
                <w:rFonts w:eastAsia="Arial Unicode MS"/>
                <w:b/>
                <w:sz w:val="18"/>
                <w:szCs w:val="18"/>
              </w:rPr>
              <w:t>128 334</w:t>
            </w:r>
          </w:p>
        </w:tc>
        <w:tc>
          <w:tcPr>
            <w:tcW w:w="1163" w:type="dxa"/>
            <w:tcBorders>
              <w:bottom w:val="single" w:sz="4" w:space="0" w:color="000000"/>
            </w:tcBorders>
            <w:shd w:val="pct12" w:color="auto" w:fill="auto"/>
            <w:vAlign w:val="center"/>
          </w:tcPr>
          <w:p w:rsidR="00A704D9" w:rsidRPr="00B11F55" w:rsidRDefault="00A704D9" w:rsidP="00B11F55">
            <w:pPr>
              <w:spacing w:before="100" w:beforeAutospacing="1" w:after="100" w:afterAutospacing="1" w:line="240" w:lineRule="auto"/>
              <w:jc w:val="right"/>
              <w:rPr>
                <w:rFonts w:eastAsia="Arial Unicode MS"/>
                <w:b/>
                <w:sz w:val="18"/>
                <w:szCs w:val="18"/>
              </w:rPr>
            </w:pPr>
            <w:r w:rsidRPr="00B11F55">
              <w:rPr>
                <w:rFonts w:eastAsia="Arial Unicode MS"/>
                <w:b/>
                <w:sz w:val="18"/>
                <w:szCs w:val="18"/>
              </w:rPr>
              <w:t>-50 216</w:t>
            </w:r>
          </w:p>
        </w:tc>
        <w:tc>
          <w:tcPr>
            <w:tcW w:w="1226" w:type="dxa"/>
            <w:tcBorders>
              <w:bottom w:val="single" w:sz="4" w:space="0" w:color="000000"/>
            </w:tcBorders>
            <w:shd w:val="pct12" w:color="auto" w:fill="auto"/>
            <w:vAlign w:val="center"/>
          </w:tcPr>
          <w:p w:rsidR="00A704D9" w:rsidRPr="00B11F55" w:rsidRDefault="00A704D9" w:rsidP="00B11F55">
            <w:pPr>
              <w:spacing w:before="100" w:beforeAutospacing="1" w:after="100" w:afterAutospacing="1" w:line="240" w:lineRule="auto"/>
              <w:jc w:val="right"/>
              <w:rPr>
                <w:rFonts w:eastAsia="Arial Unicode MS"/>
                <w:b/>
                <w:sz w:val="18"/>
                <w:szCs w:val="18"/>
              </w:rPr>
            </w:pPr>
            <w:r w:rsidRPr="00B11F55">
              <w:rPr>
                <w:rFonts w:eastAsia="Arial Unicode MS"/>
                <w:b/>
                <w:sz w:val="18"/>
                <w:szCs w:val="18"/>
              </w:rPr>
              <w:t>264 725</w:t>
            </w:r>
          </w:p>
        </w:tc>
        <w:tc>
          <w:tcPr>
            <w:tcW w:w="1154" w:type="dxa"/>
            <w:tcBorders>
              <w:bottom w:val="single" w:sz="4" w:space="0" w:color="000000"/>
            </w:tcBorders>
            <w:shd w:val="pct12" w:color="auto" w:fill="auto"/>
            <w:vAlign w:val="center"/>
          </w:tcPr>
          <w:p w:rsidR="00A704D9" w:rsidRPr="00B11F55" w:rsidRDefault="00A704D9" w:rsidP="00B11F55">
            <w:pPr>
              <w:spacing w:before="100" w:beforeAutospacing="1" w:after="100" w:afterAutospacing="1" w:line="240" w:lineRule="auto"/>
              <w:jc w:val="right"/>
              <w:rPr>
                <w:rFonts w:eastAsia="Arial Unicode MS"/>
                <w:b/>
                <w:sz w:val="18"/>
                <w:szCs w:val="18"/>
              </w:rPr>
            </w:pPr>
            <w:r w:rsidRPr="00B11F55">
              <w:rPr>
                <w:rFonts w:eastAsia="Arial Unicode MS"/>
                <w:b/>
                <w:sz w:val="18"/>
                <w:szCs w:val="18"/>
              </w:rPr>
              <w:t>1 018 999</w:t>
            </w:r>
          </w:p>
        </w:tc>
        <w:tc>
          <w:tcPr>
            <w:tcW w:w="1139" w:type="dxa"/>
            <w:tcBorders>
              <w:bottom w:val="single" w:sz="4" w:space="0" w:color="000000"/>
            </w:tcBorders>
            <w:shd w:val="pct12" w:color="auto" w:fill="auto"/>
            <w:vAlign w:val="center"/>
          </w:tcPr>
          <w:p w:rsidR="00A704D9" w:rsidRPr="00B11F55" w:rsidRDefault="00A704D9" w:rsidP="00B11F55">
            <w:pPr>
              <w:spacing w:before="100" w:beforeAutospacing="1" w:after="100" w:afterAutospacing="1" w:line="240" w:lineRule="auto"/>
              <w:jc w:val="right"/>
              <w:rPr>
                <w:rFonts w:eastAsia="Arial Unicode MS"/>
                <w:b/>
                <w:sz w:val="18"/>
                <w:szCs w:val="18"/>
              </w:rPr>
            </w:pPr>
            <w:r w:rsidRPr="00B11F55">
              <w:rPr>
                <w:rFonts w:eastAsia="Arial Unicode MS"/>
                <w:b/>
                <w:sz w:val="18"/>
                <w:szCs w:val="18"/>
              </w:rPr>
              <w:t>145 220</w:t>
            </w:r>
          </w:p>
        </w:tc>
        <w:tc>
          <w:tcPr>
            <w:tcW w:w="1382" w:type="dxa"/>
            <w:tcBorders>
              <w:bottom w:val="single" w:sz="4" w:space="0" w:color="000000"/>
            </w:tcBorders>
            <w:shd w:val="pct12" w:color="auto" w:fill="auto"/>
            <w:vAlign w:val="center"/>
          </w:tcPr>
          <w:p w:rsidR="00A704D9" w:rsidRPr="00B11F55" w:rsidRDefault="00A704D9" w:rsidP="00B11F55">
            <w:pPr>
              <w:spacing w:before="100" w:beforeAutospacing="1" w:after="100" w:afterAutospacing="1" w:line="240" w:lineRule="auto"/>
              <w:jc w:val="right"/>
              <w:rPr>
                <w:rFonts w:eastAsia="Arial Unicode MS"/>
                <w:b/>
                <w:sz w:val="18"/>
                <w:szCs w:val="18"/>
              </w:rPr>
            </w:pPr>
            <w:r w:rsidRPr="00B11F55">
              <w:rPr>
                <w:rFonts w:eastAsia="Arial Unicode MS"/>
                <w:b/>
                <w:sz w:val="18"/>
                <w:szCs w:val="18"/>
              </w:rPr>
              <w:t>80 637</w:t>
            </w:r>
          </w:p>
        </w:tc>
        <w:tc>
          <w:tcPr>
            <w:tcW w:w="1307" w:type="dxa"/>
            <w:tcBorders>
              <w:bottom w:val="single" w:sz="4" w:space="0" w:color="000000"/>
            </w:tcBorders>
            <w:shd w:val="pct12" w:color="auto" w:fill="auto"/>
            <w:vAlign w:val="center"/>
          </w:tcPr>
          <w:p w:rsidR="00A704D9" w:rsidRPr="00B11F55" w:rsidRDefault="00A704D9" w:rsidP="00B11F55">
            <w:pPr>
              <w:spacing w:before="100" w:beforeAutospacing="1" w:after="100" w:afterAutospacing="1" w:line="240" w:lineRule="auto"/>
              <w:jc w:val="right"/>
              <w:rPr>
                <w:rFonts w:eastAsia="Arial Unicode MS"/>
                <w:b/>
                <w:sz w:val="18"/>
                <w:szCs w:val="18"/>
              </w:rPr>
            </w:pPr>
            <w:r w:rsidRPr="00B11F55">
              <w:rPr>
                <w:rFonts w:eastAsia="Arial Unicode MS"/>
                <w:b/>
                <w:sz w:val="18"/>
                <w:szCs w:val="18"/>
              </w:rPr>
              <w:t>949 570</w:t>
            </w:r>
          </w:p>
        </w:tc>
        <w:tc>
          <w:tcPr>
            <w:tcW w:w="1144" w:type="dxa"/>
            <w:tcBorders>
              <w:bottom w:val="single" w:sz="4" w:space="0" w:color="000000"/>
            </w:tcBorders>
            <w:vAlign w:val="center"/>
          </w:tcPr>
          <w:p w:rsidR="00A704D9" w:rsidRPr="00B11F55" w:rsidRDefault="00A704D9" w:rsidP="00B11F55">
            <w:pPr>
              <w:spacing w:before="100" w:beforeAutospacing="1" w:after="100" w:afterAutospacing="1" w:line="240" w:lineRule="auto"/>
              <w:jc w:val="right"/>
              <w:rPr>
                <w:rFonts w:eastAsia="Arial Unicode MS"/>
                <w:b/>
                <w:sz w:val="18"/>
                <w:szCs w:val="18"/>
              </w:rPr>
            </w:pPr>
            <w:r w:rsidRPr="00B11F55">
              <w:rPr>
                <w:rFonts w:eastAsia="Arial Unicode MS"/>
                <w:b/>
                <w:sz w:val="18"/>
                <w:szCs w:val="18"/>
              </w:rPr>
              <w:t> </w:t>
            </w:r>
          </w:p>
        </w:tc>
      </w:tr>
    </w:tbl>
    <w:p w:rsidR="00B11F55" w:rsidRDefault="00B11F55"/>
    <w:tbl>
      <w:tblPr>
        <w:tblW w:w="141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1225"/>
        <w:gridCol w:w="1043"/>
        <w:gridCol w:w="1560"/>
        <w:gridCol w:w="1134"/>
        <w:gridCol w:w="1163"/>
        <w:gridCol w:w="1226"/>
        <w:gridCol w:w="1154"/>
        <w:gridCol w:w="1139"/>
        <w:gridCol w:w="1382"/>
        <w:gridCol w:w="1307"/>
        <w:gridCol w:w="1144"/>
      </w:tblGrid>
      <w:tr w:rsidR="007F2DA5" w:rsidTr="00A225B3">
        <w:trPr>
          <w:trHeight w:val="20"/>
          <w:jc w:val="center"/>
        </w:trPr>
        <w:tc>
          <w:tcPr>
            <w:tcW w:w="14152" w:type="dxa"/>
            <w:gridSpan w:val="12"/>
            <w:tcBorders>
              <w:bottom w:val="single" w:sz="4" w:space="0" w:color="000000"/>
            </w:tcBorders>
          </w:tcPr>
          <w:p w:rsidR="006819BA" w:rsidRDefault="007F2DA5" w:rsidP="00B11F55">
            <w:pPr>
              <w:pStyle w:val="Titulek"/>
            </w:pPr>
            <w:bookmarkStart w:id="347" w:name="_Toc390958799"/>
            <w:bookmarkStart w:id="348" w:name="_Toc391034603"/>
            <w:r w:rsidRPr="00E43AAA">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23</w:t>
            </w:r>
            <w:r w:rsidR="000E79AE">
              <w:fldChar w:fldCharType="end"/>
            </w:r>
            <w:r w:rsidRPr="00E43AAA">
              <w:t xml:space="preserve">: Ekonomická analýza varianta </w:t>
            </w:r>
            <w:r>
              <w:t>Maximální</w:t>
            </w:r>
            <w:r w:rsidRPr="00E43AAA">
              <w:t xml:space="preserve"> v tis. Kč (CÚ </w:t>
            </w:r>
            <w:r w:rsidR="00D35BA3" w:rsidRPr="00E43AAA">
              <w:t>201</w:t>
            </w:r>
            <w:r w:rsidR="00D35BA3">
              <w:t>3</w:t>
            </w:r>
            <w:r w:rsidRPr="00E43AAA">
              <w:t>)</w:t>
            </w:r>
            <w:bookmarkEnd w:id="347"/>
            <w:bookmarkEnd w:id="348"/>
          </w:p>
        </w:tc>
      </w:tr>
      <w:tr w:rsidR="007F2DA5" w:rsidTr="00B11F55">
        <w:trPr>
          <w:trHeight w:val="20"/>
          <w:jc w:val="center"/>
        </w:trPr>
        <w:tc>
          <w:tcPr>
            <w:tcW w:w="675" w:type="dxa"/>
            <w:tcBorders>
              <w:bottom w:val="single" w:sz="12" w:space="0" w:color="auto"/>
            </w:tcBorders>
            <w:shd w:val="pct12" w:color="auto" w:fill="auto"/>
            <w:vAlign w:val="center"/>
          </w:tcPr>
          <w:p w:rsidR="007F2DA5" w:rsidRPr="00B11F55" w:rsidRDefault="007F2DA5" w:rsidP="00B11F55">
            <w:pPr>
              <w:spacing w:before="100" w:beforeAutospacing="1" w:after="100" w:afterAutospacing="1" w:line="264" w:lineRule="auto"/>
              <w:jc w:val="center"/>
              <w:rPr>
                <w:rFonts w:eastAsia="Arial Unicode MS" w:cs="Tahoma"/>
                <w:b/>
                <w:sz w:val="18"/>
                <w:szCs w:val="18"/>
              </w:rPr>
            </w:pPr>
            <w:r w:rsidRPr="00B11F55">
              <w:rPr>
                <w:rFonts w:eastAsia="Arial Unicode MS" w:cs="Tahoma"/>
                <w:b/>
                <w:sz w:val="18"/>
                <w:szCs w:val="18"/>
              </w:rPr>
              <w:t>rok</w:t>
            </w:r>
          </w:p>
        </w:tc>
        <w:tc>
          <w:tcPr>
            <w:tcW w:w="1225" w:type="dxa"/>
            <w:tcBorders>
              <w:bottom w:val="single" w:sz="12" w:space="0" w:color="auto"/>
            </w:tcBorders>
            <w:shd w:val="pct12" w:color="auto" w:fill="auto"/>
            <w:vAlign w:val="center"/>
          </w:tcPr>
          <w:p w:rsidR="007F2DA5" w:rsidRPr="00B11F55" w:rsidRDefault="007F2DA5" w:rsidP="00B11F55">
            <w:pPr>
              <w:spacing w:before="100" w:beforeAutospacing="1" w:after="100" w:afterAutospacing="1" w:line="264" w:lineRule="auto"/>
              <w:jc w:val="center"/>
              <w:rPr>
                <w:rFonts w:eastAsia="Arial Unicode MS" w:cs="Tahoma"/>
                <w:b/>
                <w:sz w:val="18"/>
                <w:szCs w:val="18"/>
              </w:rPr>
            </w:pPr>
            <w:r w:rsidRPr="00B11F55">
              <w:rPr>
                <w:rFonts w:eastAsia="Arial Unicode MS" w:cs="Tahoma"/>
                <w:b/>
                <w:sz w:val="18"/>
                <w:szCs w:val="18"/>
              </w:rPr>
              <w:t>investiční náklady</w:t>
            </w:r>
          </w:p>
        </w:tc>
        <w:tc>
          <w:tcPr>
            <w:tcW w:w="1043" w:type="dxa"/>
            <w:tcBorders>
              <w:bottom w:val="single" w:sz="12" w:space="0" w:color="auto"/>
            </w:tcBorders>
            <w:shd w:val="pct12" w:color="auto" w:fill="auto"/>
            <w:vAlign w:val="center"/>
          </w:tcPr>
          <w:p w:rsidR="007F2DA5" w:rsidRPr="00B11F55" w:rsidRDefault="007F2DA5" w:rsidP="00B11F55">
            <w:pPr>
              <w:spacing w:before="100" w:beforeAutospacing="1" w:after="100" w:afterAutospacing="1" w:line="264" w:lineRule="auto"/>
              <w:jc w:val="center"/>
              <w:rPr>
                <w:rFonts w:eastAsia="Arial Unicode MS" w:cs="Tahoma"/>
                <w:b/>
                <w:sz w:val="18"/>
                <w:szCs w:val="18"/>
              </w:rPr>
            </w:pPr>
            <w:r w:rsidRPr="00B11F55">
              <w:rPr>
                <w:rFonts w:eastAsia="Arial Unicode MS" w:cs="Tahoma"/>
                <w:b/>
                <w:sz w:val="18"/>
                <w:szCs w:val="18"/>
              </w:rPr>
              <w:t>zbytková hodnota</w:t>
            </w:r>
          </w:p>
        </w:tc>
        <w:tc>
          <w:tcPr>
            <w:tcW w:w="1560" w:type="dxa"/>
            <w:tcBorders>
              <w:bottom w:val="single" w:sz="12" w:space="0" w:color="auto"/>
            </w:tcBorders>
            <w:shd w:val="pct12" w:color="auto" w:fill="auto"/>
            <w:vAlign w:val="center"/>
          </w:tcPr>
          <w:p w:rsidR="007F2DA5" w:rsidRPr="00B11F55" w:rsidRDefault="007F2DA5" w:rsidP="00B11F55">
            <w:pPr>
              <w:spacing w:before="100" w:beforeAutospacing="1" w:after="100" w:afterAutospacing="1" w:line="264" w:lineRule="auto"/>
              <w:jc w:val="center"/>
              <w:rPr>
                <w:rFonts w:eastAsia="Arial Unicode MS" w:cs="Tahoma"/>
                <w:b/>
                <w:sz w:val="18"/>
                <w:szCs w:val="18"/>
              </w:rPr>
            </w:pPr>
            <w:r w:rsidRPr="00B11F55">
              <w:rPr>
                <w:rFonts w:eastAsia="Arial Unicode MS" w:cs="Tahoma"/>
                <w:b/>
                <w:sz w:val="18"/>
                <w:szCs w:val="18"/>
              </w:rPr>
              <w:t>úspora PN na řízení dopravy</w:t>
            </w:r>
          </w:p>
        </w:tc>
        <w:tc>
          <w:tcPr>
            <w:tcW w:w="1134" w:type="dxa"/>
            <w:tcBorders>
              <w:bottom w:val="single" w:sz="12" w:space="0" w:color="auto"/>
            </w:tcBorders>
            <w:shd w:val="pct12" w:color="auto" w:fill="auto"/>
            <w:vAlign w:val="center"/>
          </w:tcPr>
          <w:p w:rsidR="007F2DA5" w:rsidRPr="00B11F55" w:rsidRDefault="007F2DA5" w:rsidP="00B11F55">
            <w:pPr>
              <w:spacing w:before="100" w:beforeAutospacing="1" w:after="100" w:afterAutospacing="1" w:line="264" w:lineRule="auto"/>
              <w:jc w:val="center"/>
              <w:rPr>
                <w:rFonts w:eastAsia="Arial Unicode MS" w:cs="Tahoma"/>
                <w:b/>
                <w:sz w:val="18"/>
                <w:szCs w:val="18"/>
              </w:rPr>
            </w:pPr>
            <w:r w:rsidRPr="00B11F55">
              <w:rPr>
                <w:rFonts w:eastAsia="Arial Unicode MS" w:cs="Tahoma"/>
                <w:b/>
                <w:sz w:val="18"/>
                <w:szCs w:val="18"/>
              </w:rPr>
              <w:t>úspora PN infra.</w:t>
            </w:r>
          </w:p>
        </w:tc>
        <w:tc>
          <w:tcPr>
            <w:tcW w:w="1163" w:type="dxa"/>
            <w:tcBorders>
              <w:bottom w:val="single" w:sz="12" w:space="0" w:color="auto"/>
            </w:tcBorders>
            <w:shd w:val="pct12" w:color="auto" w:fill="auto"/>
            <w:vAlign w:val="center"/>
          </w:tcPr>
          <w:p w:rsidR="007F2DA5" w:rsidRPr="00B11F55" w:rsidRDefault="007F2DA5" w:rsidP="00B11F55">
            <w:pPr>
              <w:spacing w:before="100" w:beforeAutospacing="1" w:after="100" w:afterAutospacing="1" w:line="264" w:lineRule="auto"/>
              <w:jc w:val="center"/>
              <w:rPr>
                <w:rFonts w:eastAsia="Arial Unicode MS" w:cs="Tahoma"/>
                <w:b/>
                <w:sz w:val="18"/>
                <w:szCs w:val="18"/>
              </w:rPr>
            </w:pPr>
            <w:r w:rsidRPr="00B11F55">
              <w:rPr>
                <w:rFonts w:eastAsia="Arial Unicode MS" w:cs="Tahoma"/>
                <w:b/>
                <w:sz w:val="18"/>
                <w:szCs w:val="18"/>
              </w:rPr>
              <w:t>úspora PN vlaků</w:t>
            </w:r>
          </w:p>
        </w:tc>
        <w:tc>
          <w:tcPr>
            <w:tcW w:w="1226" w:type="dxa"/>
            <w:tcBorders>
              <w:bottom w:val="single" w:sz="12" w:space="0" w:color="auto"/>
            </w:tcBorders>
            <w:shd w:val="pct12" w:color="auto" w:fill="auto"/>
            <w:vAlign w:val="center"/>
          </w:tcPr>
          <w:p w:rsidR="007F2DA5" w:rsidRPr="00B11F55" w:rsidRDefault="007F2DA5" w:rsidP="00B11F55">
            <w:pPr>
              <w:spacing w:before="100" w:beforeAutospacing="1" w:after="100" w:afterAutospacing="1" w:line="264" w:lineRule="auto"/>
              <w:jc w:val="center"/>
              <w:rPr>
                <w:rFonts w:eastAsia="Arial Unicode MS" w:cs="Tahoma"/>
                <w:b/>
                <w:sz w:val="18"/>
                <w:szCs w:val="18"/>
              </w:rPr>
            </w:pPr>
            <w:r w:rsidRPr="00B11F55">
              <w:rPr>
                <w:rFonts w:eastAsia="Arial Unicode MS" w:cs="Tahoma"/>
                <w:b/>
                <w:sz w:val="18"/>
                <w:szCs w:val="18"/>
              </w:rPr>
              <w:t>úspora PN silnice</w:t>
            </w:r>
          </w:p>
        </w:tc>
        <w:tc>
          <w:tcPr>
            <w:tcW w:w="1154" w:type="dxa"/>
            <w:tcBorders>
              <w:bottom w:val="single" w:sz="12" w:space="0" w:color="auto"/>
            </w:tcBorders>
            <w:shd w:val="pct12" w:color="auto" w:fill="auto"/>
            <w:vAlign w:val="center"/>
          </w:tcPr>
          <w:p w:rsidR="007F2DA5" w:rsidRPr="00B11F55" w:rsidRDefault="007F2DA5" w:rsidP="00B11F55">
            <w:pPr>
              <w:spacing w:before="100" w:beforeAutospacing="1" w:after="100" w:afterAutospacing="1" w:line="264" w:lineRule="auto"/>
              <w:jc w:val="center"/>
              <w:rPr>
                <w:rFonts w:eastAsia="Arial Unicode MS" w:cs="Tahoma"/>
                <w:b/>
                <w:sz w:val="18"/>
                <w:szCs w:val="18"/>
              </w:rPr>
            </w:pPr>
            <w:r w:rsidRPr="00B11F55">
              <w:rPr>
                <w:rFonts w:eastAsia="Arial Unicode MS" w:cs="Tahoma"/>
                <w:b/>
                <w:sz w:val="18"/>
                <w:szCs w:val="18"/>
              </w:rPr>
              <w:t>úspora času</w:t>
            </w:r>
          </w:p>
        </w:tc>
        <w:tc>
          <w:tcPr>
            <w:tcW w:w="1139" w:type="dxa"/>
            <w:tcBorders>
              <w:bottom w:val="single" w:sz="12" w:space="0" w:color="auto"/>
            </w:tcBorders>
            <w:shd w:val="pct12" w:color="auto" w:fill="auto"/>
            <w:vAlign w:val="center"/>
          </w:tcPr>
          <w:p w:rsidR="007F2DA5" w:rsidRPr="00B11F55" w:rsidRDefault="007F2DA5" w:rsidP="00B11F55">
            <w:pPr>
              <w:spacing w:before="100" w:beforeAutospacing="1" w:after="100" w:afterAutospacing="1" w:line="264" w:lineRule="auto"/>
              <w:jc w:val="center"/>
              <w:rPr>
                <w:rFonts w:eastAsia="Arial Unicode MS" w:cs="Tahoma"/>
                <w:b/>
                <w:sz w:val="18"/>
                <w:szCs w:val="18"/>
              </w:rPr>
            </w:pPr>
            <w:r w:rsidRPr="00B11F55">
              <w:rPr>
                <w:rFonts w:eastAsia="Arial Unicode MS" w:cs="Tahoma"/>
                <w:b/>
                <w:sz w:val="18"/>
                <w:szCs w:val="18"/>
              </w:rPr>
              <w:t>úspora VN</w:t>
            </w:r>
          </w:p>
        </w:tc>
        <w:tc>
          <w:tcPr>
            <w:tcW w:w="1382" w:type="dxa"/>
            <w:tcBorders>
              <w:bottom w:val="single" w:sz="12" w:space="0" w:color="auto"/>
            </w:tcBorders>
            <w:shd w:val="pct12" w:color="auto" w:fill="auto"/>
            <w:vAlign w:val="center"/>
          </w:tcPr>
          <w:p w:rsidR="007F2DA5" w:rsidRPr="00B11F55" w:rsidRDefault="007F2DA5" w:rsidP="00B11F55">
            <w:pPr>
              <w:spacing w:before="100" w:beforeAutospacing="1" w:after="100" w:afterAutospacing="1" w:line="264" w:lineRule="auto"/>
              <w:jc w:val="center"/>
              <w:rPr>
                <w:rFonts w:eastAsia="Arial Unicode MS" w:cs="Tahoma"/>
                <w:b/>
                <w:sz w:val="18"/>
                <w:szCs w:val="18"/>
              </w:rPr>
            </w:pPr>
            <w:r w:rsidRPr="00B11F55">
              <w:rPr>
                <w:rFonts w:eastAsia="Arial Unicode MS" w:cs="Tahoma"/>
                <w:b/>
                <w:sz w:val="18"/>
                <w:szCs w:val="18"/>
              </w:rPr>
              <w:t>úspora bezpečnosti</w:t>
            </w:r>
          </w:p>
        </w:tc>
        <w:tc>
          <w:tcPr>
            <w:tcW w:w="1307" w:type="dxa"/>
            <w:tcBorders>
              <w:bottom w:val="single" w:sz="12" w:space="0" w:color="auto"/>
            </w:tcBorders>
            <w:shd w:val="pct12" w:color="auto" w:fill="auto"/>
            <w:vAlign w:val="center"/>
          </w:tcPr>
          <w:p w:rsidR="007F2DA5" w:rsidRPr="00B11F55" w:rsidRDefault="007F2DA5" w:rsidP="00B11F55">
            <w:pPr>
              <w:spacing w:before="100" w:beforeAutospacing="1" w:after="100" w:afterAutospacing="1" w:line="264" w:lineRule="auto"/>
              <w:jc w:val="center"/>
              <w:rPr>
                <w:rFonts w:eastAsia="Arial Unicode MS" w:cs="Tahoma"/>
                <w:b/>
                <w:sz w:val="18"/>
                <w:szCs w:val="18"/>
              </w:rPr>
            </w:pPr>
            <w:r w:rsidRPr="00B11F55">
              <w:rPr>
                <w:rFonts w:eastAsia="Arial Unicode MS" w:cs="Tahoma"/>
                <w:b/>
                <w:sz w:val="18"/>
                <w:szCs w:val="18"/>
              </w:rPr>
              <w:t>cash flow</w:t>
            </w:r>
          </w:p>
        </w:tc>
        <w:tc>
          <w:tcPr>
            <w:tcW w:w="1144" w:type="dxa"/>
            <w:tcBorders>
              <w:bottom w:val="single" w:sz="12" w:space="0" w:color="auto"/>
            </w:tcBorders>
            <w:shd w:val="pct12" w:color="auto" w:fill="auto"/>
            <w:vAlign w:val="center"/>
          </w:tcPr>
          <w:p w:rsidR="007F2DA5" w:rsidRPr="00B11F55" w:rsidRDefault="007F2DA5" w:rsidP="00B11F55">
            <w:pPr>
              <w:spacing w:before="100" w:beforeAutospacing="1" w:after="100" w:afterAutospacing="1" w:line="264" w:lineRule="auto"/>
              <w:jc w:val="center"/>
              <w:rPr>
                <w:rFonts w:eastAsia="Arial Unicode MS" w:cs="Tahoma"/>
                <w:b/>
                <w:sz w:val="18"/>
                <w:szCs w:val="18"/>
              </w:rPr>
            </w:pPr>
            <w:r w:rsidRPr="00B11F55">
              <w:rPr>
                <w:rFonts w:eastAsia="Arial Unicode MS" w:cs="Tahoma"/>
                <w:b/>
                <w:sz w:val="18"/>
                <w:szCs w:val="18"/>
              </w:rPr>
              <w:t>Kumul. CF</w:t>
            </w:r>
          </w:p>
        </w:tc>
      </w:tr>
      <w:tr w:rsidR="002D73B2" w:rsidTr="00B11F55">
        <w:trPr>
          <w:trHeight w:val="20"/>
          <w:jc w:val="center"/>
        </w:trPr>
        <w:tc>
          <w:tcPr>
            <w:tcW w:w="675" w:type="dxa"/>
            <w:tcBorders>
              <w:top w:val="single" w:sz="12" w:space="0" w:color="auto"/>
            </w:tcBorders>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2014</w:t>
            </w:r>
          </w:p>
        </w:tc>
        <w:tc>
          <w:tcPr>
            <w:tcW w:w="1225" w:type="dxa"/>
            <w:tcBorders>
              <w:top w:val="single" w:sz="12" w:space="0" w:color="auto"/>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622 660</w:t>
            </w:r>
          </w:p>
        </w:tc>
        <w:tc>
          <w:tcPr>
            <w:tcW w:w="1043" w:type="dxa"/>
            <w:tcBorders>
              <w:top w:val="single" w:sz="12" w:space="0" w:color="auto"/>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tcBorders>
              <w:top w:val="single" w:sz="12" w:space="0" w:color="auto"/>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134" w:type="dxa"/>
            <w:tcBorders>
              <w:top w:val="single" w:sz="12" w:space="0" w:color="auto"/>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134 611</w:t>
            </w:r>
          </w:p>
        </w:tc>
        <w:tc>
          <w:tcPr>
            <w:tcW w:w="1163" w:type="dxa"/>
            <w:tcBorders>
              <w:top w:val="single" w:sz="12" w:space="0" w:color="auto"/>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226" w:type="dxa"/>
            <w:tcBorders>
              <w:top w:val="single" w:sz="12" w:space="0" w:color="auto"/>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154" w:type="dxa"/>
            <w:tcBorders>
              <w:top w:val="single" w:sz="12" w:space="0" w:color="auto"/>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139" w:type="dxa"/>
            <w:tcBorders>
              <w:top w:val="single" w:sz="12" w:space="0" w:color="auto"/>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382" w:type="dxa"/>
            <w:tcBorders>
              <w:top w:val="single" w:sz="12" w:space="0" w:color="auto"/>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307" w:type="dxa"/>
            <w:tcBorders>
              <w:top w:val="single" w:sz="12" w:space="0" w:color="auto"/>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-488 049</w:t>
            </w:r>
          </w:p>
        </w:tc>
        <w:tc>
          <w:tcPr>
            <w:tcW w:w="1144" w:type="dxa"/>
            <w:tcBorders>
              <w:top w:val="single" w:sz="12" w:space="0" w:color="auto"/>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-488 049</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2015</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614 529</w:t>
            </w: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-1 807</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259 075</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-357 260</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-845 309</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2016</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614 529</w:t>
            </w: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13 895</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320 929</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-4 409</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19 152</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64 221</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10 506</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6 024</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-184 210</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-1 029 518</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2017</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614 529</w:t>
            </w: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14 242</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280 995</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-4 409</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19 235</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66 110</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10 552</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6 024</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-221 780</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-1 251 298</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2018</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579 462</w:t>
            </w: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14 987</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72 221</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-4 409</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19 317</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68 054</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10 597</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6 024</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-392 671</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-1 643 969</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2019</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396 544</w:t>
            </w: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10 912</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-4 332</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-4 409</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19 400</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70 054</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10 642</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6 024</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-288 252</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-1 932 220</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2020</w:t>
            </w:r>
          </w:p>
        </w:tc>
        <w:tc>
          <w:tcPr>
            <w:tcW w:w="1225"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361 066</w:t>
            </w:r>
          </w:p>
        </w:tc>
        <w:tc>
          <w:tcPr>
            <w:tcW w:w="1043"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18 179</w:t>
            </w:r>
          </w:p>
        </w:tc>
        <w:tc>
          <w:tcPr>
            <w:tcW w:w="1134"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152 123</w:t>
            </w:r>
          </w:p>
        </w:tc>
        <w:tc>
          <w:tcPr>
            <w:tcW w:w="1163"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-7 999</w:t>
            </w:r>
          </w:p>
        </w:tc>
        <w:tc>
          <w:tcPr>
            <w:tcW w:w="1226"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22 778</w:t>
            </w:r>
          </w:p>
        </w:tc>
        <w:tc>
          <w:tcPr>
            <w:tcW w:w="1154"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120 090</w:t>
            </w:r>
          </w:p>
        </w:tc>
        <w:tc>
          <w:tcPr>
            <w:tcW w:w="1139"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12 553</w:t>
            </w:r>
          </w:p>
        </w:tc>
        <w:tc>
          <w:tcPr>
            <w:tcW w:w="1382"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36 548</w:t>
            </w:r>
          </w:p>
        </w:tc>
        <w:tc>
          <w:tcPr>
            <w:tcW w:w="1307"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-6 795</w:t>
            </w:r>
          </w:p>
        </w:tc>
        <w:tc>
          <w:tcPr>
            <w:tcW w:w="1144"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-1 939 016</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2021</w:t>
            </w:r>
          </w:p>
        </w:tc>
        <w:tc>
          <w:tcPr>
            <w:tcW w:w="1225"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180 533</w:t>
            </w:r>
          </w:p>
        </w:tc>
        <w:tc>
          <w:tcPr>
            <w:tcW w:w="1043"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18 079</w:t>
            </w:r>
          </w:p>
        </w:tc>
        <w:tc>
          <w:tcPr>
            <w:tcW w:w="1134"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-4 325</w:t>
            </w:r>
          </w:p>
        </w:tc>
        <w:tc>
          <w:tcPr>
            <w:tcW w:w="1163"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-7 999</w:t>
            </w:r>
          </w:p>
        </w:tc>
        <w:tc>
          <w:tcPr>
            <w:tcW w:w="1226"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22 875</w:t>
            </w:r>
          </w:p>
        </w:tc>
        <w:tc>
          <w:tcPr>
            <w:tcW w:w="1154"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123 617</w:t>
            </w:r>
          </w:p>
        </w:tc>
        <w:tc>
          <w:tcPr>
            <w:tcW w:w="1139"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12 606</w:t>
            </w:r>
          </w:p>
        </w:tc>
        <w:tc>
          <w:tcPr>
            <w:tcW w:w="1382"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36 548</w:t>
            </w:r>
          </w:p>
        </w:tc>
        <w:tc>
          <w:tcPr>
            <w:tcW w:w="1307"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20 868</w:t>
            </w:r>
          </w:p>
        </w:tc>
        <w:tc>
          <w:tcPr>
            <w:tcW w:w="1144"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-1 918 147</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2022</w:t>
            </w:r>
          </w:p>
        </w:tc>
        <w:tc>
          <w:tcPr>
            <w:tcW w:w="1225"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23 333</w:t>
            </w:r>
          </w:p>
        </w:tc>
        <w:tc>
          <w:tcPr>
            <w:tcW w:w="1134"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-13 380</w:t>
            </w:r>
          </w:p>
        </w:tc>
        <w:tc>
          <w:tcPr>
            <w:tcW w:w="1163"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26 054</w:t>
            </w:r>
          </w:p>
        </w:tc>
        <w:tc>
          <w:tcPr>
            <w:tcW w:w="1154"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150 605</w:t>
            </w:r>
          </w:p>
        </w:tc>
        <w:tc>
          <w:tcPr>
            <w:tcW w:w="1139"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14 351</w:t>
            </w:r>
          </w:p>
        </w:tc>
        <w:tc>
          <w:tcPr>
            <w:tcW w:w="1382"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226 184</w:t>
            </w:r>
          </w:p>
        </w:tc>
        <w:tc>
          <w:tcPr>
            <w:tcW w:w="1144"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-1 691 963</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2023</w:t>
            </w:r>
          </w:p>
        </w:tc>
        <w:tc>
          <w:tcPr>
            <w:tcW w:w="1225"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23 916</w:t>
            </w:r>
          </w:p>
        </w:tc>
        <w:tc>
          <w:tcPr>
            <w:tcW w:w="1134"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-7 226</w:t>
            </w:r>
          </w:p>
        </w:tc>
        <w:tc>
          <w:tcPr>
            <w:tcW w:w="1163"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26 165</w:t>
            </w:r>
          </w:p>
        </w:tc>
        <w:tc>
          <w:tcPr>
            <w:tcW w:w="1154"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155 025</w:t>
            </w:r>
          </w:p>
        </w:tc>
        <w:tc>
          <w:tcPr>
            <w:tcW w:w="1139"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14 412</w:t>
            </w:r>
          </w:p>
        </w:tc>
        <w:tc>
          <w:tcPr>
            <w:tcW w:w="1382"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237 513</w:t>
            </w:r>
          </w:p>
        </w:tc>
        <w:tc>
          <w:tcPr>
            <w:tcW w:w="1144"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-1 454 450</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2024</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24 514</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-7 149</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26 276</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159 574</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14 473</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242 909</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-1 211 541</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2025</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25 127</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-7 083</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26 387</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164 254</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14 534</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248 440</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-963 101</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2026</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25 127</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-7 016</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26 450</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164 645</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14 568</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248 995</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-714 105</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2027</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25 127</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-7 008</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26 512</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165 036</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14 603</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249 491</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-464 614</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2028</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25 127</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-6 939</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26 575</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165 428</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14 638</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250 049</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-214 564</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2029</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25 127</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-1 713</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26 638</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165 819</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14 672</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255 765</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41 201</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2030</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25 127</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66 072</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26 701</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166 212</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14 707</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324 041</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365 241</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2031</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25 127</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29 576</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26 725</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166 361</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14 720</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287 731</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652 973</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2032</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25 127</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-3 135</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26 749</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166 511</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14 734</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255 206</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908 179</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2033</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25 127</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-27 800</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26 773</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166 660</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14 747</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230 728</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1 138 907</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2034</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26 274</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123 502</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26 759</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166 568</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14 739</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383 063</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1 521 970</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2035</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16 563</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-11 951</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26 744</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166 477</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14 731</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237 785</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1 759 754</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2036</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16 563</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-79 176</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26 734</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166 416</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14 725</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170 484</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1 930 238</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2037</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16 563</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-79 719</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26 724</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166 355</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14 720</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169 865</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2 100 103</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2038</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16 563</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-6 843</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26 715</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166 294</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14 714</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242 664</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2 342 767</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2039</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16 563</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-11 319</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26 705</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166 233</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14 709</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238 112</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2 580 879</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2040</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16 563</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-400 756</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26 695</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166 172</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14 704</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-151 401</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2 429 477</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2041</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16 563</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-7 050</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26 670</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166 019</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14 690</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242 114</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2 671 592</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2042</w:t>
            </w:r>
          </w:p>
        </w:tc>
        <w:tc>
          <w:tcPr>
            <w:tcW w:w="1225"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 </w:t>
            </w:r>
          </w:p>
        </w:tc>
        <w:tc>
          <w:tcPr>
            <w:tcW w:w="1560"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16 563</w:t>
            </w:r>
          </w:p>
        </w:tc>
        <w:tc>
          <w:tcPr>
            <w:tcW w:w="113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-58 438</w:t>
            </w:r>
          </w:p>
        </w:tc>
        <w:tc>
          <w:tcPr>
            <w:tcW w:w="1163"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26 646</w:t>
            </w:r>
          </w:p>
        </w:tc>
        <w:tc>
          <w:tcPr>
            <w:tcW w:w="115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165 867</w:t>
            </w:r>
          </w:p>
        </w:tc>
        <w:tc>
          <w:tcPr>
            <w:tcW w:w="1139"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14 677</w:t>
            </w:r>
          </w:p>
        </w:tc>
        <w:tc>
          <w:tcPr>
            <w:tcW w:w="1382"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190 536</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2 862 128</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sz w:val="18"/>
                <w:szCs w:val="18"/>
              </w:rPr>
            </w:pPr>
            <w:r w:rsidRPr="00B11F55">
              <w:rPr>
                <w:rFonts w:eastAsia="Arial Unicode MS" w:cs="Tahoma"/>
                <w:sz w:val="18"/>
                <w:szCs w:val="18"/>
              </w:rPr>
              <w:t>2043</w:t>
            </w:r>
          </w:p>
        </w:tc>
        <w:tc>
          <w:tcPr>
            <w:tcW w:w="1225"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p>
        </w:tc>
        <w:tc>
          <w:tcPr>
            <w:tcW w:w="1043"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539 325</w:t>
            </w:r>
          </w:p>
        </w:tc>
        <w:tc>
          <w:tcPr>
            <w:tcW w:w="1560"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16 563</w:t>
            </w:r>
          </w:p>
        </w:tc>
        <w:tc>
          <w:tcPr>
            <w:tcW w:w="1134"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-7 192</w:t>
            </w:r>
          </w:p>
        </w:tc>
        <w:tc>
          <w:tcPr>
            <w:tcW w:w="1163"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-14 288</w:t>
            </w:r>
          </w:p>
        </w:tc>
        <w:tc>
          <w:tcPr>
            <w:tcW w:w="1226"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26 621</w:t>
            </w:r>
          </w:p>
        </w:tc>
        <w:tc>
          <w:tcPr>
            <w:tcW w:w="1154"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165 714</w:t>
            </w:r>
          </w:p>
        </w:tc>
        <w:tc>
          <w:tcPr>
            <w:tcW w:w="1139"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14 663</w:t>
            </w:r>
          </w:p>
        </w:tc>
        <w:tc>
          <w:tcPr>
            <w:tcW w:w="1382"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39 509</w:t>
            </w:r>
          </w:p>
        </w:tc>
        <w:tc>
          <w:tcPr>
            <w:tcW w:w="1307"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780 917</w:t>
            </w:r>
          </w:p>
        </w:tc>
        <w:tc>
          <w:tcPr>
            <w:tcW w:w="1144" w:type="dxa"/>
            <w:vAlign w:val="center"/>
          </w:tcPr>
          <w:p w:rsidR="002D73B2" w:rsidRPr="00B11F55" w:rsidRDefault="002D73B2" w:rsidP="00B11F55">
            <w:pPr>
              <w:spacing w:before="100" w:beforeAutospacing="1" w:after="100" w:afterAutospacing="1" w:line="264" w:lineRule="auto"/>
              <w:jc w:val="right"/>
              <w:rPr>
                <w:rFonts w:eastAsia="Arial Unicode MS" w:cs="Tahoma"/>
                <w:sz w:val="18"/>
                <w:szCs w:val="18"/>
              </w:rPr>
            </w:pPr>
            <w:r w:rsidRPr="00B11F55">
              <w:rPr>
                <w:rFonts w:eastAsia="Arial Unicode MS" w:cs="Tahoma"/>
                <w:sz w:val="18"/>
                <w:szCs w:val="18"/>
              </w:rPr>
              <w:t>3 643 045</w:t>
            </w:r>
          </w:p>
        </w:tc>
      </w:tr>
      <w:tr w:rsidR="002D73B2" w:rsidTr="00B11F55">
        <w:trPr>
          <w:trHeight w:val="20"/>
          <w:jc w:val="center"/>
        </w:trPr>
        <w:tc>
          <w:tcPr>
            <w:tcW w:w="675" w:type="dxa"/>
            <w:shd w:val="pct12" w:color="auto" w:fill="auto"/>
            <w:vAlign w:val="center"/>
          </w:tcPr>
          <w:p w:rsidR="002D73B2" w:rsidRPr="00B11F55" w:rsidRDefault="002D73B2" w:rsidP="00B11F55">
            <w:pPr>
              <w:spacing w:before="100" w:beforeAutospacing="1" w:after="100" w:afterAutospacing="1" w:line="264" w:lineRule="auto"/>
              <w:rPr>
                <w:rFonts w:eastAsia="Arial Unicode MS" w:cs="Tahoma"/>
                <w:b/>
                <w:sz w:val="18"/>
                <w:szCs w:val="18"/>
              </w:rPr>
            </w:pPr>
            <w:r w:rsidRPr="00B11F55">
              <w:rPr>
                <w:rFonts w:eastAsia="Arial Unicode MS" w:cs="Tahoma"/>
                <w:b/>
                <w:sz w:val="18"/>
                <w:szCs w:val="18"/>
              </w:rPr>
              <w:t>NPV</w:t>
            </w:r>
          </w:p>
        </w:tc>
        <w:tc>
          <w:tcPr>
            <w:tcW w:w="1225" w:type="dxa"/>
            <w:tcBorders>
              <w:bottom w:val="single" w:sz="4" w:space="0" w:color="000000"/>
            </w:tcBorders>
            <w:shd w:val="pct12" w:color="auto" w:fill="auto"/>
            <w:vAlign w:val="center"/>
          </w:tcPr>
          <w:p w:rsidR="002D73B2" w:rsidRPr="00B11F55" w:rsidRDefault="002D73B2" w:rsidP="00B11F55">
            <w:pPr>
              <w:spacing w:before="100" w:beforeAutospacing="1" w:after="100" w:afterAutospacing="1" w:line="264" w:lineRule="auto"/>
              <w:jc w:val="right"/>
              <w:rPr>
                <w:rFonts w:eastAsia="Arial Unicode MS" w:cs="Tahoma"/>
                <w:b/>
                <w:sz w:val="18"/>
                <w:szCs w:val="18"/>
              </w:rPr>
            </w:pPr>
            <w:r w:rsidRPr="00B11F55">
              <w:rPr>
                <w:rFonts w:eastAsia="Arial Unicode MS" w:cs="Tahoma"/>
                <w:b/>
                <w:sz w:val="18"/>
                <w:szCs w:val="18"/>
              </w:rPr>
              <w:t>3 437 746</w:t>
            </w:r>
          </w:p>
        </w:tc>
        <w:tc>
          <w:tcPr>
            <w:tcW w:w="1043" w:type="dxa"/>
            <w:tcBorders>
              <w:bottom w:val="single" w:sz="4" w:space="0" w:color="000000"/>
            </w:tcBorders>
            <w:shd w:val="pct12" w:color="auto" w:fill="auto"/>
            <w:vAlign w:val="center"/>
          </w:tcPr>
          <w:p w:rsidR="002D73B2" w:rsidRPr="00B11F55" w:rsidRDefault="002D73B2" w:rsidP="00B11F55">
            <w:pPr>
              <w:spacing w:before="100" w:beforeAutospacing="1" w:after="100" w:afterAutospacing="1" w:line="264" w:lineRule="auto"/>
              <w:jc w:val="right"/>
              <w:rPr>
                <w:rFonts w:eastAsia="Arial Unicode MS" w:cs="Tahoma"/>
                <w:b/>
                <w:sz w:val="18"/>
                <w:szCs w:val="18"/>
              </w:rPr>
            </w:pPr>
            <w:r w:rsidRPr="00B11F55">
              <w:rPr>
                <w:rFonts w:eastAsia="Arial Unicode MS" w:cs="Tahoma"/>
                <w:b/>
                <w:sz w:val="18"/>
                <w:szCs w:val="18"/>
              </w:rPr>
              <w:t>114 164</w:t>
            </w:r>
          </w:p>
        </w:tc>
        <w:tc>
          <w:tcPr>
            <w:tcW w:w="1560" w:type="dxa"/>
            <w:tcBorders>
              <w:bottom w:val="single" w:sz="4" w:space="0" w:color="000000"/>
            </w:tcBorders>
            <w:shd w:val="pct12" w:color="auto" w:fill="auto"/>
            <w:vAlign w:val="center"/>
          </w:tcPr>
          <w:p w:rsidR="002D73B2" w:rsidRPr="00B11F55" w:rsidRDefault="002D73B2" w:rsidP="00B11F55">
            <w:pPr>
              <w:spacing w:before="100" w:beforeAutospacing="1" w:after="100" w:afterAutospacing="1" w:line="264" w:lineRule="auto"/>
              <w:jc w:val="right"/>
              <w:rPr>
                <w:rFonts w:eastAsia="Arial Unicode MS" w:cs="Tahoma"/>
                <w:b/>
                <w:sz w:val="18"/>
                <w:szCs w:val="18"/>
              </w:rPr>
            </w:pPr>
            <w:r w:rsidRPr="00B11F55">
              <w:rPr>
                <w:rFonts w:eastAsia="Arial Unicode MS" w:cs="Tahoma"/>
                <w:b/>
                <w:sz w:val="18"/>
                <w:szCs w:val="18"/>
              </w:rPr>
              <w:t>264 023</w:t>
            </w:r>
          </w:p>
        </w:tc>
        <w:tc>
          <w:tcPr>
            <w:tcW w:w="1134" w:type="dxa"/>
            <w:tcBorders>
              <w:bottom w:val="single" w:sz="4" w:space="0" w:color="000000"/>
            </w:tcBorders>
            <w:shd w:val="pct12" w:color="auto" w:fill="auto"/>
            <w:vAlign w:val="center"/>
          </w:tcPr>
          <w:p w:rsidR="002D73B2" w:rsidRPr="00B11F55" w:rsidRDefault="002D73B2" w:rsidP="00B11F55">
            <w:pPr>
              <w:spacing w:before="100" w:beforeAutospacing="1" w:after="100" w:afterAutospacing="1" w:line="264" w:lineRule="auto"/>
              <w:jc w:val="right"/>
              <w:rPr>
                <w:rFonts w:eastAsia="Arial Unicode MS" w:cs="Tahoma"/>
                <w:b/>
                <w:sz w:val="18"/>
                <w:szCs w:val="18"/>
              </w:rPr>
            </w:pPr>
            <w:r w:rsidRPr="00B11F55">
              <w:rPr>
                <w:rFonts w:eastAsia="Arial Unicode MS" w:cs="Tahoma"/>
                <w:b/>
                <w:sz w:val="18"/>
                <w:szCs w:val="18"/>
              </w:rPr>
              <w:t>936 426</w:t>
            </w:r>
          </w:p>
        </w:tc>
        <w:tc>
          <w:tcPr>
            <w:tcW w:w="1163" w:type="dxa"/>
            <w:tcBorders>
              <w:bottom w:val="single" w:sz="4" w:space="0" w:color="000000"/>
            </w:tcBorders>
            <w:shd w:val="pct12" w:color="auto" w:fill="auto"/>
            <w:vAlign w:val="center"/>
          </w:tcPr>
          <w:p w:rsidR="002D73B2" w:rsidRPr="00B11F55" w:rsidRDefault="002D73B2" w:rsidP="00B11F55">
            <w:pPr>
              <w:spacing w:before="100" w:beforeAutospacing="1" w:after="100" w:afterAutospacing="1" w:line="264" w:lineRule="auto"/>
              <w:jc w:val="right"/>
              <w:rPr>
                <w:rFonts w:eastAsia="Arial Unicode MS" w:cs="Tahoma"/>
                <w:b/>
                <w:sz w:val="18"/>
                <w:szCs w:val="18"/>
              </w:rPr>
            </w:pPr>
            <w:r w:rsidRPr="00B11F55">
              <w:rPr>
                <w:rFonts w:eastAsia="Arial Unicode MS" w:cs="Tahoma"/>
                <w:b/>
                <w:sz w:val="18"/>
                <w:szCs w:val="18"/>
              </w:rPr>
              <w:t>-149 537</w:t>
            </w:r>
          </w:p>
        </w:tc>
        <w:tc>
          <w:tcPr>
            <w:tcW w:w="1226" w:type="dxa"/>
            <w:tcBorders>
              <w:bottom w:val="single" w:sz="4" w:space="0" w:color="000000"/>
            </w:tcBorders>
            <w:shd w:val="pct12" w:color="auto" w:fill="auto"/>
            <w:vAlign w:val="center"/>
          </w:tcPr>
          <w:p w:rsidR="002D73B2" w:rsidRPr="00B11F55" w:rsidRDefault="002D73B2" w:rsidP="00B11F55">
            <w:pPr>
              <w:spacing w:before="100" w:beforeAutospacing="1" w:after="100" w:afterAutospacing="1" w:line="264" w:lineRule="auto"/>
              <w:jc w:val="right"/>
              <w:rPr>
                <w:rFonts w:eastAsia="Arial Unicode MS" w:cs="Tahoma"/>
                <w:b/>
                <w:sz w:val="18"/>
                <w:szCs w:val="18"/>
              </w:rPr>
            </w:pPr>
            <w:r w:rsidRPr="00B11F55">
              <w:rPr>
                <w:rFonts w:eastAsia="Arial Unicode MS" w:cs="Tahoma"/>
                <w:b/>
                <w:sz w:val="18"/>
                <w:szCs w:val="18"/>
              </w:rPr>
              <w:t>325 820</w:t>
            </w:r>
          </w:p>
        </w:tc>
        <w:tc>
          <w:tcPr>
            <w:tcW w:w="1154" w:type="dxa"/>
            <w:tcBorders>
              <w:bottom w:val="single" w:sz="4" w:space="0" w:color="000000"/>
            </w:tcBorders>
            <w:shd w:val="pct12" w:color="auto" w:fill="auto"/>
            <w:vAlign w:val="center"/>
          </w:tcPr>
          <w:p w:rsidR="002D73B2" w:rsidRPr="00B11F55" w:rsidRDefault="002D73B2" w:rsidP="00B11F55">
            <w:pPr>
              <w:spacing w:before="100" w:beforeAutospacing="1" w:after="100" w:afterAutospacing="1" w:line="264" w:lineRule="auto"/>
              <w:jc w:val="right"/>
              <w:rPr>
                <w:rFonts w:eastAsia="Arial Unicode MS" w:cs="Tahoma"/>
                <w:b/>
                <w:sz w:val="18"/>
                <w:szCs w:val="18"/>
              </w:rPr>
            </w:pPr>
            <w:r w:rsidRPr="00B11F55">
              <w:rPr>
                <w:rFonts w:eastAsia="Arial Unicode MS" w:cs="Tahoma"/>
                <w:b/>
                <w:sz w:val="18"/>
                <w:szCs w:val="18"/>
              </w:rPr>
              <w:t>1 808 795</w:t>
            </w:r>
          </w:p>
        </w:tc>
        <w:tc>
          <w:tcPr>
            <w:tcW w:w="1139" w:type="dxa"/>
            <w:tcBorders>
              <w:bottom w:val="single" w:sz="4" w:space="0" w:color="000000"/>
            </w:tcBorders>
            <w:shd w:val="pct12" w:color="auto" w:fill="auto"/>
            <w:vAlign w:val="center"/>
          </w:tcPr>
          <w:p w:rsidR="002D73B2" w:rsidRPr="00B11F55" w:rsidRDefault="002D73B2" w:rsidP="00B11F55">
            <w:pPr>
              <w:spacing w:before="100" w:beforeAutospacing="1" w:after="100" w:afterAutospacing="1" w:line="264" w:lineRule="auto"/>
              <w:jc w:val="right"/>
              <w:rPr>
                <w:rFonts w:eastAsia="Arial Unicode MS" w:cs="Tahoma"/>
                <w:b/>
                <w:sz w:val="18"/>
                <w:szCs w:val="18"/>
              </w:rPr>
            </w:pPr>
            <w:r w:rsidRPr="00B11F55">
              <w:rPr>
                <w:rFonts w:eastAsia="Arial Unicode MS" w:cs="Tahoma"/>
                <w:b/>
                <w:sz w:val="18"/>
                <w:szCs w:val="18"/>
              </w:rPr>
              <w:t>179 328</w:t>
            </w:r>
          </w:p>
        </w:tc>
        <w:tc>
          <w:tcPr>
            <w:tcW w:w="1382" w:type="dxa"/>
            <w:tcBorders>
              <w:bottom w:val="single" w:sz="4" w:space="0" w:color="000000"/>
            </w:tcBorders>
            <w:shd w:val="pct12" w:color="auto" w:fill="auto"/>
            <w:vAlign w:val="center"/>
          </w:tcPr>
          <w:p w:rsidR="002D73B2" w:rsidRPr="00B11F55" w:rsidRDefault="002D73B2" w:rsidP="00B11F55">
            <w:pPr>
              <w:spacing w:before="100" w:beforeAutospacing="1" w:after="100" w:afterAutospacing="1" w:line="264" w:lineRule="auto"/>
              <w:jc w:val="right"/>
              <w:rPr>
                <w:rFonts w:eastAsia="Arial Unicode MS" w:cs="Tahoma"/>
                <w:b/>
                <w:sz w:val="18"/>
                <w:szCs w:val="18"/>
              </w:rPr>
            </w:pPr>
            <w:r w:rsidRPr="00B11F55">
              <w:rPr>
                <w:rFonts w:eastAsia="Arial Unicode MS" w:cs="Tahoma"/>
                <w:b/>
                <w:sz w:val="18"/>
                <w:szCs w:val="18"/>
              </w:rPr>
              <w:t>413 402</w:t>
            </w:r>
          </w:p>
        </w:tc>
        <w:tc>
          <w:tcPr>
            <w:tcW w:w="1307" w:type="dxa"/>
            <w:tcBorders>
              <w:bottom w:val="single" w:sz="4" w:space="0" w:color="000000"/>
            </w:tcBorders>
            <w:shd w:val="pct12" w:color="auto" w:fill="auto"/>
            <w:vAlign w:val="center"/>
          </w:tcPr>
          <w:p w:rsidR="002D73B2" w:rsidRPr="00B11F55" w:rsidRDefault="002D73B2" w:rsidP="00B11F55">
            <w:pPr>
              <w:spacing w:before="100" w:beforeAutospacing="1" w:after="100" w:afterAutospacing="1" w:line="264" w:lineRule="auto"/>
              <w:jc w:val="right"/>
              <w:rPr>
                <w:rFonts w:eastAsia="Arial Unicode MS" w:cs="Tahoma"/>
                <w:b/>
                <w:sz w:val="18"/>
                <w:szCs w:val="18"/>
              </w:rPr>
            </w:pPr>
            <w:r w:rsidRPr="00B11F55">
              <w:rPr>
                <w:rFonts w:eastAsia="Arial Unicode MS" w:cs="Tahoma"/>
                <w:b/>
                <w:sz w:val="18"/>
                <w:szCs w:val="18"/>
              </w:rPr>
              <w:t>454 675</w:t>
            </w:r>
          </w:p>
        </w:tc>
        <w:tc>
          <w:tcPr>
            <w:tcW w:w="1144" w:type="dxa"/>
            <w:tcBorders>
              <w:bottom w:val="single" w:sz="4" w:space="0" w:color="000000"/>
            </w:tcBorders>
            <w:vAlign w:val="center"/>
          </w:tcPr>
          <w:p w:rsidR="002D73B2" w:rsidRPr="00B11F55" w:rsidRDefault="002D73B2" w:rsidP="00B11F55">
            <w:pPr>
              <w:spacing w:before="100" w:beforeAutospacing="1" w:after="100" w:afterAutospacing="1" w:line="264" w:lineRule="auto"/>
              <w:jc w:val="right"/>
              <w:rPr>
                <w:rFonts w:eastAsia="Arial Unicode MS" w:cs="Tahoma"/>
                <w:b/>
                <w:sz w:val="18"/>
                <w:szCs w:val="18"/>
              </w:rPr>
            </w:pPr>
            <w:r w:rsidRPr="00B11F55">
              <w:rPr>
                <w:rFonts w:eastAsia="Arial Unicode MS" w:cs="Tahoma"/>
                <w:b/>
                <w:sz w:val="18"/>
                <w:szCs w:val="18"/>
              </w:rPr>
              <w:t> </w:t>
            </w:r>
          </w:p>
        </w:tc>
      </w:tr>
    </w:tbl>
    <w:p w:rsidR="007F2DA5" w:rsidRDefault="007F2DA5" w:rsidP="000A5151">
      <w:pPr>
        <w:sectPr w:rsidR="007F2DA5" w:rsidSect="009C7F1C">
          <w:headerReference w:type="default" r:id="rId108"/>
          <w:footerReference w:type="default" r:id="rId109"/>
          <w:footnotePr>
            <w:pos w:val="beneathText"/>
          </w:footnotePr>
          <w:pgSz w:w="16837" w:h="11905" w:orient="landscape" w:code="9"/>
          <w:pgMar w:top="1418" w:right="1492" w:bottom="1134" w:left="1134" w:header="709" w:footer="215" w:gutter="0"/>
          <w:cols w:space="708"/>
          <w:docGrid w:linePitch="360"/>
        </w:sectPr>
      </w:pPr>
    </w:p>
    <w:p w:rsidR="00225B27" w:rsidRDefault="00C72366">
      <w:pPr>
        <w:pStyle w:val="Nadpis2"/>
      </w:pPr>
      <w:bookmarkStart w:id="349" w:name="_Toc390958723"/>
      <w:r>
        <w:t>Analýza citlivosti a rizik</w:t>
      </w:r>
      <w:bookmarkEnd w:id="349"/>
    </w:p>
    <w:p w:rsidR="00C72366" w:rsidRPr="00C72366" w:rsidRDefault="00C72366" w:rsidP="00C72366">
      <w:r w:rsidRPr="00D275B1">
        <w:t>Analýza citlivosti a rizik se zaměřuje na prozkoumání variability výsledků ekonomického hodnocení, v</w:t>
      </w:r>
      <w:r>
        <w:t> </w:t>
      </w:r>
      <w:r w:rsidRPr="00D275B1">
        <w:t xml:space="preserve">porovnání s nejlepším dříve učiněným odhadem a rizik změn tohoto odhadu. Jsou určeny a dále zkoumány kritické proměnné a jejich vliv na celkový výsledek hodnocení. Následně </w:t>
      </w:r>
      <w:r w:rsidR="00110730">
        <w:t>může být</w:t>
      </w:r>
      <w:r w:rsidR="00110730" w:rsidRPr="00D275B1">
        <w:t xml:space="preserve"> </w:t>
      </w:r>
      <w:r w:rsidRPr="00D275B1">
        <w:t>na základě těchto poznatků provedena analýza rizik s užitím katalogu rizik pomocí výpočetní metody Monte Carlo.</w:t>
      </w:r>
    </w:p>
    <w:p w:rsidR="00225B27" w:rsidRDefault="00C72366" w:rsidP="000D62F1">
      <w:pPr>
        <w:pStyle w:val="Nadpis3"/>
        <w:ind w:hanging="8234"/>
      </w:pPr>
      <w:r>
        <w:t>Elasticita</w:t>
      </w:r>
    </w:p>
    <w:p w:rsidR="00C72366" w:rsidRDefault="00C72366" w:rsidP="00C72366">
      <w:r>
        <w:t>Výše výsledných ekonomických ukazatelů je dána hodnotou jednotlivých finančních toků vstupujících do výpočtu efektivnosti. Hodnoty finančních toků jsou určovány výší nezávislých proměnných. Pomocí podrobného prozkoumání jejich elasticity jsou následně určeny proměnné, jejichž výše (resp. změna) nejvíce ovlivňuje hodnotu výsledných ukazatelů. Jsou to tzv. „kritické nezávislé proměnné“ (v souladu s materiálem „Průvodce analýzou nákladů a přínosů investičních projektů“ (Strukturální fond – ERDF, Kohezní fond a ISPA). Elasticita je poměr mezi procentní změnou výsledného ukazatele (NPV) a procentní změnou příslušné nezávislé proměnné od nejlepšího odhadu.</w:t>
      </w:r>
    </w:p>
    <w:p w:rsidR="00C72366" w:rsidRDefault="00C72366" w:rsidP="002611C4">
      <w:r>
        <w:t xml:space="preserve">Jako kritické byly označeny </w:t>
      </w:r>
      <w:r w:rsidRPr="002611C4">
        <w:rPr>
          <w:b/>
        </w:rPr>
        <w:t>proměnné</w:t>
      </w:r>
      <w:r>
        <w:t xml:space="preserve">, které splňují </w:t>
      </w:r>
      <w:r w:rsidRPr="002611C4">
        <w:rPr>
          <w:b/>
        </w:rPr>
        <w:t>podmínk</w:t>
      </w:r>
      <w:r w:rsidR="002611C4" w:rsidRPr="002611C4">
        <w:rPr>
          <w:b/>
        </w:rPr>
        <w:t xml:space="preserve">u, že </w:t>
      </w:r>
      <w:r w:rsidRPr="002611C4">
        <w:rPr>
          <w:b/>
        </w:rPr>
        <w:t>jejich elasticita (po normování) je větší než 1</w:t>
      </w:r>
      <w:r w:rsidR="00C54648" w:rsidRPr="00092F1A">
        <w:t xml:space="preserve"> nebo jejich elasticita je </w:t>
      </w:r>
      <w:r w:rsidR="00C54648" w:rsidRPr="00092F1A">
        <w:rPr>
          <w:rFonts w:hint="eastAsia"/>
        </w:rPr>
        <w:t>řá</w:t>
      </w:r>
      <w:r w:rsidR="00C54648" w:rsidRPr="00092F1A">
        <w:t>dov</w:t>
      </w:r>
      <w:r w:rsidR="00C54648" w:rsidRPr="00092F1A">
        <w:rPr>
          <w:rFonts w:hint="eastAsia"/>
        </w:rPr>
        <w:t>ě</w:t>
      </w:r>
      <w:r w:rsidR="00C54648" w:rsidRPr="00092F1A">
        <w:t xml:space="preserve"> vyšší</w:t>
      </w:r>
      <w:r w:rsidR="002611C4">
        <w:t>.</w:t>
      </w:r>
    </w:p>
    <w:p w:rsidR="00C72366" w:rsidRDefault="00C72366" w:rsidP="00C72366">
      <w:r>
        <w:t>Změnou takto zjištěných proměnných je možné nejvíce ovlivnit ekonomické výsledky celého projektu a to jak negativně, tak pozitivně. Průzkum elasticity byl pro finanční i ekonomickou analýzu proveden pro tyto nezávislé proměnné:</w:t>
      </w:r>
    </w:p>
    <w:p w:rsidR="00631EAB" w:rsidRDefault="00C72366" w:rsidP="00D20948">
      <w:pPr>
        <w:pStyle w:val="Odstavecseseznamem"/>
        <w:numPr>
          <w:ilvl w:val="0"/>
          <w:numId w:val="18"/>
        </w:numPr>
        <w:contextualSpacing/>
      </w:pPr>
      <w:r>
        <w:t>projektové investiční náklady (IN),</w:t>
      </w:r>
    </w:p>
    <w:p w:rsidR="00631EAB" w:rsidRDefault="00C72366" w:rsidP="00D20948">
      <w:pPr>
        <w:pStyle w:val="Odstavecseseznamem"/>
        <w:numPr>
          <w:ilvl w:val="0"/>
          <w:numId w:val="18"/>
        </w:numPr>
        <w:contextualSpacing/>
      </w:pPr>
      <w:r>
        <w:t>úspora provozních nákladů na infrastrukturu (PN infrastruktury),</w:t>
      </w:r>
    </w:p>
    <w:p w:rsidR="00631EAB" w:rsidRDefault="00C72366" w:rsidP="00D20948">
      <w:pPr>
        <w:pStyle w:val="Odstavecseseznamem"/>
        <w:numPr>
          <w:ilvl w:val="0"/>
          <w:numId w:val="18"/>
        </w:numPr>
        <w:contextualSpacing/>
      </w:pPr>
      <w:r>
        <w:t>úspora provozních nákladů na zaměstnance (PN řízení),</w:t>
      </w:r>
    </w:p>
    <w:p w:rsidR="00631EAB" w:rsidRDefault="00C72366" w:rsidP="00D20948">
      <w:pPr>
        <w:pStyle w:val="Odstavecseseznamem"/>
        <w:numPr>
          <w:ilvl w:val="0"/>
          <w:numId w:val="18"/>
        </w:numPr>
        <w:contextualSpacing/>
      </w:pPr>
      <w:r>
        <w:t xml:space="preserve">prognózované přepravní výkony v osobní </w:t>
      </w:r>
      <w:r w:rsidR="00274C61">
        <w:t>dopravě (Výkony Os).</w:t>
      </w:r>
    </w:p>
    <w:p w:rsidR="00274C61" w:rsidRDefault="00274C61" w:rsidP="00274C61">
      <w:pPr>
        <w:pStyle w:val="Odstavecseseznamem"/>
        <w:ind w:left="0"/>
        <w:contextualSpacing/>
      </w:pPr>
    </w:p>
    <w:tbl>
      <w:tblPr>
        <w:tblW w:w="9351" w:type="dxa"/>
        <w:jc w:val="center"/>
        <w:tblInd w:w="-6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25"/>
        <w:gridCol w:w="1154"/>
        <w:gridCol w:w="1153"/>
        <w:gridCol w:w="1154"/>
        <w:gridCol w:w="1153"/>
        <w:gridCol w:w="1153"/>
        <w:gridCol w:w="1150"/>
        <w:gridCol w:w="9"/>
      </w:tblGrid>
      <w:tr w:rsidR="0089407E" w:rsidTr="00B11F55">
        <w:trPr>
          <w:gridAfter w:val="1"/>
          <w:wAfter w:w="9" w:type="dxa"/>
          <w:jc w:val="center"/>
        </w:trPr>
        <w:tc>
          <w:tcPr>
            <w:tcW w:w="9342" w:type="dxa"/>
            <w:gridSpan w:val="7"/>
            <w:tcBorders>
              <w:bottom w:val="single" w:sz="4" w:space="0" w:color="000000"/>
            </w:tcBorders>
          </w:tcPr>
          <w:p w:rsidR="0089407E" w:rsidRPr="0089407E" w:rsidRDefault="0089407E" w:rsidP="00B11F55">
            <w:pPr>
              <w:pStyle w:val="Titulek"/>
            </w:pPr>
            <w:bookmarkStart w:id="350" w:name="_Toc316377697"/>
            <w:bookmarkStart w:id="351" w:name="_Toc390958800"/>
            <w:bookmarkStart w:id="352" w:name="_Toc391034604"/>
            <w:r w:rsidRPr="0089407E">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24</w:t>
            </w:r>
            <w:r w:rsidR="000E79AE">
              <w:fldChar w:fldCharType="end"/>
            </w:r>
            <w:r w:rsidRPr="0089407E">
              <w:t>: Elasticita proměnných - finanční a ekonomická analýza</w:t>
            </w:r>
            <w:bookmarkEnd w:id="350"/>
            <w:bookmarkEnd w:id="351"/>
            <w:bookmarkEnd w:id="352"/>
          </w:p>
        </w:tc>
      </w:tr>
      <w:tr w:rsidR="000E2B8A" w:rsidTr="00B11F55">
        <w:trPr>
          <w:gridAfter w:val="1"/>
          <w:wAfter w:w="9" w:type="dxa"/>
          <w:jc w:val="center"/>
        </w:trPr>
        <w:tc>
          <w:tcPr>
            <w:tcW w:w="2425" w:type="dxa"/>
            <w:vMerge w:val="restart"/>
            <w:tcBorders>
              <w:right w:val="single" w:sz="12" w:space="0" w:color="auto"/>
            </w:tcBorders>
            <w:shd w:val="pct12" w:color="auto" w:fill="auto"/>
            <w:vAlign w:val="center"/>
          </w:tcPr>
          <w:p w:rsidR="0089407E" w:rsidRPr="00B11F55" w:rsidRDefault="00B11F55" w:rsidP="00B11F55">
            <w:pPr>
              <w:spacing w:before="60" w:after="60"/>
              <w:jc w:val="left"/>
              <w:rPr>
                <w:rFonts w:eastAsia="Arial Unicode MS"/>
                <w:b/>
                <w:sz w:val="18"/>
              </w:rPr>
            </w:pPr>
            <w:r>
              <w:rPr>
                <w:rFonts w:eastAsia="Arial Unicode MS"/>
                <w:b/>
                <w:sz w:val="18"/>
              </w:rPr>
              <w:t>P</w:t>
            </w:r>
            <w:r w:rsidR="0089407E" w:rsidRPr="00B11F55">
              <w:rPr>
                <w:rFonts w:eastAsia="Arial Unicode MS"/>
                <w:b/>
                <w:sz w:val="18"/>
              </w:rPr>
              <w:t>roměnná</w:t>
            </w:r>
          </w:p>
        </w:tc>
        <w:tc>
          <w:tcPr>
            <w:tcW w:w="6917" w:type="dxa"/>
            <w:gridSpan w:val="6"/>
            <w:tcBorders>
              <w:left w:val="single" w:sz="12" w:space="0" w:color="auto"/>
            </w:tcBorders>
            <w:shd w:val="pct12" w:color="auto" w:fill="auto"/>
            <w:vAlign w:val="center"/>
          </w:tcPr>
          <w:p w:rsidR="0089407E" w:rsidRPr="00B11F55" w:rsidRDefault="00B11F55" w:rsidP="00B11F55">
            <w:pPr>
              <w:spacing w:before="60" w:after="60"/>
              <w:jc w:val="center"/>
              <w:rPr>
                <w:rFonts w:eastAsia="Arial Unicode MS"/>
                <w:b/>
                <w:sz w:val="18"/>
              </w:rPr>
            </w:pPr>
            <w:r>
              <w:rPr>
                <w:rFonts w:eastAsia="Arial Unicode MS"/>
                <w:b/>
                <w:sz w:val="18"/>
              </w:rPr>
              <w:t>E</w:t>
            </w:r>
            <w:r w:rsidR="0089407E" w:rsidRPr="00B11F55">
              <w:rPr>
                <w:rFonts w:eastAsia="Arial Unicode MS"/>
                <w:b/>
                <w:sz w:val="18"/>
              </w:rPr>
              <w:t>lasticita</w:t>
            </w:r>
          </w:p>
        </w:tc>
      </w:tr>
      <w:tr w:rsidR="000E2B8A" w:rsidTr="00B11F55">
        <w:trPr>
          <w:gridAfter w:val="1"/>
          <w:wAfter w:w="9" w:type="dxa"/>
          <w:jc w:val="center"/>
        </w:trPr>
        <w:tc>
          <w:tcPr>
            <w:tcW w:w="2425" w:type="dxa"/>
            <w:vMerge/>
            <w:tcBorders>
              <w:right w:val="single" w:sz="12" w:space="0" w:color="auto"/>
            </w:tcBorders>
            <w:shd w:val="pct12" w:color="auto" w:fill="auto"/>
            <w:vAlign w:val="center"/>
          </w:tcPr>
          <w:p w:rsidR="0089407E" w:rsidRPr="00B11F55" w:rsidRDefault="0089407E" w:rsidP="00B11F55">
            <w:pPr>
              <w:spacing w:before="60" w:after="60"/>
              <w:jc w:val="center"/>
              <w:rPr>
                <w:rFonts w:eastAsia="Arial Unicode MS"/>
                <w:b/>
                <w:sz w:val="18"/>
              </w:rPr>
            </w:pPr>
          </w:p>
        </w:tc>
        <w:tc>
          <w:tcPr>
            <w:tcW w:w="3458" w:type="dxa"/>
            <w:gridSpan w:val="3"/>
            <w:tcBorders>
              <w:left w:val="single" w:sz="12" w:space="0" w:color="auto"/>
              <w:right w:val="single" w:sz="12" w:space="0" w:color="auto"/>
            </w:tcBorders>
            <w:shd w:val="pct12" w:color="auto" w:fill="auto"/>
            <w:vAlign w:val="center"/>
          </w:tcPr>
          <w:p w:rsidR="0089407E" w:rsidRPr="00B11F55" w:rsidRDefault="00B11F55" w:rsidP="00B11F55">
            <w:pPr>
              <w:spacing w:before="60" w:after="60"/>
              <w:jc w:val="center"/>
              <w:rPr>
                <w:rFonts w:eastAsia="Arial Unicode MS"/>
                <w:b/>
                <w:sz w:val="18"/>
              </w:rPr>
            </w:pPr>
            <w:r>
              <w:rPr>
                <w:rFonts w:eastAsia="Arial Unicode MS"/>
                <w:b/>
                <w:sz w:val="18"/>
              </w:rPr>
              <w:t>F</w:t>
            </w:r>
            <w:r w:rsidR="0089407E" w:rsidRPr="00B11F55">
              <w:rPr>
                <w:rFonts w:eastAsia="Arial Unicode MS"/>
                <w:b/>
                <w:sz w:val="18"/>
              </w:rPr>
              <w:t>inanční</w:t>
            </w:r>
          </w:p>
        </w:tc>
        <w:tc>
          <w:tcPr>
            <w:tcW w:w="3459" w:type="dxa"/>
            <w:gridSpan w:val="3"/>
            <w:tcBorders>
              <w:left w:val="single" w:sz="12" w:space="0" w:color="auto"/>
            </w:tcBorders>
            <w:shd w:val="pct12" w:color="auto" w:fill="auto"/>
            <w:vAlign w:val="center"/>
          </w:tcPr>
          <w:p w:rsidR="0089407E" w:rsidRPr="00B11F55" w:rsidRDefault="00B11F55" w:rsidP="00B11F55">
            <w:pPr>
              <w:spacing w:before="60" w:after="60"/>
              <w:jc w:val="center"/>
              <w:rPr>
                <w:rFonts w:eastAsia="Arial Unicode MS"/>
                <w:b/>
                <w:sz w:val="18"/>
              </w:rPr>
            </w:pPr>
            <w:r>
              <w:rPr>
                <w:rFonts w:eastAsia="Arial Unicode MS"/>
                <w:b/>
                <w:sz w:val="18"/>
              </w:rPr>
              <w:t>E</w:t>
            </w:r>
            <w:r w:rsidR="0089407E" w:rsidRPr="00B11F55">
              <w:rPr>
                <w:rFonts w:eastAsia="Arial Unicode MS"/>
                <w:b/>
                <w:sz w:val="18"/>
              </w:rPr>
              <w:t>konomická</w:t>
            </w:r>
          </w:p>
        </w:tc>
      </w:tr>
      <w:tr w:rsidR="00B11F55" w:rsidTr="00B11F55">
        <w:trPr>
          <w:jc w:val="center"/>
        </w:trPr>
        <w:tc>
          <w:tcPr>
            <w:tcW w:w="2425" w:type="dxa"/>
            <w:vMerge/>
            <w:tcBorders>
              <w:bottom w:val="single" w:sz="12" w:space="0" w:color="auto"/>
              <w:right w:val="single" w:sz="12" w:space="0" w:color="auto"/>
            </w:tcBorders>
            <w:shd w:val="pct12" w:color="auto" w:fill="auto"/>
            <w:vAlign w:val="center"/>
          </w:tcPr>
          <w:p w:rsidR="00B11F55" w:rsidRPr="00B11F55" w:rsidRDefault="00B11F55" w:rsidP="00B11F55">
            <w:pPr>
              <w:spacing w:before="60" w:after="60"/>
              <w:jc w:val="center"/>
              <w:rPr>
                <w:rFonts w:eastAsia="Arial Unicode MS"/>
                <w:b/>
                <w:sz w:val="18"/>
              </w:rPr>
            </w:pPr>
          </w:p>
        </w:tc>
        <w:tc>
          <w:tcPr>
            <w:tcW w:w="1154" w:type="dxa"/>
            <w:tcBorders>
              <w:left w:val="single" w:sz="12" w:space="0" w:color="auto"/>
              <w:bottom w:val="single" w:sz="12" w:space="0" w:color="auto"/>
            </w:tcBorders>
            <w:shd w:val="pct12" w:color="auto" w:fill="auto"/>
            <w:vAlign w:val="center"/>
          </w:tcPr>
          <w:p w:rsidR="00B11F55" w:rsidRPr="00B11F55" w:rsidRDefault="00B11F55" w:rsidP="00B11F55">
            <w:pPr>
              <w:spacing w:before="60" w:after="60"/>
              <w:jc w:val="center"/>
              <w:rPr>
                <w:rFonts w:eastAsia="Arial Unicode MS"/>
                <w:b/>
                <w:sz w:val="18"/>
              </w:rPr>
            </w:pPr>
            <w:r w:rsidRPr="00B11F55">
              <w:rPr>
                <w:rFonts w:eastAsia="Arial Unicode MS"/>
                <w:b/>
                <w:sz w:val="18"/>
              </w:rPr>
              <w:t>MIN</w:t>
            </w:r>
          </w:p>
        </w:tc>
        <w:tc>
          <w:tcPr>
            <w:tcW w:w="1154" w:type="dxa"/>
            <w:tcBorders>
              <w:bottom w:val="single" w:sz="12" w:space="0" w:color="auto"/>
            </w:tcBorders>
            <w:shd w:val="pct12" w:color="auto" w:fill="auto"/>
            <w:vAlign w:val="center"/>
          </w:tcPr>
          <w:p w:rsidR="00B11F55" w:rsidRPr="00B11F55" w:rsidRDefault="00B11F55" w:rsidP="00B11F55">
            <w:pPr>
              <w:spacing w:before="60" w:after="60"/>
              <w:jc w:val="center"/>
              <w:rPr>
                <w:rFonts w:eastAsia="Arial Unicode MS"/>
                <w:b/>
                <w:sz w:val="18"/>
              </w:rPr>
            </w:pPr>
            <w:r w:rsidRPr="00B11F55">
              <w:rPr>
                <w:rFonts w:eastAsia="Arial Unicode MS"/>
                <w:b/>
                <w:sz w:val="18"/>
              </w:rPr>
              <w:t>Etapa</w:t>
            </w:r>
          </w:p>
        </w:tc>
        <w:tc>
          <w:tcPr>
            <w:tcW w:w="1155" w:type="dxa"/>
            <w:tcBorders>
              <w:bottom w:val="single" w:sz="12" w:space="0" w:color="auto"/>
              <w:right w:val="single" w:sz="12" w:space="0" w:color="auto"/>
            </w:tcBorders>
            <w:shd w:val="pct12" w:color="auto" w:fill="auto"/>
            <w:vAlign w:val="center"/>
          </w:tcPr>
          <w:p w:rsidR="00B11F55" w:rsidRPr="00B11F55" w:rsidRDefault="00B11F55" w:rsidP="00B11F55">
            <w:pPr>
              <w:spacing w:before="60" w:after="60"/>
              <w:jc w:val="center"/>
              <w:rPr>
                <w:rFonts w:eastAsia="Arial Unicode MS"/>
                <w:b/>
                <w:sz w:val="18"/>
              </w:rPr>
            </w:pPr>
            <w:r w:rsidRPr="00B11F55">
              <w:rPr>
                <w:rFonts w:eastAsia="Arial Unicode MS"/>
                <w:b/>
                <w:sz w:val="18"/>
              </w:rPr>
              <w:t>MAX</w:t>
            </w:r>
          </w:p>
        </w:tc>
        <w:tc>
          <w:tcPr>
            <w:tcW w:w="1154" w:type="dxa"/>
            <w:tcBorders>
              <w:left w:val="single" w:sz="12" w:space="0" w:color="auto"/>
              <w:bottom w:val="single" w:sz="12" w:space="0" w:color="auto"/>
            </w:tcBorders>
            <w:shd w:val="pct12" w:color="auto" w:fill="auto"/>
            <w:vAlign w:val="center"/>
          </w:tcPr>
          <w:p w:rsidR="00B11F55" w:rsidRPr="00B11F55" w:rsidRDefault="00B11F55" w:rsidP="00B11F55">
            <w:pPr>
              <w:spacing w:before="60" w:after="60"/>
              <w:jc w:val="center"/>
              <w:rPr>
                <w:rFonts w:eastAsia="Arial Unicode MS"/>
                <w:b/>
                <w:sz w:val="18"/>
              </w:rPr>
            </w:pPr>
            <w:r w:rsidRPr="00B11F55">
              <w:rPr>
                <w:rFonts w:eastAsia="Arial Unicode MS"/>
                <w:b/>
                <w:sz w:val="18"/>
              </w:rPr>
              <w:t>MIN</w:t>
            </w:r>
          </w:p>
        </w:tc>
        <w:tc>
          <w:tcPr>
            <w:tcW w:w="1154" w:type="dxa"/>
            <w:tcBorders>
              <w:bottom w:val="single" w:sz="12" w:space="0" w:color="auto"/>
            </w:tcBorders>
            <w:shd w:val="pct12" w:color="auto" w:fill="auto"/>
            <w:vAlign w:val="center"/>
          </w:tcPr>
          <w:p w:rsidR="00B11F55" w:rsidRPr="00B11F55" w:rsidRDefault="00B11F55" w:rsidP="00B11F55">
            <w:pPr>
              <w:spacing w:before="60" w:after="60"/>
              <w:jc w:val="center"/>
              <w:rPr>
                <w:rFonts w:eastAsia="Arial Unicode MS"/>
                <w:b/>
                <w:sz w:val="18"/>
              </w:rPr>
            </w:pPr>
            <w:r w:rsidRPr="00B11F55">
              <w:rPr>
                <w:rFonts w:eastAsia="Arial Unicode MS"/>
                <w:b/>
                <w:sz w:val="18"/>
              </w:rPr>
              <w:t>Etapa</w:t>
            </w:r>
          </w:p>
        </w:tc>
        <w:tc>
          <w:tcPr>
            <w:tcW w:w="1155" w:type="dxa"/>
            <w:gridSpan w:val="2"/>
            <w:tcBorders>
              <w:bottom w:val="single" w:sz="12" w:space="0" w:color="auto"/>
            </w:tcBorders>
            <w:shd w:val="pct12" w:color="auto" w:fill="auto"/>
            <w:vAlign w:val="center"/>
          </w:tcPr>
          <w:p w:rsidR="00B11F55" w:rsidRPr="00B11F55" w:rsidRDefault="00B11F55" w:rsidP="00B11F55">
            <w:pPr>
              <w:spacing w:before="60" w:after="60"/>
              <w:jc w:val="center"/>
              <w:rPr>
                <w:rFonts w:eastAsia="Arial Unicode MS"/>
                <w:b/>
                <w:sz w:val="18"/>
              </w:rPr>
            </w:pPr>
            <w:r w:rsidRPr="00B11F55">
              <w:rPr>
                <w:rFonts w:eastAsia="Arial Unicode MS"/>
                <w:b/>
                <w:sz w:val="18"/>
              </w:rPr>
              <w:t>MAX</w:t>
            </w:r>
          </w:p>
        </w:tc>
      </w:tr>
      <w:tr w:rsidR="00B11F55" w:rsidTr="00B11F55">
        <w:trPr>
          <w:trHeight w:val="454"/>
          <w:jc w:val="center"/>
        </w:trPr>
        <w:tc>
          <w:tcPr>
            <w:tcW w:w="2425" w:type="dxa"/>
            <w:tcBorders>
              <w:top w:val="single" w:sz="12" w:space="0" w:color="auto"/>
              <w:right w:val="single" w:sz="12" w:space="0" w:color="auto"/>
            </w:tcBorders>
            <w:shd w:val="pct12" w:color="auto" w:fill="auto"/>
            <w:vAlign w:val="center"/>
          </w:tcPr>
          <w:p w:rsidR="00B11F55" w:rsidRPr="00B11F55" w:rsidRDefault="00B11F55" w:rsidP="00B11F55">
            <w:pPr>
              <w:spacing w:before="60" w:after="60"/>
              <w:rPr>
                <w:b/>
                <w:sz w:val="18"/>
              </w:rPr>
            </w:pPr>
            <w:r w:rsidRPr="00B11F55">
              <w:rPr>
                <w:b/>
                <w:sz w:val="18"/>
              </w:rPr>
              <w:t>IN</w:t>
            </w:r>
          </w:p>
        </w:tc>
        <w:tc>
          <w:tcPr>
            <w:tcW w:w="1154" w:type="dxa"/>
            <w:tcBorders>
              <w:top w:val="single" w:sz="12" w:space="0" w:color="auto"/>
              <w:left w:val="single" w:sz="12" w:space="0" w:color="auto"/>
            </w:tcBorders>
            <w:vAlign w:val="center"/>
          </w:tcPr>
          <w:p w:rsidR="00B11F55" w:rsidRPr="00B11F55" w:rsidRDefault="00B11F55" w:rsidP="00B11F55">
            <w:pPr>
              <w:spacing w:before="60" w:after="60"/>
              <w:ind w:left="-124" w:right="211"/>
              <w:jc w:val="right"/>
              <w:rPr>
                <w:rFonts w:eastAsia="Arial Unicode MS"/>
                <w:sz w:val="18"/>
              </w:rPr>
            </w:pPr>
            <w:r w:rsidRPr="00B11F55">
              <w:rPr>
                <w:rFonts w:eastAsia="Arial Unicode MS"/>
                <w:sz w:val="18"/>
              </w:rPr>
              <w:t>3,23</w:t>
            </w:r>
          </w:p>
        </w:tc>
        <w:tc>
          <w:tcPr>
            <w:tcW w:w="1154" w:type="dxa"/>
            <w:tcBorders>
              <w:top w:val="single" w:sz="12" w:space="0" w:color="auto"/>
            </w:tcBorders>
            <w:vAlign w:val="center"/>
          </w:tcPr>
          <w:p w:rsidR="00B11F55" w:rsidRPr="00B11F55" w:rsidRDefault="00B11F55" w:rsidP="00B11F55">
            <w:pPr>
              <w:spacing w:before="60" w:after="60"/>
              <w:ind w:left="-124" w:right="211"/>
              <w:jc w:val="right"/>
              <w:rPr>
                <w:rFonts w:eastAsia="Arial Unicode MS"/>
                <w:sz w:val="18"/>
              </w:rPr>
            </w:pPr>
            <w:r w:rsidRPr="00B11F55">
              <w:rPr>
                <w:rFonts w:eastAsia="Arial Unicode MS"/>
                <w:sz w:val="18"/>
              </w:rPr>
              <w:t>1,48</w:t>
            </w:r>
          </w:p>
        </w:tc>
        <w:tc>
          <w:tcPr>
            <w:tcW w:w="1155" w:type="dxa"/>
            <w:tcBorders>
              <w:top w:val="single" w:sz="12" w:space="0" w:color="auto"/>
              <w:right w:val="single" w:sz="12" w:space="0" w:color="auto"/>
            </w:tcBorders>
            <w:vAlign w:val="center"/>
          </w:tcPr>
          <w:p w:rsidR="00B11F55" w:rsidRPr="00B11F55" w:rsidRDefault="00B11F55" w:rsidP="00B11F55">
            <w:pPr>
              <w:spacing w:before="60" w:after="60"/>
              <w:ind w:left="-124" w:right="211"/>
              <w:jc w:val="right"/>
              <w:rPr>
                <w:rFonts w:eastAsia="Arial Unicode MS"/>
                <w:sz w:val="18"/>
              </w:rPr>
            </w:pPr>
            <w:r w:rsidRPr="00B11F55">
              <w:rPr>
                <w:rFonts w:eastAsia="Arial Unicode MS"/>
                <w:sz w:val="18"/>
              </w:rPr>
              <w:t>1,57</w:t>
            </w:r>
          </w:p>
        </w:tc>
        <w:tc>
          <w:tcPr>
            <w:tcW w:w="1154" w:type="dxa"/>
            <w:tcBorders>
              <w:top w:val="single" w:sz="12" w:space="0" w:color="auto"/>
              <w:left w:val="single" w:sz="12" w:space="0" w:color="auto"/>
            </w:tcBorders>
            <w:vAlign w:val="center"/>
          </w:tcPr>
          <w:p w:rsidR="00B11F55" w:rsidRPr="00B11F55" w:rsidRDefault="00B11F55" w:rsidP="00B11F55">
            <w:pPr>
              <w:spacing w:before="60" w:after="60"/>
              <w:ind w:left="-124" w:right="211"/>
              <w:jc w:val="right"/>
              <w:rPr>
                <w:rFonts w:eastAsia="Arial Unicode MS"/>
                <w:sz w:val="18"/>
              </w:rPr>
            </w:pPr>
            <w:r w:rsidRPr="00B11F55">
              <w:rPr>
                <w:rFonts w:eastAsia="Arial Unicode MS"/>
                <w:sz w:val="18"/>
              </w:rPr>
              <w:t>7,85</w:t>
            </w:r>
          </w:p>
        </w:tc>
        <w:tc>
          <w:tcPr>
            <w:tcW w:w="1154" w:type="dxa"/>
            <w:tcBorders>
              <w:top w:val="single" w:sz="12" w:space="0" w:color="auto"/>
            </w:tcBorders>
            <w:vAlign w:val="center"/>
          </w:tcPr>
          <w:p w:rsidR="00B11F55" w:rsidRPr="00B11F55" w:rsidRDefault="00B11F55" w:rsidP="00B11F55">
            <w:pPr>
              <w:spacing w:before="60" w:after="60"/>
              <w:ind w:left="-124" w:right="211"/>
              <w:jc w:val="right"/>
              <w:rPr>
                <w:rFonts w:eastAsia="Arial Unicode MS"/>
                <w:sz w:val="18"/>
              </w:rPr>
            </w:pPr>
            <w:r w:rsidRPr="00B11F55">
              <w:rPr>
                <w:rFonts w:eastAsia="Arial Unicode MS"/>
                <w:sz w:val="18"/>
              </w:rPr>
              <w:t>0,75</w:t>
            </w:r>
          </w:p>
        </w:tc>
        <w:tc>
          <w:tcPr>
            <w:tcW w:w="1155" w:type="dxa"/>
            <w:gridSpan w:val="2"/>
            <w:tcBorders>
              <w:top w:val="single" w:sz="12" w:space="0" w:color="auto"/>
            </w:tcBorders>
            <w:vAlign w:val="center"/>
          </w:tcPr>
          <w:p w:rsidR="00B11F55" w:rsidRPr="00B11F55" w:rsidRDefault="00B11F55" w:rsidP="00B11F55">
            <w:pPr>
              <w:spacing w:before="60" w:after="60"/>
              <w:ind w:left="-124" w:right="211"/>
              <w:jc w:val="right"/>
              <w:rPr>
                <w:rFonts w:eastAsia="Arial Unicode MS"/>
                <w:sz w:val="18"/>
              </w:rPr>
            </w:pPr>
            <w:r w:rsidRPr="00B11F55">
              <w:rPr>
                <w:rFonts w:eastAsia="Arial Unicode MS"/>
                <w:sz w:val="18"/>
              </w:rPr>
              <w:t>6,40</w:t>
            </w:r>
          </w:p>
        </w:tc>
      </w:tr>
      <w:tr w:rsidR="00B11F55" w:rsidTr="00B11F55">
        <w:trPr>
          <w:trHeight w:val="454"/>
          <w:jc w:val="center"/>
        </w:trPr>
        <w:tc>
          <w:tcPr>
            <w:tcW w:w="2425" w:type="dxa"/>
            <w:tcBorders>
              <w:right w:val="single" w:sz="12" w:space="0" w:color="auto"/>
            </w:tcBorders>
            <w:shd w:val="pct12" w:color="auto" w:fill="auto"/>
            <w:vAlign w:val="center"/>
          </w:tcPr>
          <w:p w:rsidR="00B11F55" w:rsidRPr="00B11F55" w:rsidRDefault="00B11F55" w:rsidP="00B11F55">
            <w:pPr>
              <w:spacing w:before="60" w:after="60"/>
              <w:rPr>
                <w:b/>
                <w:sz w:val="18"/>
              </w:rPr>
            </w:pPr>
            <w:r w:rsidRPr="00B11F55">
              <w:rPr>
                <w:b/>
                <w:sz w:val="18"/>
              </w:rPr>
              <w:t>PN infrastruktury</w:t>
            </w:r>
          </w:p>
        </w:tc>
        <w:tc>
          <w:tcPr>
            <w:tcW w:w="1154" w:type="dxa"/>
            <w:tcBorders>
              <w:left w:val="single" w:sz="12" w:space="0" w:color="auto"/>
            </w:tcBorders>
            <w:vAlign w:val="center"/>
          </w:tcPr>
          <w:p w:rsidR="00B11F55" w:rsidRPr="00B11F55" w:rsidRDefault="00B11F55" w:rsidP="00B11F55">
            <w:pPr>
              <w:spacing w:before="60" w:after="60"/>
              <w:ind w:left="-124" w:right="211"/>
              <w:jc w:val="right"/>
              <w:rPr>
                <w:rFonts w:eastAsia="Arial Unicode MS"/>
                <w:sz w:val="18"/>
              </w:rPr>
            </w:pPr>
            <w:r w:rsidRPr="00B11F55">
              <w:rPr>
                <w:rFonts w:eastAsia="Arial Unicode MS"/>
                <w:sz w:val="18"/>
              </w:rPr>
              <w:t>1,97</w:t>
            </w:r>
          </w:p>
        </w:tc>
        <w:tc>
          <w:tcPr>
            <w:tcW w:w="1154" w:type="dxa"/>
            <w:vAlign w:val="center"/>
          </w:tcPr>
          <w:p w:rsidR="00B11F55" w:rsidRPr="00B11F55" w:rsidRDefault="00B11F55" w:rsidP="00B11F55">
            <w:pPr>
              <w:spacing w:before="60" w:after="60"/>
              <w:ind w:left="-124" w:right="211"/>
              <w:jc w:val="right"/>
              <w:rPr>
                <w:rFonts w:eastAsia="Arial Unicode MS"/>
                <w:bCs/>
                <w:kern w:val="28"/>
                <w:sz w:val="18"/>
              </w:rPr>
            </w:pPr>
            <w:r w:rsidRPr="00B11F55">
              <w:rPr>
                <w:rFonts w:eastAsia="Arial Unicode MS"/>
                <w:sz w:val="18"/>
              </w:rPr>
              <w:t>0,23</w:t>
            </w:r>
          </w:p>
        </w:tc>
        <w:tc>
          <w:tcPr>
            <w:tcW w:w="1155" w:type="dxa"/>
            <w:tcBorders>
              <w:right w:val="single" w:sz="12" w:space="0" w:color="auto"/>
            </w:tcBorders>
            <w:vAlign w:val="center"/>
          </w:tcPr>
          <w:p w:rsidR="00B11F55" w:rsidRPr="00B11F55" w:rsidRDefault="00B11F55" w:rsidP="00B11F55">
            <w:pPr>
              <w:spacing w:before="60" w:after="60"/>
              <w:ind w:left="-124" w:right="211"/>
              <w:jc w:val="right"/>
              <w:rPr>
                <w:rFonts w:eastAsia="Arial Unicode MS"/>
                <w:bCs/>
                <w:kern w:val="28"/>
                <w:sz w:val="18"/>
              </w:rPr>
            </w:pPr>
            <w:r w:rsidRPr="00B11F55">
              <w:rPr>
                <w:rFonts w:eastAsia="Arial Unicode MS"/>
                <w:sz w:val="18"/>
              </w:rPr>
              <w:t>0,44</w:t>
            </w:r>
          </w:p>
        </w:tc>
        <w:tc>
          <w:tcPr>
            <w:tcW w:w="1154" w:type="dxa"/>
            <w:tcBorders>
              <w:left w:val="single" w:sz="12" w:space="0" w:color="auto"/>
            </w:tcBorders>
            <w:vAlign w:val="center"/>
          </w:tcPr>
          <w:p w:rsidR="00B11F55" w:rsidRPr="00B11F55" w:rsidRDefault="00B11F55" w:rsidP="00B11F55">
            <w:pPr>
              <w:spacing w:before="60" w:after="60"/>
              <w:ind w:left="-124" w:right="211"/>
              <w:jc w:val="right"/>
              <w:rPr>
                <w:rFonts w:eastAsia="Arial Unicode MS"/>
                <w:sz w:val="18"/>
              </w:rPr>
            </w:pPr>
            <w:r w:rsidRPr="00B11F55">
              <w:rPr>
                <w:rFonts w:eastAsia="Arial Unicode MS"/>
                <w:sz w:val="18"/>
              </w:rPr>
              <w:t>5,83</w:t>
            </w:r>
          </w:p>
        </w:tc>
        <w:tc>
          <w:tcPr>
            <w:tcW w:w="1154" w:type="dxa"/>
            <w:vAlign w:val="center"/>
          </w:tcPr>
          <w:p w:rsidR="00B11F55" w:rsidRPr="00B11F55" w:rsidRDefault="00B11F55" w:rsidP="00B11F55">
            <w:pPr>
              <w:spacing w:before="60" w:after="60"/>
              <w:ind w:left="-124" w:right="211"/>
              <w:jc w:val="right"/>
              <w:rPr>
                <w:rFonts w:eastAsia="Arial Unicode MS"/>
                <w:bCs/>
                <w:kern w:val="28"/>
                <w:sz w:val="18"/>
              </w:rPr>
            </w:pPr>
            <w:r w:rsidRPr="00B11F55">
              <w:rPr>
                <w:rFonts w:eastAsia="Arial Unicode MS"/>
                <w:sz w:val="18"/>
              </w:rPr>
              <w:t>0,14</w:t>
            </w:r>
          </w:p>
        </w:tc>
        <w:tc>
          <w:tcPr>
            <w:tcW w:w="1155" w:type="dxa"/>
            <w:gridSpan w:val="2"/>
            <w:vAlign w:val="center"/>
          </w:tcPr>
          <w:p w:rsidR="00B11F55" w:rsidRPr="00B11F55" w:rsidRDefault="00B11F55" w:rsidP="00B11F55">
            <w:pPr>
              <w:spacing w:before="60" w:after="60"/>
              <w:ind w:left="-124" w:right="211"/>
              <w:jc w:val="right"/>
              <w:rPr>
                <w:rFonts w:eastAsia="Arial Unicode MS"/>
                <w:sz w:val="18"/>
              </w:rPr>
            </w:pPr>
            <w:r w:rsidRPr="00B11F55">
              <w:rPr>
                <w:rFonts w:eastAsia="Arial Unicode MS"/>
                <w:sz w:val="18"/>
              </w:rPr>
              <w:t>2,06</w:t>
            </w:r>
          </w:p>
        </w:tc>
      </w:tr>
      <w:tr w:rsidR="00B11F55" w:rsidTr="00B11F55">
        <w:trPr>
          <w:trHeight w:val="454"/>
          <w:jc w:val="center"/>
        </w:trPr>
        <w:tc>
          <w:tcPr>
            <w:tcW w:w="2425" w:type="dxa"/>
            <w:tcBorders>
              <w:right w:val="single" w:sz="12" w:space="0" w:color="auto"/>
            </w:tcBorders>
            <w:shd w:val="pct12" w:color="auto" w:fill="auto"/>
            <w:vAlign w:val="center"/>
          </w:tcPr>
          <w:p w:rsidR="00B11F55" w:rsidRPr="00B11F55" w:rsidRDefault="00B11F55" w:rsidP="00B11F55">
            <w:pPr>
              <w:spacing w:before="60" w:after="60"/>
              <w:rPr>
                <w:b/>
                <w:sz w:val="18"/>
              </w:rPr>
            </w:pPr>
            <w:r w:rsidRPr="00B11F55">
              <w:rPr>
                <w:b/>
                <w:sz w:val="18"/>
              </w:rPr>
              <w:t>PN řízení</w:t>
            </w:r>
          </w:p>
        </w:tc>
        <w:tc>
          <w:tcPr>
            <w:tcW w:w="1154" w:type="dxa"/>
            <w:tcBorders>
              <w:left w:val="single" w:sz="12" w:space="0" w:color="auto"/>
            </w:tcBorders>
            <w:vAlign w:val="center"/>
          </w:tcPr>
          <w:p w:rsidR="00B11F55" w:rsidRPr="00B11F55" w:rsidRDefault="00B11F55" w:rsidP="00B11F55">
            <w:pPr>
              <w:spacing w:before="60" w:after="60"/>
              <w:ind w:left="-124" w:right="211"/>
              <w:jc w:val="right"/>
              <w:rPr>
                <w:rFonts w:eastAsia="Arial Unicode MS"/>
                <w:bCs/>
                <w:kern w:val="28"/>
                <w:sz w:val="18"/>
              </w:rPr>
            </w:pPr>
            <w:r w:rsidRPr="00B11F55">
              <w:rPr>
                <w:rFonts w:eastAsia="Arial Unicode MS"/>
                <w:sz w:val="18"/>
              </w:rPr>
              <w:t>0,36</w:t>
            </w:r>
          </w:p>
        </w:tc>
        <w:tc>
          <w:tcPr>
            <w:tcW w:w="1154" w:type="dxa"/>
            <w:vAlign w:val="center"/>
          </w:tcPr>
          <w:p w:rsidR="00B11F55" w:rsidRPr="00B11F55" w:rsidRDefault="00B11F55" w:rsidP="00B11F55">
            <w:pPr>
              <w:spacing w:before="60" w:after="60"/>
              <w:ind w:left="-124" w:right="211"/>
              <w:jc w:val="right"/>
              <w:rPr>
                <w:rFonts w:eastAsia="Arial Unicode MS"/>
                <w:bCs/>
                <w:kern w:val="28"/>
                <w:sz w:val="18"/>
              </w:rPr>
            </w:pPr>
            <w:r w:rsidRPr="00B11F55">
              <w:rPr>
                <w:rFonts w:eastAsia="Arial Unicode MS"/>
                <w:sz w:val="18"/>
              </w:rPr>
              <w:t>0,31</w:t>
            </w:r>
          </w:p>
        </w:tc>
        <w:tc>
          <w:tcPr>
            <w:tcW w:w="1155" w:type="dxa"/>
            <w:tcBorders>
              <w:right w:val="single" w:sz="12" w:space="0" w:color="auto"/>
            </w:tcBorders>
            <w:vAlign w:val="center"/>
          </w:tcPr>
          <w:p w:rsidR="00B11F55" w:rsidRPr="00B11F55" w:rsidRDefault="00B11F55" w:rsidP="00B11F55">
            <w:pPr>
              <w:spacing w:before="60" w:after="60"/>
              <w:ind w:left="-124" w:right="211"/>
              <w:jc w:val="right"/>
              <w:rPr>
                <w:rFonts w:eastAsia="Arial Unicode MS"/>
                <w:bCs/>
                <w:kern w:val="28"/>
                <w:sz w:val="18"/>
              </w:rPr>
            </w:pPr>
            <w:r w:rsidRPr="00B11F55">
              <w:rPr>
                <w:rFonts w:eastAsia="Arial Unicode MS"/>
                <w:sz w:val="18"/>
              </w:rPr>
              <w:t>0,13</w:t>
            </w:r>
          </w:p>
        </w:tc>
        <w:tc>
          <w:tcPr>
            <w:tcW w:w="1154" w:type="dxa"/>
            <w:tcBorders>
              <w:left w:val="single" w:sz="12" w:space="0" w:color="auto"/>
            </w:tcBorders>
            <w:vAlign w:val="center"/>
          </w:tcPr>
          <w:p w:rsidR="00B11F55" w:rsidRPr="00B11F55" w:rsidRDefault="00B11F55" w:rsidP="00B11F55">
            <w:pPr>
              <w:spacing w:before="60" w:after="60"/>
              <w:ind w:left="-124" w:right="211"/>
              <w:jc w:val="right"/>
              <w:rPr>
                <w:rFonts w:eastAsia="Arial Unicode MS"/>
                <w:sz w:val="18"/>
              </w:rPr>
            </w:pPr>
            <w:r w:rsidRPr="00B11F55">
              <w:rPr>
                <w:rFonts w:eastAsia="Arial Unicode MS"/>
                <w:sz w:val="18"/>
              </w:rPr>
              <w:t>1,01</w:t>
            </w:r>
          </w:p>
        </w:tc>
        <w:tc>
          <w:tcPr>
            <w:tcW w:w="1154" w:type="dxa"/>
            <w:vAlign w:val="center"/>
          </w:tcPr>
          <w:p w:rsidR="00B11F55" w:rsidRPr="00B11F55" w:rsidRDefault="00B11F55" w:rsidP="00B11F55">
            <w:pPr>
              <w:spacing w:before="60" w:after="60"/>
              <w:ind w:left="-124" w:right="211"/>
              <w:jc w:val="right"/>
              <w:rPr>
                <w:rFonts w:eastAsia="Arial Unicode MS"/>
                <w:bCs/>
                <w:kern w:val="28"/>
                <w:sz w:val="18"/>
              </w:rPr>
            </w:pPr>
            <w:r w:rsidRPr="00B11F55">
              <w:rPr>
                <w:rFonts w:eastAsia="Arial Unicode MS"/>
                <w:sz w:val="18"/>
              </w:rPr>
              <w:t>0,17</w:t>
            </w:r>
          </w:p>
        </w:tc>
        <w:tc>
          <w:tcPr>
            <w:tcW w:w="1155" w:type="dxa"/>
            <w:gridSpan w:val="2"/>
            <w:vAlign w:val="center"/>
          </w:tcPr>
          <w:p w:rsidR="00B11F55" w:rsidRPr="00B11F55" w:rsidRDefault="00B11F55" w:rsidP="00B11F55">
            <w:pPr>
              <w:spacing w:before="60" w:after="60"/>
              <w:ind w:left="-124" w:right="211"/>
              <w:jc w:val="right"/>
              <w:rPr>
                <w:rFonts w:eastAsia="Arial Unicode MS"/>
                <w:bCs/>
                <w:kern w:val="28"/>
                <w:sz w:val="18"/>
              </w:rPr>
            </w:pPr>
            <w:r w:rsidRPr="00B11F55">
              <w:rPr>
                <w:rFonts w:eastAsia="Arial Unicode MS"/>
                <w:sz w:val="18"/>
              </w:rPr>
              <w:t>0,58</w:t>
            </w:r>
          </w:p>
        </w:tc>
      </w:tr>
      <w:tr w:rsidR="00B11F55" w:rsidTr="00B11F55">
        <w:trPr>
          <w:trHeight w:val="454"/>
          <w:jc w:val="center"/>
        </w:trPr>
        <w:tc>
          <w:tcPr>
            <w:tcW w:w="2425" w:type="dxa"/>
            <w:tcBorders>
              <w:right w:val="single" w:sz="12" w:space="0" w:color="auto"/>
            </w:tcBorders>
            <w:shd w:val="pct12" w:color="auto" w:fill="auto"/>
            <w:vAlign w:val="center"/>
          </w:tcPr>
          <w:p w:rsidR="00B11F55" w:rsidRPr="00B11F55" w:rsidRDefault="00B11F55" w:rsidP="00B11F55">
            <w:pPr>
              <w:spacing w:before="60" w:after="60"/>
              <w:rPr>
                <w:b/>
                <w:sz w:val="18"/>
              </w:rPr>
            </w:pPr>
            <w:r w:rsidRPr="00B11F55">
              <w:rPr>
                <w:b/>
                <w:sz w:val="18"/>
              </w:rPr>
              <w:t>Výkony Os</w:t>
            </w:r>
          </w:p>
        </w:tc>
        <w:tc>
          <w:tcPr>
            <w:tcW w:w="1154" w:type="dxa"/>
            <w:tcBorders>
              <w:left w:val="single" w:sz="12" w:space="0" w:color="auto"/>
            </w:tcBorders>
            <w:vAlign w:val="center"/>
          </w:tcPr>
          <w:p w:rsidR="00B11F55" w:rsidRPr="00B11F55" w:rsidRDefault="00B11F55" w:rsidP="00B11F55">
            <w:pPr>
              <w:spacing w:before="60" w:after="60"/>
              <w:ind w:left="-124" w:right="211"/>
              <w:jc w:val="right"/>
              <w:rPr>
                <w:rFonts w:eastAsia="Arial Unicode MS"/>
                <w:bCs/>
                <w:kern w:val="28"/>
                <w:sz w:val="18"/>
              </w:rPr>
            </w:pPr>
            <w:r w:rsidRPr="00B11F55">
              <w:rPr>
                <w:rFonts w:eastAsia="Arial Unicode MS"/>
                <w:sz w:val="18"/>
              </w:rPr>
              <w:t>0,10</w:t>
            </w:r>
          </w:p>
        </w:tc>
        <w:tc>
          <w:tcPr>
            <w:tcW w:w="1154" w:type="dxa"/>
            <w:vAlign w:val="center"/>
          </w:tcPr>
          <w:p w:rsidR="00B11F55" w:rsidRPr="00B11F55" w:rsidRDefault="00B11F55" w:rsidP="00B11F55">
            <w:pPr>
              <w:spacing w:before="60" w:after="60"/>
              <w:ind w:left="-124" w:right="211"/>
              <w:jc w:val="right"/>
              <w:rPr>
                <w:rFonts w:eastAsia="Arial Unicode MS"/>
                <w:bCs/>
                <w:kern w:val="28"/>
                <w:sz w:val="18"/>
              </w:rPr>
            </w:pPr>
            <w:r w:rsidRPr="00B11F55">
              <w:rPr>
                <w:rFonts w:eastAsia="Arial Unicode MS"/>
                <w:sz w:val="18"/>
              </w:rPr>
              <w:t>0,07</w:t>
            </w:r>
          </w:p>
        </w:tc>
        <w:tc>
          <w:tcPr>
            <w:tcW w:w="1155" w:type="dxa"/>
            <w:tcBorders>
              <w:right w:val="single" w:sz="12" w:space="0" w:color="auto"/>
            </w:tcBorders>
            <w:vAlign w:val="center"/>
          </w:tcPr>
          <w:p w:rsidR="00B11F55" w:rsidRPr="00B11F55" w:rsidRDefault="00B11F55" w:rsidP="00B11F55">
            <w:pPr>
              <w:spacing w:before="60" w:after="60"/>
              <w:ind w:left="-124" w:right="211"/>
              <w:jc w:val="right"/>
              <w:rPr>
                <w:rFonts w:eastAsia="Arial Unicode MS"/>
                <w:bCs/>
                <w:kern w:val="28"/>
                <w:sz w:val="18"/>
              </w:rPr>
            </w:pPr>
            <w:r w:rsidRPr="00B11F55">
              <w:rPr>
                <w:rFonts w:eastAsia="Arial Unicode MS"/>
                <w:sz w:val="18"/>
              </w:rPr>
              <w:t>0,00</w:t>
            </w:r>
          </w:p>
        </w:tc>
        <w:tc>
          <w:tcPr>
            <w:tcW w:w="1154" w:type="dxa"/>
            <w:tcBorders>
              <w:left w:val="single" w:sz="12" w:space="0" w:color="auto"/>
            </w:tcBorders>
            <w:vAlign w:val="center"/>
          </w:tcPr>
          <w:p w:rsidR="00B11F55" w:rsidRPr="00B11F55" w:rsidRDefault="00B11F55" w:rsidP="00B11F55">
            <w:pPr>
              <w:spacing w:before="60" w:after="60"/>
              <w:ind w:left="-124" w:right="211"/>
              <w:jc w:val="right"/>
              <w:rPr>
                <w:rFonts w:eastAsia="Arial Unicode MS"/>
                <w:bCs/>
                <w:kern w:val="28"/>
                <w:sz w:val="18"/>
              </w:rPr>
            </w:pPr>
            <w:r w:rsidRPr="00B11F55">
              <w:rPr>
                <w:rFonts w:eastAsia="Arial Unicode MS"/>
                <w:sz w:val="18"/>
              </w:rPr>
              <w:t>0,00</w:t>
            </w:r>
          </w:p>
        </w:tc>
        <w:tc>
          <w:tcPr>
            <w:tcW w:w="1154" w:type="dxa"/>
            <w:vAlign w:val="center"/>
          </w:tcPr>
          <w:p w:rsidR="00B11F55" w:rsidRPr="00B11F55" w:rsidRDefault="00B11F55" w:rsidP="00B11F55">
            <w:pPr>
              <w:spacing w:before="60" w:after="60"/>
              <w:ind w:left="-124" w:right="211"/>
              <w:jc w:val="right"/>
              <w:rPr>
                <w:rFonts w:eastAsia="Arial Unicode MS"/>
                <w:sz w:val="18"/>
              </w:rPr>
            </w:pPr>
            <w:r w:rsidRPr="00B11F55">
              <w:rPr>
                <w:rFonts w:eastAsia="Arial Unicode MS"/>
                <w:sz w:val="18"/>
              </w:rPr>
              <w:t>1,45</w:t>
            </w:r>
          </w:p>
        </w:tc>
        <w:tc>
          <w:tcPr>
            <w:tcW w:w="1155" w:type="dxa"/>
            <w:gridSpan w:val="2"/>
            <w:vAlign w:val="center"/>
          </w:tcPr>
          <w:p w:rsidR="00B11F55" w:rsidRPr="00B11F55" w:rsidRDefault="00B11F55" w:rsidP="00B11F55">
            <w:pPr>
              <w:spacing w:before="60" w:after="60"/>
              <w:ind w:left="-124" w:right="211"/>
              <w:jc w:val="right"/>
              <w:rPr>
                <w:rFonts w:eastAsia="Arial Unicode MS"/>
                <w:sz w:val="18"/>
              </w:rPr>
            </w:pPr>
            <w:r w:rsidRPr="00B11F55">
              <w:rPr>
                <w:rFonts w:eastAsia="Arial Unicode MS"/>
                <w:sz w:val="18"/>
              </w:rPr>
              <w:t>4,76</w:t>
            </w:r>
          </w:p>
        </w:tc>
      </w:tr>
    </w:tbl>
    <w:p w:rsidR="00274C61" w:rsidRDefault="00274C61" w:rsidP="00274C61">
      <w:pPr>
        <w:pStyle w:val="Odstavecseseznamem"/>
        <w:ind w:left="0"/>
        <w:contextualSpacing/>
      </w:pPr>
    </w:p>
    <w:p w:rsidR="00D7005E" w:rsidRDefault="00D7005E">
      <w:pPr>
        <w:suppressAutoHyphens w:val="0"/>
        <w:spacing w:before="0" w:after="0" w:line="240" w:lineRule="auto"/>
        <w:jc w:val="left"/>
        <w:rPr>
          <w:b/>
          <w:bCs/>
          <w:sz w:val="24"/>
        </w:rPr>
      </w:pPr>
      <w:r>
        <w:br w:type="page"/>
      </w:r>
    </w:p>
    <w:p w:rsidR="00F26C33" w:rsidRDefault="00F26C33" w:rsidP="000D62F1">
      <w:pPr>
        <w:pStyle w:val="Nadpis3"/>
        <w:ind w:hanging="8234"/>
      </w:pPr>
      <w:r>
        <w:t>Citlivostní analýza</w:t>
      </w:r>
    </w:p>
    <w:p w:rsidR="00F26C33" w:rsidRDefault="00F26C33" w:rsidP="00F26C33">
      <w:r w:rsidRPr="00F46879">
        <w:t xml:space="preserve">Jako kritické proměnné v souladu s výše uvedeným byly vybrány </w:t>
      </w:r>
      <w:r w:rsidRPr="00F46879">
        <w:rPr>
          <w:b/>
        </w:rPr>
        <w:t>investiční náklady</w:t>
      </w:r>
      <w:r w:rsidR="007F502D">
        <w:rPr>
          <w:b/>
        </w:rPr>
        <w:t xml:space="preserve"> </w:t>
      </w:r>
      <w:r w:rsidR="007F502D" w:rsidRPr="00F46879">
        <w:t xml:space="preserve">(ve finanční </w:t>
      </w:r>
      <w:r w:rsidR="007F502D">
        <w:t>i </w:t>
      </w:r>
      <w:r w:rsidR="007F502D" w:rsidRPr="00F46879">
        <w:t>ekonomické analýze</w:t>
      </w:r>
      <w:r w:rsidR="007F502D">
        <w:t xml:space="preserve"> </w:t>
      </w:r>
      <w:r w:rsidR="007F502D" w:rsidRPr="00B62EA3">
        <w:t>všech variant</w:t>
      </w:r>
      <w:r w:rsidR="007F502D">
        <w:t>)</w:t>
      </w:r>
      <w:r>
        <w:rPr>
          <w:b/>
        </w:rPr>
        <w:t xml:space="preserve">, </w:t>
      </w:r>
      <w:r w:rsidRPr="00F46879">
        <w:rPr>
          <w:b/>
        </w:rPr>
        <w:t xml:space="preserve">provozní náklady infrastruktury </w:t>
      </w:r>
      <w:r>
        <w:rPr>
          <w:b/>
        </w:rPr>
        <w:t xml:space="preserve">- </w:t>
      </w:r>
      <w:r w:rsidRPr="00F46879">
        <w:rPr>
          <w:b/>
        </w:rPr>
        <w:t>úspora</w:t>
      </w:r>
      <w:r>
        <w:rPr>
          <w:b/>
        </w:rPr>
        <w:t xml:space="preserve"> </w:t>
      </w:r>
      <w:r w:rsidRPr="00F46879">
        <w:t xml:space="preserve">(ve finanční </w:t>
      </w:r>
      <w:r>
        <w:t>i </w:t>
      </w:r>
      <w:r w:rsidRPr="00F46879">
        <w:t>ekonomické analýze</w:t>
      </w:r>
      <w:r>
        <w:t xml:space="preserve"> variant</w:t>
      </w:r>
      <w:r w:rsidR="007F502D">
        <w:t>y Minimální</w:t>
      </w:r>
      <w:r w:rsidR="006819BA">
        <w:t xml:space="preserve"> a ekonomické analýze </w:t>
      </w:r>
      <w:r w:rsidR="006819BA" w:rsidRPr="00B62EA3">
        <w:t>varianty</w:t>
      </w:r>
      <w:r w:rsidR="001F221A" w:rsidRPr="00B62EA3">
        <w:t xml:space="preserve"> </w:t>
      </w:r>
      <w:r w:rsidR="001F221A">
        <w:t>Maximální</w:t>
      </w:r>
      <w:r>
        <w:t>)</w:t>
      </w:r>
      <w:r w:rsidR="007D0192">
        <w:t xml:space="preserve">, </w:t>
      </w:r>
      <w:r w:rsidR="007D0192" w:rsidRPr="00930685">
        <w:rPr>
          <w:b/>
        </w:rPr>
        <w:t xml:space="preserve">provozní náklady </w:t>
      </w:r>
      <w:r w:rsidR="007D0192" w:rsidRPr="00930685">
        <w:rPr>
          <w:rFonts w:hint="eastAsia"/>
          <w:b/>
        </w:rPr>
        <w:t>ří</w:t>
      </w:r>
      <w:r w:rsidR="007D0192" w:rsidRPr="00930685">
        <w:rPr>
          <w:b/>
        </w:rPr>
        <w:t>zení</w:t>
      </w:r>
      <w:r w:rsidR="007D0192">
        <w:t xml:space="preserve"> (v ekonomické analýze varianty Minimální)</w:t>
      </w:r>
      <w:r>
        <w:t xml:space="preserve"> </w:t>
      </w:r>
      <w:r w:rsidRPr="009D3421">
        <w:t>a</w:t>
      </w:r>
      <w:r w:rsidRPr="00F46879">
        <w:t xml:space="preserve"> </w:t>
      </w:r>
      <w:r w:rsidRPr="00F46879">
        <w:rPr>
          <w:b/>
        </w:rPr>
        <w:t xml:space="preserve">výkony </w:t>
      </w:r>
      <w:r w:rsidR="007F502D">
        <w:rPr>
          <w:b/>
        </w:rPr>
        <w:t>osobní</w:t>
      </w:r>
      <w:r w:rsidRPr="00F46879">
        <w:rPr>
          <w:b/>
        </w:rPr>
        <w:t xml:space="preserve"> dopravy</w:t>
      </w:r>
      <w:r w:rsidRPr="00F46879">
        <w:t xml:space="preserve"> (v ekonomické analýze</w:t>
      </w:r>
      <w:r>
        <w:t xml:space="preserve"> </w:t>
      </w:r>
      <w:r w:rsidRPr="00B62EA3">
        <w:t>variant</w:t>
      </w:r>
      <w:r w:rsidR="007F502D" w:rsidRPr="00B62EA3">
        <w:t xml:space="preserve"> </w:t>
      </w:r>
      <w:r w:rsidR="009E270E" w:rsidRPr="00B62EA3">
        <w:t>Etapa</w:t>
      </w:r>
      <w:r w:rsidR="007F502D" w:rsidRPr="00B62EA3">
        <w:t xml:space="preserve"> a</w:t>
      </w:r>
      <w:r w:rsidR="007F502D">
        <w:t xml:space="preserve"> Maximální</w:t>
      </w:r>
      <w:r>
        <w:t>)</w:t>
      </w:r>
      <w:r w:rsidR="00B62EA3">
        <w:t>.</w:t>
      </w:r>
      <w:r w:rsidRPr="00F46879">
        <w:t xml:space="preserve"> Citlivostní analýza zkoumá změnu výsledných proměnných při předem definovaných hodnotách kritických proměnných. Výsledky citlivostní analýzy </w:t>
      </w:r>
      <w:r w:rsidRPr="00B62EA3">
        <w:t>pro jednotlivé varianty j</w:t>
      </w:r>
      <w:r w:rsidRPr="00F46879">
        <w:t>sou shrnuty v následujících tabulkách a grafech.</w:t>
      </w:r>
    </w:p>
    <w:tbl>
      <w:tblPr>
        <w:tblW w:w="9255" w:type="dxa"/>
        <w:jc w:val="center"/>
        <w:tblInd w:w="-1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64"/>
        <w:gridCol w:w="1072"/>
        <w:gridCol w:w="1016"/>
        <w:gridCol w:w="1191"/>
        <w:gridCol w:w="1191"/>
        <w:gridCol w:w="1119"/>
        <w:gridCol w:w="1202"/>
      </w:tblGrid>
      <w:tr w:rsidR="0004310A" w:rsidTr="008D03A7">
        <w:trPr>
          <w:jc w:val="center"/>
        </w:trPr>
        <w:tc>
          <w:tcPr>
            <w:tcW w:w="9255" w:type="dxa"/>
            <w:gridSpan w:val="7"/>
            <w:tcBorders>
              <w:bottom w:val="single" w:sz="4" w:space="0" w:color="000000"/>
            </w:tcBorders>
          </w:tcPr>
          <w:p w:rsidR="0004310A" w:rsidRPr="007F502D" w:rsidRDefault="0004310A" w:rsidP="008D03A7">
            <w:pPr>
              <w:pStyle w:val="Titulek"/>
            </w:pPr>
            <w:bookmarkStart w:id="353" w:name="_Toc316377698"/>
            <w:bookmarkStart w:id="354" w:name="_Toc390958801"/>
            <w:bookmarkStart w:id="355" w:name="_Toc391034605"/>
            <w:r w:rsidRPr="007F502D">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25</w:t>
            </w:r>
            <w:r w:rsidR="000E79AE">
              <w:fldChar w:fldCharType="end"/>
            </w:r>
            <w:r w:rsidRPr="007F502D">
              <w:t>: Citlivostní analýza pro FRR a ERR</w:t>
            </w:r>
            <w:bookmarkEnd w:id="353"/>
            <w:bookmarkEnd w:id="354"/>
            <w:bookmarkEnd w:id="355"/>
          </w:p>
        </w:tc>
      </w:tr>
      <w:tr w:rsidR="0004310A" w:rsidTr="008D03A7">
        <w:trPr>
          <w:trHeight w:val="20"/>
          <w:jc w:val="center"/>
        </w:trPr>
        <w:tc>
          <w:tcPr>
            <w:tcW w:w="2464" w:type="dxa"/>
            <w:vMerge w:val="restart"/>
            <w:shd w:val="pct12" w:color="auto" w:fill="auto"/>
            <w:vAlign w:val="center"/>
          </w:tcPr>
          <w:p w:rsidR="0004310A" w:rsidRPr="008D03A7" w:rsidRDefault="0004310A" w:rsidP="008D03A7">
            <w:pPr>
              <w:spacing w:before="100" w:beforeAutospacing="1" w:after="100" w:afterAutospacing="1"/>
              <w:jc w:val="left"/>
              <w:rPr>
                <w:rFonts w:eastAsia="Arial Unicode MS" w:cs="Tahoma"/>
                <w:b/>
                <w:sz w:val="18"/>
                <w:szCs w:val="18"/>
              </w:rPr>
            </w:pPr>
            <w:r w:rsidRPr="008D03A7">
              <w:rPr>
                <w:rFonts w:eastAsia="Arial Unicode MS" w:cs="Tahoma"/>
                <w:b/>
                <w:sz w:val="18"/>
                <w:szCs w:val="18"/>
              </w:rPr>
              <w:t>změna vstupu</w:t>
            </w:r>
          </w:p>
        </w:tc>
        <w:tc>
          <w:tcPr>
            <w:tcW w:w="2088" w:type="dxa"/>
            <w:gridSpan w:val="2"/>
            <w:shd w:val="pct12" w:color="auto" w:fill="auto"/>
            <w:vAlign w:val="center"/>
          </w:tcPr>
          <w:p w:rsidR="0004310A" w:rsidRPr="008D03A7" w:rsidRDefault="008D03A7" w:rsidP="008D03A7">
            <w:pPr>
              <w:spacing w:before="100" w:beforeAutospacing="1" w:after="100" w:afterAutospacing="1"/>
              <w:jc w:val="center"/>
              <w:rPr>
                <w:rFonts w:eastAsia="Arial Unicode MS" w:cs="Tahoma"/>
                <w:b/>
                <w:sz w:val="18"/>
                <w:szCs w:val="18"/>
              </w:rPr>
            </w:pPr>
            <w:r w:rsidRPr="008D03A7">
              <w:rPr>
                <w:rFonts w:eastAsia="Arial Unicode MS" w:cs="Tahoma"/>
                <w:b/>
                <w:sz w:val="18"/>
                <w:szCs w:val="18"/>
              </w:rPr>
              <w:t>Finanční</w:t>
            </w:r>
          </w:p>
        </w:tc>
        <w:tc>
          <w:tcPr>
            <w:tcW w:w="4703" w:type="dxa"/>
            <w:gridSpan w:val="4"/>
            <w:shd w:val="pct12" w:color="auto" w:fill="auto"/>
            <w:vAlign w:val="center"/>
          </w:tcPr>
          <w:p w:rsidR="0004310A" w:rsidRPr="008D03A7" w:rsidRDefault="008D03A7" w:rsidP="008D03A7">
            <w:pPr>
              <w:spacing w:before="100" w:beforeAutospacing="1" w:after="100" w:afterAutospacing="1"/>
              <w:jc w:val="center"/>
              <w:rPr>
                <w:rFonts w:eastAsia="Arial Unicode MS" w:cs="Tahoma"/>
                <w:b/>
                <w:sz w:val="18"/>
                <w:szCs w:val="18"/>
              </w:rPr>
            </w:pPr>
            <w:r w:rsidRPr="008D03A7">
              <w:rPr>
                <w:rFonts w:eastAsia="Arial Unicode MS" w:cs="Tahoma"/>
                <w:b/>
                <w:sz w:val="18"/>
                <w:szCs w:val="18"/>
              </w:rPr>
              <w:t>Ekonomická</w:t>
            </w:r>
          </w:p>
        </w:tc>
      </w:tr>
      <w:tr w:rsidR="0004310A" w:rsidTr="00964DE1">
        <w:trPr>
          <w:trHeight w:val="20"/>
          <w:jc w:val="center"/>
        </w:trPr>
        <w:tc>
          <w:tcPr>
            <w:tcW w:w="2464" w:type="dxa"/>
            <w:vMerge/>
            <w:tcBorders>
              <w:bottom w:val="single" w:sz="12" w:space="0" w:color="auto"/>
            </w:tcBorders>
            <w:shd w:val="pct12" w:color="auto" w:fill="auto"/>
            <w:vAlign w:val="center"/>
          </w:tcPr>
          <w:p w:rsidR="0004310A" w:rsidRPr="008D03A7" w:rsidRDefault="0004310A" w:rsidP="008D03A7">
            <w:pPr>
              <w:spacing w:before="100" w:beforeAutospacing="1" w:after="100" w:afterAutospacing="1"/>
              <w:jc w:val="left"/>
              <w:rPr>
                <w:rFonts w:eastAsia="Arial Unicode MS" w:cs="Tahoma"/>
                <w:b/>
                <w:sz w:val="18"/>
                <w:szCs w:val="18"/>
              </w:rPr>
            </w:pPr>
          </w:p>
        </w:tc>
        <w:tc>
          <w:tcPr>
            <w:tcW w:w="1072" w:type="dxa"/>
            <w:tcBorders>
              <w:bottom w:val="single" w:sz="12" w:space="0" w:color="auto"/>
            </w:tcBorders>
            <w:shd w:val="pct12" w:color="auto" w:fill="auto"/>
            <w:vAlign w:val="center"/>
          </w:tcPr>
          <w:p w:rsidR="0004310A" w:rsidRPr="008D03A7" w:rsidRDefault="0004310A" w:rsidP="008D03A7">
            <w:pPr>
              <w:spacing w:before="100" w:beforeAutospacing="1" w:after="100" w:afterAutospacing="1"/>
              <w:jc w:val="center"/>
              <w:rPr>
                <w:rFonts w:eastAsia="Arial Unicode MS" w:cs="Tahoma"/>
                <w:b/>
                <w:sz w:val="18"/>
                <w:szCs w:val="18"/>
              </w:rPr>
            </w:pPr>
            <w:r w:rsidRPr="008D03A7">
              <w:rPr>
                <w:rFonts w:eastAsia="Arial Unicode MS" w:cs="Tahoma"/>
                <w:b/>
                <w:sz w:val="18"/>
                <w:szCs w:val="18"/>
              </w:rPr>
              <w:t>IN</w:t>
            </w:r>
          </w:p>
        </w:tc>
        <w:tc>
          <w:tcPr>
            <w:tcW w:w="1016" w:type="dxa"/>
            <w:tcBorders>
              <w:bottom w:val="single" w:sz="12" w:space="0" w:color="auto"/>
            </w:tcBorders>
            <w:shd w:val="pct12" w:color="auto" w:fill="auto"/>
            <w:vAlign w:val="center"/>
          </w:tcPr>
          <w:p w:rsidR="0004310A" w:rsidRPr="008D03A7" w:rsidRDefault="0004310A" w:rsidP="008D03A7">
            <w:pPr>
              <w:spacing w:before="100" w:beforeAutospacing="1" w:after="100" w:afterAutospacing="1"/>
              <w:jc w:val="center"/>
              <w:rPr>
                <w:rFonts w:eastAsia="Arial Unicode MS" w:cs="Tahoma"/>
                <w:b/>
                <w:sz w:val="18"/>
                <w:szCs w:val="18"/>
              </w:rPr>
            </w:pPr>
            <w:r w:rsidRPr="008D03A7">
              <w:rPr>
                <w:rFonts w:eastAsia="Arial Unicode MS" w:cs="Tahoma"/>
                <w:b/>
                <w:sz w:val="18"/>
                <w:szCs w:val="18"/>
              </w:rPr>
              <w:t>PN infra</w:t>
            </w:r>
          </w:p>
        </w:tc>
        <w:tc>
          <w:tcPr>
            <w:tcW w:w="1191" w:type="dxa"/>
            <w:tcBorders>
              <w:bottom w:val="single" w:sz="12" w:space="0" w:color="auto"/>
            </w:tcBorders>
            <w:shd w:val="pct12" w:color="auto" w:fill="auto"/>
            <w:vAlign w:val="center"/>
          </w:tcPr>
          <w:p w:rsidR="0004310A" w:rsidRPr="008D03A7" w:rsidRDefault="0004310A" w:rsidP="008D03A7">
            <w:pPr>
              <w:spacing w:before="100" w:beforeAutospacing="1" w:after="100" w:afterAutospacing="1"/>
              <w:jc w:val="center"/>
              <w:rPr>
                <w:rFonts w:eastAsia="Arial Unicode MS" w:cs="Tahoma"/>
                <w:b/>
                <w:sz w:val="18"/>
                <w:szCs w:val="18"/>
              </w:rPr>
            </w:pPr>
            <w:r w:rsidRPr="008D03A7">
              <w:rPr>
                <w:rFonts w:eastAsia="Arial Unicode MS" w:cs="Tahoma"/>
                <w:b/>
                <w:sz w:val="18"/>
                <w:szCs w:val="18"/>
              </w:rPr>
              <w:t>IN</w:t>
            </w:r>
          </w:p>
        </w:tc>
        <w:tc>
          <w:tcPr>
            <w:tcW w:w="1191" w:type="dxa"/>
            <w:tcBorders>
              <w:bottom w:val="single" w:sz="12" w:space="0" w:color="auto"/>
            </w:tcBorders>
            <w:shd w:val="pct12" w:color="auto" w:fill="auto"/>
            <w:vAlign w:val="center"/>
          </w:tcPr>
          <w:p w:rsidR="0004310A" w:rsidRPr="008D03A7" w:rsidRDefault="0004310A" w:rsidP="008D03A7">
            <w:pPr>
              <w:spacing w:before="100" w:beforeAutospacing="1" w:after="100" w:afterAutospacing="1"/>
              <w:jc w:val="center"/>
              <w:rPr>
                <w:rFonts w:eastAsia="Arial Unicode MS" w:cs="Tahoma"/>
                <w:b/>
                <w:sz w:val="18"/>
                <w:szCs w:val="18"/>
              </w:rPr>
            </w:pPr>
            <w:r w:rsidRPr="008D03A7">
              <w:rPr>
                <w:rFonts w:eastAsia="Arial Unicode MS" w:cs="Tahoma"/>
                <w:b/>
                <w:sz w:val="18"/>
                <w:szCs w:val="18"/>
              </w:rPr>
              <w:t>PN infra</w:t>
            </w:r>
          </w:p>
        </w:tc>
        <w:tc>
          <w:tcPr>
            <w:tcW w:w="1119" w:type="dxa"/>
            <w:tcBorders>
              <w:bottom w:val="single" w:sz="12" w:space="0" w:color="auto"/>
            </w:tcBorders>
            <w:shd w:val="pct12" w:color="auto" w:fill="auto"/>
            <w:vAlign w:val="center"/>
          </w:tcPr>
          <w:p w:rsidR="0004310A" w:rsidRPr="008D03A7" w:rsidRDefault="0004310A" w:rsidP="008D03A7">
            <w:pPr>
              <w:spacing w:before="100" w:beforeAutospacing="1" w:after="100" w:afterAutospacing="1"/>
              <w:jc w:val="center"/>
              <w:rPr>
                <w:rFonts w:eastAsia="Arial Unicode MS" w:cs="Tahoma"/>
                <w:b/>
                <w:sz w:val="18"/>
                <w:szCs w:val="18"/>
              </w:rPr>
            </w:pPr>
            <w:r w:rsidRPr="008D03A7">
              <w:rPr>
                <w:rFonts w:eastAsia="Arial Unicode MS" w:cs="Tahoma"/>
                <w:b/>
                <w:sz w:val="18"/>
                <w:szCs w:val="18"/>
              </w:rPr>
              <w:t>PN řízení</w:t>
            </w:r>
          </w:p>
        </w:tc>
        <w:tc>
          <w:tcPr>
            <w:tcW w:w="1202" w:type="dxa"/>
            <w:tcBorders>
              <w:bottom w:val="single" w:sz="12" w:space="0" w:color="auto"/>
            </w:tcBorders>
            <w:shd w:val="pct12" w:color="auto" w:fill="auto"/>
            <w:vAlign w:val="center"/>
          </w:tcPr>
          <w:p w:rsidR="0004310A" w:rsidRPr="008D03A7" w:rsidRDefault="0004310A" w:rsidP="008D03A7">
            <w:pPr>
              <w:spacing w:before="100" w:beforeAutospacing="1" w:after="100" w:afterAutospacing="1"/>
              <w:jc w:val="center"/>
              <w:rPr>
                <w:rFonts w:eastAsia="Arial Unicode MS" w:cs="Tahoma"/>
                <w:b/>
                <w:sz w:val="18"/>
                <w:szCs w:val="18"/>
              </w:rPr>
            </w:pPr>
            <w:r w:rsidRPr="008D03A7">
              <w:rPr>
                <w:rFonts w:eastAsia="Arial Unicode MS" w:cs="Tahoma"/>
                <w:b/>
                <w:sz w:val="18"/>
                <w:szCs w:val="18"/>
              </w:rPr>
              <w:t>Výkony Os</w:t>
            </w:r>
          </w:p>
        </w:tc>
      </w:tr>
      <w:tr w:rsidR="0004310A" w:rsidTr="00964DE1">
        <w:trPr>
          <w:trHeight w:val="20"/>
          <w:jc w:val="center"/>
        </w:trPr>
        <w:tc>
          <w:tcPr>
            <w:tcW w:w="9255" w:type="dxa"/>
            <w:gridSpan w:val="7"/>
            <w:tcBorders>
              <w:top w:val="single" w:sz="12" w:space="0" w:color="auto"/>
              <w:bottom w:val="single" w:sz="4" w:space="0" w:color="000000"/>
            </w:tcBorders>
            <w:shd w:val="pct12" w:color="auto" w:fill="auto"/>
            <w:vAlign w:val="center"/>
          </w:tcPr>
          <w:p w:rsidR="0004310A" w:rsidRPr="008D03A7" w:rsidRDefault="0004310A" w:rsidP="008D03A7">
            <w:pPr>
              <w:spacing w:before="100" w:beforeAutospacing="1" w:after="100" w:afterAutospacing="1"/>
              <w:jc w:val="left"/>
              <w:rPr>
                <w:rFonts w:eastAsia="Arial Unicode MS" w:cs="Tahoma"/>
                <w:b/>
                <w:sz w:val="18"/>
                <w:szCs w:val="18"/>
              </w:rPr>
            </w:pPr>
            <w:r w:rsidRPr="008D03A7">
              <w:rPr>
                <w:rFonts w:eastAsia="Arial Unicode MS" w:cs="Tahoma"/>
                <w:b/>
                <w:sz w:val="18"/>
                <w:szCs w:val="18"/>
              </w:rPr>
              <w:t>varianta Minimální</w:t>
            </w:r>
          </w:p>
        </w:tc>
      </w:tr>
      <w:tr w:rsidR="0004310A" w:rsidTr="008D03A7">
        <w:trPr>
          <w:trHeight w:val="20"/>
          <w:jc w:val="center"/>
        </w:trPr>
        <w:tc>
          <w:tcPr>
            <w:tcW w:w="2464" w:type="dxa"/>
            <w:shd w:val="pct12" w:color="auto" w:fill="auto"/>
            <w:vAlign w:val="center"/>
          </w:tcPr>
          <w:p w:rsidR="0004310A" w:rsidRPr="008D03A7" w:rsidRDefault="0004310A" w:rsidP="008D03A7">
            <w:pPr>
              <w:spacing w:before="100" w:beforeAutospacing="1" w:after="100" w:afterAutospacing="1"/>
              <w:jc w:val="left"/>
              <w:rPr>
                <w:rFonts w:cs="Tahoma"/>
                <w:sz w:val="18"/>
                <w:szCs w:val="18"/>
              </w:rPr>
            </w:pPr>
            <w:r w:rsidRPr="008D03A7">
              <w:rPr>
                <w:rFonts w:cs="Tahoma"/>
                <w:sz w:val="18"/>
                <w:szCs w:val="18"/>
              </w:rPr>
              <w:t>- 20%</w:t>
            </w:r>
          </w:p>
        </w:tc>
        <w:tc>
          <w:tcPr>
            <w:tcW w:w="1072"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-1,07%</w:t>
            </w:r>
          </w:p>
        </w:tc>
        <w:tc>
          <w:tcPr>
            <w:tcW w:w="1016"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-6,77%</w:t>
            </w:r>
          </w:p>
        </w:tc>
        <w:tc>
          <w:tcPr>
            <w:tcW w:w="1191"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7,38%</w:t>
            </w:r>
          </w:p>
        </w:tc>
        <w:tc>
          <w:tcPr>
            <w:tcW w:w="1191"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1,32%</w:t>
            </w:r>
          </w:p>
        </w:tc>
        <w:tc>
          <w:tcPr>
            <w:tcW w:w="1119"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2,77%</w:t>
            </w:r>
          </w:p>
        </w:tc>
        <w:tc>
          <w:tcPr>
            <w:tcW w:w="1202"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r>
      <w:tr w:rsidR="0004310A" w:rsidTr="008D03A7">
        <w:trPr>
          <w:trHeight w:val="20"/>
          <w:jc w:val="center"/>
        </w:trPr>
        <w:tc>
          <w:tcPr>
            <w:tcW w:w="2464" w:type="dxa"/>
            <w:shd w:val="pct12" w:color="auto" w:fill="auto"/>
            <w:vAlign w:val="center"/>
          </w:tcPr>
          <w:p w:rsidR="0004310A" w:rsidRPr="008D03A7" w:rsidRDefault="0004310A" w:rsidP="008D03A7">
            <w:pPr>
              <w:spacing w:before="100" w:beforeAutospacing="1" w:after="100" w:afterAutospacing="1"/>
              <w:jc w:val="left"/>
              <w:rPr>
                <w:rFonts w:cs="Tahoma"/>
                <w:sz w:val="18"/>
                <w:szCs w:val="18"/>
              </w:rPr>
            </w:pPr>
            <w:r w:rsidRPr="008D03A7">
              <w:rPr>
                <w:rFonts w:cs="Tahoma"/>
                <w:sz w:val="18"/>
                <w:szCs w:val="18"/>
              </w:rPr>
              <w:t>- 10%</w:t>
            </w:r>
          </w:p>
        </w:tc>
        <w:tc>
          <w:tcPr>
            <w:tcW w:w="1072"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-4,23%</w:t>
            </w:r>
          </w:p>
        </w:tc>
        <w:tc>
          <w:tcPr>
            <w:tcW w:w="1016"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-6,40%</w:t>
            </w:r>
          </w:p>
        </w:tc>
        <w:tc>
          <w:tcPr>
            <w:tcW w:w="1191"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4,93%</w:t>
            </w:r>
          </w:p>
        </w:tc>
        <w:tc>
          <w:tcPr>
            <w:tcW w:w="1191"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2,22%</w:t>
            </w:r>
          </w:p>
        </w:tc>
        <w:tc>
          <w:tcPr>
            <w:tcW w:w="1119"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3,02%</w:t>
            </w:r>
          </w:p>
        </w:tc>
        <w:tc>
          <w:tcPr>
            <w:tcW w:w="1202"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r>
      <w:tr w:rsidR="0004310A" w:rsidTr="008D03A7">
        <w:trPr>
          <w:trHeight w:val="20"/>
          <w:jc w:val="center"/>
        </w:trPr>
        <w:tc>
          <w:tcPr>
            <w:tcW w:w="2464" w:type="dxa"/>
            <w:shd w:val="pct12" w:color="auto" w:fill="auto"/>
            <w:vAlign w:val="center"/>
          </w:tcPr>
          <w:p w:rsidR="0004310A" w:rsidRPr="008D03A7" w:rsidRDefault="0004310A" w:rsidP="008D03A7">
            <w:pPr>
              <w:spacing w:before="100" w:beforeAutospacing="1" w:after="100" w:afterAutospacing="1"/>
              <w:jc w:val="left"/>
              <w:rPr>
                <w:rFonts w:cs="Tahoma"/>
                <w:sz w:val="18"/>
                <w:szCs w:val="18"/>
              </w:rPr>
            </w:pPr>
            <w:r w:rsidRPr="008D03A7">
              <w:rPr>
                <w:rFonts w:cs="Tahoma"/>
                <w:sz w:val="18"/>
                <w:szCs w:val="18"/>
              </w:rPr>
              <w:t>0%</w:t>
            </w:r>
          </w:p>
        </w:tc>
        <w:tc>
          <w:tcPr>
            <w:tcW w:w="1072"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-5,86%</w:t>
            </w:r>
          </w:p>
        </w:tc>
        <w:tc>
          <w:tcPr>
            <w:tcW w:w="1016"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-5,86%</w:t>
            </w:r>
          </w:p>
        </w:tc>
        <w:tc>
          <w:tcPr>
            <w:tcW w:w="1191"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3,27%</w:t>
            </w:r>
          </w:p>
        </w:tc>
        <w:tc>
          <w:tcPr>
            <w:tcW w:w="1191"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3,27%</w:t>
            </w:r>
          </w:p>
        </w:tc>
        <w:tc>
          <w:tcPr>
            <w:tcW w:w="1119"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3,27%</w:t>
            </w:r>
          </w:p>
        </w:tc>
        <w:tc>
          <w:tcPr>
            <w:tcW w:w="1202"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r>
      <w:tr w:rsidR="0004310A" w:rsidTr="008D03A7">
        <w:trPr>
          <w:trHeight w:val="20"/>
          <w:jc w:val="center"/>
        </w:trPr>
        <w:tc>
          <w:tcPr>
            <w:tcW w:w="2464" w:type="dxa"/>
            <w:shd w:val="pct12" w:color="auto" w:fill="auto"/>
            <w:vAlign w:val="center"/>
          </w:tcPr>
          <w:p w:rsidR="0004310A" w:rsidRPr="008D03A7" w:rsidRDefault="0004310A" w:rsidP="008D03A7">
            <w:pPr>
              <w:spacing w:before="100" w:beforeAutospacing="1" w:after="100" w:afterAutospacing="1"/>
              <w:jc w:val="left"/>
              <w:rPr>
                <w:rFonts w:cs="Tahoma"/>
                <w:sz w:val="18"/>
                <w:szCs w:val="18"/>
              </w:rPr>
            </w:pPr>
            <w:r w:rsidRPr="008D03A7">
              <w:rPr>
                <w:rFonts w:cs="Tahoma"/>
                <w:sz w:val="18"/>
                <w:szCs w:val="18"/>
              </w:rPr>
              <w:t>+ 10%</w:t>
            </w:r>
          </w:p>
        </w:tc>
        <w:tc>
          <w:tcPr>
            <w:tcW w:w="1072"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-6,77%</w:t>
            </w:r>
          </w:p>
        </w:tc>
        <w:tc>
          <w:tcPr>
            <w:tcW w:w="1016"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-5,04%</w:t>
            </w:r>
          </w:p>
        </w:tc>
        <w:tc>
          <w:tcPr>
            <w:tcW w:w="1191"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2,09%</w:t>
            </w:r>
          </w:p>
        </w:tc>
        <w:tc>
          <w:tcPr>
            <w:tcW w:w="1191"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4,50%</w:t>
            </w:r>
          </w:p>
        </w:tc>
        <w:tc>
          <w:tcPr>
            <w:tcW w:w="1119"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3,51%</w:t>
            </w:r>
          </w:p>
        </w:tc>
        <w:tc>
          <w:tcPr>
            <w:tcW w:w="1202" w:type="dxa"/>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r>
      <w:tr w:rsidR="0004310A" w:rsidTr="00964DE1">
        <w:trPr>
          <w:trHeight w:val="20"/>
          <w:jc w:val="center"/>
        </w:trPr>
        <w:tc>
          <w:tcPr>
            <w:tcW w:w="2464" w:type="dxa"/>
            <w:tcBorders>
              <w:bottom w:val="single" w:sz="12" w:space="0" w:color="auto"/>
            </w:tcBorders>
            <w:shd w:val="pct12" w:color="auto" w:fill="auto"/>
            <w:vAlign w:val="center"/>
          </w:tcPr>
          <w:p w:rsidR="0004310A" w:rsidRPr="008D03A7" w:rsidRDefault="0004310A" w:rsidP="008D03A7">
            <w:pPr>
              <w:spacing w:before="100" w:beforeAutospacing="1" w:after="100" w:afterAutospacing="1"/>
              <w:jc w:val="left"/>
              <w:rPr>
                <w:rFonts w:cs="Tahoma"/>
                <w:sz w:val="18"/>
                <w:szCs w:val="18"/>
              </w:rPr>
            </w:pPr>
            <w:r w:rsidRPr="008D03A7">
              <w:rPr>
                <w:rFonts w:cs="Tahoma"/>
                <w:sz w:val="18"/>
                <w:szCs w:val="18"/>
              </w:rPr>
              <w:t>+ 20%</w:t>
            </w:r>
          </w:p>
        </w:tc>
        <w:tc>
          <w:tcPr>
            <w:tcW w:w="1072" w:type="dxa"/>
            <w:tcBorders>
              <w:bottom w:val="single" w:sz="12" w:space="0" w:color="auto"/>
            </w:tcBorders>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-7,34%</w:t>
            </w:r>
          </w:p>
        </w:tc>
        <w:tc>
          <w:tcPr>
            <w:tcW w:w="1016" w:type="dxa"/>
            <w:tcBorders>
              <w:bottom w:val="single" w:sz="12" w:space="0" w:color="auto"/>
            </w:tcBorders>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-3,70%</w:t>
            </w:r>
          </w:p>
        </w:tc>
        <w:tc>
          <w:tcPr>
            <w:tcW w:w="1191" w:type="dxa"/>
            <w:tcBorders>
              <w:bottom w:val="single" w:sz="12" w:space="0" w:color="auto"/>
            </w:tcBorders>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1,22%</w:t>
            </w:r>
          </w:p>
        </w:tc>
        <w:tc>
          <w:tcPr>
            <w:tcW w:w="1191" w:type="dxa"/>
            <w:tcBorders>
              <w:bottom w:val="single" w:sz="12" w:space="0" w:color="auto"/>
            </w:tcBorders>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5,93%</w:t>
            </w:r>
          </w:p>
        </w:tc>
        <w:tc>
          <w:tcPr>
            <w:tcW w:w="1119" w:type="dxa"/>
            <w:tcBorders>
              <w:bottom w:val="single" w:sz="12" w:space="0" w:color="auto"/>
            </w:tcBorders>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3,75%</w:t>
            </w:r>
          </w:p>
        </w:tc>
        <w:tc>
          <w:tcPr>
            <w:tcW w:w="1202" w:type="dxa"/>
            <w:tcBorders>
              <w:bottom w:val="single" w:sz="12" w:space="0" w:color="auto"/>
            </w:tcBorders>
            <w:vAlign w:val="center"/>
          </w:tcPr>
          <w:p w:rsidR="0004310A" w:rsidRPr="008D03A7" w:rsidRDefault="0004310A"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r>
      <w:tr w:rsidR="0004310A" w:rsidTr="00964DE1">
        <w:trPr>
          <w:trHeight w:val="20"/>
          <w:jc w:val="center"/>
        </w:trPr>
        <w:tc>
          <w:tcPr>
            <w:tcW w:w="9255" w:type="dxa"/>
            <w:gridSpan w:val="7"/>
            <w:tcBorders>
              <w:top w:val="single" w:sz="12" w:space="0" w:color="auto"/>
              <w:bottom w:val="single" w:sz="4" w:space="0" w:color="000000"/>
            </w:tcBorders>
            <w:shd w:val="pct12" w:color="auto" w:fill="auto"/>
            <w:vAlign w:val="center"/>
          </w:tcPr>
          <w:p w:rsidR="0004310A" w:rsidRPr="008D03A7" w:rsidRDefault="009E270E" w:rsidP="008D03A7">
            <w:pPr>
              <w:spacing w:before="100" w:beforeAutospacing="1" w:after="100" w:afterAutospacing="1"/>
              <w:jc w:val="left"/>
              <w:rPr>
                <w:rFonts w:eastAsia="Arial Unicode MS" w:cs="Tahoma"/>
                <w:b/>
                <w:sz w:val="18"/>
                <w:szCs w:val="18"/>
              </w:rPr>
            </w:pPr>
            <w:r w:rsidRPr="008D03A7">
              <w:rPr>
                <w:rFonts w:eastAsia="Arial Unicode MS" w:cs="Tahoma"/>
                <w:b/>
                <w:sz w:val="18"/>
                <w:szCs w:val="18"/>
              </w:rPr>
              <w:t>Etapa</w:t>
            </w:r>
          </w:p>
        </w:tc>
      </w:tr>
      <w:tr w:rsidR="00012996" w:rsidTr="008D03A7">
        <w:trPr>
          <w:trHeight w:val="20"/>
          <w:jc w:val="center"/>
        </w:trPr>
        <w:tc>
          <w:tcPr>
            <w:tcW w:w="2464" w:type="dxa"/>
            <w:shd w:val="pct12" w:color="auto" w:fill="auto"/>
            <w:vAlign w:val="center"/>
          </w:tcPr>
          <w:p w:rsidR="00012996" w:rsidRPr="008D03A7" w:rsidRDefault="00012996" w:rsidP="008D03A7">
            <w:pPr>
              <w:spacing w:before="100" w:beforeAutospacing="1" w:after="100" w:afterAutospacing="1"/>
              <w:jc w:val="left"/>
              <w:rPr>
                <w:rFonts w:cs="Tahoma"/>
                <w:sz w:val="18"/>
                <w:szCs w:val="18"/>
              </w:rPr>
            </w:pPr>
            <w:r w:rsidRPr="008D03A7">
              <w:rPr>
                <w:rFonts w:cs="Tahoma"/>
                <w:sz w:val="18"/>
                <w:szCs w:val="18"/>
              </w:rPr>
              <w:t>- 20%</w:t>
            </w:r>
          </w:p>
        </w:tc>
        <w:tc>
          <w:tcPr>
            <w:tcW w:w="1072" w:type="dxa"/>
            <w:vAlign w:val="bottom"/>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-9,20%</w:t>
            </w:r>
          </w:p>
        </w:tc>
        <w:tc>
          <w:tcPr>
            <w:tcW w:w="1016"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21,24%</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119"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202"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13,52%</w:t>
            </w:r>
          </w:p>
        </w:tc>
      </w:tr>
      <w:tr w:rsidR="00012996" w:rsidTr="008D03A7">
        <w:trPr>
          <w:trHeight w:val="20"/>
          <w:jc w:val="center"/>
        </w:trPr>
        <w:tc>
          <w:tcPr>
            <w:tcW w:w="2464" w:type="dxa"/>
            <w:shd w:val="pct12" w:color="auto" w:fill="auto"/>
            <w:vAlign w:val="center"/>
          </w:tcPr>
          <w:p w:rsidR="00012996" w:rsidRPr="008D03A7" w:rsidRDefault="00012996" w:rsidP="008D03A7">
            <w:pPr>
              <w:spacing w:before="100" w:beforeAutospacing="1" w:after="100" w:afterAutospacing="1"/>
              <w:jc w:val="left"/>
              <w:rPr>
                <w:rFonts w:cs="Tahoma"/>
                <w:sz w:val="18"/>
                <w:szCs w:val="18"/>
              </w:rPr>
            </w:pPr>
            <w:r w:rsidRPr="008D03A7">
              <w:rPr>
                <w:rFonts w:cs="Tahoma"/>
                <w:sz w:val="18"/>
                <w:szCs w:val="18"/>
              </w:rPr>
              <w:t>- 10%</w:t>
            </w:r>
          </w:p>
        </w:tc>
        <w:tc>
          <w:tcPr>
            <w:tcW w:w="1072" w:type="dxa"/>
            <w:vAlign w:val="bottom"/>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-9,42%</w:t>
            </w:r>
          </w:p>
        </w:tc>
        <w:tc>
          <w:tcPr>
            <w:tcW w:w="1016"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18,40%</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119"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202"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14,90%</w:t>
            </w:r>
          </w:p>
        </w:tc>
      </w:tr>
      <w:tr w:rsidR="00012996" w:rsidTr="008D03A7">
        <w:trPr>
          <w:trHeight w:val="20"/>
          <w:jc w:val="center"/>
        </w:trPr>
        <w:tc>
          <w:tcPr>
            <w:tcW w:w="2464" w:type="dxa"/>
            <w:shd w:val="pct12" w:color="auto" w:fill="auto"/>
            <w:vAlign w:val="center"/>
          </w:tcPr>
          <w:p w:rsidR="00012996" w:rsidRPr="008D03A7" w:rsidRDefault="00012996" w:rsidP="008D03A7">
            <w:pPr>
              <w:spacing w:before="100" w:beforeAutospacing="1" w:after="100" w:afterAutospacing="1"/>
              <w:jc w:val="left"/>
              <w:rPr>
                <w:rFonts w:cs="Tahoma"/>
                <w:sz w:val="18"/>
                <w:szCs w:val="18"/>
              </w:rPr>
            </w:pPr>
            <w:r w:rsidRPr="008D03A7">
              <w:rPr>
                <w:rFonts w:cs="Tahoma"/>
                <w:sz w:val="18"/>
                <w:szCs w:val="18"/>
              </w:rPr>
              <w:t>0%</w:t>
            </w:r>
          </w:p>
        </w:tc>
        <w:tc>
          <w:tcPr>
            <w:tcW w:w="1072" w:type="dxa"/>
            <w:vAlign w:val="bottom"/>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-9,58%</w:t>
            </w:r>
          </w:p>
        </w:tc>
        <w:tc>
          <w:tcPr>
            <w:tcW w:w="1016"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16,23%</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119"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202"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16,23%</w:t>
            </w:r>
          </w:p>
        </w:tc>
      </w:tr>
      <w:tr w:rsidR="00012996" w:rsidTr="008D03A7">
        <w:trPr>
          <w:trHeight w:val="20"/>
          <w:jc w:val="center"/>
        </w:trPr>
        <w:tc>
          <w:tcPr>
            <w:tcW w:w="2464" w:type="dxa"/>
            <w:shd w:val="pct12" w:color="auto" w:fill="auto"/>
            <w:vAlign w:val="center"/>
          </w:tcPr>
          <w:p w:rsidR="00012996" w:rsidRPr="008D03A7" w:rsidRDefault="00012996" w:rsidP="008D03A7">
            <w:pPr>
              <w:spacing w:before="100" w:beforeAutospacing="1" w:after="100" w:afterAutospacing="1"/>
              <w:jc w:val="left"/>
              <w:rPr>
                <w:rFonts w:cs="Tahoma"/>
                <w:sz w:val="18"/>
                <w:szCs w:val="18"/>
              </w:rPr>
            </w:pPr>
            <w:r w:rsidRPr="008D03A7">
              <w:rPr>
                <w:rFonts w:cs="Tahoma"/>
                <w:sz w:val="18"/>
                <w:szCs w:val="18"/>
              </w:rPr>
              <w:t>+ 10%</w:t>
            </w:r>
          </w:p>
        </w:tc>
        <w:tc>
          <w:tcPr>
            <w:tcW w:w="1072" w:type="dxa"/>
            <w:vAlign w:val="bottom"/>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-9,70%</w:t>
            </w:r>
          </w:p>
        </w:tc>
        <w:tc>
          <w:tcPr>
            <w:tcW w:w="1016"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14,50%</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119"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202"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17,52%</w:t>
            </w:r>
          </w:p>
        </w:tc>
      </w:tr>
      <w:tr w:rsidR="00012996" w:rsidTr="00964DE1">
        <w:trPr>
          <w:trHeight w:val="20"/>
          <w:jc w:val="center"/>
        </w:trPr>
        <w:tc>
          <w:tcPr>
            <w:tcW w:w="2464" w:type="dxa"/>
            <w:tcBorders>
              <w:bottom w:val="single" w:sz="12" w:space="0" w:color="auto"/>
            </w:tcBorders>
            <w:shd w:val="pct12" w:color="auto" w:fill="auto"/>
            <w:vAlign w:val="center"/>
          </w:tcPr>
          <w:p w:rsidR="00012996" w:rsidRPr="008D03A7" w:rsidRDefault="00012996" w:rsidP="008D03A7">
            <w:pPr>
              <w:spacing w:before="100" w:beforeAutospacing="1" w:after="100" w:afterAutospacing="1"/>
              <w:jc w:val="left"/>
              <w:rPr>
                <w:rFonts w:cs="Tahoma"/>
                <w:sz w:val="18"/>
                <w:szCs w:val="18"/>
              </w:rPr>
            </w:pPr>
            <w:r w:rsidRPr="008D03A7">
              <w:rPr>
                <w:rFonts w:cs="Tahoma"/>
                <w:sz w:val="18"/>
                <w:szCs w:val="18"/>
              </w:rPr>
              <w:t>+ 20%</w:t>
            </w:r>
          </w:p>
        </w:tc>
        <w:tc>
          <w:tcPr>
            <w:tcW w:w="1072" w:type="dxa"/>
            <w:tcBorders>
              <w:bottom w:val="single" w:sz="12" w:space="0" w:color="auto"/>
            </w:tcBorders>
            <w:vAlign w:val="bottom"/>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-9,79%</w:t>
            </w:r>
          </w:p>
        </w:tc>
        <w:tc>
          <w:tcPr>
            <w:tcW w:w="1016" w:type="dxa"/>
            <w:tcBorders>
              <w:bottom w:val="single" w:sz="12" w:space="0" w:color="auto"/>
            </w:tcBorders>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191" w:type="dxa"/>
            <w:tcBorders>
              <w:bottom w:val="single" w:sz="12" w:space="0" w:color="auto"/>
            </w:tcBorders>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13,09%</w:t>
            </w:r>
          </w:p>
        </w:tc>
        <w:tc>
          <w:tcPr>
            <w:tcW w:w="1191" w:type="dxa"/>
            <w:tcBorders>
              <w:bottom w:val="single" w:sz="12" w:space="0" w:color="auto"/>
            </w:tcBorders>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119" w:type="dxa"/>
            <w:tcBorders>
              <w:bottom w:val="single" w:sz="12" w:space="0" w:color="auto"/>
            </w:tcBorders>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202" w:type="dxa"/>
            <w:tcBorders>
              <w:bottom w:val="single" w:sz="12" w:space="0" w:color="auto"/>
            </w:tcBorders>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18,77%</w:t>
            </w:r>
          </w:p>
        </w:tc>
      </w:tr>
      <w:tr w:rsidR="0004310A" w:rsidTr="00964DE1">
        <w:trPr>
          <w:trHeight w:val="20"/>
          <w:jc w:val="center"/>
        </w:trPr>
        <w:tc>
          <w:tcPr>
            <w:tcW w:w="9255" w:type="dxa"/>
            <w:gridSpan w:val="7"/>
            <w:tcBorders>
              <w:top w:val="single" w:sz="12" w:space="0" w:color="auto"/>
              <w:bottom w:val="single" w:sz="4" w:space="0" w:color="000000"/>
            </w:tcBorders>
            <w:shd w:val="pct12" w:color="auto" w:fill="auto"/>
            <w:vAlign w:val="center"/>
          </w:tcPr>
          <w:p w:rsidR="0004310A" w:rsidRPr="008D03A7" w:rsidRDefault="0004310A" w:rsidP="008D03A7">
            <w:pPr>
              <w:spacing w:before="100" w:beforeAutospacing="1" w:after="100" w:afterAutospacing="1"/>
              <w:jc w:val="left"/>
              <w:rPr>
                <w:rFonts w:eastAsia="Arial Unicode MS" w:cs="Tahoma"/>
                <w:b/>
                <w:sz w:val="18"/>
                <w:szCs w:val="18"/>
              </w:rPr>
            </w:pPr>
            <w:r w:rsidRPr="008D03A7">
              <w:rPr>
                <w:rFonts w:eastAsia="Arial Unicode MS" w:cs="Tahoma"/>
                <w:b/>
                <w:sz w:val="18"/>
                <w:szCs w:val="18"/>
              </w:rPr>
              <w:t>varianta Maximální</w:t>
            </w:r>
          </w:p>
        </w:tc>
      </w:tr>
      <w:tr w:rsidR="00012996" w:rsidTr="008D03A7">
        <w:trPr>
          <w:trHeight w:val="20"/>
          <w:jc w:val="center"/>
        </w:trPr>
        <w:tc>
          <w:tcPr>
            <w:tcW w:w="2464" w:type="dxa"/>
            <w:shd w:val="pct12" w:color="auto" w:fill="auto"/>
            <w:vAlign w:val="center"/>
          </w:tcPr>
          <w:p w:rsidR="00012996" w:rsidRPr="008D03A7" w:rsidRDefault="00012996" w:rsidP="008D03A7">
            <w:pPr>
              <w:spacing w:before="100" w:beforeAutospacing="1" w:after="100" w:afterAutospacing="1"/>
              <w:jc w:val="left"/>
              <w:rPr>
                <w:rFonts w:cs="Tahoma"/>
                <w:sz w:val="18"/>
                <w:szCs w:val="18"/>
              </w:rPr>
            </w:pPr>
            <w:r w:rsidRPr="008D03A7">
              <w:rPr>
                <w:rFonts w:cs="Tahoma"/>
                <w:sz w:val="18"/>
                <w:szCs w:val="18"/>
              </w:rPr>
              <w:t>- 20%</w:t>
            </w:r>
          </w:p>
        </w:tc>
        <w:tc>
          <w:tcPr>
            <w:tcW w:w="1072" w:type="dxa"/>
            <w:vAlign w:val="bottom"/>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-8,01%</w:t>
            </w:r>
          </w:p>
        </w:tc>
        <w:tc>
          <w:tcPr>
            <w:tcW w:w="1016"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10,93%</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6,46%</w:t>
            </w:r>
          </w:p>
        </w:tc>
        <w:tc>
          <w:tcPr>
            <w:tcW w:w="1119"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202"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5,59%</w:t>
            </w:r>
          </w:p>
        </w:tc>
      </w:tr>
      <w:tr w:rsidR="00012996" w:rsidTr="008D03A7">
        <w:trPr>
          <w:trHeight w:val="20"/>
          <w:jc w:val="center"/>
        </w:trPr>
        <w:tc>
          <w:tcPr>
            <w:tcW w:w="2464" w:type="dxa"/>
            <w:shd w:val="pct12" w:color="auto" w:fill="auto"/>
            <w:vAlign w:val="center"/>
          </w:tcPr>
          <w:p w:rsidR="00012996" w:rsidRPr="008D03A7" w:rsidRDefault="00012996" w:rsidP="008D03A7">
            <w:pPr>
              <w:spacing w:before="100" w:beforeAutospacing="1" w:after="100" w:afterAutospacing="1"/>
              <w:jc w:val="left"/>
              <w:rPr>
                <w:rFonts w:cs="Tahoma"/>
                <w:sz w:val="18"/>
                <w:szCs w:val="18"/>
              </w:rPr>
            </w:pPr>
            <w:r w:rsidRPr="008D03A7">
              <w:rPr>
                <w:rFonts w:cs="Tahoma"/>
                <w:sz w:val="18"/>
                <w:szCs w:val="18"/>
              </w:rPr>
              <w:t>- 10%</w:t>
            </w:r>
          </w:p>
        </w:tc>
        <w:tc>
          <w:tcPr>
            <w:tcW w:w="1072" w:type="dxa"/>
            <w:vAlign w:val="bottom"/>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-7,87%</w:t>
            </w:r>
          </w:p>
        </w:tc>
        <w:tc>
          <w:tcPr>
            <w:tcW w:w="1016"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8,82%</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6,85%</w:t>
            </w:r>
          </w:p>
        </w:tc>
        <w:tc>
          <w:tcPr>
            <w:tcW w:w="1119"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202"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6,45%</w:t>
            </w:r>
          </w:p>
        </w:tc>
      </w:tr>
      <w:tr w:rsidR="00012996" w:rsidTr="008D03A7">
        <w:trPr>
          <w:trHeight w:val="20"/>
          <w:jc w:val="center"/>
        </w:trPr>
        <w:tc>
          <w:tcPr>
            <w:tcW w:w="2464" w:type="dxa"/>
            <w:shd w:val="pct12" w:color="auto" w:fill="auto"/>
            <w:vAlign w:val="center"/>
          </w:tcPr>
          <w:p w:rsidR="00012996" w:rsidRPr="008D03A7" w:rsidRDefault="00012996" w:rsidP="008D03A7">
            <w:pPr>
              <w:spacing w:before="100" w:beforeAutospacing="1" w:after="100" w:afterAutospacing="1"/>
              <w:jc w:val="left"/>
              <w:rPr>
                <w:rFonts w:cs="Tahoma"/>
                <w:sz w:val="18"/>
                <w:szCs w:val="18"/>
              </w:rPr>
            </w:pPr>
            <w:r w:rsidRPr="008D03A7">
              <w:rPr>
                <w:rFonts w:cs="Tahoma"/>
                <w:sz w:val="18"/>
                <w:szCs w:val="18"/>
              </w:rPr>
              <w:t>0%</w:t>
            </w:r>
          </w:p>
        </w:tc>
        <w:tc>
          <w:tcPr>
            <w:tcW w:w="1072" w:type="dxa"/>
            <w:vAlign w:val="bottom"/>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-7,79%</w:t>
            </w:r>
          </w:p>
        </w:tc>
        <w:tc>
          <w:tcPr>
            <w:tcW w:w="1016"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7,27%</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7,27%</w:t>
            </w:r>
          </w:p>
        </w:tc>
        <w:tc>
          <w:tcPr>
            <w:tcW w:w="1119"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202"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7,27%</w:t>
            </w:r>
          </w:p>
        </w:tc>
      </w:tr>
      <w:tr w:rsidR="00012996" w:rsidTr="008D03A7">
        <w:trPr>
          <w:trHeight w:val="20"/>
          <w:jc w:val="center"/>
        </w:trPr>
        <w:tc>
          <w:tcPr>
            <w:tcW w:w="2464" w:type="dxa"/>
            <w:shd w:val="pct12" w:color="auto" w:fill="auto"/>
            <w:vAlign w:val="center"/>
          </w:tcPr>
          <w:p w:rsidR="00012996" w:rsidRPr="008D03A7" w:rsidRDefault="00012996" w:rsidP="008D03A7">
            <w:pPr>
              <w:spacing w:before="100" w:beforeAutospacing="1" w:after="100" w:afterAutospacing="1"/>
              <w:jc w:val="left"/>
              <w:rPr>
                <w:rFonts w:cs="Tahoma"/>
                <w:sz w:val="18"/>
                <w:szCs w:val="18"/>
              </w:rPr>
            </w:pPr>
            <w:r w:rsidRPr="008D03A7">
              <w:rPr>
                <w:rFonts w:cs="Tahoma"/>
                <w:sz w:val="18"/>
                <w:szCs w:val="18"/>
              </w:rPr>
              <w:t>+ 10%</w:t>
            </w:r>
          </w:p>
        </w:tc>
        <w:tc>
          <w:tcPr>
            <w:tcW w:w="1072" w:type="dxa"/>
            <w:vAlign w:val="bottom"/>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-7,73%</w:t>
            </w:r>
          </w:p>
        </w:tc>
        <w:tc>
          <w:tcPr>
            <w:tcW w:w="1016"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6,07%</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7,73%</w:t>
            </w:r>
          </w:p>
        </w:tc>
        <w:tc>
          <w:tcPr>
            <w:tcW w:w="1119"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202"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8,07%</w:t>
            </w:r>
          </w:p>
        </w:tc>
      </w:tr>
      <w:tr w:rsidR="00012996" w:rsidTr="008D03A7">
        <w:trPr>
          <w:trHeight w:val="20"/>
          <w:jc w:val="center"/>
        </w:trPr>
        <w:tc>
          <w:tcPr>
            <w:tcW w:w="2464" w:type="dxa"/>
            <w:shd w:val="pct12" w:color="auto" w:fill="auto"/>
            <w:vAlign w:val="center"/>
          </w:tcPr>
          <w:p w:rsidR="00012996" w:rsidRPr="008D03A7" w:rsidRDefault="00012996" w:rsidP="008D03A7">
            <w:pPr>
              <w:spacing w:before="100" w:beforeAutospacing="1" w:after="100" w:afterAutospacing="1"/>
              <w:jc w:val="left"/>
              <w:rPr>
                <w:rFonts w:cs="Tahoma"/>
                <w:sz w:val="18"/>
                <w:szCs w:val="18"/>
              </w:rPr>
            </w:pPr>
            <w:r w:rsidRPr="008D03A7">
              <w:rPr>
                <w:rFonts w:cs="Tahoma"/>
                <w:sz w:val="18"/>
                <w:szCs w:val="18"/>
              </w:rPr>
              <w:t>+ 20%</w:t>
            </w:r>
          </w:p>
        </w:tc>
        <w:tc>
          <w:tcPr>
            <w:tcW w:w="1072" w:type="dxa"/>
            <w:vAlign w:val="bottom"/>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-7,68%</w:t>
            </w:r>
          </w:p>
        </w:tc>
        <w:tc>
          <w:tcPr>
            <w:tcW w:w="1016"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5,10%</w:t>
            </w:r>
          </w:p>
        </w:tc>
        <w:tc>
          <w:tcPr>
            <w:tcW w:w="1191"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8,24%</w:t>
            </w:r>
          </w:p>
        </w:tc>
        <w:tc>
          <w:tcPr>
            <w:tcW w:w="1119"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w:t>
            </w:r>
          </w:p>
        </w:tc>
        <w:tc>
          <w:tcPr>
            <w:tcW w:w="1202" w:type="dxa"/>
            <w:vAlign w:val="center"/>
          </w:tcPr>
          <w:p w:rsidR="00012996" w:rsidRPr="008D03A7" w:rsidRDefault="00012996" w:rsidP="008D03A7">
            <w:pPr>
              <w:spacing w:before="100" w:beforeAutospacing="1" w:after="100" w:afterAutospacing="1"/>
              <w:ind w:right="36"/>
              <w:jc w:val="right"/>
              <w:rPr>
                <w:rFonts w:eastAsia="Arial Unicode MS" w:cs="Tahoma"/>
                <w:sz w:val="18"/>
                <w:szCs w:val="18"/>
              </w:rPr>
            </w:pPr>
            <w:r w:rsidRPr="008D03A7">
              <w:rPr>
                <w:rFonts w:eastAsia="Arial Unicode MS" w:cs="Tahoma"/>
                <w:sz w:val="18"/>
                <w:szCs w:val="18"/>
              </w:rPr>
              <w:t>8,85%</w:t>
            </w:r>
          </w:p>
        </w:tc>
      </w:tr>
    </w:tbl>
    <w:p w:rsidR="00F27AA6" w:rsidRDefault="00F27AA6" w:rsidP="00F26C33"/>
    <w:p w:rsidR="007F502D" w:rsidRDefault="00F27AA6" w:rsidP="00F26C33">
      <w:r>
        <w:br w:type="page"/>
      </w:r>
    </w:p>
    <w:tbl>
      <w:tblPr>
        <w:tblW w:w="9214" w:type="dxa"/>
        <w:jc w:val="center"/>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214"/>
      </w:tblGrid>
      <w:tr w:rsidR="00A26538" w:rsidTr="00407388">
        <w:trPr>
          <w:jc w:val="center"/>
        </w:trPr>
        <w:tc>
          <w:tcPr>
            <w:tcW w:w="9214" w:type="dxa"/>
          </w:tcPr>
          <w:p w:rsidR="00A26538" w:rsidRPr="00A26538" w:rsidRDefault="00A26538" w:rsidP="00964DE1">
            <w:pPr>
              <w:pStyle w:val="Titulek"/>
              <w:rPr>
                <w:rFonts w:ascii="Times New Roman" w:hAnsi="Times New Roman"/>
              </w:rPr>
            </w:pPr>
            <w:bookmarkStart w:id="356" w:name="_Toc316377740"/>
            <w:bookmarkStart w:id="357" w:name="_Toc390958857"/>
            <w:r w:rsidRPr="00B62EA3">
              <w:t xml:space="preserve">Obr. </w:t>
            </w:r>
            <w:r w:rsidR="00AC5CDF" w:rsidRPr="00B62EA3">
              <w:fldChar w:fldCharType="begin"/>
            </w:r>
            <w:r w:rsidRPr="00B62EA3">
              <w:instrText xml:space="preserve"> STYLEREF 1 \s </w:instrText>
            </w:r>
            <w:r w:rsidR="00AC5CDF" w:rsidRPr="00B62EA3">
              <w:fldChar w:fldCharType="separate"/>
            </w:r>
            <w:r w:rsidR="003843F3">
              <w:rPr>
                <w:noProof/>
              </w:rPr>
              <w:t>7</w:t>
            </w:r>
            <w:r w:rsidR="00AC5CDF" w:rsidRPr="00B62EA3">
              <w:fldChar w:fldCharType="end"/>
            </w:r>
            <w:r w:rsidRPr="00B62EA3">
              <w:noBreakHyphen/>
            </w:r>
            <w:r w:rsidR="00AC5CDF" w:rsidRPr="00B62EA3">
              <w:fldChar w:fldCharType="begin"/>
            </w:r>
            <w:r w:rsidRPr="00B62EA3">
              <w:instrText xml:space="preserve"> SEQ Obr. \* ARABIC \s 1 </w:instrText>
            </w:r>
            <w:r w:rsidR="00AC5CDF" w:rsidRPr="00B62EA3">
              <w:fldChar w:fldCharType="separate"/>
            </w:r>
            <w:r w:rsidR="003843F3">
              <w:rPr>
                <w:noProof/>
              </w:rPr>
              <w:t>1</w:t>
            </w:r>
            <w:r w:rsidR="00AC5CDF" w:rsidRPr="00B62EA3">
              <w:fldChar w:fldCharType="end"/>
            </w:r>
            <w:r w:rsidRPr="00B62EA3">
              <w:t>: Grafy závislosti ERR na zm</w:t>
            </w:r>
            <w:r w:rsidRPr="00B62EA3">
              <w:rPr>
                <w:rFonts w:hint="eastAsia"/>
              </w:rPr>
              <w:t>ě</w:t>
            </w:r>
            <w:r w:rsidRPr="00B62EA3">
              <w:t>nách kritických prom</w:t>
            </w:r>
            <w:r w:rsidRPr="00B62EA3">
              <w:rPr>
                <w:rFonts w:hint="eastAsia"/>
              </w:rPr>
              <w:t>ě</w:t>
            </w:r>
            <w:r w:rsidRPr="00B62EA3">
              <w:t>nných</w:t>
            </w:r>
            <w:bookmarkEnd w:id="356"/>
            <w:bookmarkEnd w:id="357"/>
          </w:p>
        </w:tc>
      </w:tr>
      <w:tr w:rsidR="00A26538" w:rsidTr="00407388">
        <w:trPr>
          <w:jc w:val="center"/>
        </w:trPr>
        <w:tc>
          <w:tcPr>
            <w:tcW w:w="9214" w:type="dxa"/>
          </w:tcPr>
          <w:p w:rsidR="00A26538" w:rsidRPr="00A26538" w:rsidRDefault="009839A1" w:rsidP="00A26538">
            <w:pPr>
              <w:spacing w:after="120"/>
              <w:rPr>
                <w:rFonts w:ascii="Times New Roman" w:hAnsi="Times New Roman"/>
              </w:rPr>
            </w:pPr>
            <w:r w:rsidRPr="00930685">
              <w:rPr>
                <w:rFonts w:ascii="Times New Roman" w:hAnsi="Times New Roman"/>
                <w:noProof/>
                <w:lang w:eastAsia="cs-CZ"/>
              </w:rPr>
              <w:drawing>
                <wp:inline distT="0" distB="0" distL="0" distR="0" wp14:anchorId="5B93B83E" wp14:editId="4D101311">
                  <wp:extent cx="4716000" cy="2480400"/>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716000" cy="2480400"/>
                          </a:xfrm>
                          <a:prstGeom prst="rect">
                            <a:avLst/>
                          </a:prstGeom>
                          <a:noFill/>
                        </pic:spPr>
                      </pic:pic>
                    </a:graphicData>
                  </a:graphic>
                </wp:inline>
              </w:drawing>
            </w:r>
          </w:p>
          <w:p w:rsidR="00A26538" w:rsidRDefault="00B62EA3" w:rsidP="00A26538">
            <w:pPr>
              <w:spacing w:after="120"/>
              <w:rPr>
                <w:rFonts w:ascii="Times New Roman" w:hAnsi="Times New Roman"/>
              </w:rPr>
            </w:pPr>
            <w:r w:rsidRPr="00F5279A">
              <w:rPr>
                <w:rFonts w:ascii="Times New Roman" w:hAnsi="Times New Roman"/>
                <w:noProof/>
                <w:lang w:eastAsia="cs-CZ"/>
              </w:rPr>
              <w:drawing>
                <wp:inline distT="0" distB="0" distL="0" distR="0" wp14:anchorId="7CB84645" wp14:editId="446CAFC4">
                  <wp:extent cx="4708800" cy="2476800"/>
                  <wp:effectExtent l="0" t="0" r="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708800" cy="2476800"/>
                          </a:xfrm>
                          <a:prstGeom prst="rect">
                            <a:avLst/>
                          </a:prstGeom>
                          <a:noFill/>
                          <a:ln>
                            <a:noFill/>
                          </a:ln>
                        </pic:spPr>
                      </pic:pic>
                    </a:graphicData>
                  </a:graphic>
                </wp:inline>
              </w:drawing>
            </w:r>
          </w:p>
          <w:p w:rsidR="00E55799" w:rsidRPr="00A26538" w:rsidRDefault="009839A1" w:rsidP="00A26538">
            <w:pPr>
              <w:spacing w:after="120"/>
              <w:rPr>
                <w:rFonts w:ascii="Times New Roman" w:hAnsi="Times New Roman"/>
              </w:rPr>
            </w:pPr>
            <w:r w:rsidRPr="00930685">
              <w:rPr>
                <w:rFonts w:ascii="Times New Roman" w:hAnsi="Times New Roman"/>
                <w:noProof/>
                <w:lang w:eastAsia="cs-CZ"/>
              </w:rPr>
              <w:drawing>
                <wp:inline distT="0" distB="0" distL="0" distR="0" wp14:anchorId="189FBEDC" wp14:editId="4369AA6E">
                  <wp:extent cx="4726800" cy="2487600"/>
                  <wp:effectExtent l="0" t="0" r="0" b="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726800" cy="2487600"/>
                          </a:xfrm>
                          <a:prstGeom prst="rect">
                            <a:avLst/>
                          </a:prstGeom>
                          <a:noFill/>
                        </pic:spPr>
                      </pic:pic>
                    </a:graphicData>
                  </a:graphic>
                </wp:inline>
              </w:drawing>
            </w:r>
          </w:p>
        </w:tc>
      </w:tr>
    </w:tbl>
    <w:p w:rsidR="00A26538" w:rsidRPr="00F26C33" w:rsidRDefault="00A26538" w:rsidP="00F26C33"/>
    <w:p w:rsidR="00C41A79" w:rsidRDefault="00C41A79" w:rsidP="000D62F1">
      <w:pPr>
        <w:pStyle w:val="Nadpis3"/>
        <w:ind w:hanging="8234"/>
      </w:pPr>
      <w:r>
        <w:t>Přepínací hodnota</w:t>
      </w:r>
    </w:p>
    <w:p w:rsidR="00C41A79" w:rsidRDefault="00FD4818" w:rsidP="00C41A79">
      <w:r w:rsidRPr="009A232B">
        <w:t xml:space="preserve">Pro </w:t>
      </w:r>
      <w:r>
        <w:t>vybrané významné</w:t>
      </w:r>
      <w:r w:rsidRPr="009A232B">
        <w:t xml:space="preserve"> kritické proměnné v ekonomické analýze byla určena tzv. přepínací hodnota. Je to hodnota změny kritické proměnné, při které jsou ekonomické ukazatele na hranici efektivnosti - vnitřní výnosové procento 5,5 % (výše diskontní sazby) a čistá současná hodnota stavby je nulová. Hodnota je vyjádřená mezní procentuální změnou kritické proměnné.</w:t>
      </w:r>
      <w:r>
        <w:t xml:space="preserve"> Přepínací hodnota byla stanovena pro ekonomickou </w:t>
      </w:r>
      <w:r w:rsidR="00544227">
        <w:t>analýzu</w:t>
      </w:r>
      <w:r>
        <w:t xml:space="preserve"> a proměnou „investiční náklady“</w:t>
      </w:r>
      <w:r w:rsidR="00544227">
        <w:t>,</w:t>
      </w:r>
      <w:r>
        <w:t xml:space="preserve"> „výkony </w:t>
      </w:r>
      <w:r w:rsidR="00544227">
        <w:t>osobní</w:t>
      </w:r>
      <w:r>
        <w:t xml:space="preserve"> dopravy“</w:t>
      </w:r>
      <w:r w:rsidR="00544227">
        <w:t xml:space="preserve"> a „provozní náklady infrastruktury“</w:t>
      </w:r>
      <w:r>
        <w:t>.</w:t>
      </w:r>
    </w:p>
    <w:tbl>
      <w:tblPr>
        <w:tblW w:w="9354" w:type="dxa"/>
        <w:jc w:val="center"/>
        <w:tblInd w:w="-13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6"/>
        <w:gridCol w:w="2202"/>
        <w:gridCol w:w="2203"/>
        <w:gridCol w:w="2203"/>
      </w:tblGrid>
      <w:tr w:rsidR="003A73AD" w:rsidTr="00531EF7">
        <w:trPr>
          <w:jc w:val="center"/>
        </w:trPr>
        <w:tc>
          <w:tcPr>
            <w:tcW w:w="9354" w:type="dxa"/>
            <w:gridSpan w:val="4"/>
            <w:tcBorders>
              <w:bottom w:val="single" w:sz="4" w:space="0" w:color="000000"/>
            </w:tcBorders>
          </w:tcPr>
          <w:p w:rsidR="003A73AD" w:rsidRPr="003A73AD" w:rsidRDefault="003A73AD" w:rsidP="00531EF7">
            <w:pPr>
              <w:pStyle w:val="Titulek"/>
              <w:rPr>
                <w:rFonts w:eastAsia="Arial Unicode MS"/>
                <w:color w:val="FF0000"/>
              </w:rPr>
            </w:pPr>
            <w:bookmarkStart w:id="358" w:name="_Toc316377699"/>
            <w:bookmarkStart w:id="359" w:name="_Toc390958802"/>
            <w:bookmarkStart w:id="360" w:name="_Toc391034606"/>
            <w:r w:rsidRPr="003A73AD">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26</w:t>
            </w:r>
            <w:r w:rsidR="000E79AE">
              <w:fldChar w:fldCharType="end"/>
            </w:r>
            <w:r w:rsidRPr="003A73AD">
              <w:t>: Přepínací hodnota kritických proměnných (ekonomická analýza)</w:t>
            </w:r>
            <w:bookmarkEnd w:id="358"/>
            <w:bookmarkEnd w:id="359"/>
            <w:bookmarkEnd w:id="360"/>
          </w:p>
        </w:tc>
      </w:tr>
      <w:tr w:rsidR="00531EF7" w:rsidTr="00531EF7">
        <w:trPr>
          <w:jc w:val="center"/>
        </w:trPr>
        <w:tc>
          <w:tcPr>
            <w:tcW w:w="2746" w:type="dxa"/>
            <w:tcBorders>
              <w:bottom w:val="single" w:sz="12" w:space="0" w:color="auto"/>
            </w:tcBorders>
            <w:shd w:val="pct12" w:color="auto" w:fill="auto"/>
          </w:tcPr>
          <w:p w:rsidR="00531EF7" w:rsidRPr="00531EF7" w:rsidRDefault="00531EF7" w:rsidP="00531EF7">
            <w:pPr>
              <w:spacing w:before="40" w:after="40"/>
              <w:rPr>
                <w:rFonts w:eastAsia="Arial Unicode MS"/>
                <w:b/>
                <w:sz w:val="18"/>
              </w:rPr>
            </w:pPr>
            <w:r>
              <w:rPr>
                <w:rFonts w:eastAsia="Arial Unicode MS"/>
                <w:b/>
                <w:sz w:val="18"/>
              </w:rPr>
              <w:t>P</w:t>
            </w:r>
            <w:r w:rsidRPr="00531EF7">
              <w:rPr>
                <w:rFonts w:eastAsia="Arial Unicode MS"/>
                <w:b/>
                <w:sz w:val="18"/>
              </w:rPr>
              <w:t>roměnná</w:t>
            </w:r>
          </w:p>
        </w:tc>
        <w:tc>
          <w:tcPr>
            <w:tcW w:w="2202" w:type="dxa"/>
            <w:tcBorders>
              <w:bottom w:val="single" w:sz="12" w:space="0" w:color="auto"/>
            </w:tcBorders>
            <w:shd w:val="pct12" w:color="auto" w:fill="auto"/>
            <w:vAlign w:val="center"/>
          </w:tcPr>
          <w:p w:rsidR="00531EF7" w:rsidRPr="00531EF7" w:rsidRDefault="00531EF7" w:rsidP="00531EF7">
            <w:pPr>
              <w:spacing w:before="40" w:after="40"/>
              <w:jc w:val="center"/>
              <w:rPr>
                <w:rFonts w:eastAsia="Arial Unicode MS"/>
                <w:b/>
                <w:sz w:val="18"/>
              </w:rPr>
            </w:pPr>
            <w:r w:rsidRPr="00531EF7">
              <w:rPr>
                <w:rFonts w:eastAsia="Arial Unicode MS"/>
                <w:b/>
                <w:sz w:val="18"/>
              </w:rPr>
              <w:t>varianta Minimální</w:t>
            </w:r>
          </w:p>
        </w:tc>
        <w:tc>
          <w:tcPr>
            <w:tcW w:w="2203" w:type="dxa"/>
            <w:tcBorders>
              <w:bottom w:val="single" w:sz="12" w:space="0" w:color="auto"/>
            </w:tcBorders>
            <w:shd w:val="pct12" w:color="auto" w:fill="auto"/>
            <w:vAlign w:val="center"/>
          </w:tcPr>
          <w:p w:rsidR="00531EF7" w:rsidRPr="00531EF7" w:rsidRDefault="00531EF7" w:rsidP="00531EF7">
            <w:pPr>
              <w:spacing w:before="40" w:after="40"/>
              <w:jc w:val="center"/>
              <w:rPr>
                <w:rFonts w:eastAsia="Arial Unicode MS"/>
                <w:b/>
                <w:sz w:val="18"/>
              </w:rPr>
            </w:pPr>
            <w:r w:rsidRPr="00531EF7">
              <w:rPr>
                <w:rFonts w:eastAsia="Arial Unicode MS"/>
                <w:b/>
                <w:sz w:val="18"/>
              </w:rPr>
              <w:t>Etapa</w:t>
            </w:r>
          </w:p>
        </w:tc>
        <w:tc>
          <w:tcPr>
            <w:tcW w:w="2203" w:type="dxa"/>
            <w:tcBorders>
              <w:bottom w:val="single" w:sz="12" w:space="0" w:color="auto"/>
            </w:tcBorders>
            <w:shd w:val="pct12" w:color="auto" w:fill="auto"/>
            <w:vAlign w:val="center"/>
          </w:tcPr>
          <w:p w:rsidR="00531EF7" w:rsidRPr="00531EF7" w:rsidRDefault="00531EF7" w:rsidP="00531EF7">
            <w:pPr>
              <w:spacing w:before="40" w:after="40"/>
              <w:jc w:val="center"/>
              <w:rPr>
                <w:rFonts w:eastAsia="Arial Unicode MS"/>
                <w:b/>
                <w:sz w:val="18"/>
              </w:rPr>
            </w:pPr>
            <w:r w:rsidRPr="00531EF7">
              <w:rPr>
                <w:rFonts w:eastAsia="Arial Unicode MS"/>
                <w:b/>
                <w:sz w:val="18"/>
              </w:rPr>
              <w:t>varianta Maximální</w:t>
            </w:r>
          </w:p>
        </w:tc>
      </w:tr>
      <w:tr w:rsidR="00531EF7" w:rsidTr="00531EF7">
        <w:trPr>
          <w:trHeight w:val="380"/>
          <w:jc w:val="center"/>
        </w:trPr>
        <w:tc>
          <w:tcPr>
            <w:tcW w:w="2746" w:type="dxa"/>
            <w:tcBorders>
              <w:top w:val="single" w:sz="12" w:space="0" w:color="auto"/>
            </w:tcBorders>
            <w:shd w:val="pct12" w:color="auto" w:fill="auto"/>
          </w:tcPr>
          <w:p w:rsidR="00531EF7" w:rsidRPr="00531EF7" w:rsidRDefault="00531EF7" w:rsidP="00531EF7">
            <w:pPr>
              <w:spacing w:before="40" w:after="40"/>
              <w:rPr>
                <w:rFonts w:eastAsia="Arial Unicode MS"/>
                <w:sz w:val="18"/>
              </w:rPr>
            </w:pPr>
            <w:r w:rsidRPr="00531EF7">
              <w:rPr>
                <w:rFonts w:eastAsia="Arial Unicode MS"/>
                <w:sz w:val="18"/>
              </w:rPr>
              <w:t>IN</w:t>
            </w:r>
          </w:p>
        </w:tc>
        <w:tc>
          <w:tcPr>
            <w:tcW w:w="2202" w:type="dxa"/>
            <w:tcBorders>
              <w:top w:val="single" w:sz="12" w:space="0" w:color="auto"/>
            </w:tcBorders>
            <w:vAlign w:val="center"/>
          </w:tcPr>
          <w:p w:rsidR="00531EF7" w:rsidRPr="00531EF7" w:rsidRDefault="00531EF7" w:rsidP="00531EF7">
            <w:pPr>
              <w:spacing w:before="40" w:after="40"/>
              <w:ind w:right="728"/>
              <w:jc w:val="right"/>
              <w:rPr>
                <w:rFonts w:eastAsia="Arial Unicode MS"/>
                <w:sz w:val="18"/>
              </w:rPr>
            </w:pPr>
            <w:r w:rsidRPr="00531EF7">
              <w:rPr>
                <w:rFonts w:eastAsia="Arial Unicode MS"/>
                <w:sz w:val="18"/>
              </w:rPr>
              <w:t>-12,74%</w:t>
            </w:r>
          </w:p>
        </w:tc>
        <w:tc>
          <w:tcPr>
            <w:tcW w:w="2203" w:type="dxa"/>
            <w:tcBorders>
              <w:top w:val="single" w:sz="12" w:space="0" w:color="auto"/>
            </w:tcBorders>
            <w:vAlign w:val="center"/>
          </w:tcPr>
          <w:p w:rsidR="00531EF7" w:rsidRPr="00531EF7" w:rsidRDefault="00531EF7" w:rsidP="00531EF7">
            <w:pPr>
              <w:spacing w:before="40" w:after="40"/>
              <w:ind w:right="728"/>
              <w:jc w:val="right"/>
              <w:rPr>
                <w:rFonts w:eastAsia="Arial Unicode MS"/>
                <w:bCs/>
                <w:kern w:val="28"/>
                <w:sz w:val="18"/>
              </w:rPr>
            </w:pPr>
            <w:r w:rsidRPr="00531EF7">
              <w:rPr>
                <w:rFonts w:eastAsia="Arial Unicode MS"/>
                <w:sz w:val="18"/>
              </w:rPr>
              <w:t>+ 132,82%</w:t>
            </w:r>
          </w:p>
        </w:tc>
        <w:tc>
          <w:tcPr>
            <w:tcW w:w="2203" w:type="dxa"/>
            <w:tcBorders>
              <w:top w:val="single" w:sz="12" w:space="0" w:color="auto"/>
            </w:tcBorders>
            <w:vAlign w:val="center"/>
          </w:tcPr>
          <w:p w:rsidR="00531EF7" w:rsidRPr="00531EF7" w:rsidRDefault="00531EF7" w:rsidP="00531EF7">
            <w:pPr>
              <w:spacing w:before="40" w:after="40"/>
              <w:ind w:right="728"/>
              <w:jc w:val="right"/>
              <w:rPr>
                <w:rFonts w:eastAsia="Arial Unicode MS"/>
                <w:sz w:val="18"/>
              </w:rPr>
            </w:pPr>
            <w:r w:rsidRPr="00531EF7">
              <w:rPr>
                <w:rFonts w:eastAsia="Arial Unicode MS"/>
                <w:sz w:val="18"/>
              </w:rPr>
              <w:t>+ 15,62%</w:t>
            </w:r>
          </w:p>
        </w:tc>
      </w:tr>
      <w:tr w:rsidR="00531EF7" w:rsidTr="00531EF7">
        <w:trPr>
          <w:jc w:val="center"/>
        </w:trPr>
        <w:tc>
          <w:tcPr>
            <w:tcW w:w="2746" w:type="dxa"/>
            <w:shd w:val="pct12" w:color="auto" w:fill="auto"/>
          </w:tcPr>
          <w:p w:rsidR="00531EF7" w:rsidRPr="00531EF7" w:rsidRDefault="00531EF7" w:rsidP="00531EF7">
            <w:pPr>
              <w:spacing w:before="40" w:after="40"/>
              <w:rPr>
                <w:rFonts w:eastAsia="Arial Unicode MS"/>
                <w:sz w:val="18"/>
              </w:rPr>
            </w:pPr>
            <w:r w:rsidRPr="00531EF7">
              <w:rPr>
                <w:rFonts w:eastAsia="Arial Unicode MS"/>
                <w:sz w:val="18"/>
              </w:rPr>
              <w:t>PN infrastruktura</w:t>
            </w:r>
          </w:p>
        </w:tc>
        <w:tc>
          <w:tcPr>
            <w:tcW w:w="2202" w:type="dxa"/>
            <w:vAlign w:val="center"/>
          </w:tcPr>
          <w:p w:rsidR="00531EF7" w:rsidRPr="00531EF7" w:rsidRDefault="00531EF7" w:rsidP="00531EF7">
            <w:pPr>
              <w:spacing w:before="40" w:after="40"/>
              <w:ind w:right="728"/>
              <w:jc w:val="right"/>
              <w:rPr>
                <w:rFonts w:eastAsia="Arial Unicode MS"/>
                <w:sz w:val="18"/>
              </w:rPr>
            </w:pPr>
            <w:r w:rsidRPr="00531EF7">
              <w:rPr>
                <w:rFonts w:eastAsia="Arial Unicode MS"/>
                <w:sz w:val="18"/>
              </w:rPr>
              <w:t>17,14%</w:t>
            </w:r>
          </w:p>
        </w:tc>
        <w:tc>
          <w:tcPr>
            <w:tcW w:w="2203" w:type="dxa"/>
            <w:vAlign w:val="center"/>
          </w:tcPr>
          <w:p w:rsidR="00531EF7" w:rsidRPr="00531EF7" w:rsidRDefault="00531EF7" w:rsidP="00531EF7">
            <w:pPr>
              <w:spacing w:before="40" w:after="40"/>
              <w:ind w:right="728"/>
              <w:jc w:val="right"/>
              <w:rPr>
                <w:rFonts w:eastAsia="Arial Unicode MS"/>
                <w:sz w:val="18"/>
              </w:rPr>
            </w:pPr>
            <w:r w:rsidRPr="00531EF7">
              <w:rPr>
                <w:rFonts w:eastAsia="Arial Unicode MS"/>
                <w:sz w:val="18"/>
              </w:rPr>
              <w:t>-</w:t>
            </w:r>
          </w:p>
        </w:tc>
        <w:tc>
          <w:tcPr>
            <w:tcW w:w="2203" w:type="dxa"/>
            <w:vAlign w:val="center"/>
          </w:tcPr>
          <w:p w:rsidR="00531EF7" w:rsidRPr="00531EF7" w:rsidRDefault="00531EF7" w:rsidP="00531EF7">
            <w:pPr>
              <w:spacing w:before="40" w:after="40"/>
              <w:ind w:right="728"/>
              <w:jc w:val="right"/>
              <w:rPr>
                <w:rFonts w:eastAsia="Arial Unicode MS"/>
                <w:sz w:val="18"/>
              </w:rPr>
            </w:pPr>
            <w:r w:rsidRPr="00531EF7">
              <w:rPr>
                <w:rFonts w:eastAsia="Arial Unicode MS"/>
                <w:sz w:val="18"/>
              </w:rPr>
              <w:t>- 48,55%</w:t>
            </w:r>
          </w:p>
        </w:tc>
      </w:tr>
      <w:tr w:rsidR="00531EF7" w:rsidTr="00531EF7">
        <w:trPr>
          <w:jc w:val="center"/>
        </w:trPr>
        <w:tc>
          <w:tcPr>
            <w:tcW w:w="2746" w:type="dxa"/>
            <w:shd w:val="pct12" w:color="auto" w:fill="auto"/>
          </w:tcPr>
          <w:p w:rsidR="00531EF7" w:rsidRPr="00531EF7" w:rsidRDefault="00531EF7" w:rsidP="00531EF7">
            <w:pPr>
              <w:spacing w:before="40" w:after="40"/>
              <w:rPr>
                <w:rFonts w:eastAsia="Arial Unicode MS"/>
                <w:sz w:val="18"/>
              </w:rPr>
            </w:pPr>
            <w:r w:rsidRPr="00531EF7">
              <w:rPr>
                <w:rFonts w:eastAsia="Arial Unicode MS"/>
                <w:sz w:val="18"/>
              </w:rPr>
              <w:t>PN řízení</w:t>
            </w:r>
          </w:p>
        </w:tc>
        <w:tc>
          <w:tcPr>
            <w:tcW w:w="2202" w:type="dxa"/>
            <w:vAlign w:val="center"/>
          </w:tcPr>
          <w:p w:rsidR="00531EF7" w:rsidRPr="00531EF7" w:rsidRDefault="00531EF7" w:rsidP="00531EF7">
            <w:pPr>
              <w:spacing w:before="40" w:after="40"/>
              <w:ind w:right="728"/>
              <w:jc w:val="right"/>
              <w:rPr>
                <w:rFonts w:eastAsia="Arial Unicode MS"/>
                <w:sz w:val="18"/>
              </w:rPr>
            </w:pPr>
            <w:r w:rsidRPr="00531EF7">
              <w:rPr>
                <w:rFonts w:eastAsia="Arial Unicode MS"/>
                <w:sz w:val="18"/>
              </w:rPr>
              <w:t>98,52%</w:t>
            </w:r>
          </w:p>
        </w:tc>
        <w:tc>
          <w:tcPr>
            <w:tcW w:w="2203" w:type="dxa"/>
            <w:vAlign w:val="center"/>
          </w:tcPr>
          <w:p w:rsidR="00531EF7" w:rsidRPr="00531EF7" w:rsidRDefault="00531EF7" w:rsidP="00531EF7">
            <w:pPr>
              <w:spacing w:before="40" w:after="40"/>
              <w:ind w:right="728"/>
              <w:jc w:val="right"/>
              <w:rPr>
                <w:rFonts w:eastAsia="Arial Unicode MS"/>
                <w:sz w:val="18"/>
              </w:rPr>
            </w:pPr>
            <w:r w:rsidRPr="00531EF7">
              <w:rPr>
                <w:rFonts w:eastAsia="Arial Unicode MS"/>
                <w:sz w:val="18"/>
              </w:rPr>
              <w:t>-</w:t>
            </w:r>
          </w:p>
        </w:tc>
        <w:tc>
          <w:tcPr>
            <w:tcW w:w="2203" w:type="dxa"/>
            <w:vAlign w:val="center"/>
          </w:tcPr>
          <w:p w:rsidR="00531EF7" w:rsidRPr="00531EF7" w:rsidRDefault="00531EF7" w:rsidP="00531EF7">
            <w:pPr>
              <w:spacing w:before="40" w:after="40"/>
              <w:ind w:right="728"/>
              <w:jc w:val="right"/>
              <w:rPr>
                <w:rFonts w:eastAsia="Arial Unicode MS"/>
                <w:sz w:val="18"/>
              </w:rPr>
            </w:pPr>
            <w:r w:rsidRPr="00531EF7">
              <w:rPr>
                <w:rFonts w:eastAsia="Arial Unicode MS"/>
                <w:sz w:val="18"/>
              </w:rPr>
              <w:t>-</w:t>
            </w:r>
          </w:p>
        </w:tc>
      </w:tr>
      <w:tr w:rsidR="00531EF7" w:rsidTr="00531EF7">
        <w:trPr>
          <w:jc w:val="center"/>
        </w:trPr>
        <w:tc>
          <w:tcPr>
            <w:tcW w:w="2746" w:type="dxa"/>
            <w:shd w:val="pct12" w:color="auto" w:fill="auto"/>
          </w:tcPr>
          <w:p w:rsidR="00531EF7" w:rsidRPr="00531EF7" w:rsidRDefault="00531EF7" w:rsidP="00531EF7">
            <w:pPr>
              <w:spacing w:before="40" w:after="40"/>
              <w:rPr>
                <w:rFonts w:eastAsia="Arial Unicode MS"/>
                <w:sz w:val="18"/>
              </w:rPr>
            </w:pPr>
            <w:r w:rsidRPr="00531EF7">
              <w:rPr>
                <w:rFonts w:eastAsia="Arial Unicode MS"/>
                <w:sz w:val="18"/>
              </w:rPr>
              <w:t>Výkony Os</w:t>
            </w:r>
          </w:p>
        </w:tc>
        <w:tc>
          <w:tcPr>
            <w:tcW w:w="2202" w:type="dxa"/>
            <w:vAlign w:val="center"/>
          </w:tcPr>
          <w:p w:rsidR="00531EF7" w:rsidRPr="00531EF7" w:rsidRDefault="00531EF7" w:rsidP="00531EF7">
            <w:pPr>
              <w:spacing w:before="40" w:after="40"/>
              <w:ind w:right="728"/>
              <w:jc w:val="right"/>
              <w:rPr>
                <w:rFonts w:eastAsia="Arial Unicode MS"/>
                <w:sz w:val="18"/>
              </w:rPr>
            </w:pPr>
            <w:r w:rsidRPr="00531EF7">
              <w:rPr>
                <w:rFonts w:eastAsia="Arial Unicode MS"/>
                <w:sz w:val="18"/>
              </w:rPr>
              <w:t>-</w:t>
            </w:r>
          </w:p>
        </w:tc>
        <w:tc>
          <w:tcPr>
            <w:tcW w:w="2203" w:type="dxa"/>
            <w:vAlign w:val="center"/>
          </w:tcPr>
          <w:p w:rsidR="00531EF7" w:rsidRPr="00531EF7" w:rsidRDefault="00531EF7" w:rsidP="00531EF7">
            <w:pPr>
              <w:spacing w:before="40" w:after="40"/>
              <w:ind w:right="728"/>
              <w:jc w:val="right"/>
              <w:rPr>
                <w:rFonts w:eastAsia="Arial Unicode MS"/>
                <w:bCs/>
                <w:kern w:val="28"/>
                <w:sz w:val="18"/>
              </w:rPr>
            </w:pPr>
            <w:r w:rsidRPr="00531EF7">
              <w:rPr>
                <w:rFonts w:eastAsia="Arial Unicode MS"/>
                <w:sz w:val="18"/>
              </w:rPr>
              <w:t>- 68,87%</w:t>
            </w:r>
          </w:p>
        </w:tc>
        <w:tc>
          <w:tcPr>
            <w:tcW w:w="2203" w:type="dxa"/>
            <w:vAlign w:val="center"/>
          </w:tcPr>
          <w:p w:rsidR="00531EF7" w:rsidRPr="00531EF7" w:rsidRDefault="00531EF7" w:rsidP="00531EF7">
            <w:pPr>
              <w:spacing w:before="40" w:after="40"/>
              <w:ind w:right="728"/>
              <w:jc w:val="right"/>
              <w:rPr>
                <w:rFonts w:eastAsia="Arial Unicode MS"/>
                <w:bCs/>
                <w:kern w:val="28"/>
                <w:sz w:val="18"/>
              </w:rPr>
            </w:pPr>
            <w:r w:rsidRPr="00531EF7">
              <w:rPr>
                <w:rFonts w:eastAsia="Arial Unicode MS"/>
                <w:sz w:val="18"/>
              </w:rPr>
              <w:t>- 21,01%</w:t>
            </w:r>
          </w:p>
        </w:tc>
      </w:tr>
    </w:tbl>
    <w:p w:rsidR="003A73AD" w:rsidRDefault="003A73AD" w:rsidP="00C41A79"/>
    <w:p w:rsidR="00F212DA" w:rsidRDefault="00F212DA" w:rsidP="00F212DA">
      <w:r w:rsidRPr="00940434">
        <w:t xml:space="preserve">Z analýzy přepínací hodnoty vyplývá, že základní </w:t>
      </w:r>
      <w:r w:rsidRPr="00B62EA3">
        <w:t xml:space="preserve">výsledky </w:t>
      </w:r>
      <w:r w:rsidR="00B62EA3" w:rsidRPr="00B62EA3">
        <w:t xml:space="preserve">projektových </w:t>
      </w:r>
      <w:r w:rsidRPr="00B62EA3">
        <w:t>variant vyjma v</w:t>
      </w:r>
      <w:r>
        <w:t xml:space="preserve">arianty </w:t>
      </w:r>
      <w:r w:rsidR="00FC1A4E">
        <w:t xml:space="preserve">Minimální </w:t>
      </w:r>
      <w:r>
        <w:t>nabývají kladných hodnot</w:t>
      </w:r>
      <w:r w:rsidR="00CA0564">
        <w:t xml:space="preserve"> a </w:t>
      </w:r>
      <w:r>
        <w:t>ztráta ekonomické efektivity projektu změnou některé vstupní kritické veličiny je velmi nepravděpodobná</w:t>
      </w:r>
      <w:r w:rsidR="00CA0564">
        <w:t>.</w:t>
      </w:r>
      <w:r>
        <w:t xml:space="preserve"> V případě varianty Minimální jsou základní výsledky ekonomické analýzy tak</w:t>
      </w:r>
      <w:r w:rsidR="009206FF">
        <w:t>ové</w:t>
      </w:r>
      <w:r>
        <w:t xml:space="preserve">, že dosažení hranice efektivity je </w:t>
      </w:r>
      <w:r w:rsidR="009206FF">
        <w:t xml:space="preserve">málo </w:t>
      </w:r>
      <w:r w:rsidR="00CA0564">
        <w:t>pravděpodobné</w:t>
      </w:r>
      <w:r>
        <w:t xml:space="preserve">. </w:t>
      </w:r>
    </w:p>
    <w:p w:rsidR="00CA0564" w:rsidRPr="00B62EA3" w:rsidRDefault="00F212DA" w:rsidP="00F212DA">
      <w:r>
        <w:t>Zkušenosti zpracovatelů ekonomického hodnocení</w:t>
      </w:r>
      <w:r w:rsidRPr="00940434">
        <w:t>,</w:t>
      </w:r>
      <w:r>
        <w:t xml:space="preserve"> ukazují, že s</w:t>
      </w:r>
      <w:r w:rsidRPr="00940434">
        <w:t xml:space="preserve">e </w:t>
      </w:r>
      <w:r>
        <w:t xml:space="preserve">výsledný pravděpodobný </w:t>
      </w:r>
      <w:r w:rsidRPr="00940434">
        <w:t>ukazatel FRR</w:t>
      </w:r>
      <w:r>
        <w:rPr>
          <w:vertAlign w:val="subscript"/>
        </w:rPr>
        <w:t>p</w:t>
      </w:r>
      <w:r w:rsidRPr="00940434">
        <w:t xml:space="preserve"> (resp. ERR</w:t>
      </w:r>
      <w:r>
        <w:rPr>
          <w:vertAlign w:val="subscript"/>
        </w:rPr>
        <w:t>p</w:t>
      </w:r>
      <w:r w:rsidRPr="00940434">
        <w:t xml:space="preserve">) po provedení rizikové analýzy obvykle </w:t>
      </w:r>
      <w:r>
        <w:t>pohybuje v rozsahu</w:t>
      </w:r>
      <w:r w:rsidRPr="00940434">
        <w:t xml:space="preserve"> hodnot 2-2,5 % směrem k minimální </w:t>
      </w:r>
      <w:r>
        <w:t>nebo</w:t>
      </w:r>
      <w:r w:rsidRPr="00940434">
        <w:t xml:space="preserve"> maximální simulované hodnotě</w:t>
      </w:r>
      <w:r>
        <w:t xml:space="preserve"> při běžných předpokládaných odchylkách vstupních veličin</w:t>
      </w:r>
      <w:r w:rsidRPr="00940434">
        <w:t xml:space="preserve">. Vzhledem k odchylce základních vypočtených ukazatelů ekonomické efektivity </w:t>
      </w:r>
      <w:r w:rsidR="00CA0564">
        <w:t xml:space="preserve">všech </w:t>
      </w:r>
      <w:r>
        <w:t xml:space="preserve">variant </w:t>
      </w:r>
      <w:r w:rsidRPr="00940434">
        <w:t xml:space="preserve">tedy </w:t>
      </w:r>
      <w:r w:rsidRPr="00B62EA3">
        <w:rPr>
          <w:b/>
        </w:rPr>
        <w:t xml:space="preserve">vypracování klasické </w:t>
      </w:r>
      <w:r w:rsidR="00CA0564" w:rsidRPr="00B62EA3">
        <w:rPr>
          <w:b/>
        </w:rPr>
        <w:t xml:space="preserve">kvantitativní </w:t>
      </w:r>
      <w:r w:rsidRPr="00B62EA3">
        <w:rPr>
          <w:b/>
        </w:rPr>
        <w:t>rizikové analýzy pro tyto varianty nemá smysl</w:t>
      </w:r>
      <w:r w:rsidRPr="00B62EA3">
        <w:t xml:space="preserve">. </w:t>
      </w:r>
    </w:p>
    <w:p w:rsidR="00F212DA" w:rsidRPr="00C41A79" w:rsidRDefault="00CA0564" w:rsidP="00F212DA">
      <w:r w:rsidRPr="00B62EA3">
        <w:t>V p</w:t>
      </w:r>
      <w:r w:rsidRPr="00AF2377">
        <w:rPr>
          <w:rFonts w:hint="eastAsia"/>
        </w:rPr>
        <w:t>ů</w:t>
      </w:r>
      <w:r w:rsidRPr="00495E2A">
        <w:t>vodní verzi studie proveditelnosti, která je touto aktualizována byla vzhledem k horším výsledk</w:t>
      </w:r>
      <w:r w:rsidRPr="00495E2A">
        <w:rPr>
          <w:rFonts w:hint="eastAsia"/>
        </w:rPr>
        <w:t>ů</w:t>
      </w:r>
      <w:r w:rsidRPr="00495E2A">
        <w:t xml:space="preserve">m varianty </w:t>
      </w:r>
      <w:r w:rsidRPr="00B62EA3">
        <w:t>Maximální</w:t>
      </w:r>
      <w:r w:rsidR="00B700CA" w:rsidRPr="00B62EA3">
        <w:t xml:space="preserve"> pro </w:t>
      </w:r>
      <w:r w:rsidR="009E270E" w:rsidRPr="00B62EA3">
        <w:t xml:space="preserve">tuto variantu </w:t>
      </w:r>
      <w:r w:rsidR="00B700CA" w:rsidRPr="00B62EA3">
        <w:t xml:space="preserve">provedena kvantitativní riziková analýza, která predikovala možné </w:t>
      </w:r>
      <w:r w:rsidR="00B700CA" w:rsidRPr="00B62EA3">
        <w:rPr>
          <w:b/>
        </w:rPr>
        <w:t>zhoršení p</w:t>
      </w:r>
      <w:r w:rsidR="00B700CA" w:rsidRPr="00B62EA3">
        <w:rPr>
          <w:rFonts w:hint="eastAsia"/>
          <w:b/>
        </w:rPr>
        <w:t>ů</w:t>
      </w:r>
      <w:r w:rsidR="00B700CA" w:rsidRPr="00B62EA3">
        <w:rPr>
          <w:b/>
        </w:rPr>
        <w:t>vodních p</w:t>
      </w:r>
      <w:r w:rsidR="00B700CA" w:rsidRPr="00B62EA3">
        <w:rPr>
          <w:rFonts w:hint="eastAsia"/>
          <w:b/>
        </w:rPr>
        <w:t>ř</w:t>
      </w:r>
      <w:r w:rsidR="00B700CA" w:rsidRPr="00B62EA3">
        <w:rPr>
          <w:b/>
        </w:rPr>
        <w:t>edpokládaných výsledk</w:t>
      </w:r>
      <w:r w:rsidR="00B700CA" w:rsidRPr="00B62EA3">
        <w:rPr>
          <w:rFonts w:hint="eastAsia"/>
          <w:b/>
        </w:rPr>
        <w:t>ů</w:t>
      </w:r>
      <w:r w:rsidR="00B700CA" w:rsidRPr="00B62EA3">
        <w:rPr>
          <w:b/>
        </w:rPr>
        <w:t xml:space="preserve"> o cca dv</w:t>
      </w:r>
      <w:r w:rsidR="00B700CA" w:rsidRPr="00B62EA3">
        <w:rPr>
          <w:rFonts w:hint="eastAsia"/>
          <w:b/>
        </w:rPr>
        <w:t>ě</w:t>
      </w:r>
      <w:r w:rsidR="00B700CA" w:rsidRPr="00B62EA3">
        <w:rPr>
          <w:b/>
        </w:rPr>
        <w:t xml:space="preserve"> desetiny hodnoty ERR</w:t>
      </w:r>
      <w:r w:rsidR="00F212DA" w:rsidRPr="00B62EA3">
        <w:t>.</w:t>
      </w:r>
      <w:r w:rsidR="00B700CA" w:rsidRPr="00B62EA3">
        <w:t xml:space="preserve"> Vzhledem k použitým předpokladům pro rizikovou analýzu, které jsou shodné i v současnosti lze předpokládat obdobný výsledek i v případě revidovaných výsledků a proto je zřejmé, že efektivita žádné z variant (vyjma Minimální) ohrožena není.</w:t>
      </w:r>
    </w:p>
    <w:p w:rsidR="00280D27" w:rsidRDefault="00280D27" w:rsidP="00F67BD9"/>
    <w:p w:rsidR="00B700CA" w:rsidRDefault="00B700CA" w:rsidP="00092F1A">
      <w:pPr>
        <w:rPr>
          <w:rFonts w:cs="Arial"/>
          <w:sz w:val="28"/>
          <w:szCs w:val="28"/>
        </w:rPr>
      </w:pPr>
      <w:bookmarkStart w:id="361" w:name="_Toc316123769"/>
      <w:bookmarkStart w:id="362" w:name="_Toc316377644"/>
      <w:r>
        <w:br w:type="page"/>
      </w:r>
    </w:p>
    <w:p w:rsidR="00F67BD9" w:rsidRDefault="00F67BD9" w:rsidP="00F67BD9">
      <w:pPr>
        <w:pStyle w:val="Nadpis2"/>
        <w:tabs>
          <w:tab w:val="clear" w:pos="576"/>
          <w:tab w:val="num" w:pos="567"/>
        </w:tabs>
        <w:ind w:left="426" w:hanging="426"/>
      </w:pPr>
      <w:bookmarkStart w:id="363" w:name="_Toc390958724"/>
      <w:r>
        <w:t>Závěr</w:t>
      </w:r>
      <w:bookmarkEnd w:id="361"/>
      <w:bookmarkEnd w:id="362"/>
      <w:r>
        <w:t xml:space="preserve"> ekonomického hodnocení</w:t>
      </w:r>
      <w:bookmarkEnd w:id="363"/>
    </w:p>
    <w:p w:rsidR="00213192" w:rsidRDefault="00213192" w:rsidP="00213192">
      <w:r>
        <w:t>Ekonomické hodnocení je zpracováno pomocí nákladovo-výnosové analýzy (Cost Benefit Analysis – CBA). CBA byla provedena v souladu s materiálem „Aktualizace metodiky pro výpočet efektivnosti investic na SŽDC“, MD 2009.</w:t>
      </w:r>
    </w:p>
    <w:p w:rsidR="00213192" w:rsidRDefault="00213192" w:rsidP="00213192">
      <w:r>
        <w:t xml:space="preserve">Ve finanční analýze jsou výpočty založeny na analýze diferenčních nákladových a výnosových finančních toků provozovatele dopravní infrastruktury v době hodnocení projektu. </w:t>
      </w:r>
    </w:p>
    <w:p w:rsidR="00213192" w:rsidRDefault="00213192" w:rsidP="00213192">
      <w:r>
        <w:t>Výstupy ekonomické analýzy jsou shodné jako u analýzy finanční. Rozdílný je však úhel pohledu na celý projekt. Navíc zde totiž přistupují další finanční toky, které jsou relevantní z hlediska celé společnosti. V ekonomické analýze jsou tedy hodnoceny navíc finanční toky uživatelů dopravy a celospolečenské účinky.</w:t>
      </w:r>
    </w:p>
    <w:p w:rsidR="00213192" w:rsidRDefault="00213192" w:rsidP="00213192">
      <w:r>
        <w:t>Z diferenčních finančních toků je vypracována tabulka cash-flow a z ní odvozeno vnitřní výnosové procento (FRR / ERR), čistá současná hodnota (FNPV / ENPV) a poměr přínosů a nákladů (B/C Ratio).</w:t>
      </w:r>
    </w:p>
    <w:p w:rsidR="00213192" w:rsidRDefault="00213192" w:rsidP="00213192">
      <w:r>
        <w:t>Hodnocení bylo provedeno pro úsek Hradec Králové – Pardubice</w:t>
      </w:r>
      <w:r w:rsidRPr="00B62EA3">
        <w:t xml:space="preserve">. Byly hodnoceny </w:t>
      </w:r>
      <w:r w:rsidR="00B62EA3" w:rsidRPr="00B62EA3">
        <w:t xml:space="preserve">dvě </w:t>
      </w:r>
      <w:r w:rsidRPr="00B62EA3">
        <w:t>projektové varianty</w:t>
      </w:r>
      <w:r w:rsidR="00B62EA3" w:rsidRPr="00B62EA3">
        <w:t xml:space="preserve"> (a jedna Etapa)</w:t>
      </w:r>
      <w:r w:rsidRPr="00B62EA3">
        <w:t xml:space="preserve"> vycházející z rozdílného technického řešení</w:t>
      </w:r>
      <w:r>
        <w:t xml:space="preserve"> jednotlivých dílčích úseků, resp. jejich kombinací.</w:t>
      </w:r>
    </w:p>
    <w:p w:rsidR="00213192" w:rsidRDefault="00213192" w:rsidP="00213192">
      <w:r>
        <w:t>V následující tabulce jsou uvedeny výsledky zpracované finanční a ekonomické analýzy.</w:t>
      </w:r>
    </w:p>
    <w:tbl>
      <w:tblPr>
        <w:tblW w:w="9280" w:type="dxa"/>
        <w:jc w:val="center"/>
        <w:tblInd w:w="-16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3"/>
        <w:gridCol w:w="2195"/>
        <w:gridCol w:w="2126"/>
        <w:gridCol w:w="1736"/>
      </w:tblGrid>
      <w:tr w:rsidR="00213192" w:rsidTr="006B7552">
        <w:trPr>
          <w:jc w:val="center"/>
        </w:trPr>
        <w:tc>
          <w:tcPr>
            <w:tcW w:w="9280" w:type="dxa"/>
            <w:gridSpan w:val="4"/>
            <w:tcBorders>
              <w:bottom w:val="single" w:sz="4" w:space="0" w:color="000000"/>
            </w:tcBorders>
          </w:tcPr>
          <w:p w:rsidR="00213192" w:rsidRPr="00AC18C3" w:rsidRDefault="00213192" w:rsidP="006B7552">
            <w:pPr>
              <w:pStyle w:val="Titulek"/>
              <w:rPr>
                <w:rFonts w:eastAsia="Arial Unicode MS"/>
                <w:color w:val="FF0000"/>
              </w:rPr>
            </w:pPr>
            <w:bookmarkStart w:id="364" w:name="_Toc316377702"/>
            <w:bookmarkStart w:id="365" w:name="_Toc390958803"/>
            <w:bookmarkStart w:id="366" w:name="_Toc391034607"/>
            <w:r w:rsidRPr="00AC18C3">
              <w:t xml:space="preserve">Tab. </w:t>
            </w:r>
            <w:r w:rsidR="000E79AE">
              <w:fldChar w:fldCharType="begin"/>
            </w:r>
            <w:r w:rsidR="000E79AE">
              <w:instrText xml:space="preserve"> STYLEREF 1 \s </w:instrText>
            </w:r>
            <w:r w:rsidR="000E79AE">
              <w:fldChar w:fldCharType="separate"/>
            </w:r>
            <w:r w:rsidR="003843F3">
              <w:rPr>
                <w:noProof/>
              </w:rPr>
              <w:t>7</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27</w:t>
            </w:r>
            <w:r w:rsidR="000E79AE">
              <w:fldChar w:fldCharType="end"/>
            </w:r>
            <w:r w:rsidRPr="00AC18C3">
              <w:t>: Přehled výsledků</w:t>
            </w:r>
            <w:bookmarkEnd w:id="364"/>
            <w:bookmarkEnd w:id="365"/>
            <w:bookmarkEnd w:id="366"/>
          </w:p>
        </w:tc>
      </w:tr>
      <w:tr w:rsidR="00213192" w:rsidTr="0022375E">
        <w:trPr>
          <w:jc w:val="center"/>
        </w:trPr>
        <w:tc>
          <w:tcPr>
            <w:tcW w:w="3223" w:type="dxa"/>
            <w:tcBorders>
              <w:bottom w:val="single" w:sz="12" w:space="0" w:color="auto"/>
            </w:tcBorders>
            <w:shd w:val="pct12" w:color="auto" w:fill="auto"/>
            <w:vAlign w:val="center"/>
          </w:tcPr>
          <w:p w:rsidR="00213192" w:rsidRPr="006B7552" w:rsidRDefault="006B7552" w:rsidP="006B7552">
            <w:pPr>
              <w:spacing w:before="40" w:after="40"/>
              <w:jc w:val="left"/>
              <w:rPr>
                <w:rFonts w:eastAsia="Arial Unicode MS"/>
                <w:b/>
                <w:sz w:val="18"/>
              </w:rPr>
            </w:pPr>
            <w:r w:rsidRPr="006B7552">
              <w:rPr>
                <w:rFonts w:eastAsia="Arial Unicode MS"/>
                <w:b/>
                <w:sz w:val="18"/>
              </w:rPr>
              <w:t>V</w:t>
            </w:r>
            <w:r w:rsidR="00213192" w:rsidRPr="006B7552">
              <w:rPr>
                <w:rFonts w:eastAsia="Arial Unicode MS"/>
                <w:b/>
                <w:sz w:val="18"/>
              </w:rPr>
              <w:t>arianta/ukazatel</w:t>
            </w:r>
          </w:p>
        </w:tc>
        <w:tc>
          <w:tcPr>
            <w:tcW w:w="2195" w:type="dxa"/>
            <w:tcBorders>
              <w:bottom w:val="single" w:sz="12" w:space="0" w:color="auto"/>
            </w:tcBorders>
            <w:shd w:val="pct12" w:color="auto" w:fill="auto"/>
            <w:vAlign w:val="center"/>
          </w:tcPr>
          <w:p w:rsidR="00213192" w:rsidRPr="006B7552" w:rsidRDefault="00213192" w:rsidP="006B7552">
            <w:pPr>
              <w:spacing w:before="40" w:after="40"/>
              <w:jc w:val="center"/>
              <w:rPr>
                <w:rFonts w:eastAsia="Arial Unicode MS"/>
                <w:b/>
                <w:sz w:val="18"/>
              </w:rPr>
            </w:pPr>
            <w:r w:rsidRPr="006B7552">
              <w:rPr>
                <w:rFonts w:eastAsia="Arial Unicode MS"/>
                <w:b/>
                <w:sz w:val="18"/>
              </w:rPr>
              <w:t>FRR/ERR [%]</w:t>
            </w:r>
          </w:p>
        </w:tc>
        <w:tc>
          <w:tcPr>
            <w:tcW w:w="2126" w:type="dxa"/>
            <w:tcBorders>
              <w:bottom w:val="single" w:sz="12" w:space="0" w:color="auto"/>
            </w:tcBorders>
            <w:shd w:val="pct12" w:color="auto" w:fill="auto"/>
            <w:vAlign w:val="center"/>
          </w:tcPr>
          <w:p w:rsidR="00213192" w:rsidRPr="006B7552" w:rsidRDefault="00213192" w:rsidP="006B7552">
            <w:pPr>
              <w:spacing w:before="40" w:after="40"/>
              <w:jc w:val="center"/>
              <w:rPr>
                <w:rFonts w:eastAsia="Arial Unicode MS"/>
                <w:b/>
                <w:sz w:val="18"/>
              </w:rPr>
            </w:pPr>
            <w:r w:rsidRPr="006B7552">
              <w:rPr>
                <w:rFonts w:eastAsia="Arial Unicode MS"/>
                <w:b/>
                <w:sz w:val="18"/>
              </w:rPr>
              <w:t>FNPV/ENPV [tis. Kč]</w:t>
            </w:r>
          </w:p>
        </w:tc>
        <w:tc>
          <w:tcPr>
            <w:tcW w:w="1736" w:type="dxa"/>
            <w:tcBorders>
              <w:bottom w:val="single" w:sz="12" w:space="0" w:color="auto"/>
            </w:tcBorders>
            <w:shd w:val="pct12" w:color="auto" w:fill="auto"/>
            <w:vAlign w:val="center"/>
          </w:tcPr>
          <w:p w:rsidR="00213192" w:rsidRPr="006B7552" w:rsidRDefault="00213192" w:rsidP="006B7552">
            <w:pPr>
              <w:spacing w:before="40" w:after="40"/>
              <w:jc w:val="center"/>
              <w:rPr>
                <w:rFonts w:eastAsia="Arial Unicode MS"/>
                <w:b/>
                <w:sz w:val="18"/>
              </w:rPr>
            </w:pPr>
            <w:r w:rsidRPr="006B7552">
              <w:rPr>
                <w:rFonts w:eastAsia="Arial Unicode MS"/>
                <w:b/>
                <w:sz w:val="18"/>
              </w:rPr>
              <w:t>B/C Ratio</w:t>
            </w:r>
          </w:p>
        </w:tc>
      </w:tr>
      <w:tr w:rsidR="00213192" w:rsidTr="0022375E">
        <w:trPr>
          <w:jc w:val="center"/>
        </w:trPr>
        <w:tc>
          <w:tcPr>
            <w:tcW w:w="9280" w:type="dxa"/>
            <w:gridSpan w:val="4"/>
            <w:tcBorders>
              <w:top w:val="single" w:sz="12" w:space="0" w:color="auto"/>
              <w:bottom w:val="single" w:sz="4" w:space="0" w:color="000000"/>
            </w:tcBorders>
            <w:shd w:val="pct12" w:color="auto" w:fill="auto"/>
          </w:tcPr>
          <w:p w:rsidR="00213192" w:rsidRPr="006B7552" w:rsidRDefault="00213192" w:rsidP="006B7552">
            <w:pPr>
              <w:spacing w:before="40" w:after="40"/>
              <w:rPr>
                <w:rFonts w:eastAsia="Arial Unicode MS"/>
                <w:b/>
                <w:sz w:val="18"/>
              </w:rPr>
            </w:pPr>
            <w:r w:rsidRPr="006B7552">
              <w:rPr>
                <w:rFonts w:eastAsia="Arial Unicode MS"/>
                <w:b/>
                <w:sz w:val="18"/>
              </w:rPr>
              <w:t>Finanční analýza</w:t>
            </w:r>
          </w:p>
        </w:tc>
      </w:tr>
      <w:tr w:rsidR="00F351F4" w:rsidTr="006B7552">
        <w:trPr>
          <w:jc w:val="center"/>
        </w:trPr>
        <w:tc>
          <w:tcPr>
            <w:tcW w:w="3223" w:type="dxa"/>
            <w:shd w:val="pct12" w:color="auto" w:fill="auto"/>
          </w:tcPr>
          <w:p w:rsidR="00F351F4" w:rsidRPr="006B7552" w:rsidRDefault="00F351F4" w:rsidP="006B7552">
            <w:pPr>
              <w:spacing w:before="40" w:after="40"/>
              <w:rPr>
                <w:rFonts w:eastAsia="Arial Unicode MS"/>
                <w:sz w:val="18"/>
              </w:rPr>
            </w:pPr>
            <w:r w:rsidRPr="006B7552">
              <w:rPr>
                <w:rFonts w:eastAsia="Arial Unicode MS"/>
                <w:sz w:val="18"/>
              </w:rPr>
              <w:t>varianta Minimální</w:t>
            </w:r>
          </w:p>
        </w:tc>
        <w:tc>
          <w:tcPr>
            <w:tcW w:w="2195" w:type="dxa"/>
            <w:vAlign w:val="center"/>
          </w:tcPr>
          <w:p w:rsidR="00F351F4" w:rsidRPr="006B7552" w:rsidRDefault="00F351F4" w:rsidP="006B7552">
            <w:pPr>
              <w:spacing w:before="40" w:after="40"/>
              <w:ind w:right="668"/>
              <w:jc w:val="right"/>
              <w:rPr>
                <w:rFonts w:eastAsia="Arial Unicode MS"/>
                <w:bCs/>
                <w:kern w:val="28"/>
                <w:sz w:val="18"/>
              </w:rPr>
            </w:pPr>
            <w:r w:rsidRPr="006B7552">
              <w:rPr>
                <w:rFonts w:eastAsia="Arial Unicode MS"/>
                <w:sz w:val="18"/>
              </w:rPr>
              <w:t>- 5,86</w:t>
            </w:r>
          </w:p>
        </w:tc>
        <w:tc>
          <w:tcPr>
            <w:tcW w:w="2126" w:type="dxa"/>
            <w:vAlign w:val="center"/>
          </w:tcPr>
          <w:p w:rsidR="00F351F4" w:rsidRPr="006B7552" w:rsidRDefault="00F351F4" w:rsidP="006B7552">
            <w:pPr>
              <w:spacing w:before="40" w:after="40"/>
              <w:ind w:right="668"/>
              <w:jc w:val="right"/>
              <w:rPr>
                <w:rFonts w:eastAsia="Arial Unicode MS"/>
                <w:bCs/>
                <w:kern w:val="28"/>
                <w:sz w:val="18"/>
              </w:rPr>
            </w:pPr>
            <w:r w:rsidRPr="006B7552">
              <w:rPr>
                <w:rFonts w:eastAsia="Arial Unicode MS"/>
                <w:sz w:val="18"/>
              </w:rPr>
              <w:t>- 624 100</w:t>
            </w:r>
          </w:p>
        </w:tc>
        <w:tc>
          <w:tcPr>
            <w:tcW w:w="1736" w:type="dxa"/>
            <w:vAlign w:val="center"/>
          </w:tcPr>
          <w:p w:rsidR="00F351F4" w:rsidRPr="006B7552" w:rsidRDefault="00F351F4" w:rsidP="006B7552">
            <w:pPr>
              <w:spacing w:before="40" w:after="40"/>
              <w:ind w:right="668"/>
              <w:jc w:val="right"/>
              <w:rPr>
                <w:rFonts w:eastAsia="Arial Unicode MS"/>
                <w:sz w:val="18"/>
              </w:rPr>
            </w:pPr>
            <w:r w:rsidRPr="006B7552">
              <w:rPr>
                <w:rFonts w:eastAsia="Arial Unicode MS"/>
                <w:sz w:val="18"/>
              </w:rPr>
              <w:t>-</w:t>
            </w:r>
          </w:p>
        </w:tc>
      </w:tr>
      <w:tr w:rsidR="00F351F4" w:rsidTr="006B7552">
        <w:trPr>
          <w:jc w:val="center"/>
        </w:trPr>
        <w:tc>
          <w:tcPr>
            <w:tcW w:w="3223" w:type="dxa"/>
            <w:shd w:val="pct12" w:color="auto" w:fill="auto"/>
          </w:tcPr>
          <w:p w:rsidR="00F351F4" w:rsidRPr="006B7552" w:rsidRDefault="00F351F4" w:rsidP="006B7552">
            <w:pPr>
              <w:spacing w:before="40" w:after="40"/>
              <w:rPr>
                <w:rFonts w:eastAsia="Arial Unicode MS"/>
                <w:sz w:val="18"/>
              </w:rPr>
            </w:pPr>
            <w:r w:rsidRPr="006B7552">
              <w:rPr>
                <w:rFonts w:eastAsia="Arial Unicode MS"/>
                <w:sz w:val="18"/>
              </w:rPr>
              <w:t xml:space="preserve">varianta </w:t>
            </w:r>
            <w:r w:rsidR="009E270E" w:rsidRPr="006B7552">
              <w:rPr>
                <w:rFonts w:eastAsia="Arial Unicode MS"/>
                <w:sz w:val="18"/>
              </w:rPr>
              <w:t>Etapa</w:t>
            </w:r>
          </w:p>
        </w:tc>
        <w:tc>
          <w:tcPr>
            <w:tcW w:w="2195" w:type="dxa"/>
            <w:vAlign w:val="center"/>
          </w:tcPr>
          <w:p w:rsidR="00F351F4" w:rsidRPr="006B7552" w:rsidRDefault="00F351F4" w:rsidP="006B7552">
            <w:pPr>
              <w:spacing w:before="40" w:after="40"/>
              <w:ind w:right="668"/>
              <w:jc w:val="right"/>
              <w:rPr>
                <w:rFonts w:eastAsia="Arial Unicode MS"/>
                <w:bCs/>
                <w:kern w:val="28"/>
                <w:sz w:val="18"/>
              </w:rPr>
            </w:pPr>
            <w:r w:rsidRPr="006B7552">
              <w:rPr>
                <w:rFonts w:eastAsia="Arial Unicode MS"/>
                <w:sz w:val="18"/>
              </w:rPr>
              <w:t>- 9,58</w:t>
            </w:r>
          </w:p>
        </w:tc>
        <w:tc>
          <w:tcPr>
            <w:tcW w:w="2126" w:type="dxa"/>
            <w:vAlign w:val="center"/>
          </w:tcPr>
          <w:p w:rsidR="00F351F4" w:rsidRPr="006B7552" w:rsidRDefault="00F351F4" w:rsidP="006B7552">
            <w:pPr>
              <w:spacing w:before="40" w:after="40"/>
              <w:ind w:right="668"/>
              <w:jc w:val="right"/>
              <w:rPr>
                <w:rFonts w:eastAsia="Arial Unicode MS"/>
                <w:bCs/>
                <w:kern w:val="28"/>
                <w:sz w:val="18"/>
              </w:rPr>
            </w:pPr>
            <w:r w:rsidRPr="006B7552">
              <w:rPr>
                <w:rFonts w:eastAsia="Arial Unicode MS"/>
                <w:sz w:val="18"/>
              </w:rPr>
              <w:t>- 603 535</w:t>
            </w:r>
          </w:p>
        </w:tc>
        <w:tc>
          <w:tcPr>
            <w:tcW w:w="1736" w:type="dxa"/>
            <w:vAlign w:val="center"/>
          </w:tcPr>
          <w:p w:rsidR="00F351F4" w:rsidRPr="006B7552" w:rsidRDefault="00F351F4" w:rsidP="006B7552">
            <w:pPr>
              <w:spacing w:before="40" w:after="40"/>
              <w:ind w:right="668"/>
              <w:jc w:val="right"/>
              <w:rPr>
                <w:rFonts w:eastAsia="Arial Unicode MS"/>
                <w:sz w:val="18"/>
              </w:rPr>
            </w:pPr>
            <w:r w:rsidRPr="006B7552">
              <w:rPr>
                <w:rFonts w:eastAsia="Arial Unicode MS"/>
                <w:sz w:val="18"/>
              </w:rPr>
              <w:t>-</w:t>
            </w:r>
          </w:p>
        </w:tc>
      </w:tr>
      <w:tr w:rsidR="00F351F4" w:rsidTr="0022375E">
        <w:trPr>
          <w:jc w:val="center"/>
        </w:trPr>
        <w:tc>
          <w:tcPr>
            <w:tcW w:w="3223" w:type="dxa"/>
            <w:tcBorders>
              <w:bottom w:val="single" w:sz="12" w:space="0" w:color="auto"/>
            </w:tcBorders>
            <w:shd w:val="pct12" w:color="auto" w:fill="auto"/>
          </w:tcPr>
          <w:p w:rsidR="00F351F4" w:rsidRPr="006B7552" w:rsidRDefault="00F351F4" w:rsidP="006B7552">
            <w:pPr>
              <w:spacing w:before="40" w:after="40"/>
              <w:rPr>
                <w:rFonts w:eastAsia="Arial Unicode MS"/>
                <w:sz w:val="18"/>
              </w:rPr>
            </w:pPr>
            <w:r w:rsidRPr="006B7552">
              <w:rPr>
                <w:rFonts w:eastAsia="Arial Unicode MS"/>
                <w:sz w:val="18"/>
              </w:rPr>
              <w:t>varianta Maximální</w:t>
            </w:r>
          </w:p>
        </w:tc>
        <w:tc>
          <w:tcPr>
            <w:tcW w:w="2195" w:type="dxa"/>
            <w:tcBorders>
              <w:bottom w:val="single" w:sz="12" w:space="0" w:color="auto"/>
            </w:tcBorders>
            <w:vAlign w:val="center"/>
          </w:tcPr>
          <w:p w:rsidR="00F351F4" w:rsidRPr="006B7552" w:rsidRDefault="00F351F4" w:rsidP="006B7552">
            <w:pPr>
              <w:spacing w:before="40" w:after="40"/>
              <w:ind w:right="668"/>
              <w:jc w:val="right"/>
              <w:rPr>
                <w:rFonts w:eastAsia="Arial Unicode MS"/>
                <w:bCs/>
                <w:kern w:val="28"/>
                <w:sz w:val="18"/>
              </w:rPr>
            </w:pPr>
            <w:r w:rsidRPr="006B7552">
              <w:rPr>
                <w:rFonts w:eastAsia="Arial Unicode MS"/>
                <w:sz w:val="18"/>
              </w:rPr>
              <w:t>- 7,79</w:t>
            </w:r>
          </w:p>
        </w:tc>
        <w:tc>
          <w:tcPr>
            <w:tcW w:w="2126" w:type="dxa"/>
            <w:tcBorders>
              <w:bottom w:val="single" w:sz="12" w:space="0" w:color="auto"/>
            </w:tcBorders>
            <w:vAlign w:val="center"/>
          </w:tcPr>
          <w:p w:rsidR="00F351F4" w:rsidRPr="006B7552" w:rsidRDefault="00F351F4" w:rsidP="006B7552">
            <w:pPr>
              <w:spacing w:before="40" w:after="40"/>
              <w:ind w:right="668"/>
              <w:jc w:val="right"/>
              <w:rPr>
                <w:rFonts w:eastAsia="Arial Unicode MS"/>
                <w:bCs/>
                <w:kern w:val="28"/>
                <w:sz w:val="18"/>
              </w:rPr>
            </w:pPr>
            <w:r w:rsidRPr="006B7552">
              <w:rPr>
                <w:rFonts w:eastAsia="Arial Unicode MS"/>
                <w:sz w:val="18"/>
              </w:rPr>
              <w:t>- 2 385 026</w:t>
            </w:r>
          </w:p>
        </w:tc>
        <w:tc>
          <w:tcPr>
            <w:tcW w:w="1736" w:type="dxa"/>
            <w:tcBorders>
              <w:bottom w:val="single" w:sz="12" w:space="0" w:color="auto"/>
            </w:tcBorders>
            <w:vAlign w:val="center"/>
          </w:tcPr>
          <w:p w:rsidR="00F351F4" w:rsidRPr="006B7552" w:rsidRDefault="00F351F4" w:rsidP="006B7552">
            <w:pPr>
              <w:spacing w:before="40" w:after="40"/>
              <w:ind w:right="668"/>
              <w:jc w:val="right"/>
              <w:rPr>
                <w:rFonts w:eastAsia="Arial Unicode MS"/>
                <w:sz w:val="18"/>
              </w:rPr>
            </w:pPr>
            <w:r w:rsidRPr="006B7552">
              <w:rPr>
                <w:rFonts w:eastAsia="Arial Unicode MS"/>
                <w:sz w:val="18"/>
              </w:rPr>
              <w:t>-</w:t>
            </w:r>
          </w:p>
        </w:tc>
      </w:tr>
      <w:tr w:rsidR="00213192" w:rsidTr="0022375E">
        <w:trPr>
          <w:jc w:val="center"/>
        </w:trPr>
        <w:tc>
          <w:tcPr>
            <w:tcW w:w="9280" w:type="dxa"/>
            <w:gridSpan w:val="4"/>
            <w:tcBorders>
              <w:top w:val="single" w:sz="12" w:space="0" w:color="auto"/>
            </w:tcBorders>
            <w:shd w:val="pct12" w:color="auto" w:fill="auto"/>
            <w:vAlign w:val="center"/>
          </w:tcPr>
          <w:p w:rsidR="00213192" w:rsidRPr="006B7552" w:rsidRDefault="00213192" w:rsidP="006B7552">
            <w:pPr>
              <w:spacing w:before="40" w:after="40"/>
              <w:ind w:right="384"/>
              <w:jc w:val="left"/>
              <w:rPr>
                <w:rFonts w:eastAsia="Arial Unicode MS"/>
                <w:b/>
                <w:sz w:val="18"/>
              </w:rPr>
            </w:pPr>
            <w:r w:rsidRPr="006B7552">
              <w:rPr>
                <w:rFonts w:eastAsia="Arial Unicode MS"/>
                <w:b/>
                <w:sz w:val="18"/>
              </w:rPr>
              <w:t>Ekonomická analýza</w:t>
            </w:r>
          </w:p>
        </w:tc>
      </w:tr>
      <w:tr w:rsidR="00F351F4" w:rsidTr="006B7552">
        <w:trPr>
          <w:jc w:val="center"/>
        </w:trPr>
        <w:tc>
          <w:tcPr>
            <w:tcW w:w="3223" w:type="dxa"/>
            <w:shd w:val="pct12" w:color="auto" w:fill="auto"/>
          </w:tcPr>
          <w:p w:rsidR="00F351F4" w:rsidRPr="006B7552" w:rsidRDefault="00F351F4" w:rsidP="006B7552">
            <w:pPr>
              <w:spacing w:before="40" w:after="40"/>
              <w:rPr>
                <w:rFonts w:eastAsia="Arial Unicode MS"/>
                <w:sz w:val="18"/>
              </w:rPr>
            </w:pPr>
            <w:r w:rsidRPr="006B7552">
              <w:rPr>
                <w:rFonts w:eastAsia="Arial Unicode MS"/>
                <w:sz w:val="18"/>
              </w:rPr>
              <w:t>varianta Minimální</w:t>
            </w:r>
          </w:p>
        </w:tc>
        <w:tc>
          <w:tcPr>
            <w:tcW w:w="2195" w:type="dxa"/>
            <w:vAlign w:val="center"/>
          </w:tcPr>
          <w:p w:rsidR="00F351F4" w:rsidRPr="006B7552" w:rsidRDefault="00F351F4" w:rsidP="006B7552">
            <w:pPr>
              <w:spacing w:before="40" w:after="40"/>
              <w:ind w:right="668"/>
              <w:jc w:val="right"/>
              <w:rPr>
                <w:rFonts w:eastAsia="Arial Unicode MS"/>
                <w:sz w:val="18"/>
              </w:rPr>
            </w:pPr>
            <w:r w:rsidRPr="006B7552">
              <w:rPr>
                <w:rFonts w:eastAsia="Arial Unicode MS"/>
                <w:sz w:val="18"/>
              </w:rPr>
              <w:t>3,27</w:t>
            </w:r>
          </w:p>
        </w:tc>
        <w:tc>
          <w:tcPr>
            <w:tcW w:w="2126" w:type="dxa"/>
            <w:vAlign w:val="center"/>
          </w:tcPr>
          <w:p w:rsidR="00F351F4" w:rsidRPr="006B7552" w:rsidRDefault="00F351F4" w:rsidP="006B7552">
            <w:pPr>
              <w:spacing w:before="40" w:after="40"/>
              <w:ind w:right="668"/>
              <w:jc w:val="right"/>
              <w:rPr>
                <w:rFonts w:eastAsia="Arial Unicode MS"/>
                <w:sz w:val="18"/>
              </w:rPr>
            </w:pPr>
            <w:r w:rsidRPr="006B7552">
              <w:rPr>
                <w:rFonts w:eastAsia="Arial Unicode MS"/>
                <w:sz w:val="18"/>
              </w:rPr>
              <w:t>- 184 406</w:t>
            </w:r>
          </w:p>
        </w:tc>
        <w:tc>
          <w:tcPr>
            <w:tcW w:w="1736" w:type="dxa"/>
            <w:vAlign w:val="center"/>
          </w:tcPr>
          <w:p w:rsidR="00F351F4" w:rsidRPr="006B7552" w:rsidRDefault="00F351F4" w:rsidP="006B7552">
            <w:pPr>
              <w:spacing w:before="40" w:after="40"/>
              <w:ind w:right="668"/>
              <w:jc w:val="right"/>
              <w:rPr>
                <w:rFonts w:eastAsia="Arial Unicode MS"/>
                <w:sz w:val="18"/>
              </w:rPr>
            </w:pPr>
            <w:r w:rsidRPr="006B7552">
              <w:rPr>
                <w:rFonts w:eastAsia="Arial Unicode MS"/>
                <w:sz w:val="18"/>
              </w:rPr>
              <w:t>0,897</w:t>
            </w:r>
          </w:p>
        </w:tc>
      </w:tr>
      <w:tr w:rsidR="00F351F4" w:rsidTr="006B7552">
        <w:trPr>
          <w:jc w:val="center"/>
        </w:trPr>
        <w:tc>
          <w:tcPr>
            <w:tcW w:w="3223" w:type="dxa"/>
            <w:shd w:val="pct12" w:color="auto" w:fill="auto"/>
          </w:tcPr>
          <w:p w:rsidR="00F351F4" w:rsidRPr="006B7552" w:rsidRDefault="00F351F4" w:rsidP="006B7552">
            <w:pPr>
              <w:spacing w:before="40" w:after="40"/>
              <w:rPr>
                <w:rFonts w:eastAsia="Arial Unicode MS"/>
                <w:sz w:val="18"/>
              </w:rPr>
            </w:pPr>
            <w:r w:rsidRPr="006B7552">
              <w:rPr>
                <w:rFonts w:eastAsia="Arial Unicode MS"/>
                <w:sz w:val="18"/>
              </w:rPr>
              <w:t xml:space="preserve">varianta </w:t>
            </w:r>
            <w:r w:rsidR="006B7552" w:rsidRPr="006B7552">
              <w:rPr>
                <w:rFonts w:eastAsia="Arial Unicode MS"/>
                <w:sz w:val="18"/>
              </w:rPr>
              <w:t>Etapa</w:t>
            </w:r>
          </w:p>
        </w:tc>
        <w:tc>
          <w:tcPr>
            <w:tcW w:w="2195" w:type="dxa"/>
            <w:vAlign w:val="center"/>
          </w:tcPr>
          <w:p w:rsidR="00F351F4" w:rsidRPr="006B7552" w:rsidRDefault="00F351F4" w:rsidP="006B7552">
            <w:pPr>
              <w:spacing w:before="40" w:after="40"/>
              <w:ind w:right="668"/>
              <w:jc w:val="right"/>
              <w:rPr>
                <w:rFonts w:eastAsia="Arial Unicode MS"/>
                <w:sz w:val="18"/>
              </w:rPr>
            </w:pPr>
            <w:r w:rsidRPr="006B7552">
              <w:rPr>
                <w:rFonts w:eastAsia="Arial Unicode MS"/>
                <w:sz w:val="18"/>
              </w:rPr>
              <w:t>16,23</w:t>
            </w:r>
          </w:p>
        </w:tc>
        <w:tc>
          <w:tcPr>
            <w:tcW w:w="2126" w:type="dxa"/>
            <w:vAlign w:val="center"/>
          </w:tcPr>
          <w:p w:rsidR="00F351F4" w:rsidRPr="006B7552" w:rsidRDefault="00F351F4" w:rsidP="006B7552">
            <w:pPr>
              <w:spacing w:before="40" w:after="40"/>
              <w:ind w:right="668"/>
              <w:jc w:val="right"/>
              <w:rPr>
                <w:rFonts w:eastAsia="Arial Unicode MS"/>
                <w:sz w:val="18"/>
              </w:rPr>
            </w:pPr>
            <w:r w:rsidRPr="006B7552">
              <w:rPr>
                <w:rFonts w:eastAsia="Arial Unicode MS"/>
                <w:sz w:val="18"/>
              </w:rPr>
              <w:t>949 570</w:t>
            </w:r>
          </w:p>
        </w:tc>
        <w:tc>
          <w:tcPr>
            <w:tcW w:w="1736" w:type="dxa"/>
            <w:vAlign w:val="center"/>
          </w:tcPr>
          <w:p w:rsidR="00F351F4" w:rsidRPr="006B7552" w:rsidRDefault="00F351F4" w:rsidP="006B7552">
            <w:pPr>
              <w:spacing w:before="40" w:after="40"/>
              <w:ind w:right="668"/>
              <w:jc w:val="right"/>
              <w:rPr>
                <w:rFonts w:eastAsia="Arial Unicode MS"/>
                <w:sz w:val="18"/>
              </w:rPr>
            </w:pPr>
            <w:r w:rsidRPr="006B7552">
              <w:rPr>
                <w:rFonts w:eastAsia="Arial Unicode MS"/>
                <w:sz w:val="18"/>
              </w:rPr>
              <w:t>2,194</w:t>
            </w:r>
          </w:p>
        </w:tc>
      </w:tr>
      <w:tr w:rsidR="00F351F4" w:rsidTr="006B7552">
        <w:trPr>
          <w:jc w:val="center"/>
        </w:trPr>
        <w:tc>
          <w:tcPr>
            <w:tcW w:w="3223" w:type="dxa"/>
            <w:shd w:val="pct12" w:color="auto" w:fill="auto"/>
          </w:tcPr>
          <w:p w:rsidR="00F351F4" w:rsidRPr="006B7552" w:rsidRDefault="00F351F4" w:rsidP="006B7552">
            <w:pPr>
              <w:spacing w:before="40" w:after="40"/>
              <w:rPr>
                <w:rFonts w:eastAsia="Arial Unicode MS"/>
                <w:sz w:val="18"/>
              </w:rPr>
            </w:pPr>
            <w:r w:rsidRPr="006B7552">
              <w:rPr>
                <w:rFonts w:eastAsia="Arial Unicode MS"/>
                <w:sz w:val="18"/>
              </w:rPr>
              <w:t>varianta Maximální</w:t>
            </w:r>
          </w:p>
        </w:tc>
        <w:tc>
          <w:tcPr>
            <w:tcW w:w="2195" w:type="dxa"/>
            <w:vAlign w:val="center"/>
          </w:tcPr>
          <w:p w:rsidR="00F351F4" w:rsidRPr="006B7552" w:rsidRDefault="00F351F4" w:rsidP="006B7552">
            <w:pPr>
              <w:spacing w:before="40" w:after="40"/>
              <w:ind w:right="668"/>
              <w:jc w:val="right"/>
              <w:rPr>
                <w:rFonts w:eastAsia="Arial Unicode MS"/>
                <w:sz w:val="18"/>
              </w:rPr>
            </w:pPr>
            <w:r w:rsidRPr="006B7552">
              <w:rPr>
                <w:rFonts w:eastAsia="Arial Unicode MS"/>
                <w:sz w:val="18"/>
              </w:rPr>
              <w:t>7,27</w:t>
            </w:r>
          </w:p>
        </w:tc>
        <w:tc>
          <w:tcPr>
            <w:tcW w:w="2126" w:type="dxa"/>
            <w:vAlign w:val="center"/>
          </w:tcPr>
          <w:p w:rsidR="00F351F4" w:rsidRPr="006B7552" w:rsidRDefault="00F351F4" w:rsidP="006B7552">
            <w:pPr>
              <w:spacing w:before="40" w:after="40"/>
              <w:ind w:right="668"/>
              <w:jc w:val="right"/>
              <w:rPr>
                <w:rFonts w:eastAsia="Arial Unicode MS"/>
                <w:sz w:val="18"/>
              </w:rPr>
            </w:pPr>
            <w:r w:rsidRPr="006B7552">
              <w:rPr>
                <w:rFonts w:eastAsia="Arial Unicode MS"/>
                <w:sz w:val="18"/>
              </w:rPr>
              <w:t>454 675</w:t>
            </w:r>
          </w:p>
        </w:tc>
        <w:tc>
          <w:tcPr>
            <w:tcW w:w="1736" w:type="dxa"/>
            <w:vAlign w:val="center"/>
          </w:tcPr>
          <w:p w:rsidR="00F351F4" w:rsidRPr="006B7552" w:rsidRDefault="00F351F4" w:rsidP="006B7552">
            <w:pPr>
              <w:spacing w:before="40" w:after="40"/>
              <w:ind w:right="668"/>
              <w:jc w:val="right"/>
              <w:rPr>
                <w:rFonts w:eastAsia="Arial Unicode MS"/>
                <w:sz w:val="18"/>
              </w:rPr>
            </w:pPr>
            <w:r w:rsidRPr="006B7552">
              <w:rPr>
                <w:rFonts w:eastAsia="Arial Unicode MS"/>
                <w:sz w:val="18"/>
              </w:rPr>
              <w:t>1,137</w:t>
            </w:r>
          </w:p>
        </w:tc>
      </w:tr>
    </w:tbl>
    <w:p w:rsidR="00282E98" w:rsidRDefault="00282E98" w:rsidP="00213192"/>
    <w:p w:rsidR="00213192" w:rsidRPr="00AF2377" w:rsidRDefault="00213192" w:rsidP="00213192">
      <w:r>
        <w:t xml:space="preserve">Z pohledu finanční analýzy jsou </w:t>
      </w:r>
      <w:r w:rsidRPr="00B62EA3">
        <w:t>hodnoty FRR a FNPV všech variant pod hranicí</w:t>
      </w:r>
      <w:r>
        <w:t xml:space="preserve"> ekonomické efektivnosti. Je to logické, vzhledem k zaměření projektu na modernizaci infrastruktury, která z hlediska investora obvykle nepřináší podstatné finanční efekty. Projekt sice přinese efekty i v oblasti provozu investora (především úspora zaměstnanců a provozních nákladů</w:t>
      </w:r>
      <w:r w:rsidR="00187220">
        <w:t xml:space="preserve"> infrastruktury</w:t>
      </w:r>
      <w:r>
        <w:t xml:space="preserve">), výše úspor však nebude tak velká, </w:t>
      </w:r>
      <w:r w:rsidRPr="00AF2377">
        <w:t>aby jimi byly pokryty celé investiční náklady.</w:t>
      </w:r>
    </w:p>
    <w:p w:rsidR="00213192" w:rsidRDefault="00213192" w:rsidP="00213192">
      <w:r w:rsidRPr="00AF2377">
        <w:t xml:space="preserve">Z hlediska celospolečenského přínosu vykazuje </w:t>
      </w:r>
      <w:r w:rsidRPr="00AF2377">
        <w:rPr>
          <w:b/>
        </w:rPr>
        <w:t>nejlepší výsledky varianta</w:t>
      </w:r>
      <w:r w:rsidR="00B62EA3" w:rsidRPr="00AF2377">
        <w:rPr>
          <w:b/>
        </w:rPr>
        <w:t xml:space="preserve"> Maximální </w:t>
      </w:r>
      <w:r w:rsidR="00B62EA3" w:rsidRPr="00AF2377">
        <w:t xml:space="preserve">(ERR =  </w:t>
      </w:r>
      <w:r w:rsidR="00AF2377" w:rsidRPr="00AF2377">
        <w:t>7</w:t>
      </w:r>
      <w:r w:rsidR="00B62EA3" w:rsidRPr="00AF2377">
        <w:t>,2</w:t>
      </w:r>
      <w:r w:rsidR="00AF2377" w:rsidRPr="00AF2377">
        <w:t>7</w:t>
      </w:r>
      <w:r w:rsidR="00B62EA3" w:rsidRPr="00AF2377">
        <w:t xml:space="preserve">%, ENPV = </w:t>
      </w:r>
      <w:r w:rsidR="00AF2377" w:rsidRPr="00AF2377">
        <w:t>454</w:t>
      </w:r>
      <w:r w:rsidR="00B62EA3" w:rsidRPr="00AF2377">
        <w:t xml:space="preserve"> </w:t>
      </w:r>
      <w:r w:rsidR="00AF2377" w:rsidRPr="00AF2377">
        <w:t>675</w:t>
      </w:r>
      <w:r w:rsidR="00B62EA3" w:rsidRPr="00AF2377">
        <w:t xml:space="preserve"> tis. Kč)</w:t>
      </w:r>
      <w:r w:rsidR="00B62EA3" w:rsidRPr="00AF2377">
        <w:rPr>
          <w:b/>
        </w:rPr>
        <w:t>, resp. její etapa</w:t>
      </w:r>
      <w:r w:rsidRPr="00495E2A">
        <w:t xml:space="preserve"> (ERR =</w:t>
      </w:r>
      <w:r w:rsidRPr="00AF2377">
        <w:t xml:space="preserve">  </w:t>
      </w:r>
      <w:r w:rsidR="00E07AE6" w:rsidRPr="00AF2377">
        <w:t>16</w:t>
      </w:r>
      <w:r w:rsidRPr="00AF2377">
        <w:t>,</w:t>
      </w:r>
      <w:r w:rsidR="00E07AE6" w:rsidRPr="00AF2377">
        <w:t>23</w:t>
      </w:r>
      <w:r w:rsidRPr="00AF2377">
        <w:t xml:space="preserve">%, ENPV = </w:t>
      </w:r>
      <w:r w:rsidR="00E07AE6" w:rsidRPr="00AF2377">
        <w:t xml:space="preserve">949 570 </w:t>
      </w:r>
      <w:r w:rsidRPr="00AF2377">
        <w:t>tis. Kč). Pozitivní výsledky ekonomické analýzy variant</w:t>
      </w:r>
      <w:r w:rsidR="00AF2377" w:rsidRPr="00AF2377">
        <w:t>y</w:t>
      </w:r>
      <w:r w:rsidR="005302B5" w:rsidRPr="00AF2377">
        <w:t xml:space="preserve"> </w:t>
      </w:r>
      <w:r w:rsidR="00AF2377" w:rsidRPr="00AF2377">
        <w:t>Etapa</w:t>
      </w:r>
      <w:r w:rsidR="005302B5" w:rsidRPr="00AF2377">
        <w:t xml:space="preserve"> i Maximální</w:t>
      </w:r>
      <w:r w:rsidRPr="00AF2377">
        <w:t xml:space="preserve"> jsou vyvolány zejména úsporou času, úsporou provozních nákladů na údržbu a opravy železniční</w:t>
      </w:r>
      <w:r>
        <w:t xml:space="preserve"> infrastruktury, ale</w:t>
      </w:r>
      <w:r w:rsidR="00187220">
        <w:t xml:space="preserve"> i</w:t>
      </w:r>
      <w:r>
        <w:t xml:space="preserve"> provozních nákladů silnice (údržba a opravy infrastruktury a provoz vozidel), které vzniknou díky převedené dopravě. Tyto úspory vznikají </w:t>
      </w:r>
      <w:r w:rsidR="00187220">
        <w:t xml:space="preserve">zásluhou </w:t>
      </w:r>
      <w:r>
        <w:t>osobní doprav</w:t>
      </w:r>
      <w:r w:rsidR="00187220">
        <w:t>y</w:t>
      </w:r>
      <w:r>
        <w:t>, resp. její</w:t>
      </w:r>
      <w:r w:rsidR="00187220">
        <w:t>ho</w:t>
      </w:r>
      <w:r>
        <w:t xml:space="preserve"> převedení ze silnice na železnici (ve stavu projektovém ve variantách, kde se realizuje zdvoukolejnění úseku Stéblová – Opatovice dojde díky tomuto opatření ke zlepšení přepravní nabídky a následnému nárůstu poptávky).</w:t>
      </w:r>
    </w:p>
    <w:p w:rsidR="00213192" w:rsidRPr="00AF2377" w:rsidRDefault="00213192" w:rsidP="00213192">
      <w:r>
        <w:t xml:space="preserve">Výsledky analýzy citlivosti a </w:t>
      </w:r>
      <w:r w:rsidR="001F1143">
        <w:t xml:space="preserve">dříve provedené analýzy </w:t>
      </w:r>
      <w:r>
        <w:t xml:space="preserve">rizik ukazují, že hodnoty vypočtených ukazatelů ekonomické efektivity budou sice pravděpodobně mírně nižší, než vychází ze základního výpočtu, přesto ale jsou i nejhorší možné výsledky (při uvažování nejpesimističtějších </w:t>
      </w:r>
      <w:r w:rsidRPr="00AF2377">
        <w:t xml:space="preserve">scénářů) stále nad hranicí nebo na hranici ekonomické efektivity. Vzhledem k parametrům </w:t>
      </w:r>
      <w:r w:rsidR="00282E98" w:rsidRPr="00495E2A">
        <w:t xml:space="preserve">ekonomického modelu </w:t>
      </w:r>
      <w:r w:rsidRPr="00495E2A">
        <w:t xml:space="preserve">jednotlivých projektových variant </w:t>
      </w:r>
      <w:r w:rsidR="001F1143" w:rsidRPr="00AF2377">
        <w:t>ne</w:t>
      </w:r>
      <w:r w:rsidRPr="00AF2377">
        <w:t xml:space="preserve">byla podrobná </w:t>
      </w:r>
      <w:r w:rsidR="001F1143" w:rsidRPr="00AF2377">
        <w:t xml:space="preserve">kvantitativní </w:t>
      </w:r>
      <w:r w:rsidRPr="00AF2377">
        <w:t xml:space="preserve">analýza rizik provedena </w:t>
      </w:r>
      <w:r w:rsidR="001F1143" w:rsidRPr="00AF2377">
        <w:t>a p</w:t>
      </w:r>
      <w:r w:rsidR="001F1143" w:rsidRPr="00AF2377">
        <w:rPr>
          <w:rFonts w:hint="eastAsia"/>
        </w:rPr>
        <w:t>ř</w:t>
      </w:r>
      <w:r w:rsidR="001F1143" w:rsidRPr="00AF2377">
        <w:t xml:space="preserve">i </w:t>
      </w:r>
      <w:r w:rsidR="002045D2" w:rsidRPr="00AF2377">
        <w:t>odhadu se</w:t>
      </w:r>
      <w:r w:rsidR="001F1143" w:rsidRPr="00AF2377">
        <w:t xml:space="preserve"> vycházelo z p</w:t>
      </w:r>
      <w:r w:rsidR="001F1143" w:rsidRPr="00AF2377">
        <w:rPr>
          <w:rFonts w:hint="eastAsia"/>
        </w:rPr>
        <w:t>ů</w:t>
      </w:r>
      <w:r w:rsidR="001F1143" w:rsidRPr="00AF2377">
        <w:t>vodní studie</w:t>
      </w:r>
      <w:r w:rsidR="001F1143">
        <w:t xml:space="preserve"> </w:t>
      </w:r>
      <w:r w:rsidR="001F1143" w:rsidRPr="00AF2377">
        <w:t>proveditelnosti</w:t>
      </w:r>
      <w:r w:rsidRPr="00AF2377">
        <w:t>.</w:t>
      </w:r>
    </w:p>
    <w:p w:rsidR="00426813" w:rsidRDefault="00213192" w:rsidP="00213192">
      <w:pPr>
        <w:rPr>
          <w:b/>
        </w:rPr>
        <w:sectPr w:rsidR="00426813" w:rsidSect="009C7F1C">
          <w:headerReference w:type="default" r:id="rId113"/>
          <w:footerReference w:type="default" r:id="rId114"/>
          <w:footnotePr>
            <w:pos w:val="beneathText"/>
          </w:footnotePr>
          <w:type w:val="continuous"/>
          <w:pgSz w:w="11905" w:h="16837" w:code="9"/>
          <w:pgMar w:top="1492" w:right="1134" w:bottom="1134" w:left="1418" w:header="709" w:footer="353" w:gutter="0"/>
          <w:cols w:space="708"/>
          <w:docGrid w:linePitch="360"/>
        </w:sectPr>
      </w:pPr>
      <w:r w:rsidRPr="00AF2377">
        <w:t>Z výše uvedených výsledk</w:t>
      </w:r>
      <w:r w:rsidRPr="00495E2A">
        <w:rPr>
          <w:rFonts w:hint="eastAsia"/>
        </w:rPr>
        <w:t>ů</w:t>
      </w:r>
      <w:r w:rsidRPr="00495E2A">
        <w:t xml:space="preserve"> vyplývá, že </w:t>
      </w:r>
      <w:r w:rsidRPr="00495E2A">
        <w:rPr>
          <w:b/>
        </w:rPr>
        <w:t>z hlediska ekonomické efektivity</w:t>
      </w:r>
      <w:r w:rsidRPr="00495E2A">
        <w:t xml:space="preserve"> je </w:t>
      </w:r>
      <w:r w:rsidRPr="00495E2A">
        <w:rPr>
          <w:b/>
        </w:rPr>
        <w:t>pro realizaci nejvhodn</w:t>
      </w:r>
      <w:r w:rsidRPr="00495E2A">
        <w:rPr>
          <w:rFonts w:hint="eastAsia"/>
          <w:b/>
        </w:rPr>
        <w:t>ě</w:t>
      </w:r>
      <w:r w:rsidRPr="00495E2A">
        <w:rPr>
          <w:b/>
        </w:rPr>
        <w:t xml:space="preserve">jší varianta </w:t>
      </w:r>
      <w:r w:rsidR="00AF2377" w:rsidRPr="00AF2377">
        <w:rPr>
          <w:b/>
        </w:rPr>
        <w:t>Maximální</w:t>
      </w:r>
      <w:r w:rsidRPr="00AF2377">
        <w:t>, tedy zdvoukolejn</w:t>
      </w:r>
      <w:r w:rsidRPr="00495E2A">
        <w:rPr>
          <w:rFonts w:hint="eastAsia"/>
        </w:rPr>
        <w:t>ě</w:t>
      </w:r>
      <w:r w:rsidRPr="00495E2A">
        <w:t xml:space="preserve">ní </w:t>
      </w:r>
      <w:r w:rsidRPr="00495E2A">
        <w:rPr>
          <w:rFonts w:hint="eastAsia"/>
        </w:rPr>
        <w:t>ú</w:t>
      </w:r>
      <w:r w:rsidRPr="00495E2A">
        <w:t xml:space="preserve">seku Stéblová </w:t>
      </w:r>
      <w:r w:rsidRPr="00495E2A">
        <w:rPr>
          <w:rFonts w:hint="eastAsia"/>
        </w:rPr>
        <w:t>–</w:t>
      </w:r>
      <w:r w:rsidRPr="00495E2A">
        <w:t xml:space="preserve"> Opatovice n.L. v rozsahu podle p</w:t>
      </w:r>
      <w:r w:rsidRPr="00495E2A">
        <w:rPr>
          <w:rFonts w:hint="eastAsia"/>
        </w:rPr>
        <w:t>ř</w:t>
      </w:r>
      <w:r w:rsidRPr="00495E2A">
        <w:t>ipravovaného p</w:t>
      </w:r>
      <w:r w:rsidRPr="00F066D4">
        <w:t xml:space="preserve">rojektu stavby a </w:t>
      </w:r>
      <w:r w:rsidR="00AF2377" w:rsidRPr="00AF2377">
        <w:t>dalších úseků podle návrhů prezentovaných ve studii proveditelnosti</w:t>
      </w:r>
      <w:r w:rsidRPr="00AF2377">
        <w:t xml:space="preserve">. </w:t>
      </w:r>
    </w:p>
    <w:p w:rsidR="003A4ED1" w:rsidRDefault="003A4ED1" w:rsidP="006A637B">
      <w:pPr>
        <w:pStyle w:val="Nadpis1"/>
        <w:tabs>
          <w:tab w:val="clear" w:pos="716"/>
          <w:tab w:val="num" w:pos="567"/>
        </w:tabs>
        <w:ind w:hanging="716"/>
      </w:pPr>
      <w:bookmarkStart w:id="367" w:name="_Toc390958725"/>
      <w:r>
        <w:t>Závěr, doporučení pro další postup</w:t>
      </w:r>
      <w:bookmarkEnd w:id="367"/>
    </w:p>
    <w:p w:rsidR="006819BA" w:rsidRDefault="00455B8F" w:rsidP="00092F1A">
      <w:pPr>
        <w:pStyle w:val="Nadpis2"/>
      </w:pPr>
      <w:bookmarkStart w:id="368" w:name="_Toc390958726"/>
      <w:r>
        <w:t>Stručné vyhodnocení</w:t>
      </w:r>
      <w:bookmarkEnd w:id="368"/>
      <w:r>
        <w:t xml:space="preserve"> </w:t>
      </w:r>
    </w:p>
    <w:p w:rsidR="003A4ED1" w:rsidRPr="00C90180" w:rsidRDefault="003A4ED1" w:rsidP="003A4ED1">
      <w:pPr>
        <w:spacing w:line="312" w:lineRule="auto"/>
        <w:rPr>
          <w:rFonts w:cs="Tahoma"/>
          <w:szCs w:val="20"/>
        </w:rPr>
      </w:pPr>
      <w:r w:rsidRPr="00C90180">
        <w:rPr>
          <w:rFonts w:cs="Tahoma"/>
          <w:szCs w:val="20"/>
        </w:rPr>
        <w:t xml:space="preserve">Projektant v této studii proveditelnosti </w:t>
      </w:r>
      <w:r w:rsidR="00C217A4">
        <w:rPr>
          <w:rFonts w:cs="Tahoma"/>
          <w:szCs w:val="20"/>
        </w:rPr>
        <w:t>uvažoval dva projektové stavy</w:t>
      </w:r>
      <w:r w:rsidR="00E6560E">
        <w:rPr>
          <w:rFonts w:cs="Tahoma"/>
          <w:szCs w:val="20"/>
        </w:rPr>
        <w:t>. Minimální varianta má nepochybné přínosy</w:t>
      </w:r>
      <w:r w:rsidR="00C217A4">
        <w:rPr>
          <w:rFonts w:cs="Tahoma"/>
          <w:szCs w:val="20"/>
        </w:rPr>
        <w:t>, především v oblasti personálních úspor</w:t>
      </w:r>
      <w:r w:rsidR="00E6560E">
        <w:rPr>
          <w:rFonts w:cs="Tahoma"/>
          <w:szCs w:val="20"/>
        </w:rPr>
        <w:t>, zlepšení přístupu cestujících k vlakům</w:t>
      </w:r>
      <w:r w:rsidR="00C217A4">
        <w:rPr>
          <w:rFonts w:cs="Tahoma"/>
          <w:szCs w:val="20"/>
        </w:rPr>
        <w:t xml:space="preserve"> a umožňuje dálkové řízení provozu na celé tratiZásadní vliv na zvýšení propustnosti tratě však nemá. </w:t>
      </w:r>
      <w:r w:rsidRPr="00C217A4">
        <w:rPr>
          <w:rFonts w:cs="Tahoma"/>
          <w:szCs w:val="20"/>
        </w:rPr>
        <w:t>Plné odstranění všech stávajících nedostatků, které jsou vyjmenovány v úvodu v</w:t>
      </w:r>
      <w:r w:rsidR="00C90180" w:rsidRPr="00C217A4">
        <w:rPr>
          <w:rFonts w:cs="Tahoma"/>
          <w:szCs w:val="20"/>
        </w:rPr>
        <w:t> </w:t>
      </w:r>
      <w:r w:rsidRPr="00C217A4">
        <w:rPr>
          <w:rFonts w:cs="Tahoma"/>
          <w:szCs w:val="20"/>
        </w:rPr>
        <w:t>kapitole</w:t>
      </w:r>
      <w:r w:rsidR="00C90180" w:rsidRPr="00C217A4">
        <w:rPr>
          <w:rFonts w:cs="Tahoma"/>
          <w:szCs w:val="20"/>
        </w:rPr>
        <w:t xml:space="preserve"> č. </w:t>
      </w:r>
      <w:r w:rsidR="00B52A13" w:rsidRPr="00C217A4">
        <w:fldChar w:fldCharType="begin"/>
      </w:r>
      <w:r w:rsidR="00B52A13" w:rsidRPr="00C217A4">
        <w:instrText xml:space="preserve"> REF _Ref346635058 \n \h  \* MERGEFORMAT </w:instrText>
      </w:r>
      <w:r w:rsidR="00B52A13" w:rsidRPr="00C217A4">
        <w:fldChar w:fldCharType="separate"/>
      </w:r>
      <w:r w:rsidR="003843F3" w:rsidRPr="003843F3">
        <w:rPr>
          <w:rFonts w:cs="Tahoma"/>
          <w:szCs w:val="20"/>
        </w:rPr>
        <w:t>1.7</w:t>
      </w:r>
      <w:r w:rsidR="00B52A13" w:rsidRPr="00C217A4">
        <w:fldChar w:fldCharType="end"/>
      </w:r>
      <w:r w:rsidRPr="00C217A4">
        <w:rPr>
          <w:rFonts w:cs="Tahoma"/>
          <w:szCs w:val="20"/>
        </w:rPr>
        <w:t xml:space="preserve">, přináší varianta Maximální. Z více důvodů (financování stavby, projektová připravenost, projednání se zainteresovanými subjekty, proces EIA atd.) však přímá realizace této varianty nepřichází v úvahu, resp. nelze stihnout tak rozsáhlou stavbu zahájit v období trvání Operačního programu doprava 1. Proto </w:t>
      </w:r>
      <w:r w:rsidR="00C217A4">
        <w:rPr>
          <w:rFonts w:cs="Tahoma"/>
          <w:szCs w:val="20"/>
        </w:rPr>
        <w:t>projektant doplňkově uvažuje i Etapu, což není samostatná projektová varianta, ale zařazena je z toho důvodu, že se jedná o stavbu, která je připravena k realizaci z prostředků OPD 1. Postupně se předpokládá příprav</w:t>
      </w:r>
      <w:r w:rsidR="00E6560E">
        <w:rPr>
          <w:rFonts w:cs="Tahoma"/>
          <w:szCs w:val="20"/>
        </w:rPr>
        <w:t>a</w:t>
      </w:r>
      <w:r w:rsidR="00C217A4">
        <w:rPr>
          <w:rFonts w:cs="Tahoma"/>
          <w:szCs w:val="20"/>
        </w:rPr>
        <w:t xml:space="preserve"> a realizac</w:t>
      </w:r>
      <w:r w:rsidR="00E6560E">
        <w:rPr>
          <w:rFonts w:cs="Tahoma"/>
          <w:szCs w:val="20"/>
        </w:rPr>
        <w:t>e</w:t>
      </w:r>
      <w:r w:rsidR="00C217A4">
        <w:rPr>
          <w:rFonts w:cs="Tahoma"/>
          <w:szCs w:val="20"/>
        </w:rPr>
        <w:t xml:space="preserve"> dalších staveb</w:t>
      </w:r>
      <w:r w:rsidR="00E6560E">
        <w:rPr>
          <w:rFonts w:cs="Tahoma"/>
          <w:szCs w:val="20"/>
        </w:rPr>
        <w:t xml:space="preserve"> v rámci Maximální varianty. </w:t>
      </w:r>
    </w:p>
    <w:p w:rsidR="003A4ED1" w:rsidRPr="00C90180" w:rsidRDefault="003A4ED1" w:rsidP="003A4ED1">
      <w:pPr>
        <w:spacing w:line="312" w:lineRule="auto"/>
        <w:rPr>
          <w:rFonts w:cs="Tahoma"/>
          <w:szCs w:val="20"/>
        </w:rPr>
      </w:pPr>
      <w:r w:rsidRPr="0039661D">
        <w:rPr>
          <w:rFonts w:cs="Tahoma"/>
          <w:szCs w:val="20"/>
        </w:rPr>
        <w:t xml:space="preserve">Následující stručný přehled ukazuje účinky </w:t>
      </w:r>
      <w:r w:rsidR="0039661D">
        <w:rPr>
          <w:rFonts w:cs="Tahoma"/>
          <w:szCs w:val="20"/>
        </w:rPr>
        <w:t xml:space="preserve">obou </w:t>
      </w:r>
      <w:r w:rsidRPr="0039661D">
        <w:rPr>
          <w:rFonts w:cs="Tahoma"/>
          <w:szCs w:val="20"/>
        </w:rPr>
        <w:t>variant</w:t>
      </w:r>
      <w:r w:rsidR="0039661D">
        <w:rPr>
          <w:rFonts w:cs="Tahoma"/>
          <w:szCs w:val="20"/>
        </w:rPr>
        <w:t xml:space="preserve"> i Etapy</w:t>
      </w:r>
      <w:r w:rsidRPr="0039661D">
        <w:rPr>
          <w:rFonts w:cs="Tahoma"/>
          <w:szCs w:val="20"/>
        </w:rPr>
        <w:t>. N</w:t>
      </w:r>
      <w:r w:rsidRPr="00C90180">
        <w:rPr>
          <w:rFonts w:cs="Tahoma"/>
          <w:szCs w:val="20"/>
        </w:rPr>
        <w:t xml:space="preserve">ejedná se o kompletní multikriteriální analýzu, je to srovnání variant </w:t>
      </w:r>
      <w:r w:rsidR="002032DF" w:rsidRPr="00092F1A">
        <w:rPr>
          <w:rFonts w:cs="Tahoma"/>
          <w:szCs w:val="20"/>
          <w:u w:val="single"/>
        </w:rPr>
        <w:t>metodou SbS</w:t>
      </w:r>
      <w:r w:rsidRPr="00C90180">
        <w:rPr>
          <w:rFonts w:cs="Tahoma"/>
          <w:szCs w:val="20"/>
        </w:rPr>
        <w:t xml:space="preserve"> (side by side). Nejsou tedy stanoveny váhy jednotlivých kritérií, ani není míra jejich plnění vyjádřena číselně:</w:t>
      </w:r>
    </w:p>
    <w:p w:rsidR="0022375E" w:rsidRDefault="0022375E">
      <w:r>
        <w:rPr>
          <w:b/>
        </w:rP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9"/>
        <w:gridCol w:w="1433"/>
        <w:gridCol w:w="4678"/>
        <w:gridCol w:w="1276"/>
      </w:tblGrid>
      <w:tr w:rsidR="003A4ED1" w:rsidRPr="00C90180" w:rsidTr="0022375E">
        <w:tc>
          <w:tcPr>
            <w:tcW w:w="9356" w:type="dxa"/>
            <w:gridSpan w:val="4"/>
            <w:tcBorders>
              <w:bottom w:val="single" w:sz="4" w:space="0" w:color="auto"/>
            </w:tcBorders>
            <w:shd w:val="clear" w:color="auto" w:fill="auto"/>
          </w:tcPr>
          <w:p w:rsidR="003A4ED1" w:rsidRPr="00C90180" w:rsidRDefault="003A4ED1" w:rsidP="0022375E">
            <w:pPr>
              <w:pStyle w:val="Titulek"/>
            </w:pPr>
            <w:bookmarkStart w:id="369" w:name="_Toc390958804"/>
            <w:bookmarkStart w:id="370" w:name="_Toc391034608"/>
            <w:r w:rsidRPr="00C90180">
              <w:t xml:space="preserve">Tab. </w:t>
            </w:r>
            <w:r w:rsidR="000E79AE">
              <w:fldChar w:fldCharType="begin"/>
            </w:r>
            <w:r w:rsidR="000E79AE">
              <w:instrText xml:space="preserve"> STYLEREF 1 \s </w:instrText>
            </w:r>
            <w:r w:rsidR="000E79AE">
              <w:fldChar w:fldCharType="separate"/>
            </w:r>
            <w:r w:rsidR="003843F3">
              <w:rPr>
                <w:noProof/>
              </w:rPr>
              <w:t>8</w:t>
            </w:r>
            <w:r w:rsidR="000E79AE">
              <w:fldChar w:fldCharType="end"/>
            </w:r>
            <w:r w:rsidR="000E79AE">
              <w:noBreakHyphen/>
            </w:r>
            <w:r w:rsidR="000E79AE">
              <w:fldChar w:fldCharType="begin"/>
            </w:r>
            <w:r w:rsidR="000E79AE">
              <w:instrText xml:space="preserve"> SEQ Tab. \* ARABIC \s 1 </w:instrText>
            </w:r>
            <w:r w:rsidR="000E79AE">
              <w:fldChar w:fldCharType="separate"/>
            </w:r>
            <w:r w:rsidR="003843F3">
              <w:rPr>
                <w:noProof/>
              </w:rPr>
              <w:t>1</w:t>
            </w:r>
            <w:r w:rsidR="000E79AE">
              <w:fldChar w:fldCharType="end"/>
            </w:r>
            <w:r w:rsidRPr="00C90180">
              <w:t>: Srovnání přínosů jednotlivých variant</w:t>
            </w:r>
            <w:bookmarkEnd w:id="369"/>
            <w:bookmarkEnd w:id="370"/>
          </w:p>
        </w:tc>
      </w:tr>
      <w:tr w:rsidR="003A4ED1" w:rsidRPr="00C90180" w:rsidTr="0022375E">
        <w:tc>
          <w:tcPr>
            <w:tcW w:w="1969" w:type="dxa"/>
            <w:tcBorders>
              <w:bottom w:val="single" w:sz="4" w:space="0" w:color="auto"/>
            </w:tcBorders>
            <w:shd w:val="pct15" w:color="auto" w:fill="auto"/>
            <w:vAlign w:val="center"/>
          </w:tcPr>
          <w:p w:rsidR="003A4ED1" w:rsidRPr="0022375E" w:rsidRDefault="0022375E" w:rsidP="0022375E">
            <w:pPr>
              <w:spacing w:before="100" w:beforeAutospacing="1" w:after="100" w:afterAutospacing="1"/>
              <w:jc w:val="center"/>
              <w:rPr>
                <w:rFonts w:cs="Tahoma"/>
                <w:b/>
                <w:sz w:val="18"/>
                <w:szCs w:val="18"/>
              </w:rPr>
            </w:pPr>
            <w:r w:rsidRPr="0022375E">
              <w:rPr>
                <w:rFonts w:cs="Tahoma"/>
                <w:b/>
                <w:sz w:val="18"/>
                <w:szCs w:val="18"/>
              </w:rPr>
              <w:t>H</w:t>
            </w:r>
            <w:r w:rsidR="003A4ED1" w:rsidRPr="0022375E">
              <w:rPr>
                <w:rFonts w:cs="Tahoma"/>
                <w:b/>
                <w:sz w:val="18"/>
                <w:szCs w:val="18"/>
              </w:rPr>
              <w:t>ledisko</w:t>
            </w:r>
          </w:p>
        </w:tc>
        <w:tc>
          <w:tcPr>
            <w:tcW w:w="1433" w:type="dxa"/>
            <w:tcBorders>
              <w:bottom w:val="single" w:sz="12" w:space="0" w:color="auto"/>
            </w:tcBorders>
            <w:shd w:val="pct15" w:color="auto" w:fill="auto"/>
            <w:vAlign w:val="center"/>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varianta</w:t>
            </w:r>
          </w:p>
        </w:tc>
        <w:tc>
          <w:tcPr>
            <w:tcW w:w="4678" w:type="dxa"/>
            <w:tcBorders>
              <w:bottom w:val="single" w:sz="12" w:space="0" w:color="auto"/>
            </w:tcBorders>
            <w:shd w:val="pct15" w:color="auto" w:fill="auto"/>
            <w:vAlign w:val="center"/>
          </w:tcPr>
          <w:p w:rsidR="003A4ED1" w:rsidRPr="0022375E" w:rsidRDefault="003A4ED1" w:rsidP="0022375E">
            <w:pPr>
              <w:spacing w:before="100" w:beforeAutospacing="1" w:after="100" w:afterAutospacing="1"/>
              <w:jc w:val="center"/>
              <w:rPr>
                <w:rFonts w:cs="Tahoma"/>
                <w:b/>
                <w:sz w:val="18"/>
                <w:szCs w:val="18"/>
              </w:rPr>
            </w:pPr>
            <w:r w:rsidRPr="0022375E">
              <w:rPr>
                <w:rFonts w:cs="Tahoma"/>
                <w:b/>
                <w:sz w:val="18"/>
                <w:szCs w:val="18"/>
              </w:rPr>
              <w:t>popis řešení</w:t>
            </w:r>
          </w:p>
        </w:tc>
        <w:tc>
          <w:tcPr>
            <w:tcW w:w="1276" w:type="dxa"/>
            <w:tcBorders>
              <w:bottom w:val="single" w:sz="12" w:space="0" w:color="auto"/>
            </w:tcBorders>
            <w:shd w:val="pct15" w:color="auto" w:fill="auto"/>
            <w:vAlign w:val="center"/>
          </w:tcPr>
          <w:p w:rsidR="003A4ED1" w:rsidRPr="0022375E" w:rsidRDefault="003A4ED1" w:rsidP="0022375E">
            <w:pPr>
              <w:spacing w:before="100" w:beforeAutospacing="1" w:after="100" w:afterAutospacing="1"/>
              <w:jc w:val="center"/>
              <w:rPr>
                <w:rFonts w:cs="Tahoma"/>
                <w:b/>
                <w:sz w:val="18"/>
                <w:szCs w:val="18"/>
              </w:rPr>
            </w:pPr>
            <w:r w:rsidRPr="0022375E">
              <w:rPr>
                <w:rFonts w:cs="Tahoma"/>
                <w:b/>
                <w:sz w:val="18"/>
                <w:szCs w:val="18"/>
              </w:rPr>
              <w:t>splňuje ano/ne</w:t>
            </w:r>
          </w:p>
        </w:tc>
      </w:tr>
      <w:tr w:rsidR="003A4ED1" w:rsidRPr="00C90180" w:rsidTr="0022375E">
        <w:tc>
          <w:tcPr>
            <w:tcW w:w="1969" w:type="dxa"/>
            <w:vMerge w:val="restart"/>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zvýšení traťové rychlosti</w:t>
            </w:r>
          </w:p>
        </w:tc>
        <w:tc>
          <w:tcPr>
            <w:tcW w:w="1433" w:type="dxa"/>
            <w:tcBorders>
              <w:top w:val="single" w:sz="12" w:space="0" w:color="auto"/>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Minimální</w:t>
            </w:r>
          </w:p>
        </w:tc>
        <w:tc>
          <w:tcPr>
            <w:tcW w:w="4678" w:type="dxa"/>
            <w:tcBorders>
              <w:top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 xml:space="preserve">traťová rychlost zůstává </w:t>
            </w:r>
            <w:smartTag w:uri="urn:schemas-microsoft-com:office:smarttags" w:element="metricconverter">
              <w:smartTagPr>
                <w:attr w:name="ProductID" w:val="100ﾠkm/hod"/>
              </w:smartTagPr>
              <w:r w:rsidRPr="0022375E">
                <w:rPr>
                  <w:rFonts w:cs="Tahoma"/>
                  <w:sz w:val="18"/>
                  <w:szCs w:val="18"/>
                </w:rPr>
                <w:t>100 km/hod</w:t>
              </w:r>
            </w:smartTag>
          </w:p>
        </w:tc>
        <w:tc>
          <w:tcPr>
            <w:tcW w:w="1276" w:type="dxa"/>
            <w:tcBorders>
              <w:top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ne</w:t>
            </w:r>
          </w:p>
        </w:tc>
      </w:tr>
      <w:tr w:rsidR="0022375E" w:rsidRPr="00C90180" w:rsidTr="0022375E">
        <w:trPr>
          <w:trHeight w:val="531"/>
        </w:trPr>
        <w:tc>
          <w:tcPr>
            <w:tcW w:w="1969" w:type="dxa"/>
            <w:vMerge/>
            <w:tcBorders>
              <w:right w:val="single" w:sz="12" w:space="0" w:color="auto"/>
            </w:tcBorders>
            <w:shd w:val="pct15" w:color="auto" w:fill="auto"/>
          </w:tcPr>
          <w:p w:rsidR="0022375E" w:rsidRPr="0022375E" w:rsidRDefault="0022375E" w:rsidP="0022375E">
            <w:pPr>
              <w:spacing w:before="100" w:beforeAutospacing="1" w:after="100" w:afterAutospacing="1"/>
              <w:jc w:val="left"/>
              <w:rPr>
                <w:rFonts w:cs="Tahoma"/>
                <w:b/>
                <w:sz w:val="18"/>
                <w:szCs w:val="18"/>
              </w:rPr>
            </w:pPr>
          </w:p>
        </w:tc>
        <w:tc>
          <w:tcPr>
            <w:tcW w:w="1433" w:type="dxa"/>
            <w:tcBorders>
              <w:left w:val="single" w:sz="12" w:space="0" w:color="auto"/>
            </w:tcBorders>
            <w:shd w:val="clear" w:color="auto" w:fill="auto"/>
          </w:tcPr>
          <w:p w:rsidR="0022375E" w:rsidRPr="0022375E" w:rsidRDefault="0022375E" w:rsidP="0022375E">
            <w:pPr>
              <w:spacing w:before="100" w:beforeAutospacing="1" w:after="100" w:afterAutospacing="1"/>
              <w:jc w:val="left"/>
              <w:rPr>
                <w:rFonts w:cs="Tahoma"/>
                <w:b/>
                <w:bCs/>
                <w:kern w:val="28"/>
                <w:sz w:val="18"/>
                <w:szCs w:val="18"/>
              </w:rPr>
            </w:pPr>
            <w:r w:rsidRPr="0022375E">
              <w:rPr>
                <w:rFonts w:cs="Tahoma"/>
                <w:sz w:val="18"/>
                <w:szCs w:val="18"/>
              </w:rPr>
              <w:t>Etapa</w:t>
            </w:r>
          </w:p>
        </w:tc>
        <w:tc>
          <w:tcPr>
            <w:tcW w:w="4678" w:type="dxa"/>
            <w:shd w:val="clear" w:color="auto" w:fill="auto"/>
          </w:tcPr>
          <w:p w:rsidR="0022375E" w:rsidRPr="0022375E" w:rsidRDefault="0022375E" w:rsidP="0022375E">
            <w:pPr>
              <w:spacing w:before="100" w:beforeAutospacing="1" w:after="100" w:afterAutospacing="1"/>
              <w:jc w:val="left"/>
              <w:rPr>
                <w:rFonts w:cs="Tahoma"/>
                <w:sz w:val="18"/>
                <w:szCs w:val="18"/>
              </w:rPr>
            </w:pPr>
            <w:r w:rsidRPr="0022375E">
              <w:rPr>
                <w:rFonts w:cs="Tahoma"/>
                <w:sz w:val="18"/>
                <w:szCs w:val="18"/>
              </w:rPr>
              <w:t xml:space="preserve">v úseku Stéblová – Opatovice nad Lab. </w:t>
            </w:r>
            <w:smartTag w:uri="urn:schemas-microsoft-com:office:smarttags" w:element="metricconverter">
              <w:smartTagPr>
                <w:attr w:name="ProductID" w:val="160ﾠkm/hod"/>
              </w:smartTagPr>
              <w:r w:rsidRPr="0022375E">
                <w:rPr>
                  <w:rFonts w:cs="Tahoma"/>
                  <w:sz w:val="18"/>
                  <w:szCs w:val="18"/>
                </w:rPr>
                <w:t>160 km/hod</w:t>
              </w:r>
            </w:smartTag>
            <w:r w:rsidRPr="0022375E">
              <w:rPr>
                <w:rFonts w:cs="Tahoma"/>
                <w:sz w:val="18"/>
                <w:szCs w:val="18"/>
              </w:rPr>
              <w:t xml:space="preserve">, v ostatních úsecích nejvýše </w:t>
            </w:r>
            <w:smartTag w:uri="urn:schemas-microsoft-com:office:smarttags" w:element="metricconverter">
              <w:smartTagPr>
                <w:attr w:name="ProductID" w:val="100ﾠkm/hod"/>
              </w:smartTagPr>
              <w:r w:rsidRPr="0022375E">
                <w:rPr>
                  <w:rFonts w:cs="Tahoma"/>
                  <w:sz w:val="18"/>
                  <w:szCs w:val="18"/>
                </w:rPr>
                <w:t>100 km/hod</w:t>
              </w:r>
            </w:smartTag>
          </w:p>
        </w:tc>
        <w:tc>
          <w:tcPr>
            <w:tcW w:w="1276" w:type="dxa"/>
            <w:shd w:val="clear" w:color="auto" w:fill="auto"/>
          </w:tcPr>
          <w:p w:rsidR="0022375E" w:rsidRPr="0022375E" w:rsidRDefault="0022375E" w:rsidP="0022375E">
            <w:pPr>
              <w:spacing w:before="100" w:beforeAutospacing="1" w:after="100" w:afterAutospacing="1"/>
              <w:jc w:val="left"/>
              <w:rPr>
                <w:rFonts w:cs="Tahoma"/>
                <w:sz w:val="18"/>
                <w:szCs w:val="18"/>
              </w:rPr>
            </w:pPr>
            <w:r w:rsidRPr="0022375E">
              <w:rPr>
                <w:rFonts w:cs="Tahoma"/>
                <w:sz w:val="18"/>
                <w:szCs w:val="18"/>
              </w:rPr>
              <w:t>spíše ne</w:t>
            </w:r>
          </w:p>
        </w:tc>
      </w:tr>
      <w:tr w:rsidR="003A4ED1" w:rsidRPr="00C90180" w:rsidTr="0022375E">
        <w:tc>
          <w:tcPr>
            <w:tcW w:w="1969" w:type="dxa"/>
            <w:vMerge/>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Maximální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 xml:space="preserve">na celé trati až </w:t>
            </w:r>
            <w:smartTag w:uri="urn:schemas-microsoft-com:office:smarttags" w:element="metricconverter">
              <w:smartTagPr>
                <w:attr w:name="ProductID" w:val="160ﾠkm/hod"/>
              </w:smartTagPr>
              <w:r w:rsidRPr="0022375E">
                <w:rPr>
                  <w:rFonts w:cs="Tahoma"/>
                  <w:sz w:val="18"/>
                  <w:szCs w:val="18"/>
                </w:rPr>
                <w:t>160 km/hod</w:t>
              </w:r>
            </w:smartTag>
          </w:p>
        </w:tc>
        <w:tc>
          <w:tcPr>
            <w:tcW w:w="1276" w:type="dxa"/>
            <w:shd w:val="clear"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ano</w:t>
            </w:r>
          </w:p>
        </w:tc>
      </w:tr>
      <w:tr w:rsidR="003A4ED1" w:rsidRPr="00C90180" w:rsidTr="0022375E">
        <w:tc>
          <w:tcPr>
            <w:tcW w:w="1969" w:type="dxa"/>
            <w:vMerge w:val="restart"/>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nová staniční zabezpečovací zařízení</w:t>
            </w: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Minimální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všude nahrazeno elektronickými stavědly</w:t>
            </w:r>
          </w:p>
        </w:tc>
        <w:tc>
          <w:tcPr>
            <w:tcW w:w="1276" w:type="dxa"/>
            <w:shd w:val="clear"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ano</w:t>
            </w:r>
          </w:p>
        </w:tc>
      </w:tr>
      <w:tr w:rsidR="0022375E" w:rsidRPr="00C90180" w:rsidTr="0022375E">
        <w:trPr>
          <w:trHeight w:val="782"/>
        </w:trPr>
        <w:tc>
          <w:tcPr>
            <w:tcW w:w="1969" w:type="dxa"/>
            <w:vMerge/>
            <w:tcBorders>
              <w:right w:val="single" w:sz="12" w:space="0" w:color="auto"/>
            </w:tcBorders>
            <w:shd w:val="pct15" w:color="auto" w:fill="auto"/>
          </w:tcPr>
          <w:p w:rsidR="0022375E" w:rsidRPr="0022375E" w:rsidRDefault="0022375E" w:rsidP="0022375E">
            <w:pPr>
              <w:spacing w:before="100" w:beforeAutospacing="1" w:after="100" w:afterAutospacing="1"/>
              <w:jc w:val="left"/>
              <w:rPr>
                <w:rFonts w:cs="Tahoma"/>
                <w:b/>
                <w:sz w:val="18"/>
                <w:szCs w:val="18"/>
              </w:rPr>
            </w:pPr>
          </w:p>
        </w:tc>
        <w:tc>
          <w:tcPr>
            <w:tcW w:w="1433" w:type="dxa"/>
            <w:tcBorders>
              <w:left w:val="single" w:sz="12" w:space="0" w:color="auto"/>
            </w:tcBorders>
            <w:shd w:val="clear" w:color="auto" w:fill="auto"/>
          </w:tcPr>
          <w:p w:rsidR="0022375E" w:rsidRPr="0022375E" w:rsidRDefault="0022375E" w:rsidP="0022375E">
            <w:pPr>
              <w:spacing w:before="100" w:beforeAutospacing="1" w:after="100" w:afterAutospacing="1"/>
              <w:jc w:val="left"/>
              <w:rPr>
                <w:rFonts w:cs="Tahoma"/>
                <w:b/>
                <w:bCs/>
                <w:kern w:val="28"/>
                <w:sz w:val="18"/>
                <w:szCs w:val="18"/>
              </w:rPr>
            </w:pPr>
            <w:r w:rsidRPr="0022375E">
              <w:rPr>
                <w:rFonts w:cs="Tahoma"/>
                <w:sz w:val="18"/>
                <w:szCs w:val="18"/>
              </w:rPr>
              <w:t>Etapa</w:t>
            </w:r>
          </w:p>
        </w:tc>
        <w:tc>
          <w:tcPr>
            <w:tcW w:w="4678" w:type="dxa"/>
            <w:shd w:val="clear" w:color="auto" w:fill="auto"/>
          </w:tcPr>
          <w:p w:rsidR="0022375E" w:rsidRPr="0022375E" w:rsidRDefault="0022375E" w:rsidP="0022375E">
            <w:pPr>
              <w:spacing w:before="100" w:beforeAutospacing="1" w:after="100" w:afterAutospacing="1"/>
              <w:jc w:val="left"/>
              <w:rPr>
                <w:rFonts w:cs="Tahoma"/>
                <w:sz w:val="18"/>
                <w:szCs w:val="18"/>
              </w:rPr>
            </w:pPr>
            <w:r w:rsidRPr="0022375E">
              <w:rPr>
                <w:rFonts w:cs="Tahoma"/>
                <w:sz w:val="18"/>
                <w:szCs w:val="18"/>
              </w:rPr>
              <w:t>Pardubice-Rosice nad Lab. a Hradec Králové hl.n. bez zásahu – zůstává elektromechanické zabezpečovací zařízení</w:t>
            </w:r>
          </w:p>
        </w:tc>
        <w:tc>
          <w:tcPr>
            <w:tcW w:w="1276" w:type="dxa"/>
            <w:shd w:val="clear" w:color="auto" w:fill="auto"/>
          </w:tcPr>
          <w:p w:rsidR="0022375E" w:rsidRPr="0022375E" w:rsidRDefault="0022375E" w:rsidP="0022375E">
            <w:pPr>
              <w:spacing w:before="100" w:beforeAutospacing="1" w:after="100" w:afterAutospacing="1"/>
              <w:jc w:val="left"/>
              <w:rPr>
                <w:rFonts w:cs="Tahoma"/>
                <w:sz w:val="18"/>
                <w:szCs w:val="18"/>
              </w:rPr>
            </w:pPr>
            <w:r w:rsidRPr="0022375E">
              <w:rPr>
                <w:rFonts w:cs="Tahoma"/>
                <w:sz w:val="18"/>
                <w:szCs w:val="18"/>
              </w:rPr>
              <w:t>částečně ano</w:t>
            </w:r>
          </w:p>
        </w:tc>
      </w:tr>
      <w:tr w:rsidR="003A4ED1" w:rsidRPr="00C90180" w:rsidTr="0022375E">
        <w:tc>
          <w:tcPr>
            <w:tcW w:w="1969" w:type="dxa"/>
            <w:vMerge/>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Maximální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všude nahrazeno elektronickými stavědly</w:t>
            </w:r>
          </w:p>
        </w:tc>
        <w:tc>
          <w:tcPr>
            <w:tcW w:w="1276" w:type="dxa"/>
            <w:shd w:val="clear"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ano</w:t>
            </w:r>
          </w:p>
        </w:tc>
      </w:tr>
      <w:tr w:rsidR="003A4ED1" w:rsidRPr="00C90180" w:rsidTr="0022375E">
        <w:tc>
          <w:tcPr>
            <w:tcW w:w="1969" w:type="dxa"/>
            <w:vMerge w:val="restart"/>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nová traťové zabezpečovací zařízení</w:t>
            </w: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Minimální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v celém úseku automatické hradlo</w:t>
            </w:r>
          </w:p>
        </w:tc>
        <w:tc>
          <w:tcPr>
            <w:tcW w:w="1276" w:type="dxa"/>
            <w:shd w:val="clear"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ano</w:t>
            </w:r>
          </w:p>
        </w:tc>
      </w:tr>
      <w:tr w:rsidR="0022375E" w:rsidRPr="00C90180" w:rsidTr="0022375E">
        <w:trPr>
          <w:trHeight w:val="782"/>
        </w:trPr>
        <w:tc>
          <w:tcPr>
            <w:tcW w:w="1969" w:type="dxa"/>
            <w:vMerge/>
            <w:tcBorders>
              <w:right w:val="single" w:sz="12" w:space="0" w:color="auto"/>
            </w:tcBorders>
            <w:shd w:val="pct15" w:color="auto" w:fill="auto"/>
          </w:tcPr>
          <w:p w:rsidR="0022375E" w:rsidRPr="0022375E" w:rsidRDefault="0022375E" w:rsidP="0022375E">
            <w:pPr>
              <w:spacing w:before="100" w:beforeAutospacing="1" w:after="100" w:afterAutospacing="1"/>
              <w:jc w:val="left"/>
              <w:rPr>
                <w:rFonts w:cs="Tahoma"/>
                <w:b/>
                <w:sz w:val="18"/>
                <w:szCs w:val="18"/>
              </w:rPr>
            </w:pPr>
          </w:p>
        </w:tc>
        <w:tc>
          <w:tcPr>
            <w:tcW w:w="1433" w:type="dxa"/>
            <w:tcBorders>
              <w:left w:val="single" w:sz="12" w:space="0" w:color="auto"/>
            </w:tcBorders>
            <w:shd w:val="clear" w:color="auto" w:fill="auto"/>
          </w:tcPr>
          <w:p w:rsidR="0022375E" w:rsidRPr="0022375E" w:rsidRDefault="0022375E" w:rsidP="0022375E">
            <w:pPr>
              <w:spacing w:before="100" w:beforeAutospacing="1" w:after="100" w:afterAutospacing="1"/>
              <w:jc w:val="left"/>
              <w:rPr>
                <w:rFonts w:cs="Tahoma"/>
                <w:b/>
                <w:bCs/>
                <w:kern w:val="28"/>
                <w:sz w:val="18"/>
                <w:szCs w:val="18"/>
              </w:rPr>
            </w:pPr>
            <w:r w:rsidRPr="0022375E">
              <w:rPr>
                <w:rFonts w:cs="Tahoma"/>
                <w:sz w:val="18"/>
                <w:szCs w:val="18"/>
              </w:rPr>
              <w:t>Etapa</w:t>
            </w:r>
          </w:p>
        </w:tc>
        <w:tc>
          <w:tcPr>
            <w:tcW w:w="4678" w:type="dxa"/>
            <w:shd w:val="clear" w:color="auto" w:fill="auto"/>
          </w:tcPr>
          <w:p w:rsidR="0022375E" w:rsidRPr="0022375E" w:rsidRDefault="0022375E" w:rsidP="0022375E">
            <w:pPr>
              <w:spacing w:before="100" w:beforeAutospacing="1" w:after="100" w:afterAutospacing="1"/>
              <w:jc w:val="left"/>
              <w:rPr>
                <w:rFonts w:cs="Tahoma"/>
                <w:sz w:val="18"/>
                <w:szCs w:val="18"/>
              </w:rPr>
            </w:pPr>
            <w:r w:rsidRPr="0022375E">
              <w:rPr>
                <w:rFonts w:cs="Tahoma"/>
                <w:sz w:val="18"/>
                <w:szCs w:val="18"/>
              </w:rPr>
              <w:t>Stéblová – Opatovice autoblok, v úseku Pardubice hl.n. – Pardubice-Rosice automatické hradlo staršího typu, v ostatních úsecích nové automatické hradlo</w:t>
            </w:r>
          </w:p>
        </w:tc>
        <w:tc>
          <w:tcPr>
            <w:tcW w:w="1276" w:type="dxa"/>
            <w:shd w:val="clear" w:color="auto" w:fill="auto"/>
          </w:tcPr>
          <w:p w:rsidR="0022375E" w:rsidRPr="0022375E" w:rsidRDefault="0022375E" w:rsidP="0022375E">
            <w:pPr>
              <w:spacing w:before="100" w:beforeAutospacing="1" w:after="100" w:afterAutospacing="1"/>
              <w:jc w:val="left"/>
              <w:rPr>
                <w:rFonts w:cs="Tahoma"/>
                <w:sz w:val="18"/>
                <w:szCs w:val="18"/>
              </w:rPr>
            </w:pPr>
            <w:r w:rsidRPr="0022375E">
              <w:rPr>
                <w:rFonts w:cs="Tahoma"/>
                <w:sz w:val="18"/>
                <w:szCs w:val="18"/>
              </w:rPr>
              <w:t>částečně ano</w:t>
            </w:r>
          </w:p>
        </w:tc>
      </w:tr>
      <w:tr w:rsidR="003A4ED1" w:rsidRPr="00C90180" w:rsidTr="0022375E">
        <w:tc>
          <w:tcPr>
            <w:tcW w:w="1969" w:type="dxa"/>
            <w:vMerge/>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Maximální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na celé trati autoblok</w:t>
            </w:r>
          </w:p>
        </w:tc>
        <w:tc>
          <w:tcPr>
            <w:tcW w:w="1276"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b/>
                <w:sz w:val="18"/>
                <w:szCs w:val="18"/>
              </w:rPr>
              <w:t>ano</w:t>
            </w:r>
          </w:p>
        </w:tc>
      </w:tr>
      <w:tr w:rsidR="003A4ED1" w:rsidRPr="00C90180" w:rsidTr="0022375E">
        <w:tc>
          <w:tcPr>
            <w:tcW w:w="1969" w:type="dxa"/>
            <w:vMerge w:val="restart"/>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zhlaví žel. stanice Hradec Králové hlavní nádr.</w:t>
            </w: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Minimální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nedochází ke zlepšení, jen nutná obnova, V=40 km/hod</w:t>
            </w:r>
          </w:p>
        </w:tc>
        <w:tc>
          <w:tcPr>
            <w:tcW w:w="1276"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ne</w:t>
            </w:r>
          </w:p>
        </w:tc>
      </w:tr>
      <w:tr w:rsidR="0022375E" w:rsidRPr="00C90180" w:rsidTr="0022375E">
        <w:trPr>
          <w:trHeight w:val="531"/>
        </w:trPr>
        <w:tc>
          <w:tcPr>
            <w:tcW w:w="1969" w:type="dxa"/>
            <w:vMerge/>
            <w:tcBorders>
              <w:right w:val="single" w:sz="12" w:space="0" w:color="auto"/>
            </w:tcBorders>
            <w:shd w:val="pct15" w:color="auto" w:fill="auto"/>
          </w:tcPr>
          <w:p w:rsidR="0022375E" w:rsidRPr="0022375E" w:rsidRDefault="0022375E" w:rsidP="0022375E">
            <w:pPr>
              <w:spacing w:before="100" w:beforeAutospacing="1" w:after="100" w:afterAutospacing="1"/>
              <w:jc w:val="left"/>
              <w:rPr>
                <w:rFonts w:cs="Tahoma"/>
                <w:b/>
                <w:sz w:val="18"/>
                <w:szCs w:val="18"/>
              </w:rPr>
            </w:pPr>
          </w:p>
        </w:tc>
        <w:tc>
          <w:tcPr>
            <w:tcW w:w="1433" w:type="dxa"/>
            <w:tcBorders>
              <w:left w:val="single" w:sz="12" w:space="0" w:color="auto"/>
            </w:tcBorders>
            <w:shd w:val="clear" w:color="auto" w:fill="auto"/>
          </w:tcPr>
          <w:p w:rsidR="0022375E" w:rsidRPr="0022375E" w:rsidRDefault="0022375E" w:rsidP="0022375E">
            <w:pPr>
              <w:spacing w:before="100" w:beforeAutospacing="1" w:after="100" w:afterAutospacing="1"/>
              <w:jc w:val="left"/>
              <w:rPr>
                <w:rFonts w:cs="Tahoma"/>
                <w:b/>
                <w:bCs/>
                <w:kern w:val="28"/>
                <w:sz w:val="18"/>
                <w:szCs w:val="18"/>
              </w:rPr>
            </w:pPr>
            <w:r w:rsidRPr="0022375E">
              <w:rPr>
                <w:rFonts w:cs="Tahoma"/>
                <w:sz w:val="18"/>
                <w:szCs w:val="18"/>
              </w:rPr>
              <w:t>Etapa</w:t>
            </w:r>
          </w:p>
        </w:tc>
        <w:tc>
          <w:tcPr>
            <w:tcW w:w="4678" w:type="dxa"/>
            <w:shd w:val="clear" w:color="auto" w:fill="auto"/>
          </w:tcPr>
          <w:p w:rsidR="0022375E" w:rsidRPr="0022375E" w:rsidRDefault="0022375E" w:rsidP="0022375E">
            <w:pPr>
              <w:spacing w:before="100" w:beforeAutospacing="1" w:after="100" w:afterAutospacing="1"/>
              <w:jc w:val="left"/>
              <w:rPr>
                <w:rFonts w:cs="Tahoma"/>
                <w:sz w:val="18"/>
                <w:szCs w:val="18"/>
              </w:rPr>
            </w:pPr>
            <w:r w:rsidRPr="0022375E">
              <w:rPr>
                <w:rFonts w:cs="Tahoma"/>
                <w:sz w:val="18"/>
                <w:szCs w:val="18"/>
              </w:rPr>
              <w:t>nedochází ke zlepšení, jen nutná obnova, V=40 km/hod</w:t>
            </w:r>
          </w:p>
        </w:tc>
        <w:tc>
          <w:tcPr>
            <w:tcW w:w="1276" w:type="dxa"/>
            <w:shd w:val="clear" w:color="auto" w:fill="auto"/>
          </w:tcPr>
          <w:p w:rsidR="0022375E" w:rsidRPr="0022375E" w:rsidRDefault="0022375E" w:rsidP="0022375E">
            <w:pPr>
              <w:spacing w:before="100" w:beforeAutospacing="1" w:after="100" w:afterAutospacing="1"/>
              <w:jc w:val="left"/>
              <w:rPr>
                <w:rFonts w:cs="Tahoma"/>
                <w:sz w:val="18"/>
                <w:szCs w:val="18"/>
              </w:rPr>
            </w:pPr>
            <w:r w:rsidRPr="0022375E">
              <w:rPr>
                <w:rFonts w:cs="Tahoma"/>
                <w:sz w:val="18"/>
                <w:szCs w:val="18"/>
              </w:rPr>
              <w:t>ne</w:t>
            </w:r>
          </w:p>
        </w:tc>
      </w:tr>
      <w:tr w:rsidR="003A4ED1" w:rsidRPr="00C90180" w:rsidTr="0022375E">
        <w:tc>
          <w:tcPr>
            <w:tcW w:w="1969" w:type="dxa"/>
            <w:vMerge/>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Maximální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zhlaví rekonstruováno, V=100 km/hod  na koleje č. 1 a 2, na ostatní koleje V=80/60 km/hod</w:t>
            </w:r>
          </w:p>
        </w:tc>
        <w:tc>
          <w:tcPr>
            <w:tcW w:w="1276" w:type="dxa"/>
            <w:shd w:val="clear"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ano</w:t>
            </w:r>
          </w:p>
        </w:tc>
      </w:tr>
      <w:tr w:rsidR="003A4ED1" w:rsidRPr="00C90180" w:rsidTr="0022375E">
        <w:tc>
          <w:tcPr>
            <w:tcW w:w="1969" w:type="dxa"/>
            <w:vMerge w:val="restart"/>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možnost dálkového řízení provozu na celé trati</w:t>
            </w: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Minimální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nová zabezpečovací zařízení to umožňují (ale je potřeba zajistit bezpečnost cestujících v Opatovicích nad Labem)</w:t>
            </w:r>
          </w:p>
        </w:tc>
        <w:tc>
          <w:tcPr>
            <w:tcW w:w="1276" w:type="dxa"/>
            <w:shd w:val="clear" w:color="auto" w:fill="auto"/>
          </w:tcPr>
          <w:p w:rsidR="006819BA" w:rsidRPr="0022375E" w:rsidRDefault="000B07A4" w:rsidP="0022375E">
            <w:pPr>
              <w:spacing w:before="100" w:beforeAutospacing="1" w:after="100" w:afterAutospacing="1"/>
              <w:jc w:val="left"/>
              <w:rPr>
                <w:rFonts w:cs="Tahoma"/>
                <w:b/>
                <w:bCs/>
                <w:kern w:val="28"/>
                <w:sz w:val="18"/>
                <w:szCs w:val="18"/>
              </w:rPr>
            </w:pPr>
            <w:r w:rsidRPr="0022375E">
              <w:rPr>
                <w:rFonts w:cs="Tahoma"/>
                <w:sz w:val="18"/>
                <w:szCs w:val="18"/>
              </w:rPr>
              <w:t>spíše ano</w:t>
            </w:r>
          </w:p>
        </w:tc>
      </w:tr>
      <w:tr w:rsidR="0022375E" w:rsidRPr="00C90180" w:rsidTr="0022375E">
        <w:trPr>
          <w:trHeight w:val="531"/>
        </w:trPr>
        <w:tc>
          <w:tcPr>
            <w:tcW w:w="1969" w:type="dxa"/>
            <w:vMerge/>
            <w:tcBorders>
              <w:right w:val="single" w:sz="12" w:space="0" w:color="auto"/>
            </w:tcBorders>
            <w:shd w:val="pct15" w:color="auto" w:fill="auto"/>
          </w:tcPr>
          <w:p w:rsidR="0022375E" w:rsidRPr="0022375E" w:rsidRDefault="0022375E" w:rsidP="0022375E">
            <w:pPr>
              <w:spacing w:before="100" w:beforeAutospacing="1" w:after="100" w:afterAutospacing="1"/>
              <w:jc w:val="left"/>
              <w:rPr>
                <w:rFonts w:cs="Tahoma"/>
                <w:b/>
                <w:sz w:val="18"/>
                <w:szCs w:val="18"/>
              </w:rPr>
            </w:pPr>
          </w:p>
        </w:tc>
        <w:tc>
          <w:tcPr>
            <w:tcW w:w="1433" w:type="dxa"/>
            <w:tcBorders>
              <w:left w:val="single" w:sz="12" w:space="0" w:color="auto"/>
            </w:tcBorders>
            <w:shd w:val="clear" w:color="auto" w:fill="auto"/>
          </w:tcPr>
          <w:p w:rsidR="0022375E" w:rsidRPr="0022375E" w:rsidRDefault="0022375E" w:rsidP="0022375E">
            <w:pPr>
              <w:spacing w:before="100" w:beforeAutospacing="1" w:after="100" w:afterAutospacing="1"/>
              <w:jc w:val="left"/>
              <w:rPr>
                <w:rFonts w:cs="Tahoma"/>
                <w:b/>
                <w:bCs/>
                <w:kern w:val="28"/>
                <w:sz w:val="18"/>
                <w:szCs w:val="18"/>
              </w:rPr>
            </w:pPr>
            <w:r w:rsidRPr="0022375E">
              <w:rPr>
                <w:rFonts w:cs="Tahoma"/>
                <w:sz w:val="18"/>
                <w:szCs w:val="18"/>
              </w:rPr>
              <w:t>Etapa</w:t>
            </w:r>
          </w:p>
        </w:tc>
        <w:tc>
          <w:tcPr>
            <w:tcW w:w="4678" w:type="dxa"/>
            <w:shd w:val="clear" w:color="auto" w:fill="auto"/>
          </w:tcPr>
          <w:p w:rsidR="0022375E" w:rsidRPr="0022375E" w:rsidRDefault="0022375E" w:rsidP="0022375E">
            <w:pPr>
              <w:spacing w:before="100" w:beforeAutospacing="1" w:after="100" w:afterAutospacing="1"/>
              <w:jc w:val="left"/>
              <w:rPr>
                <w:rFonts w:cs="Tahoma"/>
                <w:b/>
                <w:bCs/>
                <w:kern w:val="28"/>
                <w:sz w:val="18"/>
                <w:szCs w:val="18"/>
              </w:rPr>
            </w:pPr>
            <w:r w:rsidRPr="0022375E">
              <w:rPr>
                <w:rFonts w:cs="Tahoma"/>
                <w:sz w:val="18"/>
                <w:szCs w:val="18"/>
              </w:rPr>
              <w:t>Pardubice-Rosice nad Labem bez zásahu, Opatovice nad Lab původní zabezp. zařízení</w:t>
            </w:r>
          </w:p>
        </w:tc>
        <w:tc>
          <w:tcPr>
            <w:tcW w:w="1276" w:type="dxa"/>
            <w:shd w:val="clear" w:color="auto" w:fill="auto"/>
          </w:tcPr>
          <w:p w:rsidR="0022375E" w:rsidRPr="0022375E" w:rsidRDefault="0022375E" w:rsidP="0022375E">
            <w:pPr>
              <w:spacing w:before="100" w:beforeAutospacing="1" w:after="100" w:afterAutospacing="1"/>
              <w:jc w:val="left"/>
              <w:rPr>
                <w:rFonts w:cs="Tahoma"/>
                <w:sz w:val="18"/>
                <w:szCs w:val="18"/>
              </w:rPr>
            </w:pPr>
            <w:r w:rsidRPr="0022375E">
              <w:rPr>
                <w:rFonts w:cs="Tahoma"/>
                <w:sz w:val="18"/>
                <w:szCs w:val="18"/>
              </w:rPr>
              <w:t>ne</w:t>
            </w:r>
          </w:p>
        </w:tc>
      </w:tr>
      <w:tr w:rsidR="003A4ED1" w:rsidRPr="00C90180" w:rsidTr="0022375E">
        <w:tc>
          <w:tcPr>
            <w:tcW w:w="1969" w:type="dxa"/>
            <w:vMerge/>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Maximální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nová zabezpečovací zařízení to umožňují</w:t>
            </w:r>
          </w:p>
        </w:tc>
        <w:tc>
          <w:tcPr>
            <w:tcW w:w="1276" w:type="dxa"/>
            <w:shd w:val="clear"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ano</w:t>
            </w:r>
          </w:p>
        </w:tc>
      </w:tr>
      <w:tr w:rsidR="003A4ED1" w:rsidRPr="00C90180" w:rsidTr="0022375E">
        <w:tc>
          <w:tcPr>
            <w:tcW w:w="1969" w:type="dxa"/>
            <w:vMerge w:val="restart"/>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kapacita tratě (spolehlivost jízdního řádu)</w:t>
            </w: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Minimální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automatické hradlo zvyšuje propustnost tratě při jízdě následných vlaků, při střídání směrů je přínos minimální, trať zůstává jednokolejná</w:t>
            </w:r>
          </w:p>
        </w:tc>
        <w:tc>
          <w:tcPr>
            <w:tcW w:w="1276"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ne</w:t>
            </w:r>
          </w:p>
        </w:tc>
      </w:tr>
      <w:tr w:rsidR="0022375E" w:rsidRPr="00C90180" w:rsidTr="0022375E">
        <w:trPr>
          <w:trHeight w:val="1043"/>
        </w:trPr>
        <w:tc>
          <w:tcPr>
            <w:tcW w:w="1969" w:type="dxa"/>
            <w:vMerge/>
            <w:tcBorders>
              <w:right w:val="single" w:sz="12" w:space="0" w:color="auto"/>
            </w:tcBorders>
            <w:shd w:val="pct15" w:color="auto" w:fill="auto"/>
          </w:tcPr>
          <w:p w:rsidR="0022375E" w:rsidRPr="0022375E" w:rsidRDefault="0022375E" w:rsidP="0022375E">
            <w:pPr>
              <w:spacing w:before="100" w:beforeAutospacing="1" w:after="100" w:afterAutospacing="1"/>
              <w:jc w:val="left"/>
              <w:rPr>
                <w:rFonts w:cs="Tahoma"/>
                <w:b/>
                <w:sz w:val="18"/>
                <w:szCs w:val="18"/>
              </w:rPr>
            </w:pPr>
          </w:p>
        </w:tc>
        <w:tc>
          <w:tcPr>
            <w:tcW w:w="1433" w:type="dxa"/>
            <w:tcBorders>
              <w:left w:val="single" w:sz="12" w:space="0" w:color="auto"/>
            </w:tcBorders>
            <w:shd w:val="clear" w:color="auto" w:fill="auto"/>
          </w:tcPr>
          <w:p w:rsidR="0022375E" w:rsidRPr="0022375E" w:rsidRDefault="0022375E" w:rsidP="0022375E">
            <w:pPr>
              <w:spacing w:before="100" w:beforeAutospacing="1" w:after="100" w:afterAutospacing="1"/>
              <w:jc w:val="left"/>
              <w:rPr>
                <w:rFonts w:cs="Tahoma"/>
                <w:b/>
                <w:bCs/>
                <w:kern w:val="28"/>
                <w:sz w:val="18"/>
                <w:szCs w:val="18"/>
              </w:rPr>
            </w:pPr>
            <w:r w:rsidRPr="0022375E">
              <w:rPr>
                <w:rFonts w:cs="Tahoma"/>
                <w:sz w:val="18"/>
                <w:szCs w:val="18"/>
              </w:rPr>
              <w:t>Etapa</w:t>
            </w:r>
          </w:p>
        </w:tc>
        <w:tc>
          <w:tcPr>
            <w:tcW w:w="4678" w:type="dxa"/>
            <w:shd w:val="clear" w:color="auto" w:fill="auto"/>
          </w:tcPr>
          <w:p w:rsidR="0022375E" w:rsidRPr="0022375E" w:rsidRDefault="0022375E" w:rsidP="0022375E">
            <w:pPr>
              <w:spacing w:before="100" w:beforeAutospacing="1" w:after="100" w:afterAutospacing="1"/>
              <w:jc w:val="left"/>
              <w:rPr>
                <w:rFonts w:cs="Tahoma"/>
                <w:b/>
                <w:bCs/>
                <w:kern w:val="28"/>
                <w:sz w:val="18"/>
                <w:szCs w:val="18"/>
              </w:rPr>
            </w:pPr>
            <w:r w:rsidRPr="0022375E">
              <w:rPr>
                <w:rFonts w:cs="Tahoma"/>
                <w:sz w:val="18"/>
                <w:szCs w:val="18"/>
              </w:rPr>
              <w:t>nová traťová zabezpečovací zařízení spolu se zdvoukolejněním úseku Stéblová - Opatovice nad Labem mírně zvyšují kapacitu tratě, zbývající jednokolejné úseky jsou však stále limitujícími</w:t>
            </w:r>
          </w:p>
        </w:tc>
        <w:tc>
          <w:tcPr>
            <w:tcW w:w="1276" w:type="dxa"/>
            <w:shd w:val="clear" w:color="auto" w:fill="auto"/>
          </w:tcPr>
          <w:p w:rsidR="0022375E" w:rsidRPr="0022375E" w:rsidRDefault="0022375E" w:rsidP="0022375E">
            <w:pPr>
              <w:spacing w:before="100" w:beforeAutospacing="1" w:after="100" w:afterAutospacing="1"/>
              <w:jc w:val="left"/>
              <w:rPr>
                <w:rFonts w:cs="Tahoma"/>
                <w:sz w:val="18"/>
                <w:szCs w:val="18"/>
              </w:rPr>
            </w:pPr>
            <w:r w:rsidRPr="0022375E">
              <w:rPr>
                <w:rFonts w:cs="Tahoma"/>
                <w:sz w:val="18"/>
                <w:szCs w:val="18"/>
              </w:rPr>
              <w:t>spíše ne</w:t>
            </w:r>
          </w:p>
        </w:tc>
      </w:tr>
      <w:tr w:rsidR="003A4ED1" w:rsidRPr="00C90180" w:rsidTr="0022375E">
        <w:tc>
          <w:tcPr>
            <w:tcW w:w="1969" w:type="dxa"/>
            <w:vMerge/>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Maximální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plné zdvoukolejnění poskytuje dostatek kapacity a zaručuje spolehlivost jízdního řádu</w:t>
            </w:r>
          </w:p>
        </w:tc>
        <w:tc>
          <w:tcPr>
            <w:tcW w:w="1276" w:type="dxa"/>
            <w:shd w:val="clear"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ano</w:t>
            </w:r>
          </w:p>
        </w:tc>
      </w:tr>
      <w:tr w:rsidR="003A4ED1" w:rsidRPr="00C90180" w:rsidTr="0022375E">
        <w:tc>
          <w:tcPr>
            <w:tcW w:w="1969" w:type="dxa"/>
            <w:vMerge w:val="restart"/>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zlepšení přístupu cestujících k vlakům</w:t>
            </w: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Minimální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v Pardubicích-Rosicích nad Lab. nová nástupiště s mimoúrovňovým přístupem, úprava nástupišť ve Stéblové a Opatovicích nad Lab.</w:t>
            </w:r>
          </w:p>
        </w:tc>
        <w:tc>
          <w:tcPr>
            <w:tcW w:w="1276"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částečně ano</w:t>
            </w:r>
          </w:p>
        </w:tc>
      </w:tr>
      <w:tr w:rsidR="0022375E" w:rsidRPr="00C90180" w:rsidTr="0022375E">
        <w:trPr>
          <w:trHeight w:val="531"/>
        </w:trPr>
        <w:tc>
          <w:tcPr>
            <w:tcW w:w="1969" w:type="dxa"/>
            <w:vMerge/>
            <w:tcBorders>
              <w:right w:val="single" w:sz="12" w:space="0" w:color="auto"/>
            </w:tcBorders>
            <w:shd w:val="pct15" w:color="auto" w:fill="auto"/>
          </w:tcPr>
          <w:p w:rsidR="0022375E" w:rsidRPr="0022375E" w:rsidRDefault="0022375E" w:rsidP="0022375E">
            <w:pPr>
              <w:spacing w:before="100" w:beforeAutospacing="1" w:after="100" w:afterAutospacing="1"/>
              <w:jc w:val="left"/>
              <w:rPr>
                <w:rFonts w:cs="Tahoma"/>
                <w:b/>
                <w:sz w:val="18"/>
                <w:szCs w:val="18"/>
              </w:rPr>
            </w:pPr>
          </w:p>
        </w:tc>
        <w:tc>
          <w:tcPr>
            <w:tcW w:w="1433" w:type="dxa"/>
            <w:tcBorders>
              <w:left w:val="single" w:sz="12" w:space="0" w:color="auto"/>
            </w:tcBorders>
            <w:shd w:val="clear" w:color="auto" w:fill="auto"/>
          </w:tcPr>
          <w:p w:rsidR="0022375E" w:rsidRPr="0022375E" w:rsidRDefault="0022375E" w:rsidP="0022375E">
            <w:pPr>
              <w:spacing w:before="100" w:beforeAutospacing="1" w:after="100" w:afterAutospacing="1"/>
              <w:jc w:val="left"/>
              <w:rPr>
                <w:rFonts w:cs="Tahoma"/>
                <w:b/>
                <w:bCs/>
                <w:kern w:val="28"/>
                <w:sz w:val="18"/>
                <w:szCs w:val="18"/>
              </w:rPr>
            </w:pPr>
            <w:r w:rsidRPr="0022375E">
              <w:rPr>
                <w:rFonts w:cs="Tahoma"/>
                <w:sz w:val="18"/>
                <w:szCs w:val="18"/>
              </w:rPr>
              <w:t>Etapa</w:t>
            </w:r>
          </w:p>
        </w:tc>
        <w:tc>
          <w:tcPr>
            <w:tcW w:w="4678" w:type="dxa"/>
            <w:shd w:val="clear" w:color="auto" w:fill="auto"/>
          </w:tcPr>
          <w:p w:rsidR="0022375E" w:rsidRPr="0022375E" w:rsidRDefault="0022375E" w:rsidP="0022375E">
            <w:pPr>
              <w:spacing w:before="100" w:beforeAutospacing="1" w:after="100" w:afterAutospacing="1"/>
              <w:jc w:val="left"/>
              <w:rPr>
                <w:rFonts w:cs="Tahoma"/>
                <w:b/>
                <w:bCs/>
                <w:kern w:val="28"/>
                <w:sz w:val="18"/>
                <w:szCs w:val="18"/>
              </w:rPr>
            </w:pPr>
            <w:r w:rsidRPr="0022375E">
              <w:rPr>
                <w:rFonts w:cs="Tahoma"/>
                <w:sz w:val="18"/>
                <w:szCs w:val="18"/>
              </w:rPr>
              <w:t>Stéblová v novém stavu, Pardubice-Rosice nad Lab. a Opatovice nad Lab. beze změny</w:t>
            </w:r>
          </w:p>
        </w:tc>
        <w:tc>
          <w:tcPr>
            <w:tcW w:w="1276" w:type="dxa"/>
            <w:shd w:val="clear" w:color="auto" w:fill="auto"/>
          </w:tcPr>
          <w:p w:rsidR="0022375E" w:rsidRPr="0022375E" w:rsidRDefault="0022375E" w:rsidP="0022375E">
            <w:pPr>
              <w:spacing w:before="100" w:beforeAutospacing="1" w:after="100" w:afterAutospacing="1"/>
              <w:jc w:val="left"/>
              <w:rPr>
                <w:rFonts w:cs="Tahoma"/>
                <w:sz w:val="18"/>
                <w:szCs w:val="18"/>
              </w:rPr>
            </w:pPr>
            <w:r w:rsidRPr="0022375E">
              <w:rPr>
                <w:rFonts w:cs="Tahoma"/>
                <w:sz w:val="18"/>
                <w:szCs w:val="18"/>
              </w:rPr>
              <w:t>spíše ne</w:t>
            </w:r>
          </w:p>
        </w:tc>
      </w:tr>
      <w:tr w:rsidR="003A4ED1" w:rsidRPr="00C90180" w:rsidTr="0022375E">
        <w:tc>
          <w:tcPr>
            <w:tcW w:w="1969" w:type="dxa"/>
            <w:vMerge/>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Maximální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ve všech stanicích nová nástupiště s mimoúrovňovým přístupem</w:t>
            </w:r>
            <w:r w:rsidR="00F212ED" w:rsidRPr="0022375E">
              <w:rPr>
                <w:rFonts w:cs="Tahoma"/>
                <w:sz w:val="18"/>
                <w:szCs w:val="18"/>
              </w:rPr>
              <w:t>, nová zastávka Březhrad</w:t>
            </w:r>
          </w:p>
        </w:tc>
        <w:tc>
          <w:tcPr>
            <w:tcW w:w="1276" w:type="dxa"/>
            <w:shd w:val="clear"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ano</w:t>
            </w:r>
          </w:p>
        </w:tc>
      </w:tr>
      <w:tr w:rsidR="003A4ED1" w:rsidRPr="00C90180" w:rsidTr="0022375E">
        <w:tc>
          <w:tcPr>
            <w:tcW w:w="1969" w:type="dxa"/>
            <w:vMerge w:val="restart"/>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časové úspory u cestujících směru Pardubice - Chrudim</w:t>
            </w: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Minimální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k úsporám nedochází</w:t>
            </w:r>
          </w:p>
        </w:tc>
        <w:tc>
          <w:tcPr>
            <w:tcW w:w="1276"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ne</w:t>
            </w:r>
          </w:p>
        </w:tc>
      </w:tr>
      <w:tr w:rsidR="0022375E" w:rsidRPr="00C90180" w:rsidTr="0022375E">
        <w:trPr>
          <w:trHeight w:val="531"/>
        </w:trPr>
        <w:tc>
          <w:tcPr>
            <w:tcW w:w="1969" w:type="dxa"/>
            <w:vMerge/>
            <w:tcBorders>
              <w:right w:val="single" w:sz="12" w:space="0" w:color="auto"/>
            </w:tcBorders>
            <w:shd w:val="pct15" w:color="auto" w:fill="auto"/>
          </w:tcPr>
          <w:p w:rsidR="0022375E" w:rsidRPr="0022375E" w:rsidRDefault="0022375E" w:rsidP="0022375E">
            <w:pPr>
              <w:spacing w:before="100" w:beforeAutospacing="1" w:after="100" w:afterAutospacing="1"/>
              <w:jc w:val="left"/>
              <w:rPr>
                <w:rFonts w:cs="Tahoma"/>
                <w:b/>
                <w:sz w:val="18"/>
                <w:szCs w:val="18"/>
              </w:rPr>
            </w:pPr>
          </w:p>
        </w:tc>
        <w:tc>
          <w:tcPr>
            <w:tcW w:w="1433" w:type="dxa"/>
            <w:tcBorders>
              <w:left w:val="single" w:sz="12" w:space="0" w:color="auto"/>
            </w:tcBorders>
            <w:shd w:val="clear" w:color="auto" w:fill="auto"/>
          </w:tcPr>
          <w:p w:rsidR="0022375E" w:rsidRPr="0022375E" w:rsidRDefault="0022375E" w:rsidP="0022375E">
            <w:pPr>
              <w:spacing w:before="100" w:beforeAutospacing="1" w:after="100" w:afterAutospacing="1"/>
              <w:jc w:val="left"/>
              <w:rPr>
                <w:rFonts w:cs="Tahoma"/>
                <w:b/>
                <w:bCs/>
                <w:kern w:val="28"/>
                <w:sz w:val="18"/>
                <w:szCs w:val="18"/>
              </w:rPr>
            </w:pPr>
            <w:r w:rsidRPr="0022375E">
              <w:rPr>
                <w:rFonts w:cs="Tahoma"/>
                <w:sz w:val="18"/>
                <w:szCs w:val="18"/>
              </w:rPr>
              <w:t>Etapa</w:t>
            </w:r>
          </w:p>
        </w:tc>
        <w:tc>
          <w:tcPr>
            <w:tcW w:w="4678" w:type="dxa"/>
            <w:shd w:val="clear" w:color="auto" w:fill="auto"/>
          </w:tcPr>
          <w:p w:rsidR="0022375E" w:rsidRPr="0022375E" w:rsidRDefault="0022375E" w:rsidP="0022375E">
            <w:pPr>
              <w:spacing w:before="100" w:beforeAutospacing="1" w:after="100" w:afterAutospacing="1"/>
              <w:jc w:val="left"/>
              <w:rPr>
                <w:rFonts w:cs="Tahoma"/>
                <w:sz w:val="18"/>
                <w:szCs w:val="18"/>
              </w:rPr>
            </w:pPr>
            <w:r w:rsidRPr="0022375E">
              <w:rPr>
                <w:rFonts w:cs="Tahoma"/>
                <w:sz w:val="18"/>
                <w:szCs w:val="18"/>
              </w:rPr>
              <w:t>k úsporám nedochází</w:t>
            </w:r>
          </w:p>
        </w:tc>
        <w:tc>
          <w:tcPr>
            <w:tcW w:w="1276" w:type="dxa"/>
            <w:shd w:val="clear" w:color="auto" w:fill="auto"/>
          </w:tcPr>
          <w:p w:rsidR="0022375E" w:rsidRPr="0022375E" w:rsidRDefault="0022375E" w:rsidP="0022375E">
            <w:pPr>
              <w:spacing w:before="100" w:beforeAutospacing="1" w:after="100" w:afterAutospacing="1"/>
              <w:jc w:val="left"/>
              <w:rPr>
                <w:rFonts w:cs="Tahoma"/>
                <w:sz w:val="18"/>
                <w:szCs w:val="18"/>
              </w:rPr>
            </w:pPr>
            <w:r w:rsidRPr="0022375E">
              <w:rPr>
                <w:rFonts w:cs="Tahoma"/>
                <w:sz w:val="18"/>
                <w:szCs w:val="18"/>
              </w:rPr>
              <w:t>ne</w:t>
            </w:r>
          </w:p>
        </w:tc>
      </w:tr>
      <w:tr w:rsidR="003A4ED1" w:rsidRPr="00C90180" w:rsidTr="0022375E">
        <w:tc>
          <w:tcPr>
            <w:tcW w:w="1969" w:type="dxa"/>
            <w:vMerge/>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Maximální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jsou úspory oproti současnému stavu</w:t>
            </w:r>
          </w:p>
        </w:tc>
        <w:tc>
          <w:tcPr>
            <w:tcW w:w="1276" w:type="dxa"/>
            <w:shd w:val="clear"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ano</w:t>
            </w:r>
          </w:p>
        </w:tc>
      </w:tr>
      <w:tr w:rsidR="003A4ED1" w:rsidRPr="00C90180" w:rsidTr="0022375E">
        <w:tc>
          <w:tcPr>
            <w:tcW w:w="1969" w:type="dxa"/>
            <w:vMerge w:val="restart"/>
            <w:tcBorders>
              <w:right w:val="single" w:sz="12" w:space="0" w:color="auto"/>
            </w:tcBorders>
            <w:shd w:val="pct15"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 xml:space="preserve">průvoz nákladního vlaku v obdobích dopravních špiček </w:t>
            </w: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Minimální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není možný</w:t>
            </w:r>
          </w:p>
        </w:tc>
        <w:tc>
          <w:tcPr>
            <w:tcW w:w="1276"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ne</w:t>
            </w:r>
          </w:p>
        </w:tc>
      </w:tr>
      <w:tr w:rsidR="0022375E" w:rsidRPr="00C90180" w:rsidTr="0022375E">
        <w:trPr>
          <w:trHeight w:val="307"/>
        </w:trPr>
        <w:tc>
          <w:tcPr>
            <w:tcW w:w="1969" w:type="dxa"/>
            <w:vMerge/>
            <w:tcBorders>
              <w:right w:val="single" w:sz="12" w:space="0" w:color="auto"/>
            </w:tcBorders>
            <w:shd w:val="pct15" w:color="auto" w:fill="auto"/>
          </w:tcPr>
          <w:p w:rsidR="0022375E" w:rsidRPr="0022375E" w:rsidRDefault="0022375E" w:rsidP="0022375E">
            <w:pPr>
              <w:spacing w:before="100" w:beforeAutospacing="1" w:after="100" w:afterAutospacing="1"/>
              <w:rPr>
                <w:rFonts w:cs="Tahoma"/>
                <w:sz w:val="18"/>
                <w:szCs w:val="18"/>
              </w:rPr>
            </w:pPr>
          </w:p>
        </w:tc>
        <w:tc>
          <w:tcPr>
            <w:tcW w:w="1433" w:type="dxa"/>
            <w:tcBorders>
              <w:left w:val="single" w:sz="12" w:space="0" w:color="auto"/>
            </w:tcBorders>
            <w:shd w:val="clear" w:color="auto" w:fill="auto"/>
          </w:tcPr>
          <w:p w:rsidR="0022375E" w:rsidRPr="0022375E" w:rsidRDefault="0022375E" w:rsidP="0022375E">
            <w:pPr>
              <w:spacing w:before="100" w:beforeAutospacing="1" w:after="100" w:afterAutospacing="1"/>
              <w:jc w:val="left"/>
              <w:rPr>
                <w:rFonts w:cs="Tahoma"/>
                <w:b/>
                <w:bCs/>
                <w:kern w:val="28"/>
                <w:sz w:val="18"/>
                <w:szCs w:val="18"/>
              </w:rPr>
            </w:pPr>
            <w:r w:rsidRPr="0022375E">
              <w:rPr>
                <w:rFonts w:cs="Tahoma"/>
                <w:sz w:val="18"/>
                <w:szCs w:val="18"/>
              </w:rPr>
              <w:t>Etapa</w:t>
            </w:r>
          </w:p>
        </w:tc>
        <w:tc>
          <w:tcPr>
            <w:tcW w:w="4678" w:type="dxa"/>
            <w:shd w:val="clear" w:color="auto" w:fill="auto"/>
          </w:tcPr>
          <w:p w:rsidR="0022375E" w:rsidRPr="0022375E" w:rsidRDefault="0022375E" w:rsidP="0022375E">
            <w:pPr>
              <w:spacing w:before="100" w:beforeAutospacing="1" w:after="100" w:afterAutospacing="1"/>
              <w:jc w:val="left"/>
              <w:rPr>
                <w:rFonts w:cs="Tahoma"/>
                <w:sz w:val="18"/>
                <w:szCs w:val="18"/>
              </w:rPr>
            </w:pPr>
            <w:r w:rsidRPr="0022375E">
              <w:rPr>
                <w:rFonts w:cs="Tahoma"/>
                <w:sz w:val="18"/>
                <w:szCs w:val="18"/>
              </w:rPr>
              <w:t>není možný</w:t>
            </w:r>
          </w:p>
        </w:tc>
        <w:tc>
          <w:tcPr>
            <w:tcW w:w="1276" w:type="dxa"/>
            <w:shd w:val="clear" w:color="auto" w:fill="auto"/>
          </w:tcPr>
          <w:p w:rsidR="0022375E" w:rsidRPr="0022375E" w:rsidRDefault="0022375E" w:rsidP="0022375E">
            <w:pPr>
              <w:spacing w:before="100" w:beforeAutospacing="1" w:after="100" w:afterAutospacing="1"/>
              <w:jc w:val="left"/>
              <w:rPr>
                <w:rFonts w:cs="Tahoma"/>
                <w:sz w:val="18"/>
                <w:szCs w:val="18"/>
              </w:rPr>
            </w:pPr>
            <w:r w:rsidRPr="0022375E">
              <w:rPr>
                <w:rFonts w:cs="Tahoma"/>
                <w:sz w:val="18"/>
                <w:szCs w:val="18"/>
              </w:rPr>
              <w:t>ne</w:t>
            </w:r>
          </w:p>
        </w:tc>
      </w:tr>
      <w:tr w:rsidR="003A4ED1" w:rsidRPr="00C90180" w:rsidTr="0022375E">
        <w:tc>
          <w:tcPr>
            <w:tcW w:w="1969" w:type="dxa"/>
            <w:vMerge/>
            <w:tcBorders>
              <w:right w:val="single" w:sz="12" w:space="0" w:color="auto"/>
            </w:tcBorders>
            <w:shd w:val="pct15" w:color="auto" w:fill="auto"/>
          </w:tcPr>
          <w:p w:rsidR="003A4ED1" w:rsidRPr="0022375E" w:rsidRDefault="003A4ED1" w:rsidP="0022375E">
            <w:pPr>
              <w:spacing w:before="100" w:beforeAutospacing="1" w:after="100" w:afterAutospacing="1"/>
              <w:rPr>
                <w:rFonts w:cs="Tahoma"/>
                <w:sz w:val="18"/>
                <w:szCs w:val="18"/>
              </w:rPr>
            </w:pPr>
          </w:p>
        </w:tc>
        <w:tc>
          <w:tcPr>
            <w:tcW w:w="1433" w:type="dxa"/>
            <w:tcBorders>
              <w:left w:val="single" w:sz="12" w:space="0" w:color="auto"/>
            </w:tcBorders>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Maximální</w:t>
            </w:r>
          </w:p>
        </w:tc>
        <w:tc>
          <w:tcPr>
            <w:tcW w:w="4678" w:type="dxa"/>
            <w:shd w:val="clear" w:color="auto" w:fill="auto"/>
          </w:tcPr>
          <w:p w:rsidR="003A4ED1" w:rsidRPr="0022375E" w:rsidRDefault="003A4ED1" w:rsidP="0022375E">
            <w:pPr>
              <w:spacing w:before="100" w:beforeAutospacing="1" w:after="100" w:afterAutospacing="1"/>
              <w:jc w:val="left"/>
              <w:rPr>
                <w:rFonts w:cs="Tahoma"/>
                <w:sz w:val="18"/>
                <w:szCs w:val="18"/>
              </w:rPr>
            </w:pPr>
            <w:r w:rsidRPr="0022375E">
              <w:rPr>
                <w:rFonts w:cs="Tahoma"/>
                <w:sz w:val="18"/>
                <w:szCs w:val="18"/>
              </w:rPr>
              <w:t>ano, i více vlaků</w:t>
            </w:r>
          </w:p>
        </w:tc>
        <w:tc>
          <w:tcPr>
            <w:tcW w:w="1276" w:type="dxa"/>
            <w:shd w:val="clear" w:color="auto" w:fill="auto"/>
          </w:tcPr>
          <w:p w:rsidR="003A4ED1" w:rsidRPr="0022375E" w:rsidRDefault="003A4ED1" w:rsidP="0022375E">
            <w:pPr>
              <w:spacing w:before="100" w:beforeAutospacing="1" w:after="100" w:afterAutospacing="1"/>
              <w:jc w:val="left"/>
              <w:rPr>
                <w:rFonts w:cs="Tahoma"/>
                <w:b/>
                <w:sz w:val="18"/>
                <w:szCs w:val="18"/>
              </w:rPr>
            </w:pPr>
            <w:r w:rsidRPr="0022375E">
              <w:rPr>
                <w:rFonts w:cs="Tahoma"/>
                <w:b/>
                <w:sz w:val="18"/>
                <w:szCs w:val="18"/>
              </w:rPr>
              <w:t>ano</w:t>
            </w:r>
          </w:p>
        </w:tc>
      </w:tr>
    </w:tbl>
    <w:p w:rsidR="00C90180" w:rsidRPr="00C90180" w:rsidRDefault="00455B8F" w:rsidP="003A4ED1">
      <w:pPr>
        <w:spacing w:line="312" w:lineRule="auto"/>
        <w:rPr>
          <w:rFonts w:cs="Tahoma"/>
          <w:szCs w:val="20"/>
        </w:rPr>
      </w:pPr>
      <w:r>
        <w:rPr>
          <w:rFonts w:cs="Tahoma"/>
          <w:szCs w:val="20"/>
        </w:rPr>
        <w:t xml:space="preserve">Výše uvedené ukazatele neobsahují výsledky ekonomické a finanční analýzy, </w:t>
      </w:r>
      <w:r w:rsidRPr="00E17E67">
        <w:rPr>
          <w:rFonts w:cs="Tahoma"/>
          <w:szCs w:val="20"/>
        </w:rPr>
        <w:t xml:space="preserve">která u </w:t>
      </w:r>
      <w:r w:rsidR="00E17E67">
        <w:rPr>
          <w:rFonts w:cs="Tahoma"/>
          <w:szCs w:val="20"/>
        </w:rPr>
        <w:t xml:space="preserve">obou </w:t>
      </w:r>
      <w:r w:rsidRPr="00E17E67">
        <w:rPr>
          <w:rFonts w:cs="Tahoma"/>
          <w:szCs w:val="20"/>
        </w:rPr>
        <w:t>projektových variant</w:t>
      </w:r>
      <w:r w:rsidR="00E17E67">
        <w:rPr>
          <w:rFonts w:cs="Tahoma"/>
          <w:szCs w:val="20"/>
        </w:rPr>
        <w:t xml:space="preserve"> i Etapy</w:t>
      </w:r>
      <w:r w:rsidRPr="00E17E67">
        <w:rPr>
          <w:rFonts w:cs="Tahoma"/>
          <w:szCs w:val="20"/>
        </w:rPr>
        <w:t xml:space="preserve"> vychází příznivě.</w:t>
      </w:r>
      <w:r>
        <w:rPr>
          <w:rFonts w:cs="Tahoma"/>
          <w:szCs w:val="20"/>
        </w:rPr>
        <w:t xml:space="preserve"> </w:t>
      </w:r>
      <w:r w:rsidR="003A4ED1" w:rsidRPr="00C90180">
        <w:rPr>
          <w:rFonts w:cs="Tahoma"/>
          <w:szCs w:val="20"/>
        </w:rPr>
        <w:t>Shora uvedená tabulka je ještě prezentována v grafickém vyjádření pomocí paprskového grafu:</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A4ED1" w:rsidRPr="00C90180" w:rsidTr="0022375E">
        <w:tc>
          <w:tcPr>
            <w:tcW w:w="9356" w:type="dxa"/>
            <w:shd w:val="clear" w:color="auto" w:fill="auto"/>
          </w:tcPr>
          <w:p w:rsidR="003A4ED1" w:rsidRPr="00C90180" w:rsidRDefault="00B72657" w:rsidP="0022375E">
            <w:pPr>
              <w:pStyle w:val="Titulek"/>
            </w:pPr>
            <w:bookmarkStart w:id="371" w:name="_Toc390958858"/>
            <w:r w:rsidRPr="00AF1D92">
              <w:t xml:space="preserve">Obr. </w:t>
            </w:r>
            <w:r w:rsidR="00AC5CDF" w:rsidRPr="00C013EE">
              <w:fldChar w:fldCharType="begin"/>
            </w:r>
            <w:r w:rsidRPr="00AF1D92">
              <w:instrText xml:space="preserve"> STYLEREF 1 \s </w:instrText>
            </w:r>
            <w:r w:rsidR="00AC5CDF" w:rsidRPr="00C013EE">
              <w:fldChar w:fldCharType="separate"/>
            </w:r>
            <w:r w:rsidR="003843F3">
              <w:rPr>
                <w:noProof/>
              </w:rPr>
              <w:t>8</w:t>
            </w:r>
            <w:r w:rsidR="00AC5CDF" w:rsidRPr="00C013EE">
              <w:fldChar w:fldCharType="end"/>
            </w:r>
            <w:r w:rsidRPr="00AF1D92">
              <w:noBreakHyphen/>
            </w:r>
            <w:r w:rsidR="00AC5CDF" w:rsidRPr="00C013EE">
              <w:fldChar w:fldCharType="begin"/>
            </w:r>
            <w:r w:rsidRPr="00AF1D92">
              <w:instrText xml:space="preserve"> SEQ Obr. \* ARABIC \s 1 </w:instrText>
            </w:r>
            <w:r w:rsidR="00AC5CDF" w:rsidRPr="00C013EE">
              <w:fldChar w:fldCharType="separate"/>
            </w:r>
            <w:r w:rsidR="003843F3">
              <w:rPr>
                <w:noProof/>
              </w:rPr>
              <w:t>1</w:t>
            </w:r>
            <w:r w:rsidR="00AC5CDF" w:rsidRPr="00C013EE">
              <w:fldChar w:fldCharType="end"/>
            </w:r>
            <w:r w:rsidR="003A4ED1" w:rsidRPr="00AF1D92">
              <w:t>: Srovnání variant pomocí grafu</w:t>
            </w:r>
            <w:bookmarkEnd w:id="371"/>
          </w:p>
        </w:tc>
      </w:tr>
      <w:tr w:rsidR="003A4ED1" w:rsidRPr="00C90180" w:rsidTr="0022375E">
        <w:tblPrEx>
          <w:tblCellMar>
            <w:left w:w="70" w:type="dxa"/>
            <w:right w:w="70" w:type="dxa"/>
          </w:tblCellMar>
        </w:tblPrEx>
        <w:tc>
          <w:tcPr>
            <w:tcW w:w="9356" w:type="dxa"/>
            <w:tcBorders>
              <w:bottom w:val="nil"/>
            </w:tcBorders>
            <w:shd w:val="clear" w:color="auto" w:fill="auto"/>
          </w:tcPr>
          <w:p w:rsidR="009E270E" w:rsidRPr="00C90180" w:rsidRDefault="00E17E67" w:rsidP="00223E13">
            <w:pPr>
              <w:pStyle w:val="Bezmezer"/>
              <w:spacing w:before="120" w:after="120"/>
              <w:jc w:val="center"/>
            </w:pPr>
            <w:r>
              <w:rPr>
                <w:noProof/>
                <w:lang w:eastAsia="cs-CZ"/>
              </w:rPr>
              <w:drawing>
                <wp:inline distT="0" distB="0" distL="0" distR="0" wp14:anchorId="47BC13C1" wp14:editId="154EAC22">
                  <wp:extent cx="4370400" cy="3405600"/>
                  <wp:effectExtent l="0" t="0" r="0"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370400" cy="3405600"/>
                          </a:xfrm>
                          <a:prstGeom prst="rect">
                            <a:avLst/>
                          </a:prstGeom>
                          <a:noFill/>
                        </pic:spPr>
                      </pic:pic>
                    </a:graphicData>
                  </a:graphic>
                </wp:inline>
              </w:drawing>
            </w:r>
          </w:p>
        </w:tc>
      </w:tr>
      <w:tr w:rsidR="003A4ED1" w:rsidRPr="00C90180" w:rsidTr="0022375E">
        <w:tc>
          <w:tcPr>
            <w:tcW w:w="9356" w:type="dxa"/>
            <w:tcBorders>
              <w:top w:val="nil"/>
            </w:tcBorders>
            <w:shd w:val="clear" w:color="auto" w:fill="auto"/>
          </w:tcPr>
          <w:p w:rsidR="003A4ED1" w:rsidRPr="0022375E" w:rsidRDefault="003A4ED1" w:rsidP="00002057">
            <w:pPr>
              <w:pStyle w:val="Bezmezer"/>
              <w:rPr>
                <w:i/>
              </w:rPr>
            </w:pPr>
            <w:r w:rsidRPr="0022375E">
              <w:rPr>
                <w:rFonts w:cs="Tahoma"/>
                <w:i/>
                <w:sz w:val="18"/>
                <w:szCs w:val="20"/>
              </w:rPr>
              <w:t>hodnocení: 1 = ne, 2 = spíše ne, 3 = částečně ano, 4 = ano</w:t>
            </w:r>
          </w:p>
        </w:tc>
      </w:tr>
    </w:tbl>
    <w:p w:rsidR="006819BA" w:rsidRDefault="00455B8F" w:rsidP="00092F1A">
      <w:pPr>
        <w:pStyle w:val="Nadpis2"/>
      </w:pPr>
      <w:bookmarkStart w:id="372" w:name="_Toc390958727"/>
      <w:r>
        <w:t>Doporučení pro další postup</w:t>
      </w:r>
      <w:bookmarkEnd w:id="372"/>
    </w:p>
    <w:p w:rsidR="002079D6" w:rsidRDefault="002079D6" w:rsidP="002079D6">
      <w:pPr>
        <w:rPr>
          <w:rFonts w:cs="Tahoma"/>
          <w:szCs w:val="20"/>
        </w:rPr>
      </w:pPr>
      <w:r>
        <w:rPr>
          <w:rFonts w:cs="Tahoma"/>
          <w:szCs w:val="20"/>
        </w:rPr>
        <w:t>Vzhledem k</w:t>
      </w:r>
      <w:r w:rsidR="00AF1D92">
        <w:rPr>
          <w:rFonts w:cs="Tahoma"/>
          <w:szCs w:val="20"/>
        </w:rPr>
        <w:t xml:space="preserve"> přínosům stavby, výsledkům ekonomické analýzy a dalším faktorům  </w:t>
      </w:r>
      <w:r>
        <w:rPr>
          <w:rFonts w:cs="Tahoma"/>
          <w:szCs w:val="20"/>
        </w:rPr>
        <w:t xml:space="preserve">doporučujeme k výhledovému sledování </w:t>
      </w:r>
      <w:r w:rsidRPr="003F643D">
        <w:rPr>
          <w:rFonts w:cs="Tahoma"/>
          <w:b/>
          <w:szCs w:val="20"/>
        </w:rPr>
        <w:t xml:space="preserve">variantu </w:t>
      </w:r>
      <w:r>
        <w:rPr>
          <w:rFonts w:cs="Tahoma"/>
          <w:b/>
          <w:szCs w:val="20"/>
        </w:rPr>
        <w:t>M</w:t>
      </w:r>
      <w:r w:rsidRPr="003F643D">
        <w:rPr>
          <w:rFonts w:cs="Tahoma"/>
          <w:b/>
          <w:szCs w:val="20"/>
        </w:rPr>
        <w:t>aximální</w:t>
      </w:r>
      <w:r>
        <w:rPr>
          <w:rFonts w:cs="Tahoma"/>
          <w:szCs w:val="20"/>
        </w:rPr>
        <w:t xml:space="preserve">, </w:t>
      </w:r>
      <w:r w:rsidRPr="00AF1D92">
        <w:rPr>
          <w:rFonts w:cs="Tahoma"/>
          <w:szCs w:val="20"/>
        </w:rPr>
        <w:t xml:space="preserve">která nejlépe vyjadřuje celospolečenské cíle tohoto železničního spojení. </w:t>
      </w:r>
      <w:r w:rsidR="00AF1D92">
        <w:rPr>
          <w:rFonts w:cs="Tahoma"/>
          <w:szCs w:val="20"/>
        </w:rPr>
        <w:t>Dříve uvažované p</w:t>
      </w:r>
      <w:r w:rsidRPr="00AF1D92">
        <w:rPr>
          <w:rFonts w:cs="Tahoma"/>
          <w:szCs w:val="20"/>
        </w:rPr>
        <w:t>onechání jednokolejných úseků je pro tvorbu jízdního řádu svazující a při zavedení osobní dopravy v plném rozsahu b</w:t>
      </w:r>
      <w:r w:rsidR="00AF1D92">
        <w:rPr>
          <w:rFonts w:cs="Tahoma"/>
          <w:szCs w:val="20"/>
        </w:rPr>
        <w:t xml:space="preserve">y </w:t>
      </w:r>
      <w:r w:rsidRPr="00AF1D92">
        <w:rPr>
          <w:rFonts w:cs="Tahoma"/>
          <w:szCs w:val="20"/>
        </w:rPr>
        <w:t>jejich propustnost</w:t>
      </w:r>
      <w:r w:rsidR="00AF1D92">
        <w:rPr>
          <w:rFonts w:cs="Tahoma"/>
          <w:szCs w:val="20"/>
        </w:rPr>
        <w:t xml:space="preserve"> byla</w:t>
      </w:r>
      <w:r w:rsidRPr="00AF1D92">
        <w:rPr>
          <w:rFonts w:cs="Tahoma"/>
          <w:szCs w:val="20"/>
        </w:rPr>
        <w:t xml:space="preserve"> zcela vyčerpána (stupeň obsazení bude cca 0,65 – 0,70, tj. vyšší než doporučené hodnoty). </w:t>
      </w:r>
      <w:r w:rsidRPr="003D649E">
        <w:rPr>
          <w:rFonts w:cs="Tahoma"/>
          <w:szCs w:val="20"/>
        </w:rPr>
        <w:t xml:space="preserve">Zpracovatel proto doporučuje bez zbytečných odkladů pokračovat v projekční přípravě dalších staveb, tj. aktualizovat přípravnou dokumentaci pro </w:t>
      </w:r>
      <w:r w:rsidRPr="003D649E">
        <w:rPr>
          <w:rFonts w:cs="Tahoma"/>
          <w:b/>
          <w:szCs w:val="20"/>
        </w:rPr>
        <w:t>rekonstrukci jižního zhlaví železniční stanice Hradec Králové hlavní nádraží</w:t>
      </w:r>
      <w:r w:rsidRPr="003D649E">
        <w:rPr>
          <w:rFonts w:cs="Tahoma"/>
          <w:szCs w:val="20"/>
        </w:rPr>
        <w:t xml:space="preserve"> včetně výstavby nového nástupiště a získat územní rozhodnutí, dále zpracovat přípravnou dokumentaci pro </w:t>
      </w:r>
      <w:r w:rsidRPr="003D649E">
        <w:rPr>
          <w:rFonts w:cs="Tahoma"/>
          <w:b/>
          <w:szCs w:val="20"/>
        </w:rPr>
        <w:t>zdvoukolejnění úseku Pardubice hlavní nádraží – Pardubice-Rosice nad Labem</w:t>
      </w:r>
      <w:r w:rsidRPr="003D649E">
        <w:rPr>
          <w:rFonts w:cs="Tahoma"/>
          <w:szCs w:val="20"/>
        </w:rPr>
        <w:t xml:space="preserve"> včetně úprav této stanice a poté pokračovat zbývajícími úseky, případně je vhodně sloučit s předchozími stavbami.</w:t>
      </w:r>
    </w:p>
    <w:p w:rsidR="002079D6" w:rsidRDefault="002079D6" w:rsidP="002079D6">
      <w:pPr>
        <w:rPr>
          <w:rFonts w:cs="Tahoma"/>
          <w:szCs w:val="20"/>
        </w:rPr>
      </w:pPr>
      <w:r>
        <w:rPr>
          <w:rFonts w:cs="Tahoma"/>
          <w:szCs w:val="20"/>
        </w:rPr>
        <w:t>I když se jedná o vnitrostátní spojení, blízkost nejvýznamnějšího 1. tranzitního železničního koridoru znamená, že spojení těchto dvou měst má mezinárodní význam. Projekt tak přispěje k širším cílům regionální politiky i politiky soudržnosti EU.</w:t>
      </w:r>
    </w:p>
    <w:p w:rsidR="00426813" w:rsidRDefault="002079D6" w:rsidP="009F04B3">
      <w:pPr>
        <w:rPr>
          <w:rFonts w:cs="Tahoma"/>
          <w:szCs w:val="20"/>
        </w:rPr>
        <w:sectPr w:rsidR="00426813" w:rsidSect="00C90180">
          <w:footerReference w:type="default" r:id="rId116"/>
          <w:footnotePr>
            <w:pos w:val="beneathText"/>
          </w:footnotePr>
          <w:pgSz w:w="11905" w:h="16837" w:code="9"/>
          <w:pgMar w:top="1492" w:right="1134" w:bottom="1134" w:left="1418" w:header="709" w:footer="353" w:gutter="0"/>
          <w:cols w:space="708"/>
          <w:docGrid w:linePitch="360"/>
        </w:sectPr>
      </w:pPr>
      <w:r>
        <w:rPr>
          <w:rFonts w:cs="Tahoma"/>
          <w:szCs w:val="20"/>
        </w:rPr>
        <w:t>Spojení dvou významných, historických, krajských měst musí být zajištěno nejen kapacitním a rychlým železničním spojením, ale i spolehlivým a dochvilným. To může zabezpečit jen plné dvoukolejné propojení.</w:t>
      </w:r>
    </w:p>
    <w:p w:rsidR="00225B27" w:rsidRDefault="00225B27" w:rsidP="006A637B">
      <w:pPr>
        <w:pStyle w:val="Nadpis1"/>
        <w:tabs>
          <w:tab w:val="clear" w:pos="716"/>
          <w:tab w:val="num" w:pos="567"/>
        </w:tabs>
        <w:ind w:hanging="716"/>
      </w:pPr>
      <w:bookmarkStart w:id="373" w:name="_Toc390958728"/>
      <w:r>
        <w:t>Seznam použité literatury</w:t>
      </w:r>
      <w:bookmarkEnd w:id="373"/>
    </w:p>
    <w:p w:rsidR="00631EAB" w:rsidRDefault="00456DCB" w:rsidP="00D20948">
      <w:pPr>
        <w:numPr>
          <w:ilvl w:val="0"/>
          <w:numId w:val="6"/>
        </w:numPr>
        <w:suppressAutoHyphens w:val="0"/>
        <w:spacing w:before="0" w:after="0" w:line="360" w:lineRule="auto"/>
        <w:jc w:val="left"/>
        <w:rPr>
          <w:lang w:val="sk-SK"/>
        </w:rPr>
      </w:pPr>
      <w:r>
        <w:rPr>
          <w:lang w:val="sk-SK"/>
        </w:rPr>
        <w:t xml:space="preserve">Modernizace trati Hradec Králové – Pardubice – Chrudim, Studie proveditelnosti Hradec Králové – Pardubice (SUDOP Praha, verze </w:t>
      </w:r>
      <w:r w:rsidR="00E17E67">
        <w:rPr>
          <w:lang w:val="sk-SK"/>
        </w:rPr>
        <w:t xml:space="preserve">říjen </w:t>
      </w:r>
      <w:r>
        <w:rPr>
          <w:lang w:val="sk-SK"/>
        </w:rPr>
        <w:t>2013);</w:t>
      </w:r>
    </w:p>
    <w:p w:rsidR="00631EAB" w:rsidRDefault="00456DCB" w:rsidP="00D20948">
      <w:pPr>
        <w:numPr>
          <w:ilvl w:val="0"/>
          <w:numId w:val="6"/>
        </w:numPr>
        <w:suppressAutoHyphens w:val="0"/>
        <w:spacing w:before="0" w:after="0" w:line="360" w:lineRule="auto"/>
        <w:jc w:val="left"/>
        <w:rPr>
          <w:lang w:val="sk-SK"/>
        </w:rPr>
      </w:pPr>
      <w:r>
        <w:rPr>
          <w:lang w:val="sk-SK"/>
        </w:rPr>
        <w:t xml:space="preserve">Modernizace trati Hradec Králové – Pardubice – Chrudim, 1. stavba, Zdvoukolejnění úseku Stéblová – Opatovice nad Labem (SUDOP Praha, červen 2013);  </w:t>
      </w:r>
    </w:p>
    <w:p w:rsidR="00631EAB" w:rsidRDefault="00E17D91" w:rsidP="00D20948">
      <w:pPr>
        <w:numPr>
          <w:ilvl w:val="0"/>
          <w:numId w:val="6"/>
        </w:numPr>
        <w:suppressAutoHyphens w:val="0"/>
        <w:spacing w:before="0" w:after="0" w:line="360" w:lineRule="auto"/>
        <w:jc w:val="left"/>
        <w:rPr>
          <w:lang w:val="sk-SK"/>
        </w:rPr>
      </w:pPr>
      <w:r w:rsidRPr="00456DCB">
        <w:rPr>
          <w:lang w:val="sk-SK"/>
        </w:rPr>
        <w:t>Pr</w:t>
      </w:r>
      <w:r w:rsidRPr="00456DCB">
        <w:rPr>
          <w:rFonts w:hint="eastAsia"/>
          <w:lang w:val="sk-SK"/>
        </w:rPr>
        <w:t>ů</w:t>
      </w:r>
      <w:r w:rsidRPr="00456DCB">
        <w:rPr>
          <w:lang w:val="sk-SK"/>
        </w:rPr>
        <w:t>vodce analýzou náklad</w:t>
      </w:r>
      <w:r w:rsidRPr="00456DCB">
        <w:rPr>
          <w:rFonts w:hint="eastAsia"/>
          <w:lang w:val="sk-SK"/>
        </w:rPr>
        <w:t>ů</w:t>
      </w:r>
      <w:r w:rsidRPr="00456DCB">
        <w:rPr>
          <w:lang w:val="sk-SK"/>
        </w:rPr>
        <w:t xml:space="preserve"> a p</w:t>
      </w:r>
      <w:r w:rsidRPr="00456DCB">
        <w:rPr>
          <w:rFonts w:hint="eastAsia"/>
          <w:lang w:val="sk-SK"/>
        </w:rPr>
        <w:t>ří</w:t>
      </w:r>
      <w:r w:rsidRPr="00456DCB">
        <w:rPr>
          <w:lang w:val="sk-SK"/>
        </w:rPr>
        <w:t>nos</w:t>
      </w:r>
      <w:r w:rsidRPr="00456DCB">
        <w:rPr>
          <w:rFonts w:hint="eastAsia"/>
          <w:lang w:val="sk-SK"/>
        </w:rPr>
        <w:t>ů</w:t>
      </w:r>
      <w:r w:rsidRPr="00456DCB">
        <w:rPr>
          <w:lang w:val="sk-SK"/>
        </w:rPr>
        <w:t xml:space="preserve"> investi</w:t>
      </w:r>
      <w:r w:rsidRPr="00456DCB">
        <w:rPr>
          <w:rFonts w:hint="eastAsia"/>
          <w:lang w:val="sk-SK"/>
        </w:rPr>
        <w:t>č</w:t>
      </w:r>
      <w:r w:rsidRPr="00456DCB">
        <w:rPr>
          <w:lang w:val="sk-SK"/>
        </w:rPr>
        <w:t>ních projekt</w:t>
      </w:r>
      <w:r w:rsidRPr="00456DCB">
        <w:rPr>
          <w:rFonts w:hint="eastAsia"/>
          <w:lang w:val="sk-SK"/>
        </w:rPr>
        <w:t>ů</w:t>
      </w:r>
      <w:r w:rsidRPr="00456DCB">
        <w:rPr>
          <w:lang w:val="sk-SK"/>
        </w:rPr>
        <w:t xml:space="preserve"> (Strukturální fond – ERDF, Kohézny fond a ISPA) – Guide to cost-benefit analysis of investment projects (Structural Fund – ERDF, Cohesion Fund and ISPA), 2008</w:t>
      </w:r>
      <w:r w:rsidR="00456DCB" w:rsidRPr="00456DCB">
        <w:rPr>
          <w:lang w:val="sk-SK"/>
        </w:rPr>
        <w:t>;</w:t>
      </w:r>
    </w:p>
    <w:p w:rsidR="00631EAB" w:rsidRDefault="00E17D91" w:rsidP="00D20948">
      <w:pPr>
        <w:numPr>
          <w:ilvl w:val="0"/>
          <w:numId w:val="6"/>
        </w:numPr>
        <w:suppressAutoHyphens w:val="0"/>
        <w:spacing w:before="0" w:after="0" w:line="360" w:lineRule="auto"/>
        <w:jc w:val="left"/>
        <w:rPr>
          <w:lang w:val="sk-SK"/>
        </w:rPr>
      </w:pPr>
      <w:r w:rsidRPr="00456DCB">
        <w:rPr>
          <w:lang w:val="sk-SK"/>
        </w:rPr>
        <w:t>HEATCO - Developing Harmonized European Approaches for Transport Costing and Project Assessment, 2004 – 2006</w:t>
      </w:r>
      <w:r w:rsidR="00456DCB" w:rsidRPr="00456DCB">
        <w:rPr>
          <w:lang w:val="sk-SK"/>
        </w:rPr>
        <w:t>;</w:t>
      </w:r>
    </w:p>
    <w:p w:rsidR="00631EAB" w:rsidRDefault="00E17D91" w:rsidP="00D20948">
      <w:pPr>
        <w:numPr>
          <w:ilvl w:val="0"/>
          <w:numId w:val="6"/>
        </w:numPr>
        <w:suppressAutoHyphens w:val="0"/>
        <w:spacing w:before="0" w:after="0" w:line="360" w:lineRule="auto"/>
        <w:jc w:val="left"/>
        <w:rPr>
          <w:lang w:val="sk-SK"/>
        </w:rPr>
      </w:pPr>
      <w:r>
        <w:t>Aktualizace metodiky pro výpočet efektivnosti investic na SŽDC, s.o, MD ČR, 2009</w:t>
      </w:r>
      <w:r w:rsidR="00456DCB">
        <w:t>;</w:t>
      </w:r>
    </w:p>
    <w:p w:rsidR="00631EAB" w:rsidRDefault="00E17D91" w:rsidP="00D20948">
      <w:pPr>
        <w:numPr>
          <w:ilvl w:val="0"/>
          <w:numId w:val="3"/>
        </w:numPr>
      </w:pPr>
      <w:r w:rsidRPr="00AE771F">
        <w:t>Modernizace trati Hradec Králové – Pardubice – Chrudim, Medlešická spojka, Technický průkaz zvýšení kapacity úseku trati Pardubice hl. n. – Pardubice-Rosice n.L. (SUDOP Praha a.s., 6/2010)</w:t>
      </w:r>
      <w:r w:rsidR="00456DCB">
        <w:t>;</w:t>
      </w:r>
    </w:p>
    <w:p w:rsidR="00631EAB" w:rsidRDefault="00E17D91" w:rsidP="00D20948">
      <w:pPr>
        <w:numPr>
          <w:ilvl w:val="0"/>
          <w:numId w:val="3"/>
        </w:numPr>
      </w:pPr>
      <w:r w:rsidRPr="00880451">
        <w:t>Modernizace trati Hradec Králové – Pardubice – Chrudim, Medlešická spojka, CBA Hradec Králové – Pardubice – Chrudim (SUDOP PRAHA, a. s., 03/2011)</w:t>
      </w:r>
      <w:r w:rsidR="00BF0C2A">
        <w:t>;</w:t>
      </w:r>
    </w:p>
    <w:p w:rsidR="00631EAB" w:rsidRDefault="00BF0C2A" w:rsidP="00D20948">
      <w:pPr>
        <w:numPr>
          <w:ilvl w:val="0"/>
          <w:numId w:val="3"/>
        </w:numPr>
      </w:pPr>
      <w:r>
        <w:t>Biogeografické členění České republiky</w:t>
      </w:r>
      <w:r w:rsidR="00501698">
        <w:t>, Martin Culek a kolektiv, Enigma, Praha 1996</w:t>
      </w:r>
      <w:r w:rsidR="00456DCB">
        <w:t>;</w:t>
      </w:r>
    </w:p>
    <w:p w:rsidR="00631EAB" w:rsidRDefault="000E79AE" w:rsidP="00D20948">
      <w:pPr>
        <w:numPr>
          <w:ilvl w:val="0"/>
          <w:numId w:val="3"/>
        </w:numPr>
      </w:pPr>
      <w:hyperlink r:id="rId117" w:history="1">
        <w:r w:rsidR="00501698" w:rsidRPr="004A4840">
          <w:rPr>
            <w:rStyle w:val="Hypertextovodkaz"/>
          </w:rPr>
          <w:t>http://cs.wikipedia</w:t>
        </w:r>
      </w:hyperlink>
      <w:r w:rsidR="00501698">
        <w:t xml:space="preserve"> , </w:t>
      </w:r>
      <w:hyperlink r:id="rId118" w:history="1">
        <w:r w:rsidR="00501698" w:rsidRPr="004A4840">
          <w:rPr>
            <w:rStyle w:val="Hypertextovodkaz"/>
          </w:rPr>
          <w:t>www.mapy</w:t>
        </w:r>
      </w:hyperlink>
      <w:r w:rsidR="00501698">
        <w:t xml:space="preserve"> cz a jiné odkazy na Internetu</w:t>
      </w:r>
    </w:p>
    <w:p w:rsidR="0082658E" w:rsidRDefault="0082658E"/>
    <w:p w:rsidR="0082658E" w:rsidRDefault="0082658E"/>
    <w:p w:rsidR="0082658E" w:rsidRDefault="0082658E"/>
    <w:p w:rsidR="0082658E" w:rsidRDefault="0082658E">
      <w:pPr>
        <w:sectPr w:rsidR="0082658E" w:rsidSect="00C90180">
          <w:footerReference w:type="default" r:id="rId119"/>
          <w:footnotePr>
            <w:pos w:val="beneathText"/>
          </w:footnotePr>
          <w:pgSz w:w="11905" w:h="16837" w:code="9"/>
          <w:pgMar w:top="1492" w:right="1134" w:bottom="1134" w:left="1418" w:header="709" w:footer="353" w:gutter="0"/>
          <w:cols w:space="708"/>
          <w:docGrid w:linePitch="360"/>
        </w:sectPr>
      </w:pPr>
    </w:p>
    <w:p w:rsidR="00E17D91" w:rsidRDefault="00E17D91" w:rsidP="006A637B">
      <w:pPr>
        <w:pStyle w:val="Nadpis1"/>
        <w:ind w:hanging="716"/>
      </w:pPr>
      <w:bookmarkStart w:id="374" w:name="_Toc390958729"/>
      <w:bookmarkEnd w:id="28"/>
      <w:r>
        <w:t>DOKLADOVÁ ČÁST</w:t>
      </w:r>
      <w:bookmarkEnd w:id="374"/>
    </w:p>
    <w:p w:rsidR="00147AB7" w:rsidRDefault="00147AB7">
      <w:r>
        <w:t>Dále jsou zařazeny dokumenty:</w:t>
      </w:r>
    </w:p>
    <w:p w:rsidR="00631EAB" w:rsidRDefault="00147AB7" w:rsidP="00D20948">
      <w:pPr>
        <w:numPr>
          <w:ilvl w:val="0"/>
          <w:numId w:val="10"/>
        </w:numPr>
      </w:pPr>
      <w:r>
        <w:t>záznam ze vstupní porady 8. 11. 2011;</w:t>
      </w:r>
    </w:p>
    <w:p w:rsidR="00631EAB" w:rsidRDefault="00147AB7" w:rsidP="00D20948">
      <w:pPr>
        <w:numPr>
          <w:ilvl w:val="0"/>
          <w:numId w:val="10"/>
        </w:numPr>
      </w:pPr>
      <w:r>
        <w:t>dopis Elektráren Opatovice ohledně výhledu přeprav;</w:t>
      </w:r>
    </w:p>
    <w:p w:rsidR="00631EAB" w:rsidRDefault="00147AB7" w:rsidP="00D20948">
      <w:pPr>
        <w:numPr>
          <w:ilvl w:val="0"/>
          <w:numId w:val="10"/>
        </w:numPr>
      </w:pPr>
      <w:r>
        <w:t>poznámky od Jaspers k jednání 23. 3. 2012</w:t>
      </w:r>
      <w:r w:rsidR="00F27651">
        <w:t>;</w:t>
      </w:r>
    </w:p>
    <w:p w:rsidR="00631EAB" w:rsidRDefault="00F27651" w:rsidP="00D20948">
      <w:pPr>
        <w:numPr>
          <w:ilvl w:val="0"/>
          <w:numId w:val="10"/>
        </w:numPr>
      </w:pPr>
      <w:r>
        <w:t>záznam z porady se zadavatelem 11. 4. 2012</w:t>
      </w:r>
      <w:r w:rsidR="00D4137B">
        <w:t>;</w:t>
      </w:r>
    </w:p>
    <w:p w:rsidR="00631EAB" w:rsidRDefault="001F3795" w:rsidP="00D20948">
      <w:pPr>
        <w:numPr>
          <w:ilvl w:val="0"/>
          <w:numId w:val="10"/>
        </w:numPr>
      </w:pPr>
      <w:r>
        <w:t>poznámky od Jaspers ze dne 28. 6. 2012 (ENG);</w:t>
      </w:r>
    </w:p>
    <w:p w:rsidR="00631EAB" w:rsidRDefault="001F3795" w:rsidP="00D20948">
      <w:pPr>
        <w:numPr>
          <w:ilvl w:val="0"/>
          <w:numId w:val="10"/>
        </w:numPr>
      </w:pPr>
      <w:r>
        <w:t>poznámky od Jaspers ze dne 28. 6. 2012 (překlad CZ);</w:t>
      </w:r>
    </w:p>
    <w:p w:rsidR="00631EAB" w:rsidRDefault="00F708AC" w:rsidP="00D20948">
      <w:pPr>
        <w:numPr>
          <w:ilvl w:val="0"/>
          <w:numId w:val="10"/>
        </w:numPr>
      </w:pPr>
      <w:r>
        <w:t>doporučení od Jaspers ke druhému návrhu</w:t>
      </w:r>
      <w:r w:rsidR="00147AB7">
        <w:t xml:space="preserve"> </w:t>
      </w:r>
      <w:r>
        <w:t>SP ze dne 29. 11 2012</w:t>
      </w:r>
    </w:p>
    <w:p w:rsidR="00631EAB" w:rsidRDefault="00F708AC" w:rsidP="00D20948">
      <w:pPr>
        <w:numPr>
          <w:ilvl w:val="0"/>
          <w:numId w:val="10"/>
        </w:numPr>
      </w:pPr>
      <w:r>
        <w:t>záznam z jednání o „Aktualizaci studie proveditelnosti Uzel Plzeň“ a „Studii proveditelnosti Hradec Králové – Pardubice“ ze dne 19. dubna 2013</w:t>
      </w:r>
    </w:p>
    <w:p w:rsidR="00631EAB" w:rsidRDefault="003267F4" w:rsidP="00D20948">
      <w:pPr>
        <w:numPr>
          <w:ilvl w:val="0"/>
          <w:numId w:val="10"/>
        </w:numPr>
      </w:pPr>
      <w:r>
        <w:t>vyjádření Národního památkového ústavu Pardubice</w:t>
      </w:r>
      <w:r w:rsidR="00BD4745">
        <w:t>;</w:t>
      </w:r>
    </w:p>
    <w:p w:rsidR="00631EAB" w:rsidRDefault="00BD4745" w:rsidP="00D20948">
      <w:pPr>
        <w:numPr>
          <w:ilvl w:val="0"/>
          <w:numId w:val="10"/>
        </w:numPr>
      </w:pPr>
      <w:r>
        <w:t>záznam ze vstupní porady 10. 10. 2013 k Aktualizaci studie proveditelnosti.</w:t>
      </w:r>
    </w:p>
    <w:p w:rsidR="00147AB7" w:rsidRDefault="00147AB7" w:rsidP="00147AB7"/>
    <w:p w:rsidR="00147AB7" w:rsidRDefault="00147AB7" w:rsidP="00147AB7"/>
    <w:p w:rsidR="00147AB7" w:rsidRDefault="00147AB7" w:rsidP="00147AB7"/>
    <w:p w:rsidR="00520D43" w:rsidRDefault="00147AB7" w:rsidP="00F27651">
      <w:r>
        <w:br w:type="page"/>
      </w:r>
      <w:r w:rsidR="004E4D1F">
        <w:rPr>
          <w:noProof/>
          <w:lang w:eastAsia="cs-CZ"/>
        </w:rPr>
        <w:drawing>
          <wp:inline distT="0" distB="0" distL="0" distR="0" wp14:anchorId="203F0B10" wp14:editId="2D98251A">
            <wp:extent cx="5434330" cy="860933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34330" cy="8609330"/>
                    </a:xfrm>
                    <a:prstGeom prst="rect">
                      <a:avLst/>
                    </a:prstGeom>
                    <a:noFill/>
                    <a:ln>
                      <a:noFill/>
                    </a:ln>
                  </pic:spPr>
                </pic:pic>
              </a:graphicData>
            </a:graphic>
          </wp:inline>
        </w:drawing>
      </w:r>
    </w:p>
    <w:p w:rsidR="00520D43" w:rsidRDefault="004E4D1F" w:rsidP="00147AB7">
      <w:pPr>
        <w:spacing w:after="200" w:line="276" w:lineRule="auto"/>
        <w:jc w:val="left"/>
      </w:pPr>
      <w:r>
        <w:rPr>
          <w:noProof/>
          <w:lang w:eastAsia="cs-CZ"/>
        </w:rPr>
        <w:drawing>
          <wp:inline distT="0" distB="0" distL="0" distR="0" wp14:anchorId="40D42A71" wp14:editId="266CFC48">
            <wp:extent cx="5400040" cy="847979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400040" cy="8479790"/>
                    </a:xfrm>
                    <a:prstGeom prst="rect">
                      <a:avLst/>
                    </a:prstGeom>
                    <a:noFill/>
                    <a:ln>
                      <a:noFill/>
                    </a:ln>
                  </pic:spPr>
                </pic:pic>
              </a:graphicData>
            </a:graphic>
          </wp:inline>
        </w:drawing>
      </w:r>
    </w:p>
    <w:p w:rsidR="00520D43" w:rsidRDefault="004E4D1F" w:rsidP="00147AB7">
      <w:pPr>
        <w:spacing w:after="200" w:line="276" w:lineRule="auto"/>
        <w:jc w:val="left"/>
      </w:pPr>
      <w:r>
        <w:rPr>
          <w:noProof/>
          <w:lang w:eastAsia="cs-CZ"/>
        </w:rPr>
        <w:drawing>
          <wp:inline distT="0" distB="0" distL="0" distR="0" wp14:anchorId="3E1717B8" wp14:editId="16F5C537">
            <wp:extent cx="5365750" cy="8505825"/>
            <wp:effectExtent l="0" t="0" r="0" b="0"/>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365750" cy="8505825"/>
                    </a:xfrm>
                    <a:prstGeom prst="rect">
                      <a:avLst/>
                    </a:prstGeom>
                    <a:noFill/>
                    <a:ln>
                      <a:noFill/>
                    </a:ln>
                  </pic:spPr>
                </pic:pic>
              </a:graphicData>
            </a:graphic>
          </wp:inline>
        </w:drawing>
      </w:r>
    </w:p>
    <w:p w:rsidR="00147AB7" w:rsidRDefault="00147AB7">
      <w:pPr>
        <w:spacing w:after="200" w:line="276" w:lineRule="auto"/>
        <w:jc w:val="left"/>
      </w:pPr>
    </w:p>
    <w:p w:rsidR="006819BA" w:rsidRDefault="004E4D1F" w:rsidP="00092F1A">
      <w:pPr>
        <w:spacing w:after="200" w:line="276" w:lineRule="auto"/>
        <w:jc w:val="left"/>
      </w:pPr>
      <w:r w:rsidRPr="00455B8F">
        <w:rPr>
          <w:rFonts w:ascii="Arial" w:hAnsi="Arial"/>
          <w:noProof/>
          <w:szCs w:val="22"/>
          <w:lang w:eastAsia="cs-CZ"/>
        </w:rPr>
        <w:drawing>
          <wp:inline distT="0" distB="0" distL="0" distR="0" wp14:anchorId="6D9B7A83" wp14:editId="00B7E1E3">
            <wp:extent cx="5840095" cy="8263890"/>
            <wp:effectExtent l="0" t="0" r="0" b="0"/>
            <wp:docPr id="86" name="Obrázek 2" descr="SKMBT_C45111110817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SKMBT_C45111110817100.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rot="10800000">
                      <a:off x="0" y="0"/>
                      <a:ext cx="5840095" cy="8263890"/>
                    </a:xfrm>
                    <a:prstGeom prst="rect">
                      <a:avLst/>
                    </a:prstGeom>
                    <a:noFill/>
                    <a:ln>
                      <a:noFill/>
                    </a:ln>
                  </pic:spPr>
                </pic:pic>
              </a:graphicData>
            </a:graphic>
          </wp:inline>
        </w:drawing>
      </w:r>
    </w:p>
    <w:p w:rsidR="006819BA" w:rsidRDefault="004E4D1F" w:rsidP="00092F1A">
      <w:pPr>
        <w:spacing w:after="200" w:line="276" w:lineRule="auto"/>
        <w:jc w:val="left"/>
      </w:pPr>
      <w:r w:rsidRPr="00455B8F">
        <w:rPr>
          <w:rFonts w:ascii="Arial" w:hAnsi="Arial"/>
          <w:noProof/>
          <w:szCs w:val="22"/>
          <w:lang w:eastAsia="cs-CZ"/>
        </w:rPr>
        <w:drawing>
          <wp:inline distT="0" distB="0" distL="0" distR="0" wp14:anchorId="29618354" wp14:editId="1CF7FA65">
            <wp:extent cx="5840095" cy="8263890"/>
            <wp:effectExtent l="0" t="0" r="0" b="0"/>
            <wp:docPr id="87" name="Obrázek 4" descr="SKMBT_C45111110817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descr="SKMBT_C45111110817110.jp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rot="10800000">
                      <a:off x="0" y="0"/>
                      <a:ext cx="5840095" cy="8263890"/>
                    </a:xfrm>
                    <a:prstGeom prst="rect">
                      <a:avLst/>
                    </a:prstGeom>
                    <a:noFill/>
                    <a:ln>
                      <a:noFill/>
                    </a:ln>
                  </pic:spPr>
                </pic:pic>
              </a:graphicData>
            </a:graphic>
          </wp:inline>
        </w:drawing>
      </w:r>
    </w:p>
    <w:p w:rsidR="00147AB7" w:rsidRDefault="00147AB7" w:rsidP="00455B8F"/>
    <w:p w:rsidR="00147AB7" w:rsidRDefault="004E4D1F" w:rsidP="00147AB7">
      <w:r>
        <w:rPr>
          <w:noProof/>
          <w:lang w:eastAsia="cs-CZ"/>
        </w:rPr>
        <w:drawing>
          <wp:inline distT="0" distB="0" distL="0" distR="0" wp14:anchorId="704DC19A" wp14:editId="72092F62">
            <wp:extent cx="5555615" cy="8609330"/>
            <wp:effectExtent l="0" t="0" r="0" b="0"/>
            <wp:docPr id="88" name="obráze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55615" cy="8609330"/>
                    </a:xfrm>
                    <a:prstGeom prst="rect">
                      <a:avLst/>
                    </a:prstGeom>
                    <a:noFill/>
                    <a:ln>
                      <a:noFill/>
                    </a:ln>
                  </pic:spPr>
                </pic:pic>
              </a:graphicData>
            </a:graphic>
          </wp:inline>
        </w:drawing>
      </w:r>
    </w:p>
    <w:p w:rsidR="00147AB7" w:rsidRPr="00F27651" w:rsidRDefault="004E4D1F" w:rsidP="00147AB7">
      <w:pPr>
        <w:rPr>
          <w:lang w:val="pl-PL"/>
        </w:rPr>
      </w:pPr>
      <w:r>
        <w:rPr>
          <w:noProof/>
          <w:lang w:eastAsia="cs-CZ"/>
        </w:rPr>
        <w:drawing>
          <wp:inline distT="0" distB="0" distL="0" distR="0" wp14:anchorId="656BC38D" wp14:editId="7239E949">
            <wp:extent cx="5400040" cy="8246745"/>
            <wp:effectExtent l="0" t="0" r="0" b="0"/>
            <wp:docPr id="89" name="obráze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400040" cy="8246745"/>
                    </a:xfrm>
                    <a:prstGeom prst="rect">
                      <a:avLst/>
                    </a:prstGeom>
                    <a:noFill/>
                    <a:ln>
                      <a:noFill/>
                    </a:ln>
                  </pic:spPr>
                </pic:pic>
              </a:graphicData>
            </a:graphic>
          </wp:inline>
        </w:drawing>
      </w:r>
    </w:p>
    <w:p w:rsidR="0056272C" w:rsidRPr="00F27651" w:rsidRDefault="0056272C" w:rsidP="00147AB7">
      <w:pPr>
        <w:rPr>
          <w:lang w:val="pl-PL"/>
        </w:rPr>
      </w:pPr>
    </w:p>
    <w:p w:rsidR="0056272C" w:rsidRPr="00F27651" w:rsidRDefault="0056272C" w:rsidP="00147AB7">
      <w:pPr>
        <w:rPr>
          <w:lang w:val="pl-PL"/>
        </w:rPr>
      </w:pPr>
    </w:p>
    <w:p w:rsidR="0056272C" w:rsidRPr="00F27651" w:rsidRDefault="004E4D1F" w:rsidP="00147AB7">
      <w:pPr>
        <w:rPr>
          <w:lang w:val="pl-PL"/>
        </w:rPr>
      </w:pPr>
      <w:r>
        <w:rPr>
          <w:noProof/>
          <w:lang w:eastAsia="cs-CZ"/>
        </w:rPr>
        <w:drawing>
          <wp:inline distT="0" distB="0" distL="0" distR="0" wp14:anchorId="32B79965" wp14:editId="4884858B">
            <wp:extent cx="5400040" cy="7531100"/>
            <wp:effectExtent l="0" t="0" r="0" b="0"/>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00040" cy="7531100"/>
                    </a:xfrm>
                    <a:prstGeom prst="rect">
                      <a:avLst/>
                    </a:prstGeom>
                    <a:noFill/>
                    <a:ln>
                      <a:noFill/>
                    </a:ln>
                  </pic:spPr>
                </pic:pic>
              </a:graphicData>
            </a:graphic>
          </wp:inline>
        </w:drawing>
      </w:r>
    </w:p>
    <w:p w:rsidR="0056272C" w:rsidRPr="00F27651" w:rsidRDefault="0056272C" w:rsidP="00147AB7">
      <w:pPr>
        <w:rPr>
          <w:lang w:val="pl-PL"/>
        </w:rPr>
      </w:pPr>
    </w:p>
    <w:p w:rsidR="0056272C" w:rsidRPr="00F27651" w:rsidRDefault="0056272C" w:rsidP="00147AB7">
      <w:pPr>
        <w:rPr>
          <w:lang w:val="pl-PL"/>
        </w:rPr>
      </w:pPr>
    </w:p>
    <w:p w:rsidR="0056272C" w:rsidRPr="00F27651" w:rsidRDefault="0056272C" w:rsidP="00147AB7">
      <w:pPr>
        <w:rPr>
          <w:lang w:val="pl-PL"/>
        </w:rPr>
      </w:pPr>
    </w:p>
    <w:p w:rsidR="0056272C" w:rsidRPr="00F27651" w:rsidRDefault="0056272C" w:rsidP="00147AB7">
      <w:pPr>
        <w:rPr>
          <w:lang w:val="pl-PL"/>
        </w:rPr>
      </w:pPr>
    </w:p>
    <w:p w:rsidR="0056272C" w:rsidRPr="00F27651" w:rsidRDefault="004E4D1F" w:rsidP="00147AB7">
      <w:pPr>
        <w:rPr>
          <w:lang w:val="pl-PL"/>
        </w:rPr>
      </w:pPr>
      <w:r>
        <w:rPr>
          <w:noProof/>
          <w:lang w:eastAsia="cs-CZ"/>
        </w:rPr>
        <w:drawing>
          <wp:inline distT="0" distB="0" distL="0" distR="0" wp14:anchorId="1F03F4C6" wp14:editId="75D20A25">
            <wp:extent cx="5322570" cy="7487920"/>
            <wp:effectExtent l="0" t="0" r="0" b="0"/>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322570" cy="7487920"/>
                    </a:xfrm>
                    <a:prstGeom prst="rect">
                      <a:avLst/>
                    </a:prstGeom>
                    <a:noFill/>
                    <a:ln>
                      <a:noFill/>
                    </a:ln>
                  </pic:spPr>
                </pic:pic>
              </a:graphicData>
            </a:graphic>
          </wp:inline>
        </w:drawing>
      </w:r>
    </w:p>
    <w:p w:rsidR="0056272C" w:rsidRPr="00F27651" w:rsidRDefault="0056272C" w:rsidP="00147AB7">
      <w:pPr>
        <w:rPr>
          <w:lang w:val="pl-PL"/>
        </w:rPr>
      </w:pPr>
    </w:p>
    <w:p w:rsidR="0056272C" w:rsidRPr="00F27651" w:rsidRDefault="0056272C" w:rsidP="00147AB7">
      <w:pPr>
        <w:rPr>
          <w:lang w:val="pl-PL"/>
        </w:rPr>
      </w:pPr>
    </w:p>
    <w:p w:rsidR="0056272C" w:rsidRPr="00F27651" w:rsidRDefault="0056272C" w:rsidP="00147AB7">
      <w:pPr>
        <w:rPr>
          <w:lang w:val="pl-PL"/>
        </w:rPr>
      </w:pPr>
    </w:p>
    <w:p w:rsidR="0056272C" w:rsidRPr="00F27651" w:rsidRDefault="0056272C" w:rsidP="00147AB7">
      <w:pPr>
        <w:rPr>
          <w:lang w:val="pl-PL"/>
        </w:rPr>
      </w:pPr>
    </w:p>
    <w:p w:rsidR="0056272C" w:rsidRPr="00F27651" w:rsidRDefault="004E4D1F" w:rsidP="00147AB7">
      <w:pPr>
        <w:rPr>
          <w:lang w:val="pl-PL"/>
        </w:rPr>
      </w:pPr>
      <w:r>
        <w:rPr>
          <w:noProof/>
          <w:lang w:eastAsia="cs-CZ"/>
        </w:rPr>
        <w:drawing>
          <wp:inline distT="0" distB="0" distL="0" distR="0" wp14:anchorId="15DC32D1" wp14:editId="3B963BB1">
            <wp:extent cx="5512435" cy="8359140"/>
            <wp:effectExtent l="0" t="0" r="0" b="0"/>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512435" cy="8359140"/>
                    </a:xfrm>
                    <a:prstGeom prst="rect">
                      <a:avLst/>
                    </a:prstGeom>
                    <a:noFill/>
                    <a:ln>
                      <a:noFill/>
                    </a:ln>
                  </pic:spPr>
                </pic:pic>
              </a:graphicData>
            </a:graphic>
          </wp:inline>
        </w:drawing>
      </w:r>
    </w:p>
    <w:p w:rsidR="0056272C" w:rsidRPr="00F27651" w:rsidRDefault="0056272C" w:rsidP="00147AB7">
      <w:pPr>
        <w:rPr>
          <w:lang w:val="pl-PL"/>
        </w:rPr>
      </w:pPr>
    </w:p>
    <w:p w:rsidR="0056272C" w:rsidRPr="00F27651" w:rsidRDefault="004E4D1F" w:rsidP="00147AB7">
      <w:pPr>
        <w:rPr>
          <w:lang w:val="pl-PL"/>
        </w:rPr>
      </w:pPr>
      <w:r>
        <w:rPr>
          <w:noProof/>
          <w:lang w:eastAsia="cs-CZ"/>
        </w:rPr>
        <w:drawing>
          <wp:inline distT="0" distB="0" distL="0" distR="0" wp14:anchorId="0D7CBEE2" wp14:editId="05B3A5D1">
            <wp:extent cx="5175885" cy="3855720"/>
            <wp:effectExtent l="0" t="0" r="0" b="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175885" cy="3855720"/>
                    </a:xfrm>
                    <a:prstGeom prst="rect">
                      <a:avLst/>
                    </a:prstGeom>
                    <a:noFill/>
                    <a:ln>
                      <a:noFill/>
                    </a:ln>
                  </pic:spPr>
                </pic:pic>
              </a:graphicData>
            </a:graphic>
          </wp:inline>
        </w:drawing>
      </w:r>
    </w:p>
    <w:p w:rsidR="0056272C" w:rsidRDefault="004E4D1F" w:rsidP="00147AB7">
      <w:pPr>
        <w:rPr>
          <w:lang w:val="pl-PL"/>
        </w:rPr>
      </w:pPr>
      <w:r>
        <w:rPr>
          <w:noProof/>
          <w:lang w:eastAsia="cs-CZ"/>
        </w:rPr>
        <w:drawing>
          <wp:inline distT="0" distB="0" distL="0" distR="0" wp14:anchorId="57ED01DD" wp14:editId="3A6D6B4E">
            <wp:extent cx="5934710" cy="8298815"/>
            <wp:effectExtent l="0" t="0" r="0"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4710" cy="8298815"/>
                    </a:xfrm>
                    <a:prstGeom prst="rect">
                      <a:avLst/>
                    </a:prstGeom>
                    <a:noFill/>
                    <a:ln>
                      <a:noFill/>
                    </a:ln>
                  </pic:spPr>
                </pic:pic>
              </a:graphicData>
            </a:graphic>
          </wp:inline>
        </w:drawing>
      </w:r>
    </w:p>
    <w:p w:rsidR="00F27651" w:rsidRDefault="00F27651" w:rsidP="00147AB7">
      <w:pPr>
        <w:rPr>
          <w:lang w:val="pl-PL"/>
        </w:rPr>
      </w:pPr>
    </w:p>
    <w:p w:rsidR="00F27651" w:rsidRDefault="004E4D1F" w:rsidP="00147AB7">
      <w:pPr>
        <w:rPr>
          <w:lang w:val="pl-PL"/>
        </w:rPr>
      </w:pPr>
      <w:r>
        <w:rPr>
          <w:noProof/>
          <w:lang w:eastAsia="cs-CZ"/>
        </w:rPr>
        <w:drawing>
          <wp:inline distT="0" distB="0" distL="0" distR="0" wp14:anchorId="12BA5805" wp14:editId="11CF72A3">
            <wp:extent cx="5460365" cy="8884920"/>
            <wp:effectExtent l="0" t="0" r="0" b="0"/>
            <wp:docPr id="95" name="obráze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460365" cy="8884920"/>
                    </a:xfrm>
                    <a:prstGeom prst="rect">
                      <a:avLst/>
                    </a:prstGeom>
                    <a:noFill/>
                    <a:ln>
                      <a:noFill/>
                    </a:ln>
                  </pic:spPr>
                </pic:pic>
              </a:graphicData>
            </a:graphic>
          </wp:inline>
        </w:drawing>
      </w:r>
    </w:p>
    <w:p w:rsidR="00F27651" w:rsidRDefault="004E4D1F" w:rsidP="00147AB7">
      <w:pPr>
        <w:rPr>
          <w:lang w:val="pl-PL"/>
        </w:rPr>
      </w:pPr>
      <w:r>
        <w:rPr>
          <w:noProof/>
          <w:lang w:eastAsia="cs-CZ"/>
        </w:rPr>
        <w:drawing>
          <wp:inline distT="0" distB="0" distL="0" distR="0" wp14:anchorId="5E6DA13E" wp14:editId="2ECFB30C">
            <wp:extent cx="5529580" cy="8884920"/>
            <wp:effectExtent l="0" t="0" r="0" b="0"/>
            <wp:docPr id="96"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29580" cy="8884920"/>
                    </a:xfrm>
                    <a:prstGeom prst="rect">
                      <a:avLst/>
                    </a:prstGeom>
                    <a:noFill/>
                    <a:ln>
                      <a:noFill/>
                    </a:ln>
                  </pic:spPr>
                </pic:pic>
              </a:graphicData>
            </a:graphic>
          </wp:inline>
        </w:drawing>
      </w:r>
    </w:p>
    <w:p w:rsidR="00147AB7" w:rsidRDefault="004E4D1F" w:rsidP="00147AB7">
      <w:pPr>
        <w:rPr>
          <w:lang w:val="pl-PL"/>
        </w:rPr>
      </w:pPr>
      <w:r>
        <w:rPr>
          <w:noProof/>
          <w:lang w:eastAsia="cs-CZ"/>
        </w:rPr>
        <w:drawing>
          <wp:inline distT="0" distB="0" distL="0" distR="0" wp14:anchorId="71149FEF" wp14:editId="3F488617">
            <wp:extent cx="5512435" cy="8470900"/>
            <wp:effectExtent l="0" t="0" r="0" b="0"/>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12435" cy="8470900"/>
                    </a:xfrm>
                    <a:prstGeom prst="rect">
                      <a:avLst/>
                    </a:prstGeom>
                    <a:noFill/>
                    <a:ln>
                      <a:noFill/>
                    </a:ln>
                  </pic:spPr>
                </pic:pic>
              </a:graphicData>
            </a:graphic>
          </wp:inline>
        </w:drawing>
      </w:r>
    </w:p>
    <w:p w:rsidR="00D4137B" w:rsidRDefault="00D4137B" w:rsidP="00147AB7">
      <w:pPr>
        <w:rPr>
          <w:lang w:val="pl-PL"/>
        </w:rPr>
      </w:pPr>
    </w:p>
    <w:tbl>
      <w:tblPr>
        <w:tblW w:w="9782" w:type="dxa"/>
        <w:tblInd w:w="-228" w:type="dxa"/>
        <w:tblLayout w:type="fixed"/>
        <w:tblCellMar>
          <w:left w:w="56" w:type="dxa"/>
          <w:right w:w="56" w:type="dxa"/>
        </w:tblCellMar>
        <w:tblLook w:val="0000" w:firstRow="0" w:lastRow="0" w:firstColumn="0" w:lastColumn="0" w:noHBand="0" w:noVBand="0"/>
      </w:tblPr>
      <w:tblGrid>
        <w:gridCol w:w="5671"/>
        <w:gridCol w:w="4111"/>
      </w:tblGrid>
      <w:tr w:rsidR="00D4137B" w:rsidRPr="006C3C1C" w:rsidTr="00867E54">
        <w:trPr>
          <w:cantSplit/>
        </w:trPr>
        <w:tc>
          <w:tcPr>
            <w:tcW w:w="5671" w:type="dxa"/>
          </w:tcPr>
          <w:p w:rsidR="00D4137B" w:rsidRPr="006C3C1C" w:rsidRDefault="004E4D1F" w:rsidP="00867E54">
            <w:pPr>
              <w:pStyle w:val="Zpat"/>
              <w:spacing w:line="240" w:lineRule="atLeast"/>
              <w:rPr>
                <w:lang w:val="en-GB"/>
              </w:rPr>
            </w:pPr>
            <w:r w:rsidRPr="00455B8F">
              <w:rPr>
                <w:rFonts w:cs="Arial"/>
                <w:noProof/>
                <w:lang w:eastAsia="cs-CZ"/>
              </w:rPr>
              <w:drawing>
                <wp:inline distT="0" distB="0" distL="0" distR="0" wp14:anchorId="5C4CFA58" wp14:editId="102CE195">
                  <wp:extent cx="2061845" cy="1043940"/>
                  <wp:effectExtent l="0" t="0" r="0" b="0"/>
                  <wp:docPr id="98" name="Picture 1" descr="Jaspers_Log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aspers_Logo 2"/>
                          <pic:cNvPicPr>
                            <a:picLocks noChangeAspect="1" noChangeArrowheads="1"/>
                          </pic:cNvPicPr>
                        </pic:nvPicPr>
                        <pic:blipFill>
                          <a:blip r:embed="rId135" cstate="print">
                            <a:lum contrast="30000"/>
                            <a:extLst>
                              <a:ext uri="{28A0092B-C50C-407E-A947-70E740481C1C}">
                                <a14:useLocalDpi xmlns:a14="http://schemas.microsoft.com/office/drawing/2010/main" val="0"/>
                              </a:ext>
                            </a:extLst>
                          </a:blip>
                          <a:srcRect/>
                          <a:stretch>
                            <a:fillRect/>
                          </a:stretch>
                        </pic:blipFill>
                        <pic:spPr bwMode="auto">
                          <a:xfrm>
                            <a:off x="0" y="0"/>
                            <a:ext cx="2061845" cy="1043940"/>
                          </a:xfrm>
                          <a:prstGeom prst="rect">
                            <a:avLst/>
                          </a:prstGeom>
                          <a:noFill/>
                          <a:ln>
                            <a:noFill/>
                          </a:ln>
                        </pic:spPr>
                      </pic:pic>
                    </a:graphicData>
                  </a:graphic>
                </wp:inline>
              </w:drawing>
            </w:r>
          </w:p>
        </w:tc>
        <w:tc>
          <w:tcPr>
            <w:tcW w:w="4111" w:type="dxa"/>
          </w:tcPr>
          <w:p w:rsidR="00D4137B" w:rsidRPr="006C3C1C" w:rsidRDefault="00D4137B" w:rsidP="00867E54">
            <w:pPr>
              <w:pStyle w:val="Para1"/>
              <w:tabs>
                <w:tab w:val="left" w:pos="5104"/>
              </w:tabs>
              <w:spacing w:before="0"/>
              <w:ind w:left="0" w:firstLine="0"/>
              <w:jc w:val="right"/>
              <w:rPr>
                <w:position w:val="-34"/>
              </w:rPr>
            </w:pPr>
            <w:r w:rsidRPr="006C3C1C">
              <w:rPr>
                <w:position w:val="-34"/>
              </w:rPr>
              <w:t xml:space="preserve">Vienna, </w:t>
            </w:r>
            <w:r>
              <w:rPr>
                <w:position w:val="-34"/>
              </w:rPr>
              <w:t>28</w:t>
            </w:r>
            <w:r w:rsidRPr="006C3C1C">
              <w:rPr>
                <w:position w:val="-34"/>
              </w:rPr>
              <w:t>June 2012</w:t>
            </w:r>
          </w:p>
          <w:p w:rsidR="00D4137B" w:rsidRPr="006C3C1C" w:rsidRDefault="00D4137B" w:rsidP="00867E54">
            <w:pPr>
              <w:pStyle w:val="Para1"/>
              <w:tabs>
                <w:tab w:val="left" w:pos="5104"/>
              </w:tabs>
              <w:spacing w:before="0"/>
              <w:ind w:left="0" w:firstLine="0"/>
              <w:jc w:val="right"/>
              <w:rPr>
                <w:position w:val="-34"/>
                <w:highlight w:val="yellow"/>
              </w:rPr>
            </w:pPr>
            <w:r w:rsidRPr="006C3C1C">
              <w:rPr>
                <w:position w:val="-34"/>
              </w:rPr>
              <w:t>JASPERS/xxxx/xxx/so</w:t>
            </w:r>
          </w:p>
        </w:tc>
      </w:tr>
    </w:tbl>
    <w:p w:rsidR="00D4137B" w:rsidRPr="006C3C1C" w:rsidRDefault="00D4137B" w:rsidP="00D4137B">
      <w:pPr>
        <w:tabs>
          <w:tab w:val="left" w:pos="567"/>
          <w:tab w:val="left" w:pos="1134"/>
          <w:tab w:val="left" w:pos="1701"/>
          <w:tab w:val="left" w:pos="2268"/>
          <w:tab w:val="left" w:pos="5670"/>
          <w:tab w:val="left" w:pos="6237"/>
        </w:tabs>
        <w:rPr>
          <w:rFonts w:ascii="Arial" w:hAnsi="Arial"/>
          <w:lang w:val="en-GB"/>
        </w:rPr>
      </w:pPr>
    </w:p>
    <w:p w:rsidR="00D4137B" w:rsidRPr="006C3C1C" w:rsidRDefault="00D4137B" w:rsidP="00D4137B">
      <w:pPr>
        <w:pStyle w:val="Para1"/>
        <w:spacing w:before="0"/>
        <w:jc w:val="both"/>
        <w:rPr>
          <w:b/>
          <w:sz w:val="22"/>
          <w:szCs w:val="22"/>
        </w:rPr>
      </w:pPr>
    </w:p>
    <w:tbl>
      <w:tblPr>
        <w:tblW w:w="0" w:type="auto"/>
        <w:tblBorders>
          <w:bottom w:val="single" w:sz="4" w:space="0" w:color="auto"/>
          <w:insideH w:val="single" w:sz="4" w:space="0" w:color="auto"/>
        </w:tblBorders>
        <w:tblLook w:val="01E0" w:firstRow="1" w:lastRow="1" w:firstColumn="1" w:lastColumn="1" w:noHBand="0" w:noVBand="0"/>
      </w:tblPr>
      <w:tblGrid>
        <w:gridCol w:w="3888"/>
        <w:gridCol w:w="5576"/>
      </w:tblGrid>
      <w:tr w:rsidR="00D4137B" w:rsidRPr="006C3C1C" w:rsidTr="00867E54">
        <w:tc>
          <w:tcPr>
            <w:tcW w:w="3888" w:type="dxa"/>
          </w:tcPr>
          <w:p w:rsidR="00D4137B" w:rsidRPr="006C3C1C" w:rsidRDefault="00D4137B" w:rsidP="00867E54">
            <w:pPr>
              <w:pStyle w:val="Para1"/>
              <w:spacing w:before="0"/>
              <w:ind w:left="0" w:firstLine="0"/>
              <w:jc w:val="both"/>
              <w:rPr>
                <w:b/>
                <w:sz w:val="28"/>
                <w:szCs w:val="28"/>
              </w:rPr>
            </w:pPr>
            <w:r w:rsidRPr="006C3C1C">
              <w:rPr>
                <w:b/>
                <w:sz w:val="28"/>
                <w:szCs w:val="28"/>
              </w:rPr>
              <w:t>Comments</w:t>
            </w:r>
          </w:p>
          <w:p w:rsidR="00D4137B" w:rsidRPr="006C3C1C" w:rsidRDefault="00D4137B" w:rsidP="00867E54">
            <w:pPr>
              <w:pStyle w:val="Para1"/>
              <w:spacing w:before="0"/>
              <w:ind w:left="0" w:firstLine="0"/>
              <w:jc w:val="both"/>
              <w:rPr>
                <w:b/>
                <w:sz w:val="28"/>
                <w:szCs w:val="28"/>
              </w:rPr>
            </w:pPr>
          </w:p>
        </w:tc>
        <w:tc>
          <w:tcPr>
            <w:tcW w:w="5576" w:type="dxa"/>
          </w:tcPr>
          <w:p w:rsidR="00D4137B" w:rsidRDefault="00D4137B" w:rsidP="00867E54">
            <w:pPr>
              <w:pStyle w:val="Para1"/>
              <w:spacing w:before="0"/>
              <w:jc w:val="right"/>
            </w:pPr>
            <w:r w:rsidRPr="006C3C1C">
              <w:t xml:space="preserve">Authors: </w:t>
            </w:r>
            <w:r>
              <w:t>Katarína Vrábelová,</w:t>
            </w:r>
            <w:r w:rsidRPr="006C3C1C">
              <w:t xml:space="preserve"> Paul Riley, Rafael Alcayde Ferrús</w:t>
            </w:r>
          </w:p>
          <w:p w:rsidR="00D4137B" w:rsidRPr="006C3C1C" w:rsidRDefault="00D4137B" w:rsidP="00867E54">
            <w:pPr>
              <w:pStyle w:val="Para1"/>
              <w:spacing w:before="0"/>
              <w:jc w:val="right"/>
            </w:pPr>
          </w:p>
        </w:tc>
      </w:tr>
    </w:tbl>
    <w:p w:rsidR="00D4137B" w:rsidRPr="006C3C1C" w:rsidRDefault="00D4137B" w:rsidP="00D4137B">
      <w:pPr>
        <w:pStyle w:val="Para1"/>
        <w:spacing w:before="0"/>
        <w:ind w:left="0" w:firstLine="0"/>
        <w:jc w:val="both"/>
      </w:pPr>
    </w:p>
    <w:p w:rsidR="00D4137B" w:rsidRPr="006C3C1C" w:rsidRDefault="00D4137B" w:rsidP="00D4137B">
      <w:pPr>
        <w:pStyle w:val="Textkomente"/>
        <w:tabs>
          <w:tab w:val="right" w:pos="0"/>
          <w:tab w:val="left" w:pos="5670"/>
          <w:tab w:val="left" w:pos="6237"/>
        </w:tabs>
        <w:spacing w:before="60"/>
        <w:ind w:left="1800" w:hanging="1800"/>
        <w:rPr>
          <w:b/>
          <w:bCs/>
          <w:sz w:val="22"/>
          <w:szCs w:val="22"/>
          <w:lang w:val="en-GB"/>
        </w:rPr>
      </w:pPr>
      <w:r w:rsidRPr="006C3C1C">
        <w:rPr>
          <w:b/>
          <w:bCs/>
          <w:sz w:val="22"/>
          <w:szCs w:val="22"/>
          <w:lang w:val="en-GB"/>
        </w:rPr>
        <w:t>Subject:</w:t>
      </w:r>
      <w:r w:rsidRPr="006C3C1C">
        <w:rPr>
          <w:b/>
          <w:bCs/>
          <w:sz w:val="22"/>
          <w:szCs w:val="22"/>
          <w:lang w:val="en-GB"/>
        </w:rPr>
        <w:tab/>
        <w:t>Initial comments on the first draft</w:t>
      </w:r>
      <w:r>
        <w:rPr>
          <w:b/>
          <w:bCs/>
          <w:sz w:val="22"/>
          <w:szCs w:val="22"/>
          <w:lang w:val="en-GB"/>
        </w:rPr>
        <w:t xml:space="preserve"> </w:t>
      </w:r>
      <w:r w:rsidRPr="006C3C1C">
        <w:rPr>
          <w:b/>
          <w:bCs/>
          <w:sz w:val="22"/>
          <w:szCs w:val="22"/>
          <w:lang w:val="en-GB"/>
        </w:rPr>
        <w:t xml:space="preserve">Feasibility Study of the project Hradec Králové – Pardubice </w:t>
      </w:r>
    </w:p>
    <w:p w:rsidR="00D4137B" w:rsidRPr="006C3C1C" w:rsidRDefault="00D4137B" w:rsidP="00D4137B">
      <w:pPr>
        <w:pStyle w:val="Textkomente"/>
        <w:tabs>
          <w:tab w:val="right" w:pos="0"/>
          <w:tab w:val="left" w:pos="5670"/>
          <w:tab w:val="left" w:pos="6237"/>
        </w:tabs>
        <w:spacing w:before="60"/>
        <w:ind w:left="1800" w:hanging="1800"/>
        <w:rPr>
          <w:bCs/>
          <w:sz w:val="22"/>
          <w:szCs w:val="22"/>
          <w:lang w:val="en-GB"/>
        </w:rPr>
      </w:pPr>
      <w:r w:rsidRPr="006C3C1C">
        <w:rPr>
          <w:b/>
          <w:bCs/>
          <w:sz w:val="22"/>
          <w:szCs w:val="22"/>
          <w:lang w:val="en-GB"/>
        </w:rPr>
        <w:t>Ref:</w:t>
      </w:r>
      <w:r w:rsidRPr="006C3C1C">
        <w:rPr>
          <w:b/>
          <w:bCs/>
          <w:sz w:val="22"/>
          <w:szCs w:val="22"/>
          <w:lang w:val="en-GB"/>
        </w:rPr>
        <w:tab/>
        <w:t>2012117 CZ RAL RAL</w:t>
      </w:r>
      <w:r w:rsidRPr="006C3C1C">
        <w:rPr>
          <w:b/>
          <w:bCs/>
          <w:sz w:val="22"/>
          <w:szCs w:val="22"/>
          <w:lang w:val="en-GB"/>
        </w:rPr>
        <w:tab/>
      </w:r>
    </w:p>
    <w:p w:rsidR="00D4137B" w:rsidRPr="006C3C1C" w:rsidRDefault="00D4137B" w:rsidP="00D4137B">
      <w:pPr>
        <w:tabs>
          <w:tab w:val="left" w:pos="284"/>
        </w:tabs>
        <w:spacing w:before="240"/>
        <w:ind w:left="1800" w:hanging="1800"/>
        <w:outlineLvl w:val="0"/>
        <w:rPr>
          <w:rFonts w:ascii="Arial" w:hAnsi="Arial" w:cs="Microsoft Sans Serif"/>
          <w:bCs/>
          <w:i/>
          <w:u w:val="single"/>
          <w:lang w:val="en-GB"/>
        </w:rPr>
      </w:pPr>
      <w:r w:rsidRPr="006C3C1C">
        <w:rPr>
          <w:rFonts w:ascii="Arial" w:hAnsi="Arial" w:cs="Microsoft Sans Serif"/>
          <w:bCs/>
          <w:i/>
          <w:u w:val="single"/>
          <w:lang w:val="en-GB"/>
        </w:rPr>
        <w:t>Documents received</w:t>
      </w:r>
    </w:p>
    <w:p w:rsidR="00D4137B" w:rsidRDefault="00D4137B" w:rsidP="00D4137B">
      <w:pPr>
        <w:spacing w:before="120"/>
        <w:ind w:left="1800" w:hanging="1800"/>
        <w:outlineLvl w:val="0"/>
        <w:rPr>
          <w:rFonts w:ascii="Arial" w:hAnsi="Arial" w:cs="Arial"/>
          <w:bCs/>
          <w:lang w:val="en-GB"/>
        </w:rPr>
      </w:pPr>
      <w:r w:rsidRPr="006C3C1C">
        <w:rPr>
          <w:rFonts w:ascii="Arial" w:hAnsi="Arial" w:cs="Arial"/>
          <w:bCs/>
          <w:lang w:val="en-GB"/>
        </w:rPr>
        <w:t>May 2012</w:t>
      </w:r>
      <w:r w:rsidRPr="006C3C1C">
        <w:rPr>
          <w:rFonts w:ascii="Arial" w:hAnsi="Arial" w:cs="Arial"/>
          <w:bCs/>
          <w:lang w:val="en-GB"/>
        </w:rPr>
        <w:tab/>
        <w:t>Feasibility Study “Hradec Králové – Pardubice”</w:t>
      </w:r>
    </w:p>
    <w:p w:rsidR="00D4137B" w:rsidRPr="006C3C1C" w:rsidRDefault="00D4137B" w:rsidP="00D4137B">
      <w:pPr>
        <w:spacing w:before="120"/>
        <w:ind w:left="1800" w:hanging="1800"/>
        <w:outlineLvl w:val="0"/>
        <w:rPr>
          <w:rFonts w:ascii="Arial" w:hAnsi="Arial" w:cs="Arial"/>
          <w:bCs/>
          <w:lang w:val="en-GB"/>
        </w:rPr>
      </w:pPr>
      <w:r w:rsidRPr="006C3C1C">
        <w:rPr>
          <w:rFonts w:ascii="Arial" w:hAnsi="Arial" w:cs="Arial"/>
          <w:bCs/>
          <w:lang w:val="en-GB"/>
        </w:rPr>
        <w:tab/>
      </w:r>
    </w:p>
    <w:p w:rsidR="00D4137B" w:rsidRPr="006C3C1C" w:rsidRDefault="00D4137B" w:rsidP="00D4137B">
      <w:pPr>
        <w:spacing w:before="120" w:after="200"/>
        <w:outlineLvl w:val="0"/>
        <w:rPr>
          <w:rFonts w:ascii="Arial" w:hAnsi="Arial"/>
          <w:lang w:val="en-GB"/>
        </w:rPr>
      </w:pPr>
      <w:r w:rsidRPr="006C3C1C">
        <w:rPr>
          <w:rFonts w:ascii="Arial" w:hAnsi="Arial"/>
          <w:b/>
          <w:i/>
          <w:sz w:val="24"/>
          <w:u w:val="single"/>
          <w:lang w:val="en-GB"/>
        </w:rPr>
        <w:t>Context of present Guidance Note</w:t>
      </w:r>
    </w:p>
    <w:p w:rsidR="00D4137B" w:rsidRPr="006C3C1C" w:rsidRDefault="00D4137B" w:rsidP="00D4137B">
      <w:pPr>
        <w:spacing w:before="120"/>
        <w:outlineLvl w:val="0"/>
        <w:rPr>
          <w:rFonts w:ascii="Arial" w:hAnsi="Arial"/>
          <w:lang w:val="en-GB"/>
        </w:rPr>
      </w:pPr>
      <w:r w:rsidRPr="006C3C1C">
        <w:rPr>
          <w:rFonts w:ascii="Arial" w:hAnsi="Arial"/>
          <w:lang w:val="en-GB"/>
        </w:rPr>
        <w:t xml:space="preserve">The project was briefly presented in the meeting on 22 March </w:t>
      </w:r>
      <w:smartTag w:uri="urn:schemas-microsoft-com:office:smarttags" w:element="metricconverter">
        <w:smartTagPr>
          <w:attr w:name="ProductID" w:val="2012 in"/>
        </w:smartTagPr>
        <w:r w:rsidRPr="006C3C1C">
          <w:rPr>
            <w:rFonts w:ascii="Arial" w:hAnsi="Arial"/>
            <w:lang w:val="en-GB"/>
          </w:rPr>
          <w:t>2012 in</w:t>
        </w:r>
      </w:smartTag>
      <w:r w:rsidRPr="006C3C1C">
        <w:rPr>
          <w:rFonts w:ascii="Arial" w:hAnsi="Arial"/>
          <w:lang w:val="en-GB"/>
        </w:rPr>
        <w:t xml:space="preserve"> Prague after which </w:t>
      </w:r>
      <w:r>
        <w:rPr>
          <w:rFonts w:ascii="Arial" w:hAnsi="Arial"/>
          <w:lang w:val="en-GB"/>
        </w:rPr>
        <w:t xml:space="preserve">JASPERS </w:t>
      </w:r>
      <w:r w:rsidRPr="006C3C1C">
        <w:rPr>
          <w:rFonts w:ascii="Arial" w:hAnsi="Arial"/>
          <w:lang w:val="en-GB"/>
        </w:rPr>
        <w:t xml:space="preserve">first </w:t>
      </w:r>
      <w:r>
        <w:rPr>
          <w:rFonts w:ascii="Arial" w:hAnsi="Arial"/>
          <w:lang w:val="en-GB"/>
        </w:rPr>
        <w:t xml:space="preserve">impressions based on a brief presentation </w:t>
      </w:r>
      <w:r w:rsidRPr="006C3C1C">
        <w:rPr>
          <w:rFonts w:ascii="Arial" w:hAnsi="Arial"/>
          <w:lang w:val="en-GB"/>
        </w:rPr>
        <w:t xml:space="preserve">were provided. This guidance note refers to the Feasibility Study received in May 2012. It is </w:t>
      </w:r>
      <w:r w:rsidRPr="006C3C1C">
        <w:rPr>
          <w:rFonts w:ascii="Arial" w:hAnsi="Arial"/>
          <w:u w:val="single"/>
          <w:lang w:val="en-GB"/>
        </w:rPr>
        <w:t>not</w:t>
      </w:r>
      <w:r w:rsidRPr="006C3C1C">
        <w:rPr>
          <w:rFonts w:ascii="Arial" w:hAnsi="Arial"/>
          <w:lang w:val="en-GB"/>
        </w:rPr>
        <w:t xml:space="preserve"> focused on detailed comments, only significant issues and main points to be clarified, which have been</w:t>
      </w:r>
      <w:r>
        <w:rPr>
          <w:rFonts w:ascii="Arial" w:hAnsi="Arial"/>
          <w:lang w:val="en-GB"/>
        </w:rPr>
        <w:t xml:space="preserve"> </w:t>
      </w:r>
      <w:r w:rsidRPr="006C3C1C">
        <w:rPr>
          <w:rFonts w:ascii="Arial" w:hAnsi="Arial"/>
          <w:lang w:val="en-GB"/>
        </w:rPr>
        <w:t>detected through the initial review of the draft Feasibility Study, are highlighted. This can be discussed in a meeting after JASPERS undertakes a site visit to understand better the project.</w:t>
      </w:r>
    </w:p>
    <w:p w:rsidR="00D4137B" w:rsidRDefault="00D4137B" w:rsidP="00D4137B">
      <w:pPr>
        <w:spacing w:before="120"/>
        <w:outlineLvl w:val="0"/>
        <w:rPr>
          <w:rFonts w:ascii="Arial" w:hAnsi="Arial"/>
          <w:lang w:val="en-GB"/>
        </w:rPr>
      </w:pPr>
      <w:r w:rsidRPr="006C3C1C">
        <w:rPr>
          <w:rFonts w:ascii="Arial" w:hAnsi="Arial"/>
          <w:lang w:val="en-GB"/>
        </w:rPr>
        <w:t>The issues detected</w:t>
      </w:r>
      <w:r>
        <w:rPr>
          <w:rFonts w:ascii="Arial" w:hAnsi="Arial"/>
          <w:lang w:val="en-GB"/>
        </w:rPr>
        <w:t xml:space="preserve"> </w:t>
      </w:r>
      <w:r w:rsidRPr="006C3C1C">
        <w:rPr>
          <w:rFonts w:ascii="Arial" w:hAnsi="Arial"/>
          <w:lang w:val="en-GB"/>
        </w:rPr>
        <w:t>are presented grouped by main chapters.</w:t>
      </w:r>
    </w:p>
    <w:p w:rsidR="00D4137B" w:rsidRPr="006C3C1C" w:rsidRDefault="00D4137B" w:rsidP="00D4137B">
      <w:pPr>
        <w:spacing w:before="120"/>
        <w:outlineLvl w:val="0"/>
        <w:rPr>
          <w:rFonts w:ascii="Arial" w:hAnsi="Arial"/>
          <w:lang w:val="en-GB"/>
        </w:rPr>
      </w:pPr>
    </w:p>
    <w:p w:rsidR="00D4137B" w:rsidRPr="006C3C1C" w:rsidRDefault="00D4137B" w:rsidP="00D4137B">
      <w:pPr>
        <w:spacing w:before="120" w:after="200"/>
        <w:outlineLvl w:val="0"/>
        <w:rPr>
          <w:rFonts w:ascii="Arial" w:hAnsi="Arial"/>
          <w:lang w:val="en-GB"/>
        </w:rPr>
      </w:pPr>
      <w:r w:rsidRPr="006C3C1C">
        <w:rPr>
          <w:rFonts w:ascii="Arial" w:hAnsi="Arial"/>
          <w:b/>
          <w:i/>
          <w:sz w:val="24"/>
          <w:u w:val="single"/>
          <w:lang w:val="en-GB"/>
        </w:rPr>
        <w:t>Significant issues</w:t>
      </w:r>
    </w:p>
    <w:p w:rsidR="00631EAB" w:rsidRDefault="00D4137B" w:rsidP="00D20948">
      <w:pPr>
        <w:pStyle w:val="Odstavecseseznamem"/>
        <w:numPr>
          <w:ilvl w:val="0"/>
          <w:numId w:val="20"/>
        </w:numPr>
        <w:suppressAutoHyphens w:val="0"/>
        <w:spacing w:before="120" w:after="200" w:line="276" w:lineRule="auto"/>
        <w:contextualSpacing/>
        <w:outlineLvl w:val="0"/>
        <w:rPr>
          <w:rFonts w:ascii="Arial" w:hAnsi="Arial"/>
          <w:b/>
        </w:rPr>
      </w:pPr>
      <w:r w:rsidRPr="006C3C1C">
        <w:rPr>
          <w:rFonts w:ascii="Arial" w:hAnsi="Arial"/>
          <w:b/>
        </w:rPr>
        <w:t>Policy background, objectives &amp; benefits of the project</w:t>
      </w:r>
    </w:p>
    <w:p w:rsidR="00D4137B" w:rsidRPr="006C3C1C" w:rsidRDefault="00D4137B" w:rsidP="00D4137B">
      <w:pPr>
        <w:spacing w:before="120"/>
        <w:outlineLvl w:val="0"/>
        <w:rPr>
          <w:rFonts w:ascii="Arial" w:hAnsi="Arial"/>
          <w:lang w:val="en-GB"/>
        </w:rPr>
      </w:pPr>
      <w:r w:rsidRPr="006C3C1C">
        <w:rPr>
          <w:rFonts w:ascii="Arial" w:hAnsi="Arial"/>
          <w:lang w:val="en-GB"/>
        </w:rPr>
        <w:t>The need for the project needs to be better demonstrated – why is this line important, who is using it, where do they travel, how will be the new users (currently using car and bus) motivated to use the train on the modernised line – what will be the benefits for them and how will be the public transport rearranged to bring them from their homes to the railway stations.</w:t>
      </w:r>
      <w:r>
        <w:rPr>
          <w:rFonts w:ascii="Arial" w:hAnsi="Arial"/>
          <w:lang w:val="en-GB"/>
        </w:rPr>
        <w:t xml:space="preserve"> </w:t>
      </w:r>
      <w:r w:rsidRPr="006C3C1C">
        <w:rPr>
          <w:rFonts w:ascii="Arial" w:hAnsi="Arial"/>
          <w:lang w:val="en-GB"/>
        </w:rPr>
        <w:t xml:space="preserve">This is important since there are strong investments into the road development as well, therefore it should be also described how this project fits into the transport </w:t>
      </w:r>
      <w:r>
        <w:rPr>
          <w:rFonts w:ascii="Arial" w:hAnsi="Arial"/>
          <w:lang w:val="en-GB"/>
        </w:rPr>
        <w:t xml:space="preserve">plans and </w:t>
      </w:r>
      <w:r w:rsidRPr="006C3C1C">
        <w:rPr>
          <w:rFonts w:ascii="Arial" w:hAnsi="Arial"/>
          <w:lang w:val="en-GB"/>
        </w:rPr>
        <w:t>policies of</w:t>
      </w:r>
      <w:r>
        <w:rPr>
          <w:rFonts w:ascii="Arial" w:hAnsi="Arial"/>
          <w:lang w:val="en-GB"/>
        </w:rPr>
        <w:t xml:space="preserve"> </w:t>
      </w:r>
      <w:r w:rsidRPr="006C3C1C">
        <w:rPr>
          <w:rFonts w:ascii="Arial" w:hAnsi="Arial"/>
          <w:lang w:val="en-GB"/>
        </w:rPr>
        <w:t>Hradec Králové and Pardubice regions</w:t>
      </w:r>
      <w:r>
        <w:rPr>
          <w:rFonts w:ascii="Arial" w:hAnsi="Arial"/>
          <w:lang w:val="en-GB"/>
        </w:rPr>
        <w:t xml:space="preserve"> and urban areas</w:t>
      </w:r>
      <w:r w:rsidRPr="006C3C1C">
        <w:rPr>
          <w:rFonts w:ascii="Arial" w:hAnsi="Arial"/>
          <w:lang w:val="en-GB"/>
        </w:rPr>
        <w:t xml:space="preserve"> to maintain and increase the number of public transport/rail users.</w:t>
      </w:r>
    </w:p>
    <w:p w:rsidR="00D4137B" w:rsidRPr="000D4E4D" w:rsidRDefault="00D4137B" w:rsidP="00D4137B">
      <w:pPr>
        <w:spacing w:before="120"/>
        <w:outlineLvl w:val="0"/>
        <w:rPr>
          <w:rFonts w:ascii="Arial" w:hAnsi="Arial"/>
          <w:lang w:val="en-GB"/>
        </w:rPr>
      </w:pPr>
    </w:p>
    <w:p w:rsidR="00631EAB" w:rsidRDefault="00D4137B" w:rsidP="00D20948">
      <w:pPr>
        <w:pStyle w:val="Odstavecseseznamem"/>
        <w:numPr>
          <w:ilvl w:val="0"/>
          <w:numId w:val="20"/>
        </w:numPr>
        <w:suppressAutoHyphens w:val="0"/>
        <w:spacing w:before="120" w:after="200" w:line="276" w:lineRule="auto"/>
        <w:contextualSpacing/>
        <w:outlineLvl w:val="0"/>
        <w:rPr>
          <w:rFonts w:ascii="Arial" w:hAnsi="Arial"/>
          <w:b/>
        </w:rPr>
      </w:pPr>
      <w:r w:rsidRPr="006C3C1C">
        <w:rPr>
          <w:rFonts w:ascii="Arial" w:hAnsi="Arial"/>
          <w:b/>
        </w:rPr>
        <w:t>Options evaluation</w:t>
      </w:r>
      <w:r>
        <w:rPr>
          <w:rFonts w:ascii="Arial" w:hAnsi="Arial"/>
          <w:b/>
        </w:rPr>
        <w:t xml:space="preserve"> and selection, filtering</w:t>
      </w:r>
    </w:p>
    <w:p w:rsidR="00D4137B" w:rsidRDefault="00D4137B" w:rsidP="00D4137B">
      <w:pPr>
        <w:spacing w:before="120"/>
        <w:outlineLvl w:val="0"/>
        <w:rPr>
          <w:rFonts w:ascii="Arial" w:hAnsi="Arial"/>
          <w:lang w:val="en-GB"/>
        </w:rPr>
      </w:pPr>
      <w:r w:rsidRPr="006C3C1C">
        <w:rPr>
          <w:rFonts w:ascii="Arial" w:hAnsi="Arial"/>
          <w:lang w:val="en-GB"/>
        </w:rPr>
        <w:t>The options analysed in the study are recognised to be phases of the improvements leading mainly to the capacity increase</w:t>
      </w:r>
      <w:r>
        <w:rPr>
          <w:rFonts w:ascii="Arial" w:hAnsi="Arial"/>
          <w:lang w:val="en-GB"/>
        </w:rPr>
        <w:t>, i.e. different stages of a unique variant</w:t>
      </w:r>
      <w:r w:rsidRPr="006C3C1C">
        <w:rPr>
          <w:rFonts w:ascii="Arial" w:hAnsi="Arial"/>
          <w:lang w:val="en-GB"/>
        </w:rPr>
        <w:t>. These options are then assessed in the CBA where the Middle 1 option delivers the best results. This option composes of double tracking of the section Stéblová-Opatovice n.Labem in order to remove the main bottleneck and provide</w:t>
      </w:r>
      <w:r>
        <w:rPr>
          <w:rFonts w:ascii="Arial" w:hAnsi="Arial"/>
          <w:lang w:val="en-GB"/>
        </w:rPr>
        <w:t>s</w:t>
      </w:r>
      <w:r w:rsidRPr="006C3C1C">
        <w:rPr>
          <w:rFonts w:ascii="Arial" w:hAnsi="Arial"/>
          <w:lang w:val="en-GB"/>
        </w:rPr>
        <w:t xml:space="preserve"> the takt/capacity requirements. </w:t>
      </w:r>
    </w:p>
    <w:p w:rsidR="00D4137B" w:rsidRDefault="00D4137B" w:rsidP="00D4137B">
      <w:pPr>
        <w:spacing w:before="120"/>
        <w:outlineLvl w:val="0"/>
        <w:rPr>
          <w:rFonts w:ascii="Arial" w:hAnsi="Arial"/>
          <w:lang w:val="en-GB"/>
        </w:rPr>
      </w:pPr>
      <w:r>
        <w:rPr>
          <w:rFonts w:ascii="Arial" w:hAnsi="Arial"/>
          <w:lang w:val="en-GB"/>
        </w:rPr>
        <w:t>The logic of justification of short-listing of options for economic analysis should be provided. It is not clear for example why a limited investment option of stred 1 and a full investment option of stred 2 are chosen to proceed to the economic analysis and the other options rejected</w:t>
      </w:r>
    </w:p>
    <w:p w:rsidR="00D4137B" w:rsidRPr="006C3C1C" w:rsidRDefault="00D4137B" w:rsidP="00D4137B">
      <w:pPr>
        <w:spacing w:before="120"/>
        <w:outlineLvl w:val="0"/>
        <w:rPr>
          <w:rFonts w:ascii="Arial" w:hAnsi="Arial"/>
          <w:lang w:val="en-GB"/>
        </w:rPr>
      </w:pPr>
      <w:r>
        <w:rPr>
          <w:rFonts w:ascii="Arial" w:hAnsi="Arial"/>
          <w:lang w:val="en-GB"/>
        </w:rPr>
        <w:t>CBA</w:t>
      </w:r>
      <w:r w:rsidRPr="006C3C1C">
        <w:rPr>
          <w:rFonts w:ascii="Arial" w:hAnsi="Arial"/>
          <w:lang w:val="en-GB"/>
        </w:rPr>
        <w:t xml:space="preserve"> options assessment</w:t>
      </w:r>
      <w:r>
        <w:rPr>
          <w:rFonts w:ascii="Arial" w:hAnsi="Arial"/>
          <w:lang w:val="en-GB"/>
        </w:rPr>
        <w:t xml:space="preserve"> alone</w:t>
      </w:r>
      <w:r w:rsidRPr="006C3C1C">
        <w:rPr>
          <w:rFonts w:ascii="Arial" w:hAnsi="Arial"/>
          <w:lang w:val="en-GB"/>
        </w:rPr>
        <w:t xml:space="preserve"> for the given situation does not seem appropriate </w:t>
      </w:r>
      <w:r>
        <w:rPr>
          <w:rFonts w:ascii="Arial" w:hAnsi="Arial"/>
          <w:lang w:val="en-GB"/>
        </w:rPr>
        <w:t xml:space="preserve">for final option comparison/recommendations. </w:t>
      </w:r>
      <w:r w:rsidRPr="006C3C1C">
        <w:rPr>
          <w:rFonts w:ascii="Arial" w:hAnsi="Arial"/>
          <w:lang w:val="en-GB"/>
        </w:rPr>
        <w:t xml:space="preserve">CBA </w:t>
      </w:r>
      <w:r>
        <w:rPr>
          <w:rFonts w:ascii="Arial" w:hAnsi="Arial"/>
          <w:lang w:val="en-GB"/>
        </w:rPr>
        <w:t xml:space="preserve">in this case </w:t>
      </w:r>
      <w:r w:rsidRPr="006C3C1C">
        <w:rPr>
          <w:rFonts w:ascii="Arial" w:hAnsi="Arial"/>
          <w:lang w:val="en-GB"/>
        </w:rPr>
        <w:t xml:space="preserve">should be </w:t>
      </w:r>
      <w:r>
        <w:rPr>
          <w:rFonts w:ascii="Arial" w:hAnsi="Arial"/>
          <w:lang w:val="en-GB"/>
        </w:rPr>
        <w:t>considered</w:t>
      </w:r>
      <w:r w:rsidRPr="006C3C1C">
        <w:rPr>
          <w:rFonts w:ascii="Arial" w:hAnsi="Arial"/>
          <w:lang w:val="en-GB"/>
        </w:rPr>
        <w:t xml:space="preserve"> together in combination with other set of criteria</w:t>
      </w:r>
      <w:r>
        <w:rPr>
          <w:rFonts w:ascii="Arial" w:hAnsi="Arial"/>
          <w:lang w:val="en-GB"/>
        </w:rPr>
        <w:t xml:space="preserve"> such as service reliability, safety and comfort (e.g. multi-criteria analysis or at least a structured multi-criterial comparison)</w:t>
      </w:r>
      <w:r w:rsidRPr="006C3C1C">
        <w:rPr>
          <w:rFonts w:ascii="Arial" w:hAnsi="Arial"/>
          <w:lang w:val="en-GB"/>
        </w:rPr>
        <w:t>.</w:t>
      </w:r>
      <w:r>
        <w:rPr>
          <w:rFonts w:ascii="Arial" w:hAnsi="Arial"/>
          <w:lang w:val="en-GB"/>
        </w:rPr>
        <w:t xml:space="preserve"> </w:t>
      </w:r>
    </w:p>
    <w:p w:rsidR="00D4137B" w:rsidRDefault="00D4137B" w:rsidP="00D4137B">
      <w:pPr>
        <w:spacing w:before="120"/>
        <w:outlineLvl w:val="0"/>
        <w:rPr>
          <w:rFonts w:ascii="Arial" w:hAnsi="Arial"/>
          <w:lang w:val="en-GB"/>
        </w:rPr>
      </w:pPr>
      <w:r w:rsidRPr="00AA1C01">
        <w:rPr>
          <w:rFonts w:ascii="Arial" w:hAnsi="Arial"/>
          <w:shd w:val="clear" w:color="auto" w:fill="FFFFFF"/>
          <w:lang w:val="en-GB"/>
        </w:rPr>
        <w:t>As already highlighted in JASPERS first impressions, it is not clear if other sub-options were investigated involving different station/stop possibilities, which is strongly recommended.</w:t>
      </w:r>
      <w:r w:rsidRPr="006C3C1C">
        <w:rPr>
          <w:rFonts w:ascii="Arial" w:hAnsi="Arial"/>
          <w:lang w:val="en-GB"/>
        </w:rPr>
        <w:t xml:space="preserve"> We have noticed that this issue was stressed</w:t>
      </w:r>
      <w:r>
        <w:rPr>
          <w:rFonts w:ascii="Arial" w:hAnsi="Arial"/>
          <w:lang w:val="en-GB"/>
        </w:rPr>
        <w:t xml:space="preserve"> </w:t>
      </w:r>
      <w:r w:rsidRPr="006C3C1C">
        <w:rPr>
          <w:rFonts w:ascii="Arial" w:hAnsi="Arial"/>
          <w:lang w:val="en-GB"/>
        </w:rPr>
        <w:t>also by the representatives of OREDO (</w:t>
      </w:r>
      <w:r>
        <w:rPr>
          <w:rFonts w:ascii="Arial" w:hAnsi="Arial"/>
          <w:lang w:val="en-GB"/>
        </w:rPr>
        <w:t>i</w:t>
      </w:r>
      <w:r w:rsidRPr="006C3C1C">
        <w:rPr>
          <w:rFonts w:ascii="Arial" w:hAnsi="Arial"/>
          <w:lang w:val="en-GB"/>
        </w:rPr>
        <w:t xml:space="preserve">nconvenient location of Stéblová station). </w:t>
      </w:r>
    </w:p>
    <w:p w:rsidR="00D4137B" w:rsidRPr="006C3C1C" w:rsidRDefault="00D4137B" w:rsidP="00D4137B">
      <w:pPr>
        <w:spacing w:before="120"/>
        <w:outlineLvl w:val="0"/>
        <w:rPr>
          <w:rFonts w:ascii="Arial" w:hAnsi="Arial"/>
          <w:lang w:val="en-GB"/>
        </w:rPr>
      </w:pPr>
      <w:r>
        <w:rPr>
          <w:rFonts w:ascii="Arial" w:hAnsi="Arial"/>
          <w:lang w:val="en-GB"/>
        </w:rPr>
        <w:t xml:space="preserve">Moreover, it should be clearly justified why in each option that particular section has been selected for double tracking instead of the others, e.g. why Medium 1 project option considers double tracking in the stretch </w:t>
      </w:r>
      <w:r w:rsidRPr="006C3C1C">
        <w:rPr>
          <w:rFonts w:ascii="Arial" w:hAnsi="Arial"/>
          <w:lang w:val="en-GB"/>
        </w:rPr>
        <w:t>Stéblová-Opatovice n.Labem</w:t>
      </w:r>
      <w:r>
        <w:rPr>
          <w:rFonts w:ascii="Arial" w:hAnsi="Arial"/>
          <w:lang w:val="en-GB"/>
        </w:rPr>
        <w:t xml:space="preserve"> instead of other sections of the line.</w:t>
      </w:r>
    </w:p>
    <w:p w:rsidR="00D4137B" w:rsidRDefault="00D4137B" w:rsidP="00D4137B">
      <w:pPr>
        <w:spacing w:before="120"/>
        <w:outlineLvl w:val="0"/>
        <w:rPr>
          <w:rFonts w:ascii="Arial" w:hAnsi="Arial"/>
          <w:lang w:val="en-GB"/>
        </w:rPr>
      </w:pPr>
      <w:r>
        <w:rPr>
          <w:rFonts w:ascii="Arial" w:hAnsi="Arial"/>
          <w:lang w:val="en-GB"/>
        </w:rPr>
        <w:t>It is also recommended to have a m</w:t>
      </w:r>
      <w:r w:rsidRPr="006C3C1C">
        <w:rPr>
          <w:rFonts w:ascii="Arial" w:hAnsi="Arial"/>
          <w:lang w:val="en-GB"/>
        </w:rPr>
        <w:t xml:space="preserve">ore detailed discussion on the options and issues related to the capacity assessment </w:t>
      </w:r>
      <w:r>
        <w:rPr>
          <w:rFonts w:ascii="Arial" w:hAnsi="Arial"/>
          <w:lang w:val="en-GB"/>
        </w:rPr>
        <w:t xml:space="preserve">in a meeting. </w:t>
      </w:r>
    </w:p>
    <w:p w:rsidR="00D4137B" w:rsidRDefault="00D4137B" w:rsidP="00D4137B">
      <w:pPr>
        <w:spacing w:before="120"/>
        <w:outlineLvl w:val="0"/>
        <w:rPr>
          <w:rFonts w:ascii="Arial" w:hAnsi="Arial"/>
          <w:lang w:val="en-GB"/>
        </w:rPr>
      </w:pPr>
    </w:p>
    <w:p w:rsidR="00631EAB" w:rsidRDefault="00D4137B" w:rsidP="00D20948">
      <w:pPr>
        <w:pStyle w:val="Odstavecseseznamem"/>
        <w:numPr>
          <w:ilvl w:val="0"/>
          <w:numId w:val="20"/>
        </w:numPr>
        <w:suppressAutoHyphens w:val="0"/>
        <w:spacing w:before="120" w:after="200" w:line="276" w:lineRule="auto"/>
        <w:contextualSpacing/>
        <w:outlineLvl w:val="0"/>
        <w:rPr>
          <w:rFonts w:ascii="Arial" w:hAnsi="Arial"/>
          <w:b/>
        </w:rPr>
      </w:pPr>
      <w:r w:rsidRPr="006C3C1C">
        <w:rPr>
          <w:rFonts w:ascii="Arial" w:hAnsi="Arial"/>
          <w:b/>
        </w:rPr>
        <w:t>Traffic forecast and number of trains</w:t>
      </w:r>
    </w:p>
    <w:p w:rsidR="00D4137B" w:rsidRPr="006C3C1C" w:rsidRDefault="00D4137B" w:rsidP="00D4137B">
      <w:pPr>
        <w:spacing w:before="120"/>
        <w:outlineLvl w:val="0"/>
        <w:rPr>
          <w:rFonts w:ascii="Arial" w:hAnsi="Arial"/>
          <w:lang w:val="en-GB"/>
        </w:rPr>
      </w:pPr>
      <w:r w:rsidRPr="006C3C1C">
        <w:rPr>
          <w:rFonts w:ascii="Arial" w:hAnsi="Arial"/>
          <w:lang w:val="en-GB"/>
        </w:rPr>
        <w:t xml:space="preserve">The services on the line will </w:t>
      </w:r>
      <w:r>
        <w:rPr>
          <w:rFonts w:ascii="Arial" w:hAnsi="Arial"/>
          <w:lang w:val="en-GB"/>
        </w:rPr>
        <w:t xml:space="preserve">almost </w:t>
      </w:r>
      <w:r w:rsidRPr="006C3C1C">
        <w:rPr>
          <w:rFonts w:ascii="Arial" w:hAnsi="Arial"/>
          <w:lang w:val="en-GB"/>
        </w:rPr>
        <w:t>double – it is expected to increase the number of trains from 79 to 136 (mainly the regional trains). It is essential to explain the future train plan – how OREDO has arrived to these figures using what objectives, transport planning and economic assessment criteria. What other measures, apart from the increased frequency, are planned to attract the passengers</w:t>
      </w:r>
      <w:r>
        <w:rPr>
          <w:rFonts w:ascii="Arial" w:hAnsi="Arial"/>
          <w:lang w:val="en-GB"/>
        </w:rPr>
        <w:t xml:space="preserve"> ?</w:t>
      </w:r>
      <w:r w:rsidRPr="006C3C1C">
        <w:rPr>
          <w:rFonts w:ascii="Arial" w:hAnsi="Arial"/>
          <w:lang w:val="en-GB"/>
        </w:rPr>
        <w:t xml:space="preserve"> This has to be seen also in context of the rolling stock strategy – as already noticed by the consultant in the study, utilisation of the planned Regio Panter units with capacity of </w:t>
      </w:r>
      <w:r>
        <w:rPr>
          <w:rFonts w:ascii="Arial" w:hAnsi="Arial"/>
          <w:lang w:val="en-GB"/>
        </w:rPr>
        <w:t xml:space="preserve">almost 240 </w:t>
      </w:r>
      <w:r w:rsidRPr="006C3C1C">
        <w:rPr>
          <w:rFonts w:ascii="Arial" w:hAnsi="Arial"/>
          <w:lang w:val="en-GB"/>
        </w:rPr>
        <w:t xml:space="preserve">seats is questionable. </w:t>
      </w:r>
    </w:p>
    <w:p w:rsidR="00D4137B" w:rsidRDefault="00D4137B" w:rsidP="00D4137B">
      <w:pPr>
        <w:spacing w:before="120"/>
        <w:outlineLvl w:val="0"/>
        <w:rPr>
          <w:rFonts w:ascii="Arial" w:hAnsi="Arial"/>
          <w:lang w:val="en-GB"/>
        </w:rPr>
      </w:pPr>
      <w:r>
        <w:rPr>
          <w:rFonts w:ascii="Arial" w:hAnsi="Arial"/>
          <w:lang w:val="en-GB"/>
        </w:rPr>
        <w:t xml:space="preserve">The traffic forecast outputs provided show only few results, the traffic load diagram for the 24 hours period for one project option and the passenger-kilometres/year for all the project options. For a proper understanding of the needs of the system and a proper assessment, the results should include a more detailed and comprehensive description of the demand outputs for the 24 hours period and also the peak time demand. </w:t>
      </w:r>
    </w:p>
    <w:p w:rsidR="00D4137B" w:rsidRDefault="00D4137B" w:rsidP="00D4137B">
      <w:pPr>
        <w:spacing w:before="120"/>
        <w:outlineLvl w:val="0"/>
        <w:rPr>
          <w:rFonts w:ascii="Arial" w:hAnsi="Arial"/>
          <w:lang w:val="en-GB"/>
        </w:rPr>
      </w:pPr>
      <w:r w:rsidRPr="003E76F6">
        <w:rPr>
          <w:rFonts w:ascii="Arial" w:hAnsi="Arial"/>
          <w:lang w:val="en-GB"/>
        </w:rPr>
        <w:t>Information and justification on modelling</w:t>
      </w:r>
      <w:r>
        <w:rPr>
          <w:rFonts w:ascii="Arial" w:hAnsi="Arial"/>
          <w:lang w:val="en-GB"/>
        </w:rPr>
        <w:t xml:space="preserve"> and</w:t>
      </w:r>
      <w:r w:rsidRPr="003E76F6">
        <w:rPr>
          <w:rFonts w:ascii="Arial" w:hAnsi="Arial"/>
          <w:lang w:val="en-GB"/>
        </w:rPr>
        <w:t xml:space="preserve"> </w:t>
      </w:r>
      <w:r>
        <w:rPr>
          <w:rFonts w:ascii="Arial" w:hAnsi="Arial"/>
          <w:lang w:val="en-GB"/>
        </w:rPr>
        <w:t xml:space="preserve">demand </w:t>
      </w:r>
      <w:r w:rsidRPr="003E76F6">
        <w:rPr>
          <w:rFonts w:ascii="Arial" w:hAnsi="Arial"/>
          <w:lang w:val="en-GB"/>
        </w:rPr>
        <w:t>should be provided</w:t>
      </w:r>
      <w:r w:rsidRPr="006C3C1C">
        <w:rPr>
          <w:rFonts w:ascii="Arial" w:hAnsi="Arial"/>
          <w:b/>
          <w:lang w:val="en-GB"/>
        </w:rPr>
        <w:t xml:space="preserve"> </w:t>
      </w:r>
      <w:r w:rsidRPr="006C3C1C">
        <w:rPr>
          <w:rFonts w:ascii="Arial" w:hAnsi="Arial"/>
          <w:lang w:val="en-GB"/>
        </w:rPr>
        <w:t>and include</w:t>
      </w:r>
      <w:r>
        <w:rPr>
          <w:rFonts w:ascii="Arial" w:hAnsi="Arial"/>
          <w:lang w:val="en-GB"/>
        </w:rPr>
        <w:t xml:space="preserve"> the following</w:t>
      </w:r>
    </w:p>
    <w:p w:rsidR="00D4137B" w:rsidRDefault="00D4137B" w:rsidP="00D4137B">
      <w:pPr>
        <w:spacing w:before="120"/>
        <w:outlineLvl w:val="0"/>
        <w:rPr>
          <w:rFonts w:cs="Arial"/>
          <w:b/>
          <w:bCs/>
        </w:rPr>
      </w:pPr>
    </w:p>
    <w:p w:rsidR="00D4137B" w:rsidRPr="00E953C7" w:rsidRDefault="00D4137B" w:rsidP="00D4137B">
      <w:pPr>
        <w:rPr>
          <w:rFonts w:ascii="Arial" w:hAnsi="Arial"/>
          <w:b/>
          <w:lang w:val="en-GB"/>
        </w:rPr>
      </w:pPr>
      <w:r w:rsidRPr="003E76F6">
        <w:rPr>
          <w:rFonts w:ascii="Arial" w:hAnsi="Arial"/>
          <w:b/>
          <w:lang w:val="en-GB"/>
        </w:rPr>
        <w:t>Model and forecast specifics</w:t>
      </w:r>
    </w:p>
    <w:p w:rsidR="00631EAB" w:rsidRDefault="00D4137B" w:rsidP="00D20948">
      <w:pPr>
        <w:numPr>
          <w:ilvl w:val="0"/>
          <w:numId w:val="21"/>
        </w:numPr>
        <w:suppressAutoHyphens w:val="0"/>
        <w:spacing w:before="120" w:after="120" w:line="240" w:lineRule="auto"/>
        <w:rPr>
          <w:rFonts w:ascii="Arial" w:hAnsi="Arial"/>
          <w:lang w:val="en-GB"/>
        </w:rPr>
      </w:pPr>
      <w:r w:rsidRPr="003E76F6">
        <w:rPr>
          <w:rFonts w:ascii="Arial" w:hAnsi="Arial"/>
          <w:lang w:val="en-GB"/>
        </w:rPr>
        <w:t>Model history and evolution, use of this model or a related version in other related FS projects and any specific changes</w:t>
      </w:r>
      <w:r>
        <w:rPr>
          <w:rFonts w:ascii="Arial" w:hAnsi="Arial"/>
          <w:lang w:val="en-GB"/>
        </w:rPr>
        <w:t>/improvements</w:t>
      </w:r>
      <w:r w:rsidRPr="003E76F6">
        <w:rPr>
          <w:rFonts w:ascii="Arial" w:hAnsi="Arial"/>
          <w:lang w:val="en-GB"/>
        </w:rPr>
        <w:t xml:space="preserve"> to the model structure and forecast parameters for the purposes of this project</w:t>
      </w:r>
      <w:r>
        <w:rPr>
          <w:rFonts w:ascii="Arial" w:hAnsi="Arial"/>
          <w:lang w:val="en-GB"/>
        </w:rPr>
        <w:t>.</w:t>
      </w:r>
    </w:p>
    <w:p w:rsidR="00631EAB" w:rsidRDefault="00D4137B" w:rsidP="00D20948">
      <w:pPr>
        <w:numPr>
          <w:ilvl w:val="0"/>
          <w:numId w:val="21"/>
        </w:numPr>
        <w:suppressAutoHyphens w:val="0"/>
        <w:spacing w:before="120" w:after="120" w:line="240" w:lineRule="auto"/>
        <w:rPr>
          <w:rFonts w:ascii="Arial" w:eastAsia="Calibri" w:hAnsi="Arial"/>
          <w:lang w:val="en-GB"/>
        </w:rPr>
      </w:pPr>
      <w:r w:rsidRPr="006C3C1C">
        <w:rPr>
          <w:rFonts w:ascii="Arial" w:eastAsia="Calibri" w:hAnsi="Arial"/>
          <w:lang w:val="en-GB"/>
        </w:rPr>
        <w:t>Geographical scope of the model, zonal disaggregation of the model and the demand type disaggregation of the model.</w:t>
      </w:r>
    </w:p>
    <w:p w:rsidR="00631EAB" w:rsidRDefault="00D4137B" w:rsidP="00D20948">
      <w:pPr>
        <w:numPr>
          <w:ilvl w:val="0"/>
          <w:numId w:val="24"/>
        </w:numPr>
        <w:tabs>
          <w:tab w:val="clear" w:pos="2148"/>
          <w:tab w:val="num" w:pos="360"/>
        </w:tabs>
        <w:suppressAutoHyphens w:val="0"/>
        <w:spacing w:before="120" w:after="120" w:line="240" w:lineRule="auto"/>
        <w:ind w:left="357" w:hanging="357"/>
        <w:rPr>
          <w:rFonts w:ascii="Arial" w:eastAsia="Calibri" w:hAnsi="Arial"/>
          <w:lang w:val="en-GB"/>
        </w:rPr>
      </w:pPr>
      <w:r w:rsidRPr="00AA1C01">
        <w:rPr>
          <w:rFonts w:ascii="Arial" w:eastAsia="Calibri" w:hAnsi="Arial"/>
          <w:lang w:val="en-GB"/>
        </w:rPr>
        <w:t xml:space="preserve">Summary or table of data, surveys, used in building the model(s)/forecast and its calibration should be provided and the precision of calibration of the different steps should be commented. </w:t>
      </w:r>
    </w:p>
    <w:p w:rsidR="00631EAB" w:rsidRDefault="00D4137B" w:rsidP="00D20948">
      <w:pPr>
        <w:numPr>
          <w:ilvl w:val="0"/>
          <w:numId w:val="24"/>
        </w:numPr>
        <w:tabs>
          <w:tab w:val="clear" w:pos="2148"/>
          <w:tab w:val="num" w:pos="360"/>
        </w:tabs>
        <w:suppressAutoHyphens w:val="0"/>
        <w:spacing w:before="120" w:after="120" w:line="240" w:lineRule="auto"/>
        <w:ind w:left="357" w:hanging="357"/>
        <w:rPr>
          <w:rFonts w:ascii="Arial" w:eastAsia="Calibri" w:hAnsi="Arial"/>
          <w:lang w:val="en-GB"/>
        </w:rPr>
      </w:pPr>
      <w:r w:rsidRPr="003E76F6">
        <w:rPr>
          <w:rFonts w:ascii="Arial" w:eastAsia="Calibri" w:hAnsi="Arial"/>
          <w:lang w:val="en-GB"/>
        </w:rPr>
        <w:t xml:space="preserve">All </w:t>
      </w:r>
      <w:r>
        <w:rPr>
          <w:rFonts w:ascii="Arial" w:eastAsia="Calibri" w:hAnsi="Arial"/>
          <w:lang w:val="en-GB"/>
        </w:rPr>
        <w:t>significant g</w:t>
      </w:r>
      <w:r w:rsidRPr="003E76F6">
        <w:rPr>
          <w:rFonts w:ascii="Arial" w:eastAsia="Calibri" w:hAnsi="Arial"/>
          <w:lang w:val="en-GB"/>
        </w:rPr>
        <w:t>lobal and local independent variables included in the different parts of the demand forecast for long-distance and regional passenger trains and their weights/elasticities/values in the forecast including justification of how these parameters have been derived should be documented</w:t>
      </w:r>
      <w:r>
        <w:rPr>
          <w:rFonts w:ascii="Arial" w:eastAsia="Calibri" w:hAnsi="Arial"/>
          <w:lang w:val="en-GB"/>
        </w:rPr>
        <w:t>.</w:t>
      </w:r>
      <w:r w:rsidRPr="003E76F6">
        <w:rPr>
          <w:rFonts w:ascii="Arial" w:eastAsia="Calibri" w:hAnsi="Arial"/>
          <w:lang w:val="en-GB"/>
        </w:rPr>
        <w:t xml:space="preserve"> Relationships/equations (including parameters) between independent variables and demand should be documented.</w:t>
      </w:r>
      <w:r>
        <w:rPr>
          <w:rFonts w:ascii="Arial" w:eastAsia="Calibri" w:hAnsi="Arial"/>
          <w:lang w:val="en-GB"/>
        </w:rPr>
        <w:t xml:space="preserve"> </w:t>
      </w:r>
      <w:r w:rsidRPr="00C47FFE">
        <w:rPr>
          <w:rFonts w:ascii="Arial" w:eastAsia="Calibri" w:hAnsi="Arial"/>
          <w:lang w:val="en-GB"/>
        </w:rPr>
        <w:t xml:space="preserve">The MIN-MAX parameter range should be documented and justified for all the </w:t>
      </w:r>
      <w:r>
        <w:rPr>
          <w:rFonts w:ascii="Arial" w:eastAsia="Calibri" w:hAnsi="Arial"/>
          <w:lang w:val="en-GB"/>
        </w:rPr>
        <w:t xml:space="preserve">significant </w:t>
      </w:r>
      <w:r w:rsidRPr="00C47FFE">
        <w:rPr>
          <w:rFonts w:ascii="Arial" w:eastAsia="Calibri" w:hAnsi="Arial"/>
          <w:lang w:val="en-GB"/>
        </w:rPr>
        <w:t>independent variables</w:t>
      </w:r>
      <w:r>
        <w:rPr>
          <w:rFonts w:ascii="Arial" w:eastAsia="Calibri" w:hAnsi="Arial"/>
          <w:lang w:val="en-GB"/>
        </w:rPr>
        <w:t xml:space="preserve"> in the forecast</w:t>
      </w:r>
      <w:r w:rsidRPr="00C47FFE">
        <w:rPr>
          <w:rFonts w:ascii="Arial" w:eastAsia="Calibri" w:hAnsi="Arial"/>
          <w:lang w:val="en-GB"/>
        </w:rPr>
        <w:t>.</w:t>
      </w:r>
    </w:p>
    <w:p w:rsidR="00631EAB" w:rsidRDefault="00D4137B" w:rsidP="00D20948">
      <w:pPr>
        <w:numPr>
          <w:ilvl w:val="0"/>
          <w:numId w:val="24"/>
        </w:numPr>
        <w:tabs>
          <w:tab w:val="clear" w:pos="2148"/>
          <w:tab w:val="num" w:pos="360"/>
        </w:tabs>
        <w:suppressAutoHyphens w:val="0"/>
        <w:spacing w:before="120" w:after="120" w:line="240" w:lineRule="auto"/>
        <w:ind w:left="357" w:hanging="357"/>
        <w:rPr>
          <w:rFonts w:ascii="Arial" w:hAnsi="Arial"/>
        </w:rPr>
      </w:pPr>
      <w:r>
        <w:rPr>
          <w:rFonts w:ascii="Arial" w:eastAsia="Calibri" w:hAnsi="Arial"/>
          <w:lang w:val="en-GB"/>
        </w:rPr>
        <w:t>In particular the logit and generalised cost model structure and parameters (variables, weights and scaling parameter) which lead to mode shift due to increased speed and train frequency should be documented (including the way of including train intervals) and the plausibility of this impact commented and justified. Or more simply, the approximate elasticities (arising from the logit model ?) of rail demand to travel time and service interval (if separated) should be stated and justified based on other local or international experience.</w:t>
      </w:r>
    </w:p>
    <w:p w:rsidR="00631EAB" w:rsidRDefault="00D4137B" w:rsidP="00D20948">
      <w:pPr>
        <w:numPr>
          <w:ilvl w:val="0"/>
          <w:numId w:val="24"/>
        </w:numPr>
        <w:tabs>
          <w:tab w:val="clear" w:pos="2148"/>
          <w:tab w:val="num" w:pos="360"/>
        </w:tabs>
        <w:suppressAutoHyphens w:val="0"/>
        <w:spacing w:before="120" w:after="120" w:line="240" w:lineRule="auto"/>
        <w:ind w:left="357" w:hanging="357"/>
        <w:rPr>
          <w:rFonts w:ascii="Arial" w:hAnsi="Arial"/>
        </w:rPr>
      </w:pPr>
      <w:r>
        <w:rPr>
          <w:rFonts w:ascii="Arial" w:eastAsia="Calibri" w:hAnsi="Arial"/>
          <w:lang w:val="en-GB"/>
        </w:rPr>
        <w:t>The 90 % :10 % ratio of transferred and induced demand should be justified with reference to specific experience or guidance.</w:t>
      </w:r>
    </w:p>
    <w:p w:rsidR="00631EAB" w:rsidRDefault="00D4137B" w:rsidP="00D20948">
      <w:pPr>
        <w:pStyle w:val="Odstavecseseznamem"/>
        <w:numPr>
          <w:ilvl w:val="0"/>
          <w:numId w:val="21"/>
        </w:numPr>
        <w:suppressAutoHyphens w:val="0"/>
        <w:spacing w:before="120" w:after="120" w:line="240" w:lineRule="auto"/>
        <w:outlineLvl w:val="0"/>
        <w:rPr>
          <w:rFonts w:ascii="Arial" w:hAnsi="Arial"/>
          <w:szCs w:val="20"/>
        </w:rPr>
      </w:pPr>
      <w:r w:rsidRPr="006C3C1C">
        <w:rPr>
          <w:rFonts w:ascii="Arial" w:hAnsi="Arial"/>
          <w:szCs w:val="20"/>
        </w:rPr>
        <w:t>Documentation of key origin-destinations movements related to the project (</w:t>
      </w:r>
      <w:r>
        <w:rPr>
          <w:rFonts w:ascii="Arial" w:hAnsi="Arial"/>
          <w:szCs w:val="20"/>
        </w:rPr>
        <w:t xml:space="preserve">related to the radial </w:t>
      </w:r>
      <w:r w:rsidRPr="006C3C1C">
        <w:rPr>
          <w:rFonts w:ascii="Arial" w:hAnsi="Arial"/>
          <w:szCs w:val="20"/>
        </w:rPr>
        <w:t xml:space="preserve">direction between Hradec Králové and </w:t>
      </w:r>
      <w:r w:rsidRPr="00DF3AA0">
        <w:rPr>
          <w:rFonts w:ascii="Arial" w:hAnsi="Arial"/>
          <w:szCs w:val="20"/>
        </w:rPr>
        <w:t>Pardubice</w:t>
      </w:r>
      <w:r w:rsidRPr="006C3C1C">
        <w:rPr>
          <w:rFonts w:ascii="Arial" w:hAnsi="Arial"/>
          <w:szCs w:val="20"/>
        </w:rPr>
        <w:t>)</w:t>
      </w:r>
      <w:r>
        <w:rPr>
          <w:rFonts w:ascii="Arial" w:hAnsi="Arial"/>
          <w:szCs w:val="20"/>
        </w:rPr>
        <w:t xml:space="preserve"> and the current split between rail, car and bus.</w:t>
      </w:r>
    </w:p>
    <w:p w:rsidR="00631EAB" w:rsidRDefault="00D4137B" w:rsidP="00D20948">
      <w:pPr>
        <w:pStyle w:val="Odstavecseseznamem"/>
        <w:numPr>
          <w:ilvl w:val="0"/>
          <w:numId w:val="21"/>
        </w:numPr>
        <w:suppressAutoHyphens w:val="0"/>
        <w:spacing w:before="120" w:after="120" w:line="240" w:lineRule="auto"/>
        <w:outlineLvl w:val="0"/>
        <w:rPr>
          <w:rFonts w:ascii="Arial" w:hAnsi="Arial"/>
          <w:szCs w:val="20"/>
        </w:rPr>
      </w:pPr>
      <w:r w:rsidRPr="006C3C1C">
        <w:rPr>
          <w:rFonts w:ascii="Arial" w:hAnsi="Arial"/>
          <w:szCs w:val="20"/>
        </w:rPr>
        <w:t xml:space="preserve">Detailed information about the main </w:t>
      </w:r>
      <w:r>
        <w:rPr>
          <w:rFonts w:ascii="Arial" w:hAnsi="Arial"/>
          <w:szCs w:val="20"/>
        </w:rPr>
        <w:t xml:space="preserve">modal </w:t>
      </w:r>
      <w:r w:rsidRPr="006C3C1C">
        <w:rPr>
          <w:rFonts w:ascii="Arial" w:hAnsi="Arial"/>
          <w:szCs w:val="20"/>
        </w:rPr>
        <w:t>alternative</w:t>
      </w:r>
      <w:r>
        <w:rPr>
          <w:rFonts w:ascii="Arial" w:hAnsi="Arial"/>
          <w:szCs w:val="20"/>
        </w:rPr>
        <w:t xml:space="preserve">s (especially the </w:t>
      </w:r>
      <w:r w:rsidRPr="006C3C1C">
        <w:rPr>
          <w:rFonts w:ascii="Arial" w:hAnsi="Arial"/>
          <w:szCs w:val="20"/>
        </w:rPr>
        <w:t>bus route</w:t>
      </w:r>
      <w:r>
        <w:rPr>
          <w:rFonts w:ascii="Arial" w:hAnsi="Arial"/>
          <w:szCs w:val="20"/>
        </w:rPr>
        <w:t>(s))</w:t>
      </w:r>
      <w:r w:rsidRPr="006C3C1C">
        <w:rPr>
          <w:rFonts w:ascii="Arial" w:hAnsi="Arial"/>
          <w:szCs w:val="20"/>
        </w:rPr>
        <w:t>for the present and future situation:</w:t>
      </w:r>
    </w:p>
    <w:p w:rsidR="00D4137B" w:rsidRPr="008761EB" w:rsidRDefault="00D4137B" w:rsidP="00D4137B">
      <w:pPr>
        <w:spacing w:before="120" w:after="120"/>
        <w:ind w:left="360"/>
        <w:outlineLvl w:val="0"/>
        <w:rPr>
          <w:rFonts w:ascii="Arial" w:hAnsi="Arial"/>
        </w:rPr>
      </w:pPr>
      <w:r w:rsidRPr="008761EB">
        <w:rPr>
          <w:rFonts w:ascii="Arial" w:hAnsi="Arial"/>
        </w:rPr>
        <w:t>Railway system present and future all the way between Hradec Králové and Pardubice:</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Pr>
          <w:rFonts w:ascii="Arial" w:hAnsi="Arial"/>
          <w:szCs w:val="20"/>
        </w:rPr>
        <w:t>24 hours demand and p</w:t>
      </w:r>
      <w:r w:rsidRPr="006C3C1C">
        <w:rPr>
          <w:rFonts w:ascii="Arial" w:hAnsi="Arial"/>
          <w:szCs w:val="20"/>
        </w:rPr>
        <w:t xml:space="preserve">eak time demand </w:t>
      </w:r>
      <w:r>
        <w:rPr>
          <w:rFonts w:ascii="Arial" w:hAnsi="Arial"/>
          <w:szCs w:val="20"/>
        </w:rPr>
        <w:t xml:space="preserve">per section  and market segment </w:t>
      </w:r>
      <w:r w:rsidRPr="006C3C1C">
        <w:rPr>
          <w:rFonts w:ascii="Arial" w:hAnsi="Arial"/>
          <w:szCs w:val="20"/>
        </w:rPr>
        <w:t xml:space="preserve">for </w:t>
      </w:r>
      <w:r>
        <w:rPr>
          <w:rFonts w:ascii="Arial" w:hAnsi="Arial"/>
          <w:szCs w:val="20"/>
        </w:rPr>
        <w:t xml:space="preserve">all the project options including the no project option </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Pr>
          <w:rFonts w:ascii="Arial" w:hAnsi="Arial"/>
          <w:szCs w:val="20"/>
        </w:rPr>
        <w:t>24 hour and peak turnover at the stops /stations on the line per market segment</w:t>
      </w:r>
    </w:p>
    <w:p w:rsidR="00631EAB" w:rsidRDefault="00D4137B" w:rsidP="00D20948">
      <w:pPr>
        <w:pStyle w:val="Odstavecseseznamem"/>
        <w:numPr>
          <w:ilvl w:val="1"/>
          <w:numId w:val="21"/>
        </w:numPr>
        <w:suppressAutoHyphens w:val="0"/>
        <w:spacing w:before="120" w:after="120" w:line="240" w:lineRule="auto"/>
        <w:ind w:left="1077" w:hanging="357"/>
        <w:outlineLvl w:val="0"/>
        <w:rPr>
          <w:rFonts w:ascii="Arial" w:hAnsi="Arial"/>
          <w:szCs w:val="20"/>
        </w:rPr>
      </w:pPr>
      <w:r>
        <w:rPr>
          <w:rFonts w:ascii="Arial" w:hAnsi="Arial"/>
          <w:szCs w:val="20"/>
        </w:rPr>
        <w:t>The a</w:t>
      </w:r>
      <w:r w:rsidRPr="006C3C1C">
        <w:rPr>
          <w:rFonts w:ascii="Arial" w:hAnsi="Arial"/>
          <w:szCs w:val="20"/>
        </w:rPr>
        <w:t>verage daily train occupancy (passengers per train)</w:t>
      </w:r>
      <w:r>
        <w:rPr>
          <w:rFonts w:ascii="Arial" w:hAnsi="Arial"/>
          <w:szCs w:val="20"/>
        </w:rPr>
        <w:t xml:space="preserve"> should be provided </w:t>
      </w:r>
      <w:r w:rsidRPr="006C3C1C">
        <w:rPr>
          <w:rFonts w:ascii="Arial" w:hAnsi="Arial"/>
          <w:szCs w:val="20"/>
        </w:rPr>
        <w:t xml:space="preserve">for the different </w:t>
      </w:r>
      <w:r>
        <w:rPr>
          <w:rFonts w:ascii="Arial" w:hAnsi="Arial"/>
          <w:szCs w:val="20"/>
        </w:rPr>
        <w:t xml:space="preserve">market </w:t>
      </w:r>
      <w:r w:rsidRPr="006C3C1C">
        <w:rPr>
          <w:rFonts w:ascii="Arial" w:hAnsi="Arial"/>
          <w:szCs w:val="20"/>
        </w:rPr>
        <w:t>segments on the line</w:t>
      </w:r>
      <w:r>
        <w:rPr>
          <w:rFonts w:ascii="Arial" w:hAnsi="Arial"/>
          <w:szCs w:val="20"/>
        </w:rPr>
        <w:t xml:space="preserve"> </w:t>
      </w:r>
      <w:r w:rsidRPr="006C3C1C">
        <w:rPr>
          <w:rFonts w:ascii="Arial" w:hAnsi="Arial"/>
          <w:szCs w:val="20"/>
        </w:rPr>
        <w:t xml:space="preserve">and </w:t>
      </w:r>
      <w:r>
        <w:rPr>
          <w:rFonts w:ascii="Arial" w:hAnsi="Arial"/>
          <w:szCs w:val="20"/>
        </w:rPr>
        <w:t xml:space="preserve">also the </w:t>
      </w:r>
      <w:r w:rsidRPr="006C3C1C">
        <w:rPr>
          <w:rFonts w:ascii="Arial" w:hAnsi="Arial"/>
          <w:szCs w:val="20"/>
        </w:rPr>
        <w:t xml:space="preserve">peak time </w:t>
      </w:r>
      <w:r>
        <w:rPr>
          <w:rFonts w:ascii="Arial" w:hAnsi="Arial"/>
          <w:szCs w:val="20"/>
        </w:rPr>
        <w:t>train occupancy should be included</w:t>
      </w:r>
      <w:r w:rsidRPr="006C3C1C">
        <w:rPr>
          <w:rFonts w:ascii="Arial" w:hAnsi="Arial"/>
          <w:szCs w:val="20"/>
        </w:rPr>
        <w:t>.</w:t>
      </w:r>
    </w:p>
    <w:p w:rsidR="00D4137B" w:rsidRPr="006C3C1C" w:rsidRDefault="00D4137B" w:rsidP="00D4137B">
      <w:pPr>
        <w:pStyle w:val="Odstavecseseznamem"/>
        <w:spacing w:before="120" w:after="120" w:line="240" w:lineRule="auto"/>
        <w:ind w:left="360"/>
        <w:outlineLvl w:val="0"/>
        <w:rPr>
          <w:rFonts w:ascii="Arial" w:hAnsi="Arial"/>
          <w:szCs w:val="20"/>
        </w:rPr>
      </w:pPr>
      <w:r>
        <w:rPr>
          <w:rFonts w:ascii="Arial" w:hAnsi="Arial"/>
          <w:szCs w:val="20"/>
        </w:rPr>
        <w:t>Bus:</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6C3C1C">
        <w:rPr>
          <w:rFonts w:ascii="Arial" w:hAnsi="Arial"/>
          <w:szCs w:val="20"/>
        </w:rPr>
        <w:t>Route and stops.</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6C3C1C">
        <w:rPr>
          <w:rFonts w:ascii="Arial" w:hAnsi="Arial"/>
          <w:szCs w:val="20"/>
        </w:rPr>
        <w:t xml:space="preserve">Travel times to and from </w:t>
      </w:r>
      <w:r>
        <w:rPr>
          <w:rFonts w:ascii="Arial" w:hAnsi="Arial"/>
          <w:szCs w:val="20"/>
        </w:rPr>
        <w:t>Hradec Králové / Pardubice</w:t>
      </w:r>
      <w:r w:rsidRPr="006C3C1C">
        <w:rPr>
          <w:rFonts w:ascii="Arial" w:hAnsi="Arial"/>
          <w:szCs w:val="20"/>
        </w:rPr>
        <w:t xml:space="preserve"> (</w:t>
      </w:r>
      <w:r>
        <w:rPr>
          <w:rFonts w:ascii="Arial" w:hAnsi="Arial"/>
          <w:szCs w:val="20"/>
        </w:rPr>
        <w:t>comparable routes to train route</w:t>
      </w:r>
      <w:r w:rsidRPr="006C3C1C">
        <w:rPr>
          <w:rFonts w:ascii="Arial" w:hAnsi="Arial"/>
          <w:szCs w:val="20"/>
        </w:rPr>
        <w:t>).</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Pr>
          <w:rFonts w:ascii="Arial" w:hAnsi="Arial"/>
          <w:szCs w:val="20"/>
        </w:rPr>
        <w:t>Planned changes to bus service intervals after the major increase of the rail service frequency</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6C3C1C">
        <w:rPr>
          <w:rFonts w:ascii="Arial" w:hAnsi="Arial"/>
          <w:szCs w:val="20"/>
        </w:rPr>
        <w:t>Timetable / headways peak/off-peak.</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6C3C1C">
        <w:rPr>
          <w:rFonts w:ascii="Arial" w:hAnsi="Arial"/>
          <w:szCs w:val="20"/>
        </w:rPr>
        <w:t xml:space="preserve">Daily and peak time </w:t>
      </w:r>
      <w:r>
        <w:rPr>
          <w:rFonts w:ascii="Arial" w:hAnsi="Arial"/>
          <w:szCs w:val="20"/>
        </w:rPr>
        <w:t>passenger numbers</w:t>
      </w:r>
      <w:r w:rsidRPr="006C3C1C">
        <w:rPr>
          <w:rFonts w:ascii="Arial" w:hAnsi="Arial"/>
          <w:szCs w:val="20"/>
        </w:rPr>
        <w:t>.</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6C3C1C">
        <w:rPr>
          <w:rFonts w:ascii="Arial" w:hAnsi="Arial"/>
          <w:szCs w:val="20"/>
        </w:rPr>
        <w:t>Average daily and peak time vehicle occupancy (passengers per bus).</w:t>
      </w:r>
    </w:p>
    <w:p w:rsidR="00D4137B" w:rsidRDefault="00D4137B" w:rsidP="00D4137B">
      <w:pPr>
        <w:spacing w:before="120" w:after="120"/>
        <w:ind w:left="360"/>
        <w:outlineLvl w:val="0"/>
        <w:rPr>
          <w:rFonts w:ascii="Arial" w:hAnsi="Arial"/>
        </w:rPr>
      </w:pPr>
      <w:r>
        <w:rPr>
          <w:rFonts w:ascii="Arial" w:hAnsi="Arial"/>
        </w:rPr>
        <w:t>Car:</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Pr>
          <w:rFonts w:ascii="Arial" w:hAnsi="Arial"/>
          <w:szCs w:val="20"/>
        </w:rPr>
        <w:t>Travel time on route comparable to bus and train routes.</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6C3C1C">
        <w:rPr>
          <w:rFonts w:ascii="Arial" w:hAnsi="Arial"/>
          <w:szCs w:val="20"/>
        </w:rPr>
        <w:t xml:space="preserve">Daily and peak time </w:t>
      </w:r>
      <w:r>
        <w:rPr>
          <w:rFonts w:ascii="Arial" w:hAnsi="Arial"/>
          <w:szCs w:val="20"/>
        </w:rPr>
        <w:t>vehicle volumes on the main competing road route(s)</w:t>
      </w:r>
      <w:r w:rsidRPr="006C3C1C">
        <w:rPr>
          <w:rFonts w:ascii="Arial" w:hAnsi="Arial"/>
          <w:szCs w:val="20"/>
        </w:rPr>
        <w:t>.</w:t>
      </w:r>
    </w:p>
    <w:p w:rsidR="00D4137B" w:rsidRDefault="00D4137B" w:rsidP="00D4137B">
      <w:pPr>
        <w:spacing w:before="120" w:after="120"/>
        <w:ind w:left="720"/>
        <w:outlineLvl w:val="0"/>
        <w:rPr>
          <w:rFonts w:ascii="Arial" w:hAnsi="Arial"/>
        </w:rPr>
      </w:pPr>
    </w:p>
    <w:p w:rsidR="00631EAB" w:rsidRDefault="00D4137B" w:rsidP="00D20948">
      <w:pPr>
        <w:pStyle w:val="Odstavecseseznamem"/>
        <w:numPr>
          <w:ilvl w:val="0"/>
          <w:numId w:val="21"/>
        </w:numPr>
        <w:suppressAutoHyphens w:val="0"/>
        <w:spacing w:before="120" w:after="120" w:line="240" w:lineRule="auto"/>
        <w:outlineLvl w:val="0"/>
        <w:rPr>
          <w:rFonts w:ascii="Arial" w:hAnsi="Arial"/>
          <w:szCs w:val="20"/>
        </w:rPr>
      </w:pPr>
      <w:r w:rsidRPr="006C3C1C">
        <w:rPr>
          <w:rFonts w:ascii="Arial" w:hAnsi="Arial"/>
          <w:szCs w:val="20"/>
        </w:rPr>
        <w:t>Urban interface:</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Pr>
          <w:rFonts w:ascii="Arial" w:hAnsi="Arial"/>
          <w:szCs w:val="20"/>
        </w:rPr>
        <w:t>Details on the main connection(s)/interfaces to the urban public transport systems in Hradec-Kralove and Pardubice from rail, regional bus and car routes between the two cities</w:t>
      </w:r>
    </w:p>
    <w:p w:rsidR="00D4137B" w:rsidRDefault="00D4137B" w:rsidP="00D4137B">
      <w:pPr>
        <w:spacing w:before="120" w:after="120"/>
        <w:outlineLvl w:val="0"/>
        <w:rPr>
          <w:rFonts w:ascii="Arial" w:hAnsi="Arial"/>
        </w:rPr>
      </w:pPr>
    </w:p>
    <w:p w:rsidR="00D4137B" w:rsidRPr="00C47FFE" w:rsidRDefault="00D4137B" w:rsidP="00D4137B">
      <w:pPr>
        <w:spacing w:before="120" w:after="120"/>
        <w:rPr>
          <w:rFonts w:ascii="Arial" w:hAnsi="Arial"/>
          <w:b/>
          <w:lang w:val="en-GB"/>
        </w:rPr>
      </w:pPr>
      <w:r w:rsidRPr="003E76F6">
        <w:rPr>
          <w:rFonts w:ascii="Arial" w:hAnsi="Arial"/>
          <w:b/>
          <w:lang w:val="en-GB"/>
        </w:rPr>
        <w:t>Link to the economic model</w:t>
      </w:r>
    </w:p>
    <w:p w:rsidR="00D4137B" w:rsidRDefault="00D4137B" w:rsidP="00D4137B">
      <w:pPr>
        <w:spacing w:before="120" w:after="120"/>
        <w:outlineLvl w:val="0"/>
        <w:rPr>
          <w:rFonts w:ascii="Arial" w:hAnsi="Arial"/>
        </w:rPr>
      </w:pPr>
      <w:r w:rsidRPr="003E76F6">
        <w:rPr>
          <w:rFonts w:ascii="Arial" w:hAnsi="Arial"/>
        </w:rPr>
        <w:t>In addition in order to understand and track the link between the demand and economic analysis it is necessary to describe:</w:t>
      </w:r>
    </w:p>
    <w:p w:rsidR="00631EAB" w:rsidRDefault="00D4137B" w:rsidP="00D20948">
      <w:pPr>
        <w:pStyle w:val="Odstavecseseznamem"/>
        <w:numPr>
          <w:ilvl w:val="0"/>
          <w:numId w:val="21"/>
        </w:numPr>
        <w:suppressAutoHyphens w:val="0"/>
        <w:spacing w:before="120" w:after="120" w:line="240" w:lineRule="auto"/>
        <w:outlineLvl w:val="0"/>
        <w:rPr>
          <w:rFonts w:ascii="Arial" w:hAnsi="Arial"/>
        </w:rPr>
      </w:pPr>
      <w:r w:rsidRPr="003E76F6">
        <w:rPr>
          <w:rFonts w:ascii="Arial" w:hAnsi="Arial"/>
          <w:szCs w:val="20"/>
        </w:rPr>
        <w:t>Specification of the section</w:t>
      </w:r>
      <w:r>
        <w:rPr>
          <w:rFonts w:ascii="Arial" w:hAnsi="Arial"/>
          <w:szCs w:val="20"/>
        </w:rPr>
        <w:t>s</w:t>
      </w:r>
      <w:r w:rsidRPr="003E76F6">
        <w:rPr>
          <w:rFonts w:ascii="Arial" w:hAnsi="Arial"/>
          <w:szCs w:val="20"/>
        </w:rPr>
        <w:t xml:space="preserve"> of the model(s)</w:t>
      </w:r>
      <w:r>
        <w:rPr>
          <w:rFonts w:ascii="Arial" w:hAnsi="Arial"/>
          <w:szCs w:val="20"/>
        </w:rPr>
        <w:t xml:space="preserve"> of all modes</w:t>
      </w:r>
      <w:r w:rsidRPr="003E76F6">
        <w:rPr>
          <w:rFonts w:ascii="Arial" w:hAnsi="Arial"/>
          <w:szCs w:val="20"/>
        </w:rPr>
        <w:t xml:space="preserve"> which are included in the economic analysis.</w:t>
      </w:r>
    </w:p>
    <w:p w:rsidR="00631EAB" w:rsidRDefault="00D4137B" w:rsidP="00D20948">
      <w:pPr>
        <w:pStyle w:val="Odstavecseseznamem"/>
        <w:numPr>
          <w:ilvl w:val="0"/>
          <w:numId w:val="21"/>
        </w:numPr>
        <w:suppressAutoHyphens w:val="0"/>
        <w:spacing w:before="120" w:after="120" w:line="240" w:lineRule="auto"/>
        <w:outlineLvl w:val="0"/>
        <w:rPr>
          <w:rFonts w:ascii="Arial" w:hAnsi="Arial"/>
        </w:rPr>
      </w:pPr>
      <w:r w:rsidRPr="003E76F6">
        <w:rPr>
          <w:rFonts w:ascii="Arial" w:hAnsi="Arial"/>
          <w:szCs w:val="20"/>
        </w:rPr>
        <w:t>The method of aggregating outputs from the transport model into the economic CBA model calculations (demand types, work time, commuting time etc.)</w:t>
      </w:r>
      <w:r>
        <w:rPr>
          <w:rFonts w:ascii="Arial" w:hAnsi="Arial"/>
          <w:szCs w:val="20"/>
        </w:rPr>
        <w:t>.</w:t>
      </w:r>
    </w:p>
    <w:p w:rsidR="00D4137B" w:rsidRDefault="00D4137B" w:rsidP="00D4137B">
      <w:pPr>
        <w:spacing w:before="120" w:after="120"/>
        <w:outlineLvl w:val="0"/>
        <w:rPr>
          <w:rFonts w:ascii="Arial" w:hAnsi="Arial"/>
        </w:rPr>
      </w:pPr>
    </w:p>
    <w:p w:rsidR="00631EAB" w:rsidRDefault="00D4137B" w:rsidP="00D20948">
      <w:pPr>
        <w:pStyle w:val="Odstavecseseznamem"/>
        <w:numPr>
          <w:ilvl w:val="0"/>
          <w:numId w:val="20"/>
        </w:numPr>
        <w:suppressAutoHyphens w:val="0"/>
        <w:spacing w:before="120" w:after="200" w:line="276" w:lineRule="auto"/>
        <w:contextualSpacing/>
        <w:outlineLvl w:val="0"/>
        <w:rPr>
          <w:rFonts w:ascii="Arial" w:hAnsi="Arial"/>
          <w:b/>
        </w:rPr>
      </w:pPr>
      <w:r>
        <w:rPr>
          <w:rFonts w:ascii="Arial" w:hAnsi="Arial"/>
          <w:b/>
        </w:rPr>
        <w:t>Operational and t</w:t>
      </w:r>
      <w:r w:rsidRPr="006C3C1C">
        <w:rPr>
          <w:rFonts w:ascii="Arial" w:hAnsi="Arial"/>
          <w:b/>
        </w:rPr>
        <w:t>echnical issues</w:t>
      </w:r>
    </w:p>
    <w:p w:rsidR="00D4137B" w:rsidRPr="006C3C1C" w:rsidRDefault="00D4137B" w:rsidP="00D4137B">
      <w:pPr>
        <w:spacing w:before="120"/>
        <w:outlineLvl w:val="0"/>
        <w:rPr>
          <w:rFonts w:ascii="Arial" w:hAnsi="Arial"/>
          <w:b/>
          <w:lang w:val="en-GB"/>
        </w:rPr>
      </w:pPr>
      <w:r w:rsidRPr="006C3C1C">
        <w:rPr>
          <w:rFonts w:ascii="Arial" w:hAnsi="Arial" w:cs="Arial"/>
          <w:lang w:val="en-GB"/>
        </w:rPr>
        <w:t xml:space="preserve">The cost estimate (lump sums) does not allow a detailed options analysis or proper cost assessment. Therefore, </w:t>
      </w:r>
      <w:r>
        <w:rPr>
          <w:rFonts w:ascii="Arial" w:hAnsi="Arial" w:cs="Arial"/>
          <w:lang w:val="en-GB"/>
        </w:rPr>
        <w:t xml:space="preserve">a section and station wise </w:t>
      </w:r>
      <w:r w:rsidRPr="006C3C1C">
        <w:rPr>
          <w:rFonts w:ascii="Arial" w:hAnsi="Arial" w:cs="Arial"/>
          <w:lang w:val="en-GB"/>
        </w:rPr>
        <w:t>cost estimate for each variant should be provided in English – if possible to the grade of level 3 of JASPERS Technical Data Sheet.</w:t>
      </w:r>
    </w:p>
    <w:p w:rsidR="00D4137B" w:rsidRDefault="00D4137B" w:rsidP="00D4137B">
      <w:pPr>
        <w:spacing w:before="120" w:after="120"/>
        <w:outlineLvl w:val="0"/>
        <w:rPr>
          <w:rFonts w:ascii="Arial" w:hAnsi="Arial"/>
        </w:rPr>
      </w:pPr>
      <w:r w:rsidRPr="008E4239">
        <w:rPr>
          <w:rFonts w:ascii="Arial" w:hAnsi="Arial"/>
        </w:rPr>
        <w:t>Clear justification</w:t>
      </w:r>
      <w:r>
        <w:rPr>
          <w:rFonts w:ascii="Arial" w:hAnsi="Arial"/>
        </w:rPr>
        <w:t xml:space="preserve"> is required</w:t>
      </w:r>
      <w:r w:rsidRPr="008E4239">
        <w:rPr>
          <w:rFonts w:ascii="Arial" w:hAnsi="Arial"/>
        </w:rPr>
        <w:t xml:space="preserve"> (cost breakdown and explanation per item) of differences in maintenance, repair and renewal costs between the do nothing and do something option(s).</w:t>
      </w:r>
    </w:p>
    <w:p w:rsidR="00D4137B" w:rsidRDefault="00D4137B" w:rsidP="00D4137B">
      <w:pPr>
        <w:spacing w:before="120" w:after="120"/>
        <w:outlineLvl w:val="0"/>
        <w:rPr>
          <w:rFonts w:ascii="Arial" w:hAnsi="Arial"/>
        </w:rPr>
      </w:pPr>
      <w:r>
        <w:rPr>
          <w:rFonts w:ascii="Arial" w:hAnsi="Arial"/>
        </w:rPr>
        <w:t>An improvement regarding the information provided for justifying the capacity needs has been observed in comparison with other projects; the future Rail Service Planning Diagram has been provided and the information related to the throughput calculations is more detailed than in other cases.</w:t>
      </w:r>
    </w:p>
    <w:p w:rsidR="00D4137B" w:rsidRDefault="00D4137B" w:rsidP="00D4137B">
      <w:pPr>
        <w:spacing w:before="120" w:after="120"/>
        <w:outlineLvl w:val="0"/>
        <w:rPr>
          <w:rFonts w:ascii="Arial" w:hAnsi="Arial"/>
        </w:rPr>
      </w:pPr>
      <w:r>
        <w:rPr>
          <w:rFonts w:ascii="Arial" w:hAnsi="Arial"/>
        </w:rPr>
        <w:t xml:space="preserve">Even though further information regarding the throughput methodology is required for a complete understanding of the process, e.g. the tables and text included make reference to columns B and C of the Regulation D24, </w:t>
      </w:r>
      <w:r w:rsidRPr="00916870">
        <w:rPr>
          <w:rFonts w:ascii="Arial" w:hAnsi="Arial"/>
        </w:rPr>
        <w:t>but the non-familiarized reader</w:t>
      </w:r>
      <w:r>
        <w:rPr>
          <w:rFonts w:ascii="Arial" w:hAnsi="Arial"/>
        </w:rPr>
        <w:t xml:space="preserve"> needs a comprehensive explanation to understand these references.</w:t>
      </w:r>
    </w:p>
    <w:p w:rsidR="00D4137B" w:rsidRDefault="00D4137B" w:rsidP="00D4137B">
      <w:pPr>
        <w:spacing w:before="120" w:after="120"/>
        <w:outlineLvl w:val="0"/>
        <w:rPr>
          <w:rFonts w:ascii="Arial" w:hAnsi="Arial"/>
        </w:rPr>
      </w:pPr>
      <w:r>
        <w:rPr>
          <w:rFonts w:ascii="Arial" w:hAnsi="Arial"/>
        </w:rPr>
        <w:t xml:space="preserve">It is also required to provide the daily (or daily operational period) and peak time throughput calculations for </w:t>
      </w:r>
      <w:r w:rsidRPr="008E4239">
        <w:rPr>
          <w:rFonts w:ascii="Arial" w:hAnsi="Arial"/>
        </w:rPr>
        <w:t>station</w:t>
      </w:r>
      <w:r>
        <w:rPr>
          <w:rFonts w:ascii="Arial" w:hAnsi="Arial"/>
        </w:rPr>
        <w:t>s</w:t>
      </w:r>
      <w:r w:rsidRPr="008E4239">
        <w:rPr>
          <w:rFonts w:ascii="Arial" w:hAnsi="Arial"/>
        </w:rPr>
        <w:t xml:space="preserve"> tracks and platforms</w:t>
      </w:r>
      <w:r>
        <w:rPr>
          <w:rFonts w:ascii="Arial" w:hAnsi="Arial"/>
        </w:rPr>
        <w:t xml:space="preserve"> as a justification for the need of new platforms foreseen to be constructed in some stations.</w:t>
      </w:r>
    </w:p>
    <w:p w:rsidR="00D4137B" w:rsidRDefault="00D4137B" w:rsidP="00D4137B">
      <w:pPr>
        <w:spacing w:before="120" w:after="120"/>
        <w:outlineLvl w:val="0"/>
        <w:rPr>
          <w:rFonts w:ascii="Arial" w:hAnsi="Arial"/>
        </w:rPr>
      </w:pPr>
      <w:r>
        <w:rPr>
          <w:rFonts w:ascii="Arial" w:hAnsi="Arial"/>
        </w:rPr>
        <w:t>Other technical issues may arise from the planned site visit.</w:t>
      </w:r>
    </w:p>
    <w:p w:rsidR="00D4137B" w:rsidRDefault="00D4137B" w:rsidP="00D4137B">
      <w:pPr>
        <w:spacing w:before="120" w:after="120"/>
        <w:outlineLvl w:val="0"/>
        <w:rPr>
          <w:rFonts w:ascii="Arial" w:hAnsi="Arial"/>
        </w:rPr>
      </w:pPr>
    </w:p>
    <w:p w:rsidR="00631EAB" w:rsidRDefault="00D4137B" w:rsidP="00D20948">
      <w:pPr>
        <w:pStyle w:val="Odstavecseseznamem"/>
        <w:numPr>
          <w:ilvl w:val="0"/>
          <w:numId w:val="20"/>
        </w:numPr>
        <w:suppressAutoHyphens w:val="0"/>
        <w:spacing w:before="120" w:after="200" w:line="276" w:lineRule="auto"/>
        <w:ind w:left="0"/>
        <w:contextualSpacing/>
        <w:outlineLvl w:val="0"/>
        <w:rPr>
          <w:rFonts w:ascii="Arial" w:hAnsi="Arial"/>
          <w:b/>
        </w:rPr>
      </w:pPr>
      <w:r w:rsidRPr="00296243">
        <w:rPr>
          <w:rFonts w:ascii="Arial" w:hAnsi="Arial"/>
          <w:b/>
        </w:rPr>
        <w:t xml:space="preserve">Economic analysis </w:t>
      </w:r>
    </w:p>
    <w:p w:rsidR="00D4137B" w:rsidRDefault="00D4137B" w:rsidP="00D4137B">
      <w:pPr>
        <w:spacing w:before="120"/>
        <w:outlineLvl w:val="0"/>
        <w:rPr>
          <w:rFonts w:ascii="Arial" w:hAnsi="Arial" w:cs="Arial"/>
        </w:rPr>
      </w:pPr>
      <w:r w:rsidRPr="003E76F6">
        <w:rPr>
          <w:rFonts w:ascii="Arial" w:hAnsi="Arial" w:cs="Arial"/>
          <w:lang w:val="en-GB"/>
        </w:rPr>
        <w:t xml:space="preserve">When </w:t>
      </w:r>
      <w:r>
        <w:rPr>
          <w:rFonts w:ascii="Arial" w:hAnsi="Arial" w:cs="Arial"/>
          <w:lang w:val="en-GB"/>
        </w:rPr>
        <w:t xml:space="preserve">as in this case, </w:t>
      </w:r>
      <w:r w:rsidRPr="003E76F6">
        <w:rPr>
          <w:rFonts w:ascii="Arial" w:hAnsi="Arial" w:cs="Arial"/>
          <w:lang w:val="en-GB"/>
        </w:rPr>
        <w:t>the presented options are really potential phases</w:t>
      </w:r>
      <w:r>
        <w:rPr>
          <w:rFonts w:ascii="Arial" w:hAnsi="Arial" w:cs="Arial"/>
          <w:lang w:val="en-GB"/>
        </w:rPr>
        <w:t>, a more meaningful approach to economic analysis is incremental added value i.e. what is the incremental added benefits and costs of B in doing option A+B against option A. This can be calculated from the values presented and would lead to  different conclusions about the economic viability of doing B on top of A.</w:t>
      </w:r>
    </w:p>
    <w:p w:rsidR="00D4137B" w:rsidRDefault="00D4137B" w:rsidP="00D4137B">
      <w:pPr>
        <w:spacing w:before="120" w:after="120"/>
        <w:outlineLvl w:val="0"/>
        <w:rPr>
          <w:rFonts w:ascii="Arial" w:hAnsi="Arial"/>
        </w:rPr>
      </w:pPr>
      <w:r>
        <w:rPr>
          <w:rFonts w:ascii="Arial" w:hAnsi="Arial"/>
        </w:rPr>
        <w:t>The risk analysis includes a variation of traffic volumes, it is not clear what the min and max variation means. We assume this is the % deviation from the projected % growth trend (e.g 20 % reduction in 25 % growth leads to 20 % growth). If this is the case, it still seems a very conservative envelope both at the max and min ends of the stred 1, stred 2 and maximalni options given the uncertainty in estimating increase in passenger numbers due to travel time and train interval.</w:t>
      </w:r>
    </w:p>
    <w:p w:rsidR="00D4137B" w:rsidRDefault="00D4137B" w:rsidP="00D4137B">
      <w:pPr>
        <w:spacing w:before="120" w:after="120"/>
        <w:outlineLvl w:val="0"/>
        <w:rPr>
          <w:rFonts w:ascii="Arial" w:hAnsi="Arial"/>
        </w:rPr>
      </w:pPr>
      <w:r>
        <w:rPr>
          <w:rFonts w:ascii="Arial" w:hAnsi="Arial"/>
        </w:rPr>
        <w:t>The proportions of different market segments (business, commuting, long distance etc.) used in the average value of time calculation should be stated and justified.</w:t>
      </w:r>
    </w:p>
    <w:p w:rsidR="00D4137B" w:rsidRPr="006C3C1C" w:rsidRDefault="00D4137B" w:rsidP="00D4137B">
      <w:pPr>
        <w:spacing w:before="120" w:after="200"/>
        <w:outlineLvl w:val="0"/>
        <w:rPr>
          <w:rFonts w:ascii="Arial" w:hAnsi="Arial"/>
          <w:b/>
          <w:i/>
          <w:sz w:val="24"/>
          <w:u w:val="single"/>
          <w:lang w:val="en-GB"/>
        </w:rPr>
      </w:pPr>
      <w:r w:rsidRPr="006C3C1C">
        <w:rPr>
          <w:rFonts w:ascii="Arial" w:hAnsi="Arial"/>
          <w:b/>
          <w:i/>
          <w:sz w:val="24"/>
          <w:u w:val="single"/>
          <w:lang w:val="en-GB"/>
        </w:rPr>
        <w:t>Other issues to be considered</w:t>
      </w:r>
    </w:p>
    <w:p w:rsidR="00D4137B" w:rsidRDefault="00D4137B" w:rsidP="00D4137B">
      <w:pPr>
        <w:shd w:val="clear" w:color="auto" w:fill="FFFFFF"/>
        <w:spacing w:before="120"/>
        <w:outlineLvl w:val="0"/>
        <w:rPr>
          <w:rFonts w:ascii="Arial" w:hAnsi="Arial"/>
          <w:lang w:val="en-GB"/>
        </w:rPr>
      </w:pPr>
      <w:r w:rsidRPr="003E76F6">
        <w:rPr>
          <w:rFonts w:ascii="Arial" w:hAnsi="Arial"/>
          <w:b/>
          <w:lang w:val="en-GB"/>
        </w:rPr>
        <w:t xml:space="preserve">Although this guidance note is not focused on detailed comments, we strongly recommend however to consider comments made in previous reviews, </w:t>
      </w:r>
      <w:r w:rsidRPr="003E76F6">
        <w:rPr>
          <w:rFonts w:ascii="Arial" w:hAnsi="Arial"/>
          <w:lang w:val="en-GB"/>
        </w:rPr>
        <w:t>for example for Olomouc station</w:t>
      </w:r>
      <w:r w:rsidRPr="003E76F6">
        <w:rPr>
          <w:rFonts w:ascii="Arial" w:hAnsi="Arial"/>
          <w:b/>
          <w:lang w:val="en-GB"/>
        </w:rPr>
        <w:t>, as regards the detail of presentation</w:t>
      </w:r>
      <w:r>
        <w:rPr>
          <w:rFonts w:ascii="Arial" w:hAnsi="Arial"/>
          <w:lang w:val="en-GB"/>
        </w:rPr>
        <w:t xml:space="preserve"> of, at least:</w:t>
      </w:r>
    </w:p>
    <w:p w:rsidR="00631EAB" w:rsidRDefault="00D4137B" w:rsidP="00D20948">
      <w:pPr>
        <w:pStyle w:val="Odstavecseseznamem"/>
        <w:numPr>
          <w:ilvl w:val="0"/>
          <w:numId w:val="22"/>
        </w:numPr>
        <w:suppressAutoHyphens w:val="0"/>
        <w:spacing w:before="120" w:after="120" w:line="240" w:lineRule="auto"/>
        <w:ind w:left="357" w:hanging="357"/>
        <w:outlineLvl w:val="0"/>
        <w:rPr>
          <w:rFonts w:ascii="Arial" w:hAnsi="Arial"/>
          <w:szCs w:val="20"/>
        </w:rPr>
      </w:pPr>
      <w:r w:rsidRPr="006C3C1C">
        <w:rPr>
          <w:rFonts w:ascii="Arial" w:hAnsi="Arial"/>
          <w:szCs w:val="20"/>
        </w:rPr>
        <w:t xml:space="preserve">Clear statement of and justification of </w:t>
      </w:r>
      <w:r>
        <w:rPr>
          <w:rFonts w:ascii="Arial" w:hAnsi="Arial"/>
          <w:szCs w:val="20"/>
        </w:rPr>
        <w:t>any</w:t>
      </w:r>
      <w:r w:rsidRPr="006C3C1C">
        <w:rPr>
          <w:rFonts w:ascii="Arial" w:hAnsi="Arial"/>
          <w:szCs w:val="20"/>
        </w:rPr>
        <w:t xml:space="preserve"> key assumptions of other dependent network development </w:t>
      </w:r>
      <w:r>
        <w:rPr>
          <w:rFonts w:ascii="Arial" w:hAnsi="Arial"/>
          <w:szCs w:val="20"/>
        </w:rPr>
        <w:t xml:space="preserve">(e.g. nearby stations) </w:t>
      </w:r>
      <w:r w:rsidRPr="006C3C1C">
        <w:rPr>
          <w:rFonts w:ascii="Arial" w:hAnsi="Arial"/>
          <w:szCs w:val="20"/>
        </w:rPr>
        <w:t>which influence the demand and capacity and in case of major uncertainty, consideration of sensitivity tests</w:t>
      </w:r>
    </w:p>
    <w:p w:rsidR="00631EAB" w:rsidRDefault="00D4137B" w:rsidP="00D20948">
      <w:pPr>
        <w:pStyle w:val="Odstavecseseznamem"/>
        <w:numPr>
          <w:ilvl w:val="0"/>
          <w:numId w:val="22"/>
        </w:numPr>
        <w:suppressAutoHyphens w:val="0"/>
        <w:spacing w:before="120" w:after="120" w:line="240" w:lineRule="auto"/>
        <w:ind w:left="357" w:hanging="357"/>
        <w:outlineLvl w:val="0"/>
      </w:pPr>
      <w:r w:rsidRPr="006C3C1C">
        <w:rPr>
          <w:rFonts w:ascii="Arial" w:hAnsi="Arial"/>
          <w:szCs w:val="20"/>
        </w:rPr>
        <w:t xml:space="preserve">It is also important to include a detailed description of the technical solution of the new variants in order to facilitate the assessment. </w:t>
      </w:r>
      <w:r>
        <w:rPr>
          <w:rFonts w:ascii="Arial" w:hAnsi="Arial"/>
          <w:szCs w:val="20"/>
        </w:rPr>
        <w:t>In this particular case, the technical solution is described in detail in the text, but graphic information of the changes in each section/station and tables summarizing the changes of the different options would provide a clearer and more comprehensive vision of the project options.</w:t>
      </w:r>
    </w:p>
    <w:p w:rsidR="00631EAB" w:rsidRDefault="00D4137B" w:rsidP="00D20948">
      <w:pPr>
        <w:pStyle w:val="Odstavecseseznamem"/>
        <w:numPr>
          <w:ilvl w:val="0"/>
          <w:numId w:val="22"/>
        </w:numPr>
        <w:suppressAutoHyphens w:val="0"/>
        <w:spacing w:before="120" w:after="120" w:line="240" w:lineRule="auto"/>
        <w:ind w:left="357" w:hanging="357"/>
        <w:outlineLvl w:val="0"/>
        <w:rPr>
          <w:rFonts w:ascii="Arial" w:hAnsi="Arial"/>
          <w:szCs w:val="20"/>
        </w:rPr>
      </w:pPr>
      <w:r w:rsidRPr="006C3C1C">
        <w:rPr>
          <w:rFonts w:ascii="Arial" w:hAnsi="Arial"/>
        </w:rPr>
        <w:t>T</w:t>
      </w:r>
      <w:r w:rsidRPr="006C3C1C">
        <w:rPr>
          <w:rFonts w:ascii="Arial" w:hAnsi="Arial"/>
          <w:szCs w:val="20"/>
        </w:rPr>
        <w:t>he implementation of TSI requirements in particular technical interoperability and accessibility for persons with reduced mobility.</w:t>
      </w:r>
    </w:p>
    <w:p w:rsidR="00631EAB" w:rsidRDefault="00D4137B" w:rsidP="00D20948">
      <w:pPr>
        <w:pStyle w:val="Odstavecseseznamem"/>
        <w:numPr>
          <w:ilvl w:val="0"/>
          <w:numId w:val="22"/>
        </w:numPr>
        <w:suppressAutoHyphens w:val="0"/>
        <w:spacing w:before="120" w:after="120" w:line="240" w:lineRule="auto"/>
        <w:ind w:left="357" w:hanging="357"/>
        <w:outlineLvl w:val="0"/>
        <w:rPr>
          <w:rFonts w:ascii="Arial" w:hAnsi="Arial"/>
          <w:szCs w:val="20"/>
        </w:rPr>
      </w:pPr>
      <w:r w:rsidRPr="006C3C1C">
        <w:rPr>
          <w:rFonts w:ascii="Arial" w:hAnsi="Arial"/>
          <w:szCs w:val="20"/>
        </w:rPr>
        <w:t>The historical development and consideration of technical / operational options and justification of key decisions made on technical parameters of sections and stations.</w:t>
      </w:r>
    </w:p>
    <w:p w:rsidR="00631EAB" w:rsidRDefault="00D4137B" w:rsidP="00D20948">
      <w:pPr>
        <w:pStyle w:val="Odstavecseseznamem"/>
        <w:numPr>
          <w:ilvl w:val="0"/>
          <w:numId w:val="22"/>
        </w:numPr>
        <w:suppressAutoHyphens w:val="0"/>
        <w:spacing w:before="120" w:after="120" w:line="240" w:lineRule="auto"/>
        <w:ind w:left="357" w:hanging="357"/>
        <w:outlineLvl w:val="0"/>
        <w:rPr>
          <w:rFonts w:ascii="Arial" w:hAnsi="Arial"/>
          <w:szCs w:val="20"/>
        </w:rPr>
      </w:pPr>
      <w:r w:rsidRPr="006C3C1C">
        <w:rPr>
          <w:rFonts w:ascii="Arial" w:hAnsi="Arial"/>
          <w:szCs w:val="20"/>
        </w:rPr>
        <w:t>Making potential safety benefits more tangible at least through the use of examples relevant to the safety enhancing infrastructure being applied.</w:t>
      </w:r>
    </w:p>
    <w:p w:rsidR="00631EAB" w:rsidRDefault="00D4137B" w:rsidP="00D20948">
      <w:pPr>
        <w:pStyle w:val="Odstavecseseznamem"/>
        <w:numPr>
          <w:ilvl w:val="0"/>
          <w:numId w:val="22"/>
        </w:numPr>
        <w:suppressAutoHyphens w:val="0"/>
        <w:spacing w:before="120" w:after="120" w:line="240" w:lineRule="auto"/>
        <w:ind w:left="357" w:hanging="357"/>
        <w:outlineLvl w:val="0"/>
        <w:rPr>
          <w:rFonts w:ascii="Arial" w:hAnsi="Arial"/>
          <w:szCs w:val="20"/>
        </w:rPr>
      </w:pPr>
      <w:r w:rsidRPr="006C3C1C">
        <w:rPr>
          <w:rFonts w:ascii="Arial" w:hAnsi="Arial"/>
          <w:szCs w:val="20"/>
        </w:rPr>
        <w:t>Strong description of significant non-monetarised benefits at stations and others including service reliability, comfort and accessibility</w:t>
      </w:r>
      <w:r>
        <w:rPr>
          <w:rFonts w:ascii="Arial" w:hAnsi="Arial"/>
          <w:szCs w:val="20"/>
        </w:rPr>
        <w:t xml:space="preserve"> (which might be used in a multi-criterial comparison)</w:t>
      </w:r>
    </w:p>
    <w:p w:rsidR="00631EAB" w:rsidRDefault="00D4137B" w:rsidP="00D20948">
      <w:pPr>
        <w:pStyle w:val="Odstavecseseznamem"/>
        <w:numPr>
          <w:ilvl w:val="0"/>
          <w:numId w:val="22"/>
        </w:numPr>
        <w:suppressAutoHyphens w:val="0"/>
        <w:spacing w:before="120" w:after="120" w:line="240" w:lineRule="auto"/>
        <w:ind w:left="357" w:hanging="357"/>
        <w:outlineLvl w:val="0"/>
        <w:rPr>
          <w:rFonts w:ascii="Arial" w:hAnsi="Arial"/>
          <w:szCs w:val="20"/>
        </w:rPr>
      </w:pPr>
      <w:r>
        <w:rPr>
          <w:rFonts w:ascii="Arial" w:hAnsi="Arial"/>
          <w:szCs w:val="20"/>
        </w:rPr>
        <w:t xml:space="preserve">Environmental aspects, to be included </w:t>
      </w:r>
      <w:r w:rsidRPr="006C3C1C">
        <w:rPr>
          <w:rFonts w:ascii="Arial" w:hAnsi="Arial"/>
          <w:szCs w:val="20"/>
        </w:rPr>
        <w:t xml:space="preserve">in the study in two sections, one addressing how environmental issues were considered in the project </w:t>
      </w:r>
      <w:r>
        <w:rPr>
          <w:rFonts w:ascii="Arial" w:hAnsi="Arial"/>
          <w:szCs w:val="20"/>
        </w:rPr>
        <w:t xml:space="preserve">and technical option </w:t>
      </w:r>
      <w:r w:rsidRPr="006C3C1C">
        <w:rPr>
          <w:rFonts w:ascii="Arial" w:hAnsi="Arial"/>
          <w:szCs w:val="20"/>
        </w:rPr>
        <w:t>development (for the implementation phase but also the operational phase such us mitigation of the noise, vibrations, air pollution through the electrification, etc</w:t>
      </w:r>
      <w:r>
        <w:rPr>
          <w:rFonts w:ascii="Arial" w:hAnsi="Arial"/>
          <w:szCs w:val="20"/>
        </w:rPr>
        <w:t>.</w:t>
      </w:r>
      <w:r w:rsidRPr="006C3C1C">
        <w:rPr>
          <w:rFonts w:ascii="Arial" w:hAnsi="Arial"/>
          <w:szCs w:val="20"/>
        </w:rPr>
        <w:t xml:space="preserve">), and one explaining briefly the environmental procedures applied to the project (EIA Screening, Territorial and Building Permits, Natura 2000 assessment).  </w:t>
      </w:r>
    </w:p>
    <w:p w:rsidR="00D4137B" w:rsidRPr="006C3C1C" w:rsidRDefault="00D4137B" w:rsidP="00D4137B">
      <w:pPr>
        <w:spacing w:before="120" w:after="200"/>
        <w:outlineLvl w:val="0"/>
        <w:rPr>
          <w:rFonts w:ascii="Arial" w:hAnsi="Arial"/>
          <w:b/>
          <w:i/>
          <w:sz w:val="24"/>
          <w:u w:val="single"/>
          <w:lang w:val="en-GB"/>
        </w:rPr>
      </w:pPr>
      <w:bookmarkStart w:id="375" w:name="_Toc327785214"/>
      <w:r w:rsidRPr="006C3C1C">
        <w:rPr>
          <w:rFonts w:ascii="Arial" w:hAnsi="Arial"/>
          <w:b/>
          <w:i/>
          <w:sz w:val="24"/>
          <w:u w:val="single"/>
          <w:lang w:val="en-GB"/>
        </w:rPr>
        <w:t>Conclusions and next steps</w:t>
      </w:r>
      <w:bookmarkEnd w:id="375"/>
    </w:p>
    <w:p w:rsidR="00D4137B" w:rsidRPr="006C3C1C" w:rsidRDefault="00D4137B" w:rsidP="00D4137B">
      <w:pPr>
        <w:spacing w:before="120" w:after="120"/>
        <w:rPr>
          <w:rFonts w:ascii="Arial" w:hAnsi="Arial" w:cs="Arial"/>
          <w:lang w:val="en-GB"/>
        </w:rPr>
      </w:pPr>
      <w:r w:rsidRPr="003E76F6">
        <w:rPr>
          <w:rFonts w:ascii="Arial" w:hAnsi="Arial" w:cs="Arial"/>
          <w:lang w:val="en-GB"/>
        </w:rPr>
        <w:t>Based on the analysis of significant issues and the uncertainty surrounding the demand forecast and options analysis, a significant amount of information is required before full review can be made of the feasibility study. This information should be provided and the review continued after this.</w:t>
      </w:r>
    </w:p>
    <w:p w:rsidR="00D4137B" w:rsidRPr="006C3C1C" w:rsidRDefault="00D4137B" w:rsidP="00D4137B">
      <w:pPr>
        <w:spacing w:before="120" w:after="120"/>
        <w:rPr>
          <w:rFonts w:ascii="Arial" w:hAnsi="Arial" w:cs="Arial"/>
          <w:b/>
          <w:lang w:val="en-GB"/>
        </w:rPr>
      </w:pPr>
      <w:r w:rsidRPr="006C3C1C">
        <w:rPr>
          <w:rFonts w:ascii="Arial" w:hAnsi="Arial" w:cs="Arial"/>
          <w:b/>
          <w:lang w:val="en-GB"/>
        </w:rPr>
        <w:t>JASPERS proposes the following approach and time-line:</w:t>
      </w:r>
    </w:p>
    <w:p w:rsidR="00631EAB" w:rsidRDefault="00D4137B" w:rsidP="00D20948">
      <w:pPr>
        <w:pStyle w:val="Odstavecseseznamem"/>
        <w:numPr>
          <w:ilvl w:val="0"/>
          <w:numId w:val="23"/>
        </w:numPr>
        <w:suppressAutoHyphens w:val="0"/>
        <w:spacing w:before="120" w:after="120" w:line="240" w:lineRule="auto"/>
        <w:rPr>
          <w:rFonts w:ascii="Arial" w:hAnsi="Arial" w:cs="Arial"/>
          <w:szCs w:val="20"/>
        </w:rPr>
      </w:pPr>
      <w:r>
        <w:rPr>
          <w:rFonts w:ascii="Arial" w:hAnsi="Arial" w:cs="Arial"/>
          <w:szCs w:val="20"/>
        </w:rPr>
        <w:t>JASPERS to visit the project location and discuss the issues of the train ordering and regional public transport organisation with OREDO representatives.</w:t>
      </w:r>
    </w:p>
    <w:p w:rsidR="00631EAB" w:rsidRDefault="00D4137B" w:rsidP="00D20948">
      <w:pPr>
        <w:pStyle w:val="Odstavecseseznamem"/>
        <w:numPr>
          <w:ilvl w:val="0"/>
          <w:numId w:val="23"/>
        </w:numPr>
        <w:suppressAutoHyphens w:val="0"/>
        <w:spacing w:before="120" w:after="120" w:line="240" w:lineRule="auto"/>
        <w:rPr>
          <w:rFonts w:ascii="Arial" w:hAnsi="Arial" w:cs="Arial"/>
          <w:szCs w:val="20"/>
        </w:rPr>
      </w:pPr>
      <w:r w:rsidRPr="00496EE6">
        <w:rPr>
          <w:rFonts w:ascii="Arial" w:hAnsi="Arial" w:cs="Arial"/>
          <w:szCs w:val="20"/>
        </w:rPr>
        <w:t>SZDC/the consultant should</w:t>
      </w:r>
      <w:r>
        <w:rPr>
          <w:rFonts w:ascii="Arial" w:hAnsi="Arial" w:cs="Arial"/>
          <w:szCs w:val="20"/>
        </w:rPr>
        <w:t xml:space="preserve"> discuss issues /p</w:t>
      </w:r>
      <w:r w:rsidRPr="00496EE6">
        <w:rPr>
          <w:rFonts w:ascii="Arial" w:hAnsi="Arial" w:cs="Arial"/>
          <w:szCs w:val="20"/>
        </w:rPr>
        <w:t>rovide/ask</w:t>
      </w:r>
      <w:r>
        <w:rPr>
          <w:rFonts w:ascii="Arial" w:hAnsi="Arial" w:cs="Arial"/>
          <w:szCs w:val="20"/>
        </w:rPr>
        <w:t xml:space="preserve"> for </w:t>
      </w:r>
      <w:r w:rsidRPr="00496EE6">
        <w:rPr>
          <w:rFonts w:ascii="Arial" w:hAnsi="Arial" w:cs="Arial"/>
          <w:szCs w:val="20"/>
        </w:rPr>
        <w:t xml:space="preserve">clarifications arising from the </w:t>
      </w:r>
      <w:r>
        <w:rPr>
          <w:rFonts w:ascii="Arial" w:hAnsi="Arial" w:cs="Arial"/>
          <w:szCs w:val="20"/>
        </w:rPr>
        <w:t xml:space="preserve">topics </w:t>
      </w:r>
      <w:r w:rsidRPr="00496EE6">
        <w:rPr>
          <w:rFonts w:ascii="Arial" w:hAnsi="Arial" w:cs="Arial"/>
          <w:szCs w:val="20"/>
        </w:rPr>
        <w:t>raised above</w:t>
      </w:r>
      <w:r>
        <w:rPr>
          <w:rFonts w:ascii="Arial" w:hAnsi="Arial" w:cs="Arial"/>
          <w:szCs w:val="20"/>
        </w:rPr>
        <w:t xml:space="preserve"> in a meeting with JASPERS and submit the requested information / revised inputs/outputs </w:t>
      </w:r>
      <w:r w:rsidRPr="001E7EF1">
        <w:rPr>
          <w:rFonts w:ascii="Arial" w:hAnsi="Arial" w:cs="Arial"/>
          <w:szCs w:val="20"/>
        </w:rPr>
        <w:t>(detailed justification of the approach and assumptions of the demand analysis might be dealt with in the short-term by a separate technical meeting, but will need to be documented later</w:t>
      </w:r>
      <w:r>
        <w:rPr>
          <w:rFonts w:ascii="Arial" w:hAnsi="Arial" w:cs="Arial"/>
          <w:szCs w:val="20"/>
        </w:rPr>
        <w:t xml:space="preserve"> at least as an unpublished annex for review purposes</w:t>
      </w:r>
      <w:r w:rsidRPr="001E7EF1">
        <w:rPr>
          <w:rFonts w:ascii="Arial" w:hAnsi="Arial" w:cs="Arial"/>
          <w:szCs w:val="20"/>
        </w:rPr>
        <w:t>)</w:t>
      </w:r>
      <w:r>
        <w:rPr>
          <w:rFonts w:ascii="Arial" w:hAnsi="Arial" w:cs="Arial"/>
          <w:szCs w:val="20"/>
        </w:rPr>
        <w:t>.</w:t>
      </w:r>
    </w:p>
    <w:p w:rsidR="00631EAB" w:rsidRDefault="00D4137B" w:rsidP="00D20948">
      <w:pPr>
        <w:pStyle w:val="Odstavecseseznamem"/>
        <w:numPr>
          <w:ilvl w:val="0"/>
          <w:numId w:val="23"/>
        </w:numPr>
        <w:suppressAutoHyphens w:val="0"/>
        <w:spacing w:before="120" w:after="120" w:line="240" w:lineRule="auto"/>
        <w:rPr>
          <w:rFonts w:ascii="Arial" w:hAnsi="Arial" w:cs="Arial"/>
          <w:szCs w:val="20"/>
        </w:rPr>
      </w:pPr>
      <w:r w:rsidRPr="00496EE6">
        <w:rPr>
          <w:rFonts w:ascii="Arial" w:hAnsi="Arial" w:cs="Arial"/>
          <w:szCs w:val="20"/>
        </w:rPr>
        <w:t xml:space="preserve">JASPERS to review new information provided and indicate if there are any </w:t>
      </w:r>
      <w:r>
        <w:rPr>
          <w:rFonts w:ascii="Arial" w:hAnsi="Arial" w:cs="Arial"/>
          <w:szCs w:val="20"/>
        </w:rPr>
        <w:t xml:space="preserve">new </w:t>
      </w:r>
      <w:r w:rsidRPr="00496EE6">
        <w:rPr>
          <w:rFonts w:ascii="Arial" w:hAnsi="Arial" w:cs="Arial"/>
          <w:szCs w:val="20"/>
        </w:rPr>
        <w:t>major issues</w:t>
      </w:r>
      <w:r>
        <w:rPr>
          <w:rFonts w:ascii="Arial" w:hAnsi="Arial" w:cs="Arial"/>
          <w:szCs w:val="20"/>
        </w:rPr>
        <w:t xml:space="preserve"> or details to be resolved, meet with SZDC if necessary.</w:t>
      </w:r>
    </w:p>
    <w:p w:rsidR="00631EAB" w:rsidRDefault="00D4137B" w:rsidP="00D20948">
      <w:pPr>
        <w:pStyle w:val="Odstavecseseznamem"/>
        <w:numPr>
          <w:ilvl w:val="0"/>
          <w:numId w:val="23"/>
        </w:numPr>
        <w:suppressAutoHyphens w:val="0"/>
        <w:spacing w:before="120" w:after="120" w:line="240" w:lineRule="auto"/>
        <w:rPr>
          <w:rFonts w:ascii="Arial" w:hAnsi="Arial" w:cs="Arial"/>
          <w:szCs w:val="20"/>
        </w:rPr>
      </w:pPr>
      <w:r w:rsidRPr="006C3C1C">
        <w:rPr>
          <w:rFonts w:ascii="Arial" w:hAnsi="Arial" w:cs="Arial"/>
          <w:szCs w:val="20"/>
        </w:rPr>
        <w:t>Study completion by consultant if no outstanding significant issues.</w:t>
      </w:r>
    </w:p>
    <w:p w:rsidR="00631EAB" w:rsidRDefault="00D4137B" w:rsidP="00D20948">
      <w:pPr>
        <w:pStyle w:val="Odstavecseseznamem"/>
        <w:numPr>
          <w:ilvl w:val="0"/>
          <w:numId w:val="23"/>
        </w:numPr>
        <w:suppressAutoHyphens w:val="0"/>
        <w:spacing w:before="120" w:after="120" w:line="240" w:lineRule="auto"/>
        <w:rPr>
          <w:rFonts w:ascii="Arial" w:hAnsi="Arial" w:cs="Arial"/>
          <w:szCs w:val="20"/>
        </w:rPr>
      </w:pPr>
      <w:r w:rsidRPr="006C3C1C">
        <w:rPr>
          <w:rFonts w:ascii="Arial" w:hAnsi="Arial" w:cs="Arial"/>
          <w:szCs w:val="20"/>
        </w:rPr>
        <w:t>Final review by JASPERS.</w:t>
      </w:r>
    </w:p>
    <w:p w:rsidR="00631EAB" w:rsidRDefault="00D4137B" w:rsidP="00D20948">
      <w:pPr>
        <w:pStyle w:val="Odstavecseseznamem"/>
        <w:numPr>
          <w:ilvl w:val="0"/>
          <w:numId w:val="23"/>
        </w:numPr>
        <w:suppressAutoHyphens w:val="0"/>
        <w:spacing w:before="120" w:after="120" w:line="240" w:lineRule="auto"/>
        <w:rPr>
          <w:rFonts w:ascii="Arial" w:hAnsi="Arial" w:cs="Arial"/>
          <w:szCs w:val="20"/>
        </w:rPr>
      </w:pPr>
      <w:r w:rsidRPr="006C3C1C">
        <w:rPr>
          <w:rFonts w:ascii="Arial" w:hAnsi="Arial" w:cs="Arial"/>
          <w:szCs w:val="20"/>
        </w:rPr>
        <w:t>Further action based on results of review.</w:t>
      </w:r>
    </w:p>
    <w:p w:rsidR="00D4137B" w:rsidRDefault="00D4137B" w:rsidP="00D4137B">
      <w:pPr>
        <w:rPr>
          <w:rFonts w:ascii="Arial" w:hAnsi="Arial"/>
          <w:lang w:val="en-GB"/>
        </w:rPr>
      </w:pPr>
      <w:r w:rsidRPr="006C3C1C">
        <w:rPr>
          <w:rFonts w:ascii="Arial" w:hAnsi="Arial" w:cs="Arial"/>
          <w:lang w:val="en-GB"/>
        </w:rPr>
        <w:t>In order to ensure the compability of the FS and the Project Application+Environmental Summary, it is recommended to have a meeting with the respective consultants before they start drafting the documents.</w:t>
      </w:r>
      <w:r>
        <w:rPr>
          <w:rFonts w:ascii="Arial" w:hAnsi="Arial" w:cs="Arial"/>
          <w:lang w:val="en-GB"/>
        </w:rPr>
        <w:t xml:space="preserve"> </w:t>
      </w:r>
      <w:r w:rsidRPr="006C3C1C">
        <w:rPr>
          <w:rFonts w:ascii="Arial" w:hAnsi="Arial" w:cs="Arial"/>
          <w:lang w:val="en-GB"/>
        </w:rPr>
        <w:t xml:space="preserve">The timing of these steps will be agreed between JASPERS and SZDC. In parallel, environmental documents should be provided for JASPERS review. </w:t>
      </w:r>
    </w:p>
    <w:p w:rsidR="00D4137B" w:rsidRPr="00D4137B" w:rsidRDefault="00D4137B" w:rsidP="00147AB7">
      <w:pPr>
        <w:rPr>
          <w:lang w:val="en-GB"/>
        </w:rPr>
      </w:pPr>
      <w:r>
        <w:rPr>
          <w:lang w:val="en-GB"/>
        </w:rPr>
        <w:br w:type="page"/>
      </w:r>
    </w:p>
    <w:tbl>
      <w:tblPr>
        <w:tblW w:w="9782" w:type="dxa"/>
        <w:tblInd w:w="-228" w:type="dxa"/>
        <w:tblLayout w:type="fixed"/>
        <w:tblCellMar>
          <w:left w:w="56" w:type="dxa"/>
          <w:right w:w="56" w:type="dxa"/>
        </w:tblCellMar>
        <w:tblLook w:val="0000" w:firstRow="0" w:lastRow="0" w:firstColumn="0" w:lastColumn="0" w:noHBand="0" w:noVBand="0"/>
      </w:tblPr>
      <w:tblGrid>
        <w:gridCol w:w="5671"/>
        <w:gridCol w:w="4111"/>
      </w:tblGrid>
      <w:tr w:rsidR="00D4137B" w:rsidRPr="00F965BA" w:rsidTr="00867E54">
        <w:trPr>
          <w:cantSplit/>
        </w:trPr>
        <w:tc>
          <w:tcPr>
            <w:tcW w:w="5671" w:type="dxa"/>
          </w:tcPr>
          <w:p w:rsidR="00D4137B" w:rsidRPr="00F965BA" w:rsidRDefault="004E4D1F" w:rsidP="00867E54">
            <w:pPr>
              <w:pStyle w:val="Zpat"/>
              <w:spacing w:line="240" w:lineRule="atLeast"/>
            </w:pPr>
            <w:r>
              <w:rPr>
                <w:noProof/>
                <w:lang w:eastAsia="cs-CZ"/>
              </w:rPr>
              <w:drawing>
                <wp:inline distT="0" distB="0" distL="0" distR="0" wp14:anchorId="24D6BBEA" wp14:editId="5CF3CEFB">
                  <wp:extent cx="2061845" cy="1043940"/>
                  <wp:effectExtent l="0" t="0" r="0" b="0"/>
                  <wp:docPr id="99" name="Picture 1" descr="Jaspers_Log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aspers_Logo 2"/>
                          <pic:cNvPicPr>
                            <a:picLocks noChangeAspect="1" noChangeArrowheads="1"/>
                          </pic:cNvPicPr>
                        </pic:nvPicPr>
                        <pic:blipFill>
                          <a:blip r:embed="rId135" cstate="print">
                            <a:lum contrast="30000"/>
                            <a:extLst>
                              <a:ext uri="{28A0092B-C50C-407E-A947-70E740481C1C}">
                                <a14:useLocalDpi xmlns:a14="http://schemas.microsoft.com/office/drawing/2010/main" val="0"/>
                              </a:ext>
                            </a:extLst>
                          </a:blip>
                          <a:srcRect/>
                          <a:stretch>
                            <a:fillRect/>
                          </a:stretch>
                        </pic:blipFill>
                        <pic:spPr bwMode="auto">
                          <a:xfrm>
                            <a:off x="0" y="0"/>
                            <a:ext cx="2061845" cy="1043940"/>
                          </a:xfrm>
                          <a:prstGeom prst="rect">
                            <a:avLst/>
                          </a:prstGeom>
                          <a:noFill/>
                          <a:ln>
                            <a:noFill/>
                          </a:ln>
                        </pic:spPr>
                      </pic:pic>
                    </a:graphicData>
                  </a:graphic>
                </wp:inline>
              </w:drawing>
            </w:r>
          </w:p>
        </w:tc>
        <w:tc>
          <w:tcPr>
            <w:tcW w:w="4111" w:type="dxa"/>
          </w:tcPr>
          <w:p w:rsidR="00D4137B" w:rsidRPr="00660393" w:rsidRDefault="00D4137B" w:rsidP="00867E54">
            <w:pPr>
              <w:pStyle w:val="Para1"/>
              <w:tabs>
                <w:tab w:val="left" w:pos="5104"/>
              </w:tabs>
              <w:spacing w:before="0"/>
              <w:ind w:left="0" w:firstLine="0"/>
              <w:jc w:val="right"/>
              <w:rPr>
                <w:position w:val="-34"/>
                <w:lang w:val="cs-CZ"/>
              </w:rPr>
            </w:pPr>
            <w:r w:rsidRPr="00660393">
              <w:rPr>
                <w:position w:val="-34"/>
                <w:lang w:val="cs-CZ"/>
              </w:rPr>
              <w:t>Vídeň, 28. června 2012</w:t>
            </w:r>
          </w:p>
          <w:p w:rsidR="00D4137B" w:rsidRPr="00660393" w:rsidRDefault="00D4137B" w:rsidP="00867E54">
            <w:pPr>
              <w:pStyle w:val="Para1"/>
              <w:tabs>
                <w:tab w:val="left" w:pos="5104"/>
              </w:tabs>
              <w:spacing w:before="0"/>
              <w:ind w:left="0" w:firstLine="0"/>
              <w:jc w:val="right"/>
              <w:rPr>
                <w:position w:val="-34"/>
                <w:highlight w:val="yellow"/>
                <w:lang w:val="cs-CZ"/>
              </w:rPr>
            </w:pPr>
            <w:r w:rsidRPr="00660393">
              <w:rPr>
                <w:position w:val="-34"/>
                <w:lang w:val="cs-CZ"/>
              </w:rPr>
              <w:t>JASPERS/xxxx/xxx/so</w:t>
            </w:r>
          </w:p>
        </w:tc>
      </w:tr>
    </w:tbl>
    <w:p w:rsidR="00D4137B" w:rsidRPr="00F965BA" w:rsidRDefault="00D4137B" w:rsidP="00D4137B">
      <w:pPr>
        <w:tabs>
          <w:tab w:val="left" w:pos="567"/>
          <w:tab w:val="left" w:pos="1134"/>
          <w:tab w:val="left" w:pos="1701"/>
          <w:tab w:val="left" w:pos="2268"/>
          <w:tab w:val="left" w:pos="5670"/>
          <w:tab w:val="left" w:pos="6237"/>
        </w:tabs>
        <w:rPr>
          <w:rFonts w:ascii="Arial" w:hAnsi="Arial"/>
        </w:rPr>
      </w:pPr>
    </w:p>
    <w:p w:rsidR="00D4137B" w:rsidRPr="00660393" w:rsidRDefault="00D4137B" w:rsidP="00D4137B">
      <w:pPr>
        <w:pStyle w:val="Para1"/>
        <w:spacing w:before="0"/>
        <w:jc w:val="both"/>
        <w:rPr>
          <w:b/>
          <w:sz w:val="22"/>
          <w:szCs w:val="22"/>
          <w:lang w:val="cs-CZ"/>
        </w:rPr>
      </w:pPr>
    </w:p>
    <w:tbl>
      <w:tblPr>
        <w:tblW w:w="0" w:type="auto"/>
        <w:tblBorders>
          <w:bottom w:val="single" w:sz="4" w:space="0" w:color="auto"/>
          <w:insideH w:val="single" w:sz="4" w:space="0" w:color="auto"/>
        </w:tblBorders>
        <w:tblLook w:val="01E0" w:firstRow="1" w:lastRow="1" w:firstColumn="1" w:lastColumn="1" w:noHBand="0" w:noVBand="0"/>
      </w:tblPr>
      <w:tblGrid>
        <w:gridCol w:w="3888"/>
        <w:gridCol w:w="5576"/>
      </w:tblGrid>
      <w:tr w:rsidR="00D4137B" w:rsidRPr="00F965BA" w:rsidTr="00867E54">
        <w:tc>
          <w:tcPr>
            <w:tcW w:w="3888" w:type="dxa"/>
          </w:tcPr>
          <w:p w:rsidR="00D4137B" w:rsidRPr="00F965BA" w:rsidRDefault="00D4137B" w:rsidP="00867E54">
            <w:pPr>
              <w:pStyle w:val="Para1"/>
              <w:spacing w:before="0"/>
              <w:ind w:left="0" w:firstLine="0"/>
              <w:jc w:val="both"/>
              <w:rPr>
                <w:b/>
                <w:sz w:val="28"/>
                <w:szCs w:val="28"/>
              </w:rPr>
            </w:pPr>
            <w:r w:rsidRPr="00F965BA">
              <w:rPr>
                <w:b/>
                <w:sz w:val="28"/>
                <w:szCs w:val="28"/>
              </w:rPr>
              <w:t>Připomínky</w:t>
            </w:r>
          </w:p>
          <w:p w:rsidR="00D4137B" w:rsidRPr="00F965BA" w:rsidRDefault="00D4137B" w:rsidP="00867E54">
            <w:pPr>
              <w:pStyle w:val="Para1"/>
              <w:spacing w:before="0"/>
              <w:ind w:left="0" w:firstLine="0"/>
              <w:jc w:val="both"/>
              <w:rPr>
                <w:b/>
                <w:sz w:val="28"/>
                <w:szCs w:val="28"/>
              </w:rPr>
            </w:pPr>
          </w:p>
        </w:tc>
        <w:tc>
          <w:tcPr>
            <w:tcW w:w="5576" w:type="dxa"/>
          </w:tcPr>
          <w:p w:rsidR="00D4137B" w:rsidRPr="00F965BA" w:rsidRDefault="00D4137B" w:rsidP="00867E54">
            <w:pPr>
              <w:pStyle w:val="Para1"/>
              <w:spacing w:before="0"/>
              <w:jc w:val="right"/>
            </w:pPr>
            <w:r w:rsidRPr="00F965BA">
              <w:t>Autoři: Katarína Vrábelová, Paul Riley, Rafael Alcayde Ferrús</w:t>
            </w:r>
          </w:p>
          <w:p w:rsidR="00D4137B" w:rsidRPr="00F965BA" w:rsidRDefault="00D4137B" w:rsidP="00867E54">
            <w:pPr>
              <w:pStyle w:val="Para1"/>
              <w:spacing w:before="0"/>
              <w:jc w:val="right"/>
            </w:pPr>
          </w:p>
        </w:tc>
      </w:tr>
    </w:tbl>
    <w:p w:rsidR="00D4137B" w:rsidRPr="00F965BA" w:rsidRDefault="00D4137B" w:rsidP="00D4137B">
      <w:pPr>
        <w:pStyle w:val="Para1"/>
        <w:spacing w:before="0"/>
        <w:ind w:left="0" w:firstLine="0"/>
        <w:jc w:val="both"/>
      </w:pPr>
    </w:p>
    <w:p w:rsidR="00D4137B" w:rsidRPr="00F965BA" w:rsidRDefault="00D4137B" w:rsidP="00D4137B">
      <w:pPr>
        <w:pStyle w:val="Textkomente"/>
        <w:tabs>
          <w:tab w:val="right" w:pos="0"/>
          <w:tab w:val="left" w:pos="5670"/>
          <w:tab w:val="left" w:pos="6237"/>
        </w:tabs>
        <w:spacing w:before="60"/>
        <w:ind w:left="1800" w:hanging="1800"/>
        <w:rPr>
          <w:b/>
          <w:bCs/>
          <w:sz w:val="22"/>
          <w:szCs w:val="22"/>
        </w:rPr>
      </w:pPr>
      <w:r w:rsidRPr="00F965BA">
        <w:rPr>
          <w:b/>
          <w:bCs/>
          <w:sz w:val="22"/>
          <w:szCs w:val="22"/>
        </w:rPr>
        <w:t>Předmět:</w:t>
      </w:r>
      <w:r w:rsidRPr="00F965BA">
        <w:tab/>
      </w:r>
      <w:r w:rsidRPr="00F965BA">
        <w:rPr>
          <w:b/>
          <w:bCs/>
          <w:sz w:val="22"/>
          <w:szCs w:val="22"/>
        </w:rPr>
        <w:t xml:space="preserve">Zahajovací připomínky k prvotnímu návrhu Studie proveditelnosti u projektu Hradec Králové – Pardubice </w:t>
      </w:r>
    </w:p>
    <w:p w:rsidR="00D4137B" w:rsidRPr="00F965BA" w:rsidRDefault="00D4137B" w:rsidP="00D4137B">
      <w:pPr>
        <w:pStyle w:val="Textkomente"/>
        <w:tabs>
          <w:tab w:val="right" w:pos="0"/>
          <w:tab w:val="left" w:pos="5670"/>
          <w:tab w:val="left" w:pos="6237"/>
        </w:tabs>
        <w:spacing w:before="60"/>
        <w:ind w:left="1800" w:hanging="1800"/>
        <w:rPr>
          <w:bCs/>
          <w:sz w:val="22"/>
          <w:szCs w:val="22"/>
        </w:rPr>
      </w:pPr>
      <w:r w:rsidRPr="00F965BA">
        <w:rPr>
          <w:b/>
          <w:bCs/>
          <w:sz w:val="22"/>
          <w:szCs w:val="22"/>
        </w:rPr>
        <w:t>Ref:</w:t>
      </w:r>
      <w:r w:rsidRPr="00F965BA">
        <w:tab/>
      </w:r>
      <w:r w:rsidRPr="00F965BA">
        <w:rPr>
          <w:b/>
          <w:bCs/>
          <w:sz w:val="22"/>
          <w:szCs w:val="22"/>
        </w:rPr>
        <w:t>2012117 CZ RAL RAL</w:t>
      </w:r>
      <w:r w:rsidRPr="00F965BA">
        <w:tab/>
      </w:r>
    </w:p>
    <w:p w:rsidR="00D4137B" w:rsidRPr="00F965BA" w:rsidRDefault="00D4137B" w:rsidP="00D4137B">
      <w:pPr>
        <w:tabs>
          <w:tab w:val="left" w:pos="284"/>
        </w:tabs>
        <w:spacing w:before="240"/>
        <w:ind w:left="1800" w:hanging="1800"/>
        <w:outlineLvl w:val="0"/>
        <w:rPr>
          <w:rFonts w:ascii="Arial" w:hAnsi="Arial" w:cs="Microsoft Sans Serif"/>
          <w:bCs/>
          <w:i/>
          <w:u w:val="single"/>
        </w:rPr>
      </w:pPr>
      <w:r w:rsidRPr="00F965BA">
        <w:rPr>
          <w:rFonts w:ascii="Arial" w:hAnsi="Arial"/>
          <w:bCs/>
          <w:i/>
          <w:u w:val="single"/>
        </w:rPr>
        <w:t>Přijaté dokumenty</w:t>
      </w:r>
    </w:p>
    <w:p w:rsidR="00D4137B" w:rsidRPr="00F965BA" w:rsidRDefault="00D4137B" w:rsidP="00D4137B">
      <w:pPr>
        <w:spacing w:before="120"/>
        <w:ind w:left="1800" w:hanging="1800"/>
        <w:outlineLvl w:val="0"/>
        <w:rPr>
          <w:rFonts w:ascii="Arial" w:hAnsi="Arial" w:cs="Arial"/>
          <w:bCs/>
        </w:rPr>
      </w:pPr>
      <w:r w:rsidRPr="00F965BA">
        <w:rPr>
          <w:rFonts w:ascii="Arial" w:hAnsi="Arial"/>
          <w:bCs/>
        </w:rPr>
        <w:t>květen 2012</w:t>
      </w:r>
      <w:r w:rsidRPr="00F965BA">
        <w:tab/>
      </w:r>
      <w:r w:rsidRPr="00F965BA">
        <w:rPr>
          <w:rFonts w:ascii="Arial" w:hAnsi="Arial"/>
          <w:bCs/>
        </w:rPr>
        <w:t>Studie proveditelnosti “Hradec Králové – Pardubice”</w:t>
      </w:r>
    </w:p>
    <w:p w:rsidR="00D4137B" w:rsidRPr="00F965BA" w:rsidRDefault="00D4137B" w:rsidP="00D4137B">
      <w:pPr>
        <w:spacing w:before="120"/>
        <w:ind w:left="1800" w:hanging="1800"/>
        <w:outlineLvl w:val="0"/>
        <w:rPr>
          <w:rFonts w:ascii="Arial" w:hAnsi="Arial" w:cs="Arial"/>
          <w:bCs/>
        </w:rPr>
      </w:pPr>
      <w:r w:rsidRPr="00F965BA">
        <w:tab/>
      </w:r>
    </w:p>
    <w:p w:rsidR="00D4137B" w:rsidRPr="00F965BA" w:rsidRDefault="00D4137B" w:rsidP="00D4137B">
      <w:pPr>
        <w:spacing w:before="120" w:after="200"/>
        <w:outlineLvl w:val="0"/>
        <w:rPr>
          <w:rFonts w:ascii="Arial" w:hAnsi="Arial"/>
        </w:rPr>
      </w:pPr>
      <w:r w:rsidRPr="00F965BA">
        <w:rPr>
          <w:rFonts w:ascii="Arial" w:hAnsi="Arial"/>
          <w:b/>
          <w:i/>
          <w:sz w:val="24"/>
          <w:u w:val="single"/>
        </w:rPr>
        <w:t>Obsah současné Návodné poznámky</w:t>
      </w:r>
    </w:p>
    <w:p w:rsidR="00D4137B" w:rsidRPr="00F965BA" w:rsidRDefault="00D4137B" w:rsidP="00D4137B">
      <w:pPr>
        <w:spacing w:before="120"/>
        <w:outlineLvl w:val="0"/>
        <w:rPr>
          <w:rFonts w:ascii="Arial" w:hAnsi="Arial"/>
        </w:rPr>
      </w:pPr>
      <w:r w:rsidRPr="00F965BA">
        <w:rPr>
          <w:rFonts w:ascii="Arial" w:hAnsi="Arial"/>
        </w:rPr>
        <w:t xml:space="preserve">Projekt byl stručně prezentován na setkání dne 22. března 2012 v Praze, načež JASPERS sdělil své prvotní dojmy ze stručné prezentace. Tato návodná poznámka se týká Studie proveditelnosti podané v květnu roku 2012. </w:t>
      </w:r>
      <w:r w:rsidRPr="00F965BA">
        <w:rPr>
          <w:rFonts w:ascii="Arial" w:hAnsi="Arial"/>
          <w:u w:val="single"/>
        </w:rPr>
        <w:t>Není</w:t>
      </w:r>
      <w:r w:rsidRPr="00F965BA">
        <w:rPr>
          <w:rFonts w:ascii="Arial" w:hAnsi="Arial"/>
        </w:rPr>
        <w:t xml:space="preserve"> zaměřena na podrobné připomínky, ale jsou zvýrazněny pouze na významnou problematiku a hlavní body, které je třeba si ujasnit, a které byly zjištěny při prvotní revizi návrhu Studie proveditelnosti. To lze prodiskutovat na setkání uskutečněném poté, co JASPERS absolvuje návštěvu lokality za účelem lepšího obeznámení s projektem.</w:t>
      </w:r>
    </w:p>
    <w:p w:rsidR="00D4137B" w:rsidRPr="00F965BA" w:rsidRDefault="00D4137B" w:rsidP="00D4137B">
      <w:pPr>
        <w:spacing w:before="120"/>
        <w:outlineLvl w:val="0"/>
        <w:rPr>
          <w:rFonts w:ascii="Arial" w:hAnsi="Arial"/>
        </w:rPr>
      </w:pPr>
      <w:r w:rsidRPr="00F965BA">
        <w:rPr>
          <w:rFonts w:ascii="Arial" w:hAnsi="Arial"/>
        </w:rPr>
        <w:t>Zjištěné problémy jsou předloženy v uspořádání dle hlavních kapitol.</w:t>
      </w:r>
    </w:p>
    <w:p w:rsidR="00D4137B" w:rsidRPr="00F965BA" w:rsidRDefault="00D4137B" w:rsidP="00D4137B">
      <w:pPr>
        <w:spacing w:before="120"/>
        <w:outlineLvl w:val="0"/>
        <w:rPr>
          <w:rFonts w:ascii="Arial" w:hAnsi="Arial"/>
        </w:rPr>
      </w:pPr>
    </w:p>
    <w:p w:rsidR="00D4137B" w:rsidRPr="00F965BA" w:rsidRDefault="00D4137B" w:rsidP="00D4137B">
      <w:pPr>
        <w:spacing w:before="120" w:after="200"/>
        <w:outlineLvl w:val="0"/>
        <w:rPr>
          <w:rFonts w:ascii="Arial" w:hAnsi="Arial"/>
        </w:rPr>
      </w:pPr>
      <w:r w:rsidRPr="00F965BA">
        <w:rPr>
          <w:rFonts w:ascii="Arial" w:hAnsi="Arial"/>
          <w:b/>
          <w:i/>
          <w:sz w:val="24"/>
          <w:u w:val="single"/>
        </w:rPr>
        <w:t>Významné problémy</w:t>
      </w:r>
    </w:p>
    <w:p w:rsidR="00631EAB" w:rsidRDefault="00D4137B" w:rsidP="00D20948">
      <w:pPr>
        <w:pStyle w:val="Odstavecseseznamem"/>
        <w:numPr>
          <w:ilvl w:val="0"/>
          <w:numId w:val="20"/>
        </w:numPr>
        <w:suppressAutoHyphens w:val="0"/>
        <w:spacing w:before="120" w:after="200" w:line="276" w:lineRule="auto"/>
        <w:contextualSpacing/>
        <w:outlineLvl w:val="0"/>
        <w:rPr>
          <w:rFonts w:ascii="Arial" w:hAnsi="Arial"/>
          <w:b/>
        </w:rPr>
      </w:pPr>
      <w:r w:rsidRPr="00F965BA">
        <w:rPr>
          <w:rFonts w:ascii="Arial" w:hAnsi="Arial"/>
          <w:b/>
        </w:rPr>
        <w:t>Pozadí zásad, cíle a přínosy projektu</w:t>
      </w:r>
    </w:p>
    <w:p w:rsidR="00D4137B" w:rsidRPr="00F965BA" w:rsidRDefault="00D4137B" w:rsidP="00D4137B">
      <w:pPr>
        <w:spacing w:before="120"/>
        <w:outlineLvl w:val="0"/>
        <w:rPr>
          <w:rFonts w:ascii="Arial" w:hAnsi="Arial"/>
        </w:rPr>
      </w:pPr>
      <w:r w:rsidRPr="00F965BA">
        <w:rPr>
          <w:rFonts w:ascii="Arial" w:hAnsi="Arial"/>
        </w:rPr>
        <w:t>Je třeba lépe demonstrovat potřebu projektu – proč je tato trať důležitá, kdo ji využívá, kam cestují, jak budou noví uživatelé (v současnosti využívající automobilů a autobusů) motivováni používat vlak na modernizované trati – jaké pro ně budou přínosy a jak bude reorganizována veřejná doprava pro cestu z jejich domovů na nádraží. To je důležité, protože současně dochází také k silným investicím do rozvoje silniční infrastruktury, takže by mělo být rovněž popsáno jak tento projekt zapadá do dopravních plánů a zásad Královéhradeckého a Pardubického kraje a příslušných městských aglomerací na udržování a zvyšování počtu uživatelů veřejné/železniční dopravy.</w:t>
      </w:r>
    </w:p>
    <w:p w:rsidR="00D4137B" w:rsidRPr="00F965BA" w:rsidRDefault="00D4137B" w:rsidP="00D4137B">
      <w:pPr>
        <w:spacing w:before="120"/>
        <w:outlineLvl w:val="0"/>
        <w:rPr>
          <w:rFonts w:ascii="Arial" w:hAnsi="Arial"/>
        </w:rPr>
      </w:pPr>
    </w:p>
    <w:p w:rsidR="00631EAB" w:rsidRDefault="00D4137B" w:rsidP="00D20948">
      <w:pPr>
        <w:pStyle w:val="Odstavecseseznamem"/>
        <w:numPr>
          <w:ilvl w:val="0"/>
          <w:numId w:val="20"/>
        </w:numPr>
        <w:suppressAutoHyphens w:val="0"/>
        <w:spacing w:before="120" w:after="200" w:line="276" w:lineRule="auto"/>
        <w:contextualSpacing/>
        <w:outlineLvl w:val="0"/>
        <w:rPr>
          <w:rFonts w:ascii="Arial" w:hAnsi="Arial"/>
          <w:b/>
        </w:rPr>
      </w:pPr>
      <w:r w:rsidRPr="00F965BA">
        <w:rPr>
          <w:rFonts w:ascii="Arial" w:hAnsi="Arial"/>
          <w:b/>
        </w:rPr>
        <w:t>Hodnocení a volba variant, filtrace</w:t>
      </w:r>
    </w:p>
    <w:p w:rsidR="00D4137B" w:rsidRPr="00F965BA" w:rsidRDefault="00D4137B" w:rsidP="00D4137B">
      <w:pPr>
        <w:spacing w:before="120"/>
        <w:outlineLvl w:val="0"/>
        <w:rPr>
          <w:rFonts w:ascii="Arial" w:hAnsi="Arial"/>
        </w:rPr>
      </w:pPr>
      <w:r w:rsidRPr="00F965BA">
        <w:rPr>
          <w:rFonts w:ascii="Arial" w:hAnsi="Arial"/>
        </w:rPr>
        <w:t xml:space="preserve">Varianty analyzované ve studii jsou považovány za fáze vylepšení vedoucích v první řadě ke zvýšení kapacity, tj. za různé fáze unikátní varianty. Tyto varianty jsou následně hodnoceny v rámci CBA, kde nejlepší výsledky poskytuje varianta Střed 1. Tato varianta se skládá ze zdvoukolejnění trati Stéblová-Opatovice n. Labem za účelem odstranění hlavního úzkého místa a splňuje požadavky na takt/kapacitu. </w:t>
      </w:r>
    </w:p>
    <w:p w:rsidR="00D4137B" w:rsidRPr="00F965BA" w:rsidRDefault="00D4137B" w:rsidP="00D4137B">
      <w:pPr>
        <w:spacing w:before="120"/>
        <w:outlineLvl w:val="0"/>
        <w:rPr>
          <w:rFonts w:ascii="Arial" w:hAnsi="Arial"/>
        </w:rPr>
      </w:pPr>
      <w:r w:rsidRPr="00F965BA">
        <w:rPr>
          <w:rFonts w:ascii="Arial" w:hAnsi="Arial"/>
        </w:rPr>
        <w:t xml:space="preserve">Měla by být dodána logika ospravedlnění krátkého seznamu variant pro ekonomickou analýzu. Například není jasné proč byla pro pokračování v ekonomické analýze zvolena varianta s limitovanými investicemi Střed </w:t>
      </w:r>
      <w:smartTag w:uri="urn:schemas-microsoft-com:office:smarttags" w:element="metricconverter">
        <w:smartTagPr>
          <w:attr w:name="ProductID" w:val="1 a"/>
        </w:smartTagPr>
        <w:r w:rsidRPr="00F965BA">
          <w:rPr>
            <w:rFonts w:ascii="Arial" w:hAnsi="Arial"/>
          </w:rPr>
          <w:t>1 a</w:t>
        </w:r>
      </w:smartTag>
      <w:r w:rsidRPr="00F965BA">
        <w:rPr>
          <w:rFonts w:ascii="Arial" w:hAnsi="Arial"/>
        </w:rPr>
        <w:t xml:space="preserve"> varianta s kompletními investicemi Střed 2, zatímco ostatní varianty byly zamítnuty.</w:t>
      </w:r>
    </w:p>
    <w:p w:rsidR="00D4137B" w:rsidRPr="00F965BA" w:rsidRDefault="00D4137B" w:rsidP="00D4137B">
      <w:pPr>
        <w:spacing w:before="120"/>
        <w:outlineLvl w:val="0"/>
        <w:rPr>
          <w:rFonts w:ascii="Arial" w:hAnsi="Arial"/>
        </w:rPr>
      </w:pPr>
      <w:r w:rsidRPr="00F965BA">
        <w:rPr>
          <w:rFonts w:ascii="Arial" w:hAnsi="Arial"/>
        </w:rPr>
        <w:t xml:space="preserve">Samotné hodnocení CBA variant pro danou situaci se nezdá být vhodným pro konečné srovnání/doporučení variant. CBA by v tomto případě měla být uvažována společně v kombinaci se sadou ostatních kritérií jako je například spolehlivost služeb, bezpečí a komfort (např. multikriteriální analýza nebo alespoň strukturované multikriteriální srovnání). </w:t>
      </w:r>
    </w:p>
    <w:p w:rsidR="00D4137B" w:rsidRPr="00F965BA" w:rsidRDefault="00D4137B" w:rsidP="00D4137B">
      <w:pPr>
        <w:spacing w:before="120"/>
        <w:outlineLvl w:val="0"/>
        <w:rPr>
          <w:rFonts w:ascii="Arial" w:hAnsi="Arial"/>
        </w:rPr>
      </w:pPr>
      <w:r w:rsidRPr="00F965BA">
        <w:rPr>
          <w:rFonts w:ascii="Arial" w:hAnsi="Arial"/>
          <w:shd w:val="clear" w:color="auto" w:fill="FFFFFF"/>
        </w:rPr>
        <w:t xml:space="preserve">Jak již bylo zdůrazněno v prvních dojmech firmy JASPERS, není jasné, zda byly prošetřeny ostatní dílčí varianty zahrnující různé možnosti stanic/zastávek, což bychom důrazně doporučovali.  Povšimli jsme si, že tato problematika (nevhodnost polohy stanice Stéblová) byla zdůrazňována také představiteli OREDO. </w:t>
      </w:r>
    </w:p>
    <w:p w:rsidR="00D4137B" w:rsidRPr="00F965BA" w:rsidRDefault="00D4137B" w:rsidP="00D4137B">
      <w:pPr>
        <w:spacing w:before="120"/>
        <w:outlineLvl w:val="0"/>
        <w:rPr>
          <w:rFonts w:ascii="Arial" w:hAnsi="Arial"/>
        </w:rPr>
      </w:pPr>
      <w:r w:rsidRPr="00F965BA">
        <w:rPr>
          <w:rFonts w:ascii="Arial" w:hAnsi="Arial"/>
        </w:rPr>
        <w:t>Navíc by mělo být jasně odůvodněno, proč byly v jednotlivých variantách vybrány pro zdvoukolejnění dané traťové úseky namísto jiných, tedy např. proč projektová varianta Střed 1 počítá se zdvoukolejněním v rozsahu Stéblová-Opatovice nad Labem namísto jiných úseků trati.</w:t>
      </w:r>
    </w:p>
    <w:p w:rsidR="00D4137B" w:rsidRPr="00F965BA" w:rsidRDefault="00D4137B" w:rsidP="00D4137B">
      <w:pPr>
        <w:spacing w:before="120"/>
        <w:outlineLvl w:val="0"/>
        <w:rPr>
          <w:rFonts w:ascii="Arial" w:hAnsi="Arial"/>
        </w:rPr>
      </w:pPr>
      <w:r w:rsidRPr="00F965BA">
        <w:rPr>
          <w:rFonts w:ascii="Arial" w:hAnsi="Arial"/>
        </w:rPr>
        <w:t xml:space="preserve">Rovněž doporučujeme uskutečnit na setkání podrobnější diskuzi variant a problematiky související s odhadováním kapacity. </w:t>
      </w:r>
    </w:p>
    <w:p w:rsidR="00D4137B" w:rsidRPr="00F965BA" w:rsidRDefault="00D4137B" w:rsidP="00D4137B">
      <w:pPr>
        <w:spacing w:before="120"/>
        <w:outlineLvl w:val="0"/>
        <w:rPr>
          <w:rFonts w:ascii="Arial" w:hAnsi="Arial"/>
        </w:rPr>
      </w:pPr>
    </w:p>
    <w:p w:rsidR="00631EAB" w:rsidRDefault="00D4137B" w:rsidP="00D20948">
      <w:pPr>
        <w:pStyle w:val="Odstavecseseznamem"/>
        <w:numPr>
          <w:ilvl w:val="0"/>
          <w:numId w:val="20"/>
        </w:numPr>
        <w:suppressAutoHyphens w:val="0"/>
        <w:spacing w:before="120" w:after="200" w:line="276" w:lineRule="auto"/>
        <w:contextualSpacing/>
        <w:outlineLvl w:val="0"/>
        <w:rPr>
          <w:rFonts w:ascii="Arial" w:hAnsi="Arial"/>
          <w:b/>
        </w:rPr>
      </w:pPr>
      <w:r w:rsidRPr="00F965BA">
        <w:rPr>
          <w:rFonts w:ascii="Arial" w:hAnsi="Arial"/>
          <w:b/>
        </w:rPr>
        <w:t>Dopravní předpověď a počet vlaků</w:t>
      </w:r>
    </w:p>
    <w:p w:rsidR="00D4137B" w:rsidRPr="00F965BA" w:rsidRDefault="00D4137B" w:rsidP="00D4137B">
      <w:pPr>
        <w:spacing w:before="120"/>
        <w:outlineLvl w:val="0"/>
        <w:rPr>
          <w:rFonts w:ascii="Arial" w:hAnsi="Arial"/>
        </w:rPr>
      </w:pPr>
      <w:r w:rsidRPr="00F965BA">
        <w:rPr>
          <w:rFonts w:ascii="Arial" w:hAnsi="Arial"/>
        </w:rPr>
        <w:t xml:space="preserve">Množství služeb na trati se téměř zdvojnásobí – očekává se zvýšení počtu vlaků ze 79 na 136 (hlavně regionální vlaky). Je důležité vysvětlit budoucí vlakový plán – jak a s užitím jakých cílů a kritérií dopravního plánování a ekonomického hodnocení dospělo OREDO k těmto číslům. Jaká další opatření k přilákání cestujících, vyjímaje zvýšenou frekvenci spojů, jsou plánována? Toto je třeba nahlížet v kontextu strategie vozového parku - jak si již povšiml konzultant při studii, využitost plánovaných jednotek Regio Partner o kapacitě téměř 240 míst je sporná. </w:t>
      </w:r>
    </w:p>
    <w:p w:rsidR="00D4137B" w:rsidRPr="00F965BA" w:rsidRDefault="00D4137B" w:rsidP="00D4137B">
      <w:pPr>
        <w:spacing w:before="120"/>
        <w:outlineLvl w:val="0"/>
        <w:rPr>
          <w:rFonts w:ascii="Arial" w:hAnsi="Arial"/>
        </w:rPr>
      </w:pPr>
      <w:r w:rsidRPr="00F965BA">
        <w:rPr>
          <w:rFonts w:ascii="Arial" w:hAnsi="Arial"/>
        </w:rPr>
        <w:t xml:space="preserve">Dodané výstupy dopravní předpovědi zobrazují pouze několik výsledků, diagram dopravní vytíženosti za 24-hodinové období pro jednu variantu projektu, a pasažér-kilometry za rok pro všechny varianty projektu.  Pro správné pochopení potřeb systému a pro řádné zhodnocení by výsledky měly obsahovat podrobnější a úplnější popis výstupů poptávky za 24-hodinové období, a také poptávku ve špičce. </w:t>
      </w:r>
    </w:p>
    <w:p w:rsidR="00D4137B" w:rsidRPr="00F965BA" w:rsidRDefault="00D4137B" w:rsidP="00D4137B">
      <w:pPr>
        <w:spacing w:before="120"/>
        <w:outlineLvl w:val="0"/>
        <w:rPr>
          <w:rFonts w:ascii="Arial" w:hAnsi="Arial"/>
        </w:rPr>
      </w:pPr>
      <w:r w:rsidRPr="00F965BA">
        <w:rPr>
          <w:rFonts w:ascii="Arial" w:hAnsi="Arial"/>
        </w:rPr>
        <w:t>Měly by být dodány informace a odůvodnění o modelování a o poptávce, která by měla obsahovat následující</w:t>
      </w:r>
    </w:p>
    <w:p w:rsidR="00D4137B" w:rsidRPr="00F965BA" w:rsidRDefault="00D4137B" w:rsidP="00D4137B">
      <w:pPr>
        <w:spacing w:before="120"/>
        <w:outlineLvl w:val="0"/>
        <w:rPr>
          <w:rFonts w:cs="Arial"/>
          <w:b/>
          <w:bCs/>
        </w:rPr>
      </w:pPr>
    </w:p>
    <w:p w:rsidR="00D4137B" w:rsidRPr="00F965BA" w:rsidRDefault="00D4137B" w:rsidP="00D4137B">
      <w:pPr>
        <w:rPr>
          <w:rFonts w:ascii="Arial" w:hAnsi="Arial"/>
          <w:b/>
        </w:rPr>
      </w:pPr>
      <w:r w:rsidRPr="00F965BA">
        <w:rPr>
          <w:rFonts w:ascii="Arial" w:hAnsi="Arial"/>
          <w:b/>
        </w:rPr>
        <w:t>Specifika modelu a předpovědi</w:t>
      </w:r>
    </w:p>
    <w:p w:rsidR="00631EAB" w:rsidRDefault="00D4137B" w:rsidP="00D20948">
      <w:pPr>
        <w:numPr>
          <w:ilvl w:val="0"/>
          <w:numId w:val="21"/>
        </w:numPr>
        <w:suppressAutoHyphens w:val="0"/>
        <w:spacing w:before="120" w:after="120" w:line="240" w:lineRule="auto"/>
        <w:rPr>
          <w:rFonts w:ascii="Arial" w:hAnsi="Arial"/>
        </w:rPr>
      </w:pPr>
      <w:r w:rsidRPr="00F965BA">
        <w:rPr>
          <w:rFonts w:ascii="Arial" w:hAnsi="Arial"/>
        </w:rPr>
        <w:t>Historii a evoluci modelu, použití tohoto modelu nebo příbuzné verze v jiných projektech SP, a jakékoli specifické změny/vylepšení struktury modelu a parametrů předpovědi pro účely tohoto projektu.</w:t>
      </w:r>
    </w:p>
    <w:p w:rsidR="00631EAB" w:rsidRDefault="00D4137B" w:rsidP="00D20948">
      <w:pPr>
        <w:numPr>
          <w:ilvl w:val="0"/>
          <w:numId w:val="21"/>
        </w:numPr>
        <w:suppressAutoHyphens w:val="0"/>
        <w:spacing w:before="120" w:after="120" w:line="240" w:lineRule="auto"/>
        <w:rPr>
          <w:rFonts w:ascii="Arial" w:eastAsia="Calibri" w:hAnsi="Arial"/>
        </w:rPr>
      </w:pPr>
      <w:r w:rsidRPr="00F965BA">
        <w:rPr>
          <w:rFonts w:ascii="Arial" w:hAnsi="Arial"/>
        </w:rPr>
        <w:t>Geografický rozsah modelu, zonální dezagregaci modelu a dezagregaci typu poptávky modelu.</w:t>
      </w:r>
    </w:p>
    <w:p w:rsidR="00631EAB" w:rsidRDefault="00D4137B" w:rsidP="00D20948">
      <w:pPr>
        <w:numPr>
          <w:ilvl w:val="0"/>
          <w:numId w:val="24"/>
        </w:numPr>
        <w:tabs>
          <w:tab w:val="clear" w:pos="2148"/>
          <w:tab w:val="num" w:pos="360"/>
        </w:tabs>
        <w:suppressAutoHyphens w:val="0"/>
        <w:spacing w:before="120" w:after="120" w:line="240" w:lineRule="auto"/>
        <w:ind w:left="357" w:hanging="357"/>
        <w:rPr>
          <w:rFonts w:ascii="Arial" w:eastAsia="Calibri" w:hAnsi="Arial"/>
        </w:rPr>
      </w:pPr>
      <w:r w:rsidRPr="00F965BA">
        <w:rPr>
          <w:rFonts w:ascii="Arial" w:hAnsi="Arial"/>
        </w:rPr>
        <w:t xml:space="preserve">Mělo by být dodáno shrnutí nebo tabulka dat a průzkumů použitých k vybudování modelové předpovědi a k její kalibraci, a měla by být okomentována přesnost kalibrace různých jednotlivých kroků. </w:t>
      </w:r>
    </w:p>
    <w:p w:rsidR="00631EAB" w:rsidRDefault="00D4137B" w:rsidP="00D20948">
      <w:pPr>
        <w:numPr>
          <w:ilvl w:val="0"/>
          <w:numId w:val="24"/>
        </w:numPr>
        <w:tabs>
          <w:tab w:val="clear" w:pos="2148"/>
          <w:tab w:val="num" w:pos="360"/>
        </w:tabs>
        <w:suppressAutoHyphens w:val="0"/>
        <w:spacing w:before="120" w:after="120" w:line="240" w:lineRule="auto"/>
        <w:ind w:left="357" w:hanging="357"/>
        <w:rPr>
          <w:rFonts w:ascii="Arial" w:eastAsia="Calibri" w:hAnsi="Arial"/>
        </w:rPr>
      </w:pPr>
      <w:r w:rsidRPr="00F965BA">
        <w:rPr>
          <w:rFonts w:ascii="Arial" w:hAnsi="Arial"/>
        </w:rPr>
        <w:t>Měly by být zdokumentovány všechny významné globální a lokální nezávislé proměnné obsažené v různých částech předpovědi poptávky pro dálkové a regionální osobní vlaky a jejich váhy/elasticity/hodnoty v předpovědi, a to včetně odůvodnění jak bylo těchto parametrů dosaženo. Měly by být zdokumentovány vztahy/rovnice (včetně parametrů) mezi nezávislými proměnnými a poptávkou. Pro všechny významné nezávislé proměnné v předpovědi by měl být zdokumentován a odůvodněn rozsah parametrů MIN-MAX.</w:t>
      </w:r>
    </w:p>
    <w:p w:rsidR="00631EAB" w:rsidRDefault="00D4137B" w:rsidP="00D20948">
      <w:pPr>
        <w:numPr>
          <w:ilvl w:val="0"/>
          <w:numId w:val="24"/>
        </w:numPr>
        <w:tabs>
          <w:tab w:val="clear" w:pos="2148"/>
          <w:tab w:val="num" w:pos="360"/>
        </w:tabs>
        <w:suppressAutoHyphens w:val="0"/>
        <w:spacing w:before="120" w:after="120" w:line="240" w:lineRule="auto"/>
        <w:ind w:left="357" w:hanging="357"/>
        <w:rPr>
          <w:rFonts w:ascii="Arial" w:hAnsi="Arial"/>
        </w:rPr>
      </w:pPr>
      <w:r w:rsidRPr="00F965BA">
        <w:rPr>
          <w:rFonts w:ascii="Arial" w:hAnsi="Arial"/>
        </w:rPr>
        <w:t>Zejména by měla být zdokumentována struktura logitového a zobecněného modelu nákladů a parametry (proměnné, váhy a škálovací parametry) vedoucí k přesunu na jiný typ dopravy vzhledem ke zvýšené rychlosti a frekvenci vlaků (včetně způsoby zahrnutí vlakových intervalů a měla by být okomentována a odůvodněna vhodnost tohoto dopadu. Nebo jednodušeji, přibližné elasticity (vyplývající z logitového modelu?) poptávky po železniční přepravě vzhledem k cestovní době a intervalu služeb (je-li oddělen) by měly být uvedeny a odůvodněny na základě jiných místních či mezinárodních zkušeností.</w:t>
      </w:r>
    </w:p>
    <w:p w:rsidR="00631EAB" w:rsidRDefault="00D4137B" w:rsidP="00D20948">
      <w:pPr>
        <w:numPr>
          <w:ilvl w:val="0"/>
          <w:numId w:val="24"/>
        </w:numPr>
        <w:tabs>
          <w:tab w:val="clear" w:pos="2148"/>
          <w:tab w:val="num" w:pos="360"/>
        </w:tabs>
        <w:suppressAutoHyphens w:val="0"/>
        <w:spacing w:before="120" w:after="120" w:line="240" w:lineRule="auto"/>
        <w:ind w:left="357" w:hanging="357"/>
        <w:rPr>
          <w:rFonts w:ascii="Arial" w:hAnsi="Arial"/>
        </w:rPr>
      </w:pPr>
      <w:r w:rsidRPr="00F965BA">
        <w:rPr>
          <w:rFonts w:ascii="Arial" w:hAnsi="Arial"/>
        </w:rPr>
        <w:t>Poměr přesunuté a indukované poptávky 90%:10% by měl být odůvodněn odkazem na konkrétní zkušenosti nebo návod.</w:t>
      </w:r>
    </w:p>
    <w:p w:rsidR="00631EAB" w:rsidRDefault="00D4137B" w:rsidP="00D20948">
      <w:pPr>
        <w:pStyle w:val="Odstavecseseznamem"/>
        <w:numPr>
          <w:ilvl w:val="0"/>
          <w:numId w:val="21"/>
        </w:numPr>
        <w:suppressAutoHyphens w:val="0"/>
        <w:spacing w:before="120" w:after="120" w:line="240" w:lineRule="auto"/>
        <w:outlineLvl w:val="0"/>
        <w:rPr>
          <w:rFonts w:ascii="Arial" w:hAnsi="Arial"/>
          <w:szCs w:val="20"/>
        </w:rPr>
      </w:pPr>
      <w:r w:rsidRPr="00F965BA">
        <w:rPr>
          <w:rFonts w:ascii="Arial" w:hAnsi="Arial"/>
          <w:szCs w:val="20"/>
        </w:rPr>
        <w:t>Dokumentace klíčových přesunů původ-cíl týkající se projektu (týkajících se přímého směru z Hradce Králové do Pardubic) a aktuální rozdělení mezi železniční, automobilovou a autobusovou přepravu.</w:t>
      </w:r>
    </w:p>
    <w:p w:rsidR="00631EAB" w:rsidRDefault="00D4137B" w:rsidP="00D20948">
      <w:pPr>
        <w:pStyle w:val="Odstavecseseznamem"/>
        <w:numPr>
          <w:ilvl w:val="0"/>
          <w:numId w:val="21"/>
        </w:numPr>
        <w:suppressAutoHyphens w:val="0"/>
        <w:spacing w:before="120" w:after="120" w:line="240" w:lineRule="auto"/>
        <w:outlineLvl w:val="0"/>
        <w:rPr>
          <w:rFonts w:ascii="Arial" w:hAnsi="Arial"/>
          <w:szCs w:val="20"/>
        </w:rPr>
      </w:pPr>
      <w:r w:rsidRPr="00F965BA">
        <w:rPr>
          <w:rFonts w:ascii="Arial" w:hAnsi="Arial"/>
          <w:szCs w:val="20"/>
        </w:rPr>
        <w:t>Podrobné informace o hlavních alternativních způsobech přepravy (zejména o autobusových trasách) pro aktuální a budoucí situaci:</w:t>
      </w:r>
    </w:p>
    <w:p w:rsidR="00D4137B" w:rsidRPr="00F965BA" w:rsidRDefault="00D4137B" w:rsidP="00D4137B">
      <w:pPr>
        <w:spacing w:before="120" w:after="120"/>
        <w:ind w:left="360"/>
        <w:outlineLvl w:val="0"/>
        <w:rPr>
          <w:rFonts w:ascii="Arial" w:hAnsi="Arial"/>
        </w:rPr>
      </w:pPr>
      <w:r w:rsidRPr="00F965BA">
        <w:rPr>
          <w:rFonts w:ascii="Arial" w:hAnsi="Arial"/>
        </w:rPr>
        <w:t>Stávající a budoucí železniční systém po celé délce mezi Hradcem Králové a Pardubicemi:</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F965BA">
        <w:rPr>
          <w:rFonts w:ascii="Arial" w:hAnsi="Arial"/>
          <w:szCs w:val="20"/>
        </w:rPr>
        <w:t xml:space="preserve">24-hodinová poptávka a poptávka ve špičce na úsek a na segment trhu pro všechny varianty projektu včetně varianty bez projektu </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F965BA">
        <w:rPr>
          <w:rFonts w:ascii="Arial" w:hAnsi="Arial"/>
          <w:szCs w:val="20"/>
        </w:rPr>
        <w:t>24-hodinový a špičkový obrat na zastávkách / ve stanicích na trati na segment trhu</w:t>
      </w:r>
    </w:p>
    <w:p w:rsidR="00631EAB" w:rsidRDefault="00D4137B" w:rsidP="00D20948">
      <w:pPr>
        <w:pStyle w:val="Odstavecseseznamem"/>
        <w:numPr>
          <w:ilvl w:val="1"/>
          <w:numId w:val="21"/>
        </w:numPr>
        <w:suppressAutoHyphens w:val="0"/>
        <w:spacing w:before="120" w:after="120" w:line="240" w:lineRule="auto"/>
        <w:ind w:left="1077" w:hanging="357"/>
        <w:outlineLvl w:val="0"/>
        <w:rPr>
          <w:rFonts w:ascii="Arial" w:hAnsi="Arial"/>
          <w:szCs w:val="20"/>
        </w:rPr>
      </w:pPr>
      <w:r w:rsidRPr="00F965BA">
        <w:rPr>
          <w:rFonts w:ascii="Arial" w:hAnsi="Arial"/>
          <w:szCs w:val="20"/>
        </w:rPr>
        <w:t>Měla by být zajištěna průměrná denní obsazenost vlaků (počet cestujících na jeden vlak) pro různé segmenty trhu na trati, jakož i obsazenost vlaků ve špičce.</w:t>
      </w:r>
    </w:p>
    <w:p w:rsidR="00D4137B" w:rsidRPr="00F965BA" w:rsidRDefault="00D4137B" w:rsidP="00D4137B">
      <w:pPr>
        <w:pStyle w:val="Odstavecseseznamem"/>
        <w:spacing w:before="120" w:after="120" w:line="240" w:lineRule="auto"/>
        <w:ind w:left="360"/>
        <w:outlineLvl w:val="0"/>
        <w:rPr>
          <w:rFonts w:ascii="Arial" w:hAnsi="Arial"/>
          <w:szCs w:val="20"/>
        </w:rPr>
      </w:pPr>
      <w:r w:rsidRPr="00F965BA">
        <w:rPr>
          <w:rFonts w:ascii="Arial" w:hAnsi="Arial"/>
          <w:szCs w:val="20"/>
        </w:rPr>
        <w:t>Autobus:</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F965BA">
        <w:rPr>
          <w:rFonts w:ascii="Arial" w:hAnsi="Arial"/>
          <w:szCs w:val="20"/>
        </w:rPr>
        <w:t>Trasa a zastávky.</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F965BA">
        <w:rPr>
          <w:rFonts w:ascii="Arial" w:hAnsi="Arial"/>
          <w:szCs w:val="20"/>
        </w:rPr>
        <w:t>Cestovní doby do a z měst Hradec Králové a Pardubice (trasy srovnatelné s vlakovou trasou).</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F965BA">
        <w:rPr>
          <w:rFonts w:ascii="Arial" w:hAnsi="Arial"/>
          <w:szCs w:val="20"/>
        </w:rPr>
        <w:t>Plánované změny intervalů autobusových služeb po významném zvýšení frekvence vlakových služeb</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F965BA">
        <w:rPr>
          <w:rFonts w:ascii="Arial" w:hAnsi="Arial"/>
          <w:szCs w:val="20"/>
        </w:rPr>
        <w:t>Časový harmonogram / odstupy ve špičce/mimo špičku.</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F965BA">
        <w:rPr>
          <w:rFonts w:ascii="Arial" w:hAnsi="Arial"/>
          <w:szCs w:val="20"/>
        </w:rPr>
        <w:t>Denní a špičkové počty cestujících.</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F965BA">
        <w:rPr>
          <w:rFonts w:ascii="Arial" w:hAnsi="Arial"/>
          <w:szCs w:val="20"/>
        </w:rPr>
        <w:t>Průměrná obsazenost vozů během dne a ve špičce (cestující na jeden autobus).</w:t>
      </w:r>
    </w:p>
    <w:p w:rsidR="00D4137B" w:rsidRPr="00F965BA" w:rsidRDefault="00D4137B" w:rsidP="00D4137B">
      <w:pPr>
        <w:spacing w:before="120" w:after="120"/>
        <w:ind w:left="360"/>
        <w:outlineLvl w:val="0"/>
        <w:rPr>
          <w:rFonts w:ascii="Arial" w:hAnsi="Arial"/>
        </w:rPr>
      </w:pPr>
      <w:r w:rsidRPr="00F965BA">
        <w:rPr>
          <w:rFonts w:ascii="Arial" w:hAnsi="Arial"/>
        </w:rPr>
        <w:t>Automobily:</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F965BA">
        <w:rPr>
          <w:rFonts w:ascii="Arial" w:hAnsi="Arial"/>
          <w:szCs w:val="20"/>
        </w:rPr>
        <w:t>Cestovní doba na silnici srovnatelná s autobusovými a vlakovými trasami.</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F965BA">
        <w:rPr>
          <w:rFonts w:ascii="Arial" w:hAnsi="Arial"/>
          <w:szCs w:val="20"/>
        </w:rPr>
        <w:t>Denní a špičkové kapacity vozidel na hlavních konkurujících silničních trasách.</w:t>
      </w:r>
    </w:p>
    <w:p w:rsidR="00D4137B" w:rsidRPr="00F965BA" w:rsidRDefault="00D4137B" w:rsidP="00D4137B">
      <w:pPr>
        <w:spacing w:before="120" w:after="120"/>
        <w:ind w:left="720"/>
        <w:outlineLvl w:val="0"/>
        <w:rPr>
          <w:rFonts w:ascii="Arial" w:hAnsi="Arial"/>
        </w:rPr>
      </w:pPr>
    </w:p>
    <w:p w:rsidR="00631EAB" w:rsidRDefault="00D4137B" w:rsidP="00D20948">
      <w:pPr>
        <w:pStyle w:val="Odstavecseseznamem"/>
        <w:numPr>
          <w:ilvl w:val="0"/>
          <w:numId w:val="21"/>
        </w:numPr>
        <w:suppressAutoHyphens w:val="0"/>
        <w:spacing w:before="120" w:after="120" w:line="240" w:lineRule="auto"/>
        <w:outlineLvl w:val="0"/>
        <w:rPr>
          <w:rFonts w:ascii="Arial" w:hAnsi="Arial"/>
          <w:szCs w:val="20"/>
        </w:rPr>
      </w:pPr>
      <w:r w:rsidRPr="00F965BA">
        <w:rPr>
          <w:rFonts w:ascii="Arial" w:hAnsi="Arial"/>
          <w:szCs w:val="20"/>
        </w:rPr>
        <w:t>Napojení na město:</w:t>
      </w:r>
    </w:p>
    <w:p w:rsidR="00631EAB" w:rsidRDefault="00D4137B" w:rsidP="00D20948">
      <w:pPr>
        <w:pStyle w:val="Odstavecseseznamem"/>
        <w:numPr>
          <w:ilvl w:val="1"/>
          <w:numId w:val="21"/>
        </w:numPr>
        <w:suppressAutoHyphens w:val="0"/>
        <w:spacing w:before="120" w:after="120" w:line="240" w:lineRule="auto"/>
        <w:outlineLvl w:val="0"/>
        <w:rPr>
          <w:rFonts w:ascii="Arial" w:hAnsi="Arial"/>
          <w:szCs w:val="20"/>
        </w:rPr>
      </w:pPr>
      <w:r w:rsidRPr="00F965BA">
        <w:rPr>
          <w:rFonts w:ascii="Arial" w:hAnsi="Arial"/>
          <w:szCs w:val="20"/>
        </w:rPr>
        <w:t>Podrobnosti o hlavních napojeních/rozhraních na systémy městské hromadné dopravy v Hradci Králové a v Pardubicích ze železničních, regionálních autobusových a automobilových tras mezi těmito dvěma městy</w:t>
      </w:r>
    </w:p>
    <w:p w:rsidR="00D4137B" w:rsidRPr="00F965BA" w:rsidRDefault="00D4137B" w:rsidP="00D4137B">
      <w:pPr>
        <w:spacing w:before="120" w:after="120"/>
        <w:outlineLvl w:val="0"/>
        <w:rPr>
          <w:rFonts w:ascii="Arial" w:hAnsi="Arial"/>
        </w:rPr>
      </w:pPr>
    </w:p>
    <w:p w:rsidR="00D4137B" w:rsidRPr="00F965BA" w:rsidRDefault="00D4137B" w:rsidP="00D4137B">
      <w:pPr>
        <w:spacing w:before="120" w:after="120"/>
        <w:rPr>
          <w:rFonts w:ascii="Arial" w:hAnsi="Arial"/>
          <w:b/>
        </w:rPr>
      </w:pPr>
      <w:r w:rsidRPr="00F965BA">
        <w:rPr>
          <w:rFonts w:ascii="Arial" w:hAnsi="Arial"/>
          <w:b/>
        </w:rPr>
        <w:t>Vazba na ekonomický model</w:t>
      </w:r>
    </w:p>
    <w:p w:rsidR="00D4137B" w:rsidRPr="00F965BA" w:rsidRDefault="00D4137B" w:rsidP="00D4137B">
      <w:pPr>
        <w:spacing w:before="120" w:after="120"/>
        <w:outlineLvl w:val="0"/>
        <w:rPr>
          <w:rFonts w:ascii="Arial" w:hAnsi="Arial"/>
        </w:rPr>
      </w:pPr>
      <w:r w:rsidRPr="00F965BA">
        <w:rPr>
          <w:rFonts w:ascii="Arial" w:hAnsi="Arial"/>
        </w:rPr>
        <w:t>Navíc, aby bylo možno pochopit a sledovat vazbu mezi poptávkou a ekonomickou analýzou, je třeba popsat:</w:t>
      </w:r>
    </w:p>
    <w:p w:rsidR="00631EAB" w:rsidRDefault="00D4137B" w:rsidP="00D20948">
      <w:pPr>
        <w:pStyle w:val="Odstavecseseznamem"/>
        <w:numPr>
          <w:ilvl w:val="0"/>
          <w:numId w:val="21"/>
        </w:numPr>
        <w:suppressAutoHyphens w:val="0"/>
        <w:spacing w:before="120" w:after="120" w:line="240" w:lineRule="auto"/>
        <w:outlineLvl w:val="0"/>
        <w:rPr>
          <w:rFonts w:ascii="Arial" w:hAnsi="Arial"/>
        </w:rPr>
      </w:pPr>
      <w:r w:rsidRPr="00F965BA">
        <w:rPr>
          <w:rFonts w:ascii="Arial" w:hAnsi="Arial"/>
          <w:szCs w:val="20"/>
        </w:rPr>
        <w:t>Specifikaci úseků modelu všech režimů, které jsou zahrnuty do ekonomické analýzy.</w:t>
      </w:r>
    </w:p>
    <w:p w:rsidR="00631EAB" w:rsidRDefault="00D4137B" w:rsidP="00D20948">
      <w:pPr>
        <w:pStyle w:val="Odstavecseseznamem"/>
        <w:numPr>
          <w:ilvl w:val="0"/>
          <w:numId w:val="21"/>
        </w:numPr>
        <w:suppressAutoHyphens w:val="0"/>
        <w:spacing w:before="120" w:after="120" w:line="240" w:lineRule="auto"/>
        <w:outlineLvl w:val="0"/>
        <w:rPr>
          <w:rFonts w:ascii="Arial" w:hAnsi="Arial"/>
        </w:rPr>
      </w:pPr>
      <w:r w:rsidRPr="00F965BA">
        <w:rPr>
          <w:rFonts w:ascii="Arial" w:hAnsi="Arial"/>
          <w:szCs w:val="20"/>
        </w:rPr>
        <w:t>Metodu agregace výstupů z dopravního modelu do ekonomických výpočtů modelu CBA (typy poptávky, pracovní doba, doba dojíždění, atd.).</w:t>
      </w:r>
    </w:p>
    <w:p w:rsidR="00D4137B" w:rsidRPr="00F965BA" w:rsidRDefault="00D4137B" w:rsidP="00D4137B">
      <w:pPr>
        <w:spacing w:before="120" w:after="120"/>
        <w:outlineLvl w:val="0"/>
        <w:rPr>
          <w:rFonts w:ascii="Arial" w:hAnsi="Arial"/>
        </w:rPr>
      </w:pPr>
    </w:p>
    <w:p w:rsidR="00631EAB" w:rsidRDefault="00D4137B" w:rsidP="00D20948">
      <w:pPr>
        <w:pStyle w:val="Odstavecseseznamem"/>
        <w:numPr>
          <w:ilvl w:val="0"/>
          <w:numId w:val="20"/>
        </w:numPr>
        <w:suppressAutoHyphens w:val="0"/>
        <w:spacing w:before="120" w:after="200" w:line="276" w:lineRule="auto"/>
        <w:contextualSpacing/>
        <w:outlineLvl w:val="0"/>
        <w:rPr>
          <w:rFonts w:ascii="Arial" w:hAnsi="Arial"/>
          <w:b/>
        </w:rPr>
      </w:pPr>
      <w:r w:rsidRPr="00F965BA">
        <w:rPr>
          <w:rFonts w:ascii="Arial" w:hAnsi="Arial"/>
          <w:b/>
        </w:rPr>
        <w:t>Provozní a technická problematika</w:t>
      </w:r>
    </w:p>
    <w:p w:rsidR="00D4137B" w:rsidRPr="00F965BA" w:rsidRDefault="00D4137B" w:rsidP="00D4137B">
      <w:pPr>
        <w:spacing w:before="120"/>
        <w:outlineLvl w:val="0"/>
        <w:rPr>
          <w:rFonts w:ascii="Arial" w:hAnsi="Arial"/>
          <w:b/>
        </w:rPr>
      </w:pPr>
      <w:r w:rsidRPr="00F965BA">
        <w:rPr>
          <w:rFonts w:ascii="Arial" w:hAnsi="Arial"/>
        </w:rPr>
        <w:t>Odhad nákladů (celkové částky) neumožňuje podrobnou analýzu variant ani řádné zhodnocení nákladů. Tudíž je třeba zajistit pro jednotlivé varianty odha</w:t>
      </w:r>
      <w:r>
        <w:rPr>
          <w:rFonts w:ascii="Arial" w:hAnsi="Arial"/>
        </w:rPr>
        <w:t>d nákladů dle úseků a stanic v a</w:t>
      </w:r>
      <w:r w:rsidRPr="00F965BA">
        <w:rPr>
          <w:rFonts w:ascii="Arial" w:hAnsi="Arial"/>
        </w:rPr>
        <w:t>ngličtině - je-li možno, má splňovat úroveň stupně 3 Technického datového listu JASPERS.</w:t>
      </w:r>
    </w:p>
    <w:p w:rsidR="00D4137B" w:rsidRPr="00F965BA" w:rsidRDefault="00D4137B" w:rsidP="00D4137B">
      <w:pPr>
        <w:spacing w:before="120" w:after="120"/>
        <w:outlineLvl w:val="0"/>
        <w:rPr>
          <w:rFonts w:ascii="Arial" w:hAnsi="Arial"/>
        </w:rPr>
      </w:pPr>
      <w:r w:rsidRPr="00F965BA">
        <w:rPr>
          <w:rFonts w:ascii="Arial" w:hAnsi="Arial"/>
        </w:rPr>
        <w:t>Je třeba jasného odůvodnění (nákladového rozpisu a vysvětlení jednotlivých položek) rozdílů v nákladech na údržbu, opravy a renovace mezi variantou bez projektu a variantou s projektem.</w:t>
      </w:r>
    </w:p>
    <w:p w:rsidR="00D4137B" w:rsidRPr="00F965BA" w:rsidRDefault="00D4137B" w:rsidP="00D4137B">
      <w:pPr>
        <w:spacing w:before="120" w:after="120"/>
        <w:outlineLvl w:val="0"/>
        <w:rPr>
          <w:rFonts w:ascii="Arial" w:hAnsi="Arial"/>
        </w:rPr>
      </w:pPr>
      <w:r w:rsidRPr="00F965BA">
        <w:rPr>
          <w:rFonts w:ascii="Arial" w:hAnsi="Arial"/>
        </w:rPr>
        <w:t>V porovnání s ostatními projekty bylo zaznamenáno zlepšení co do informací poskytnutých pro odůvodnění kapacitních potřeb; byl dodán budoucí diagram Plánování železničních služeb a poskytnuté informace o výpočtech propustnosti jsou podrobnější než v ostatních případech.</w:t>
      </w:r>
    </w:p>
    <w:p w:rsidR="00D4137B" w:rsidRPr="00F965BA" w:rsidRDefault="00D4137B" w:rsidP="00D4137B">
      <w:pPr>
        <w:spacing w:before="120" w:after="120"/>
        <w:outlineLvl w:val="0"/>
        <w:rPr>
          <w:rFonts w:ascii="Arial" w:hAnsi="Arial"/>
        </w:rPr>
      </w:pPr>
      <w:r w:rsidRPr="00F965BA">
        <w:rPr>
          <w:rFonts w:ascii="Arial" w:hAnsi="Arial"/>
        </w:rPr>
        <w:t>I přesto je k úplnému pochopení procesu ještě třeba dalších informací ohledně metodiky propustnosti, t.j. např. uvedené tabulky a texty odkazují na sloupce B a C Nařízení D24, avšak neobeznámený čtenář potřebuje k pochopení těchto referencí důkladné vysvětlení.</w:t>
      </w:r>
    </w:p>
    <w:p w:rsidR="00D4137B" w:rsidRPr="00F965BA" w:rsidRDefault="00D4137B" w:rsidP="00D4137B">
      <w:pPr>
        <w:spacing w:before="120" w:after="120"/>
        <w:outlineLvl w:val="0"/>
        <w:rPr>
          <w:rFonts w:ascii="Arial" w:hAnsi="Arial"/>
        </w:rPr>
      </w:pPr>
      <w:r w:rsidRPr="00F965BA">
        <w:rPr>
          <w:rFonts w:ascii="Arial" w:hAnsi="Arial"/>
        </w:rPr>
        <w:t>Dále je požadováno zajistit denní (nebo pro denní provozní období) a špičkové výpočty propustnosti pro staniční trati a nástupiště jako odůvodnění potřeby nových nástupišť, s jejichž vybudováním se v některých stanicích počítá.</w:t>
      </w:r>
    </w:p>
    <w:p w:rsidR="00D4137B" w:rsidRPr="00F965BA" w:rsidRDefault="00D4137B" w:rsidP="00D4137B">
      <w:pPr>
        <w:spacing w:before="120" w:after="120"/>
        <w:outlineLvl w:val="0"/>
        <w:rPr>
          <w:rFonts w:ascii="Arial" w:hAnsi="Arial"/>
        </w:rPr>
      </w:pPr>
      <w:r w:rsidRPr="00F965BA">
        <w:rPr>
          <w:rFonts w:ascii="Arial" w:hAnsi="Arial"/>
        </w:rPr>
        <w:t>Při plánované návštěvě lokality mohou vyvstat další technické otázky.</w:t>
      </w:r>
    </w:p>
    <w:p w:rsidR="00D4137B" w:rsidRPr="00F965BA" w:rsidRDefault="00D4137B" w:rsidP="00D4137B">
      <w:pPr>
        <w:spacing w:before="120" w:after="120"/>
        <w:outlineLvl w:val="0"/>
        <w:rPr>
          <w:rFonts w:ascii="Arial" w:hAnsi="Arial"/>
        </w:rPr>
      </w:pPr>
    </w:p>
    <w:p w:rsidR="00631EAB" w:rsidRDefault="00D4137B" w:rsidP="00D20948">
      <w:pPr>
        <w:pStyle w:val="Odstavecseseznamem"/>
        <w:numPr>
          <w:ilvl w:val="0"/>
          <w:numId w:val="20"/>
        </w:numPr>
        <w:suppressAutoHyphens w:val="0"/>
        <w:spacing w:before="120" w:after="200" w:line="276" w:lineRule="auto"/>
        <w:ind w:left="0"/>
        <w:contextualSpacing/>
        <w:outlineLvl w:val="0"/>
        <w:rPr>
          <w:rFonts w:ascii="Arial" w:hAnsi="Arial"/>
          <w:b/>
        </w:rPr>
      </w:pPr>
      <w:r w:rsidRPr="00F965BA">
        <w:rPr>
          <w:rFonts w:ascii="Arial" w:hAnsi="Arial"/>
          <w:b/>
        </w:rPr>
        <w:t xml:space="preserve">Ekonomická analýza </w:t>
      </w:r>
    </w:p>
    <w:p w:rsidR="00D4137B" w:rsidRPr="00F965BA" w:rsidRDefault="00D4137B" w:rsidP="00D4137B">
      <w:pPr>
        <w:spacing w:before="120"/>
        <w:outlineLvl w:val="0"/>
        <w:rPr>
          <w:rFonts w:ascii="Arial" w:hAnsi="Arial" w:cs="Arial"/>
        </w:rPr>
      </w:pPr>
      <w:r w:rsidRPr="00F965BA">
        <w:rPr>
          <w:rFonts w:ascii="Arial" w:hAnsi="Arial"/>
        </w:rPr>
        <w:t>Jestliže, tak jako v tomto případě, jsou prezentované možnosti opravdu potenciálními fázemi, je smysluplnějším přístupem k ekonomické analýze inkrementální přidaná hodnota, tj. jaké jsou inkrementální přidané přínosy a náklady B při vyhotovení varianty A+B oproti variantě A. To lze vypočítat z předložených hodnot a vedlo by to k různým závěrům o ekonomické udržitelnosti provedení kromě A navíc i B.</w:t>
      </w:r>
    </w:p>
    <w:p w:rsidR="00D4137B" w:rsidRPr="00F965BA" w:rsidRDefault="00D4137B" w:rsidP="00D4137B">
      <w:pPr>
        <w:spacing w:before="120" w:after="120"/>
        <w:outlineLvl w:val="0"/>
        <w:rPr>
          <w:rFonts w:ascii="Arial" w:hAnsi="Arial"/>
        </w:rPr>
      </w:pPr>
      <w:r w:rsidRPr="00F965BA">
        <w:rPr>
          <w:rFonts w:ascii="Arial" w:hAnsi="Arial"/>
        </w:rPr>
        <w:t xml:space="preserve">Analýza rizik zahrnuje variaci objemů přepravy. Není jisté co znamenají minimální a maximální variace. Předpokládáme, že jde o procentní odchylku od předpovídaného procentního růstového trendu (takže např. 20%-ní snížení 25%-ního růstu vede k 20%-nímu růstu). Je-li tomu takto, pak se to nadále zdá být velmi konzervativní obálkou na max a min koncích variant Střed 1, Střed </w:t>
      </w:r>
      <w:smartTag w:uri="urn:schemas-microsoft-com:office:smarttags" w:element="metricconverter">
        <w:smartTagPr>
          <w:attr w:name="ProductID" w:val="2 a"/>
        </w:smartTagPr>
        <w:r w:rsidRPr="00F965BA">
          <w:rPr>
            <w:rFonts w:ascii="Arial" w:hAnsi="Arial"/>
          </w:rPr>
          <w:t>2 a</w:t>
        </w:r>
      </w:smartTag>
      <w:r w:rsidRPr="00F965BA">
        <w:rPr>
          <w:rFonts w:ascii="Arial" w:hAnsi="Arial"/>
        </w:rPr>
        <w:t xml:space="preserve"> Maximální, uvážíme-li nejistotu odhadu zvýšení počtu cestujících způsobeného cestovní dobou a vlakovými intervaly.</w:t>
      </w:r>
    </w:p>
    <w:p w:rsidR="00D4137B" w:rsidRPr="00F965BA" w:rsidRDefault="00D4137B" w:rsidP="00D4137B">
      <w:pPr>
        <w:spacing w:before="120" w:after="120"/>
        <w:outlineLvl w:val="0"/>
        <w:rPr>
          <w:rFonts w:ascii="Arial" w:hAnsi="Arial"/>
        </w:rPr>
      </w:pPr>
      <w:r w:rsidRPr="00F965BA">
        <w:rPr>
          <w:rFonts w:ascii="Arial" w:hAnsi="Arial"/>
        </w:rPr>
        <w:t>Měl by být uveden a odůvodněn poměr segmentů trhu (obchodní, dojíždějící, dálkový, atd.) používaných v průměrné hodnotě časového výpočtu.</w:t>
      </w:r>
    </w:p>
    <w:p w:rsidR="00D4137B" w:rsidRPr="00F965BA" w:rsidRDefault="00D4137B" w:rsidP="00D4137B">
      <w:pPr>
        <w:spacing w:before="120" w:after="200"/>
        <w:outlineLvl w:val="0"/>
        <w:rPr>
          <w:rFonts w:ascii="Arial" w:hAnsi="Arial"/>
          <w:b/>
          <w:i/>
          <w:sz w:val="24"/>
          <w:u w:val="single"/>
        </w:rPr>
      </w:pPr>
      <w:r w:rsidRPr="00F965BA">
        <w:rPr>
          <w:rFonts w:ascii="Arial" w:hAnsi="Arial"/>
          <w:b/>
          <w:i/>
          <w:sz w:val="24"/>
          <w:u w:val="single"/>
        </w:rPr>
        <w:t>Ostatní problematika, kterou je potřeba uvážit</w:t>
      </w:r>
    </w:p>
    <w:p w:rsidR="00D4137B" w:rsidRPr="00F965BA" w:rsidRDefault="00D4137B" w:rsidP="00D4137B">
      <w:pPr>
        <w:shd w:val="clear" w:color="auto" w:fill="FFFFFF"/>
        <w:spacing w:before="120"/>
        <w:outlineLvl w:val="0"/>
        <w:rPr>
          <w:rFonts w:ascii="Arial" w:hAnsi="Arial"/>
        </w:rPr>
      </w:pPr>
      <w:r w:rsidRPr="00F965BA">
        <w:rPr>
          <w:rFonts w:ascii="Arial" w:hAnsi="Arial"/>
          <w:b/>
        </w:rPr>
        <w:t xml:space="preserve">Ačkoli se tato Návodná poznámka nezabývá podrobnějšími připomínkami, i tak důrazně doporučujeme zvážit připomínky učiněné v předchozích revizích, </w:t>
      </w:r>
      <w:r w:rsidRPr="00F965BA">
        <w:rPr>
          <w:rFonts w:ascii="Arial" w:hAnsi="Arial"/>
        </w:rPr>
        <w:t>například pro stanici Olomouc</w:t>
      </w:r>
      <w:r w:rsidRPr="00F965BA">
        <w:rPr>
          <w:rFonts w:ascii="Arial" w:hAnsi="Arial"/>
          <w:b/>
        </w:rPr>
        <w:t>, ohledně podrobné prezentace</w:t>
      </w:r>
      <w:r w:rsidRPr="00F965BA">
        <w:rPr>
          <w:rFonts w:ascii="Arial" w:hAnsi="Arial"/>
        </w:rPr>
        <w:t xml:space="preserve"> přinejmenším alespoň následujícího:</w:t>
      </w:r>
    </w:p>
    <w:p w:rsidR="00631EAB" w:rsidRDefault="00D4137B" w:rsidP="00D20948">
      <w:pPr>
        <w:pStyle w:val="Odstavecseseznamem"/>
        <w:numPr>
          <w:ilvl w:val="0"/>
          <w:numId w:val="22"/>
        </w:numPr>
        <w:suppressAutoHyphens w:val="0"/>
        <w:spacing w:before="120" w:after="120" w:line="240" w:lineRule="auto"/>
        <w:ind w:left="357" w:hanging="357"/>
        <w:outlineLvl w:val="0"/>
        <w:rPr>
          <w:rFonts w:ascii="Arial" w:hAnsi="Arial"/>
          <w:szCs w:val="20"/>
        </w:rPr>
      </w:pPr>
      <w:r w:rsidRPr="00F965BA">
        <w:rPr>
          <w:rFonts w:ascii="Arial" w:hAnsi="Arial"/>
          <w:szCs w:val="20"/>
        </w:rPr>
        <w:t>Jasné vyjádření a odůvodnění jakýchkoli klíčových předpokladů ostatního závislého rozvoje sítě (např. blízkých stanic), které ovlivňují poptávku a kapacitu, a v případě silné nejistoty i uvážení citlivostních testů.</w:t>
      </w:r>
    </w:p>
    <w:p w:rsidR="00631EAB" w:rsidRDefault="00D4137B" w:rsidP="00D20948">
      <w:pPr>
        <w:pStyle w:val="Odstavecseseznamem"/>
        <w:numPr>
          <w:ilvl w:val="0"/>
          <w:numId w:val="22"/>
        </w:numPr>
        <w:suppressAutoHyphens w:val="0"/>
        <w:spacing w:before="120" w:after="120" w:line="240" w:lineRule="auto"/>
        <w:ind w:left="357" w:hanging="357"/>
        <w:outlineLvl w:val="0"/>
      </w:pPr>
      <w:r w:rsidRPr="00F965BA">
        <w:rPr>
          <w:rFonts w:ascii="Arial" w:hAnsi="Arial"/>
          <w:szCs w:val="20"/>
        </w:rPr>
        <w:t>Rovněž je důležité dodat podrobný popis technického řešení nových variant pro usnadnění hodnocení. V tomto konkrétním případě je v textu podrobně popsáno technické řešení, avšak jasnější a úplnější vizi projektových variant by poskytly grafické informace o změnách v jednotlivých úsecích/stanicích a tabulka shrnující změny různých variant.</w:t>
      </w:r>
    </w:p>
    <w:p w:rsidR="00631EAB" w:rsidRDefault="00D4137B" w:rsidP="00D20948">
      <w:pPr>
        <w:pStyle w:val="Odstavecseseznamem"/>
        <w:numPr>
          <w:ilvl w:val="0"/>
          <w:numId w:val="22"/>
        </w:numPr>
        <w:suppressAutoHyphens w:val="0"/>
        <w:spacing w:before="120" w:after="120" w:line="240" w:lineRule="auto"/>
        <w:ind w:left="357" w:hanging="357"/>
        <w:outlineLvl w:val="0"/>
        <w:rPr>
          <w:rFonts w:ascii="Arial" w:hAnsi="Arial"/>
          <w:szCs w:val="20"/>
        </w:rPr>
      </w:pPr>
      <w:r w:rsidRPr="00F965BA">
        <w:rPr>
          <w:rFonts w:ascii="Arial" w:hAnsi="Arial"/>
          <w:szCs w:val="20"/>
        </w:rPr>
        <w:t>Implementace požadavků TSI, zejména technické interoperability a dostupnosti pro osoby se sníženou pohyblivostí.</w:t>
      </w:r>
    </w:p>
    <w:p w:rsidR="00631EAB" w:rsidRDefault="00D4137B" w:rsidP="00D20948">
      <w:pPr>
        <w:pStyle w:val="Odstavecseseznamem"/>
        <w:numPr>
          <w:ilvl w:val="0"/>
          <w:numId w:val="22"/>
        </w:numPr>
        <w:suppressAutoHyphens w:val="0"/>
        <w:spacing w:before="120" w:after="120" w:line="240" w:lineRule="auto"/>
        <w:ind w:left="357" w:hanging="357"/>
        <w:outlineLvl w:val="0"/>
        <w:rPr>
          <w:rFonts w:ascii="Arial" w:hAnsi="Arial"/>
          <w:szCs w:val="20"/>
        </w:rPr>
      </w:pPr>
      <w:r w:rsidRPr="00F965BA">
        <w:rPr>
          <w:rFonts w:ascii="Arial" w:hAnsi="Arial"/>
          <w:szCs w:val="20"/>
        </w:rPr>
        <w:t>Historický vývoj a uvážení technických / provozních variant a odůvodnění klíčových rozhodnutí učiněných ohledně technických parametrů úseků a stanic.</w:t>
      </w:r>
    </w:p>
    <w:p w:rsidR="00631EAB" w:rsidRDefault="00D4137B" w:rsidP="00D20948">
      <w:pPr>
        <w:pStyle w:val="Odstavecseseznamem"/>
        <w:numPr>
          <w:ilvl w:val="0"/>
          <w:numId w:val="22"/>
        </w:numPr>
        <w:suppressAutoHyphens w:val="0"/>
        <w:spacing w:before="120" w:after="120" w:line="240" w:lineRule="auto"/>
        <w:ind w:left="357" w:hanging="357"/>
        <w:outlineLvl w:val="0"/>
        <w:rPr>
          <w:rFonts w:ascii="Arial" w:hAnsi="Arial"/>
          <w:szCs w:val="20"/>
        </w:rPr>
      </w:pPr>
      <w:r w:rsidRPr="00F965BA">
        <w:rPr>
          <w:rFonts w:ascii="Arial" w:hAnsi="Arial"/>
          <w:szCs w:val="20"/>
        </w:rPr>
        <w:t>Zhmotnění potenciálních bezpečnostních přínosů alespoň prostřednictvím příkladů významných pro aplikovanou zabezpečovací infrastrukturu.</w:t>
      </w:r>
    </w:p>
    <w:p w:rsidR="00631EAB" w:rsidRDefault="00D4137B" w:rsidP="00D20948">
      <w:pPr>
        <w:pStyle w:val="Odstavecseseznamem"/>
        <w:numPr>
          <w:ilvl w:val="0"/>
          <w:numId w:val="22"/>
        </w:numPr>
        <w:suppressAutoHyphens w:val="0"/>
        <w:spacing w:before="120" w:after="120" w:line="240" w:lineRule="auto"/>
        <w:ind w:left="357" w:hanging="357"/>
        <w:outlineLvl w:val="0"/>
        <w:rPr>
          <w:rFonts w:ascii="Arial" w:hAnsi="Arial"/>
          <w:szCs w:val="20"/>
        </w:rPr>
      </w:pPr>
      <w:r w:rsidRPr="00F965BA">
        <w:rPr>
          <w:rFonts w:ascii="Arial" w:hAnsi="Arial"/>
          <w:szCs w:val="20"/>
        </w:rPr>
        <w:t>Silný popis významných nemonetárních přínosů na stanicích i jinde, včetně spolehlivosti, komfortu a dostupnosti služeb (které lze použít v multikriteriálním srovnání).</w:t>
      </w:r>
    </w:p>
    <w:p w:rsidR="00631EAB" w:rsidRDefault="00D4137B" w:rsidP="00D20948">
      <w:pPr>
        <w:pStyle w:val="Odstavecseseznamem"/>
        <w:numPr>
          <w:ilvl w:val="0"/>
          <w:numId w:val="22"/>
        </w:numPr>
        <w:suppressAutoHyphens w:val="0"/>
        <w:spacing w:before="120" w:after="120" w:line="240" w:lineRule="auto"/>
        <w:ind w:left="357" w:hanging="357"/>
        <w:outlineLvl w:val="0"/>
        <w:rPr>
          <w:rFonts w:ascii="Arial" w:hAnsi="Arial"/>
          <w:szCs w:val="20"/>
        </w:rPr>
      </w:pPr>
      <w:r w:rsidRPr="00F965BA">
        <w:rPr>
          <w:rFonts w:ascii="Arial" w:hAnsi="Arial"/>
          <w:szCs w:val="20"/>
        </w:rPr>
        <w:t xml:space="preserve">Aspekty životního prostředí by měly být zahrnuty do dvou sekcí studie, do jedné řešící to, jak byly v projektu zohledněny otázky životního prostředí a dále řešící vývoj technických variant (pro fázi implementace, ale i pro provozní fázi, jako např. omezení hlučnosti, vibrací, znečištění ovzduší prostřednictvím elektrifikace, atd.), a do jiné stručně vysvětlující postupy pro životní prostředí aplikované na tento projekt (zjišťovací řízení EIA, územní a stavební povolení, hodnocení Natura 2000).  </w:t>
      </w:r>
    </w:p>
    <w:p w:rsidR="00D4137B" w:rsidRPr="00F965BA" w:rsidRDefault="00D4137B" w:rsidP="00D4137B">
      <w:pPr>
        <w:spacing w:before="120" w:after="200"/>
        <w:outlineLvl w:val="0"/>
        <w:rPr>
          <w:rFonts w:ascii="Arial" w:hAnsi="Arial"/>
          <w:b/>
          <w:i/>
          <w:sz w:val="24"/>
          <w:u w:val="single"/>
        </w:rPr>
      </w:pPr>
      <w:r w:rsidRPr="00F965BA">
        <w:rPr>
          <w:rFonts w:ascii="Arial" w:hAnsi="Arial"/>
          <w:b/>
          <w:i/>
          <w:sz w:val="24"/>
          <w:u w:val="single"/>
        </w:rPr>
        <w:t>Závěry a další kroky</w:t>
      </w:r>
    </w:p>
    <w:p w:rsidR="00D4137B" w:rsidRPr="00F965BA" w:rsidRDefault="00D4137B" w:rsidP="00D4137B">
      <w:pPr>
        <w:spacing w:before="120" w:after="120"/>
        <w:rPr>
          <w:rFonts w:ascii="Arial" w:hAnsi="Arial" w:cs="Arial"/>
        </w:rPr>
      </w:pPr>
      <w:r w:rsidRPr="00F965BA">
        <w:rPr>
          <w:rFonts w:ascii="Arial" w:hAnsi="Arial"/>
        </w:rPr>
        <w:t>Na základě analýzy významné problematiky a nejistoty obklopující předpovídání poptávky a analýzu možností je třeba ještě před vyhotovením kompletní revize studie proveditelnosti získat značné množství informací. Nejprve by měly být dodány tyto informace, a až poté by mělo být pokračováno v revizi.</w:t>
      </w:r>
    </w:p>
    <w:p w:rsidR="00D4137B" w:rsidRPr="00F965BA" w:rsidRDefault="00D4137B" w:rsidP="00D4137B">
      <w:pPr>
        <w:spacing w:before="120" w:after="120"/>
        <w:rPr>
          <w:rFonts w:ascii="Arial" w:hAnsi="Arial" w:cs="Arial"/>
          <w:b/>
        </w:rPr>
      </w:pPr>
      <w:r w:rsidRPr="00F965BA">
        <w:rPr>
          <w:rFonts w:ascii="Arial" w:hAnsi="Arial"/>
          <w:b/>
        </w:rPr>
        <w:t>JASPERS navrhuje následující přístup a časový plán:</w:t>
      </w:r>
    </w:p>
    <w:p w:rsidR="00631EAB" w:rsidRDefault="00D4137B" w:rsidP="00D20948">
      <w:pPr>
        <w:pStyle w:val="Odstavecseseznamem"/>
        <w:numPr>
          <w:ilvl w:val="0"/>
          <w:numId w:val="23"/>
        </w:numPr>
        <w:suppressAutoHyphens w:val="0"/>
        <w:spacing w:before="120" w:after="120" w:line="240" w:lineRule="auto"/>
        <w:rPr>
          <w:rFonts w:ascii="Arial" w:hAnsi="Arial" w:cs="Arial"/>
          <w:szCs w:val="20"/>
        </w:rPr>
      </w:pPr>
      <w:r w:rsidRPr="00F965BA">
        <w:rPr>
          <w:rFonts w:ascii="Arial" w:hAnsi="Arial"/>
          <w:szCs w:val="20"/>
        </w:rPr>
        <w:t>JASPERS navštíví místo projektu a probere s představiteli OREDO otázky řazení vlaků a organizace regionální veřejné dopravy.</w:t>
      </w:r>
    </w:p>
    <w:p w:rsidR="00631EAB" w:rsidRDefault="00D4137B" w:rsidP="00D20948">
      <w:pPr>
        <w:pStyle w:val="Odstavecseseznamem"/>
        <w:numPr>
          <w:ilvl w:val="0"/>
          <w:numId w:val="23"/>
        </w:numPr>
        <w:suppressAutoHyphens w:val="0"/>
        <w:spacing w:before="120" w:after="120" w:line="240" w:lineRule="auto"/>
        <w:rPr>
          <w:rFonts w:ascii="Arial" w:hAnsi="Arial" w:cs="Arial"/>
          <w:szCs w:val="20"/>
        </w:rPr>
      </w:pPr>
      <w:r w:rsidRPr="00F965BA">
        <w:rPr>
          <w:rFonts w:ascii="Arial" w:hAnsi="Arial"/>
          <w:szCs w:val="20"/>
        </w:rPr>
        <w:t>SŽDC/konzultant by měl probírat problematiku a poskytovat a vyžadovat si ujasnění výše uvedených témat na setkání s JASPERS a odeslat požadované informace / revidované vstupy/výstupy ( z krátkodobého  hlediska by podrobné odůvodnění přístupu a předpokladů analýzy poptávky mohlo být probráno na samostatném technickém setkání, avšak později jej bude třeba zdokumentovat alespoň v podobě nepublikované přílohy pro účely revize).</w:t>
      </w:r>
    </w:p>
    <w:p w:rsidR="00631EAB" w:rsidRDefault="00D4137B" w:rsidP="00D20948">
      <w:pPr>
        <w:pStyle w:val="Odstavecseseznamem"/>
        <w:numPr>
          <w:ilvl w:val="0"/>
          <w:numId w:val="23"/>
        </w:numPr>
        <w:suppressAutoHyphens w:val="0"/>
        <w:spacing w:before="120" w:after="120" w:line="240" w:lineRule="auto"/>
        <w:rPr>
          <w:rFonts w:ascii="Arial" w:hAnsi="Arial" w:cs="Arial"/>
          <w:szCs w:val="20"/>
        </w:rPr>
      </w:pPr>
      <w:r w:rsidRPr="00F965BA">
        <w:rPr>
          <w:rFonts w:ascii="Arial" w:hAnsi="Arial"/>
          <w:szCs w:val="20"/>
        </w:rPr>
        <w:t>JASPERS má revidovat nově dodávané informace a ozřejmovat, zda jsou nějaké významné problémy nebo podrobnosti, které je třeba vyřešit, a v případě potřeby uskutečnit setkání se SŽDC.</w:t>
      </w:r>
    </w:p>
    <w:p w:rsidR="00631EAB" w:rsidRDefault="00D4137B" w:rsidP="00D20948">
      <w:pPr>
        <w:pStyle w:val="Odstavecseseznamem"/>
        <w:numPr>
          <w:ilvl w:val="0"/>
          <w:numId w:val="23"/>
        </w:numPr>
        <w:suppressAutoHyphens w:val="0"/>
        <w:spacing w:before="120" w:after="120" w:line="240" w:lineRule="auto"/>
        <w:rPr>
          <w:rFonts w:ascii="Arial" w:hAnsi="Arial" w:cs="Arial"/>
          <w:szCs w:val="20"/>
        </w:rPr>
      </w:pPr>
      <w:r w:rsidRPr="00F965BA">
        <w:rPr>
          <w:rFonts w:ascii="Arial" w:hAnsi="Arial"/>
          <w:szCs w:val="20"/>
        </w:rPr>
        <w:t>Pokud žádné nevyřešené významné problémy nebudou, dokončí studii konzultant.</w:t>
      </w:r>
    </w:p>
    <w:p w:rsidR="00631EAB" w:rsidRDefault="00D4137B" w:rsidP="00D20948">
      <w:pPr>
        <w:pStyle w:val="Odstavecseseznamem"/>
        <w:numPr>
          <w:ilvl w:val="0"/>
          <w:numId w:val="23"/>
        </w:numPr>
        <w:suppressAutoHyphens w:val="0"/>
        <w:spacing w:before="120" w:after="120" w:line="240" w:lineRule="auto"/>
        <w:rPr>
          <w:rFonts w:ascii="Arial" w:hAnsi="Arial" w:cs="Arial"/>
          <w:szCs w:val="20"/>
        </w:rPr>
      </w:pPr>
      <w:r w:rsidRPr="00F965BA">
        <w:rPr>
          <w:rFonts w:ascii="Arial" w:hAnsi="Arial"/>
          <w:szCs w:val="20"/>
        </w:rPr>
        <w:t>Konečnou revizi provede JASPERS.</w:t>
      </w:r>
    </w:p>
    <w:p w:rsidR="00631EAB" w:rsidRDefault="00D4137B" w:rsidP="00D20948">
      <w:pPr>
        <w:pStyle w:val="Odstavecseseznamem"/>
        <w:numPr>
          <w:ilvl w:val="0"/>
          <w:numId w:val="23"/>
        </w:numPr>
        <w:suppressAutoHyphens w:val="0"/>
        <w:spacing w:before="120" w:after="120" w:line="240" w:lineRule="auto"/>
        <w:rPr>
          <w:rFonts w:ascii="Arial" w:hAnsi="Arial" w:cs="Arial"/>
          <w:szCs w:val="20"/>
        </w:rPr>
      </w:pPr>
      <w:r w:rsidRPr="00F965BA">
        <w:rPr>
          <w:rFonts w:ascii="Arial" w:hAnsi="Arial"/>
          <w:szCs w:val="20"/>
        </w:rPr>
        <w:t>Další aktivity závisejí na výsledcích revize.</w:t>
      </w:r>
    </w:p>
    <w:p w:rsidR="00D4137B" w:rsidRDefault="00D4137B" w:rsidP="00D4137B">
      <w:pPr>
        <w:rPr>
          <w:rFonts w:ascii="Arial" w:hAnsi="Arial"/>
        </w:rPr>
      </w:pPr>
      <w:r w:rsidRPr="00F965BA">
        <w:rPr>
          <w:rFonts w:ascii="Arial" w:hAnsi="Arial"/>
        </w:rPr>
        <w:t xml:space="preserve">Pro zajištění kompatibility SP a Projektové žádosti + Shrnutí o životním prostředí doporučujeme nejprve uspořádat setkání mezi příslušnými konzultanty ještě než tito začnou vytvářet návrhy dokumentů. Načasování těchto kroků bude předmětem dohody mezi JASPERS a SŽDC. Současně by měly být dokumenty o životním prostředí předloženy JASPERS k revizi. </w:t>
      </w:r>
    </w:p>
    <w:p w:rsidR="0050179A" w:rsidRDefault="0050179A" w:rsidP="00D4137B">
      <w:pPr>
        <w:rPr>
          <w:rFonts w:ascii="Arial" w:hAnsi="Arial"/>
        </w:rPr>
      </w:pPr>
      <w:r>
        <w:rPr>
          <w:rFonts w:ascii="Arial" w:hAnsi="Arial"/>
        </w:rPr>
        <w:br w:type="page"/>
      </w:r>
    </w:p>
    <w:tbl>
      <w:tblPr>
        <w:tblW w:w="9782" w:type="dxa"/>
        <w:tblInd w:w="-228" w:type="dxa"/>
        <w:tblLayout w:type="fixed"/>
        <w:tblCellMar>
          <w:left w:w="56" w:type="dxa"/>
          <w:right w:w="56" w:type="dxa"/>
        </w:tblCellMar>
        <w:tblLook w:val="0000" w:firstRow="0" w:lastRow="0" w:firstColumn="0" w:lastColumn="0" w:noHBand="0" w:noVBand="0"/>
      </w:tblPr>
      <w:tblGrid>
        <w:gridCol w:w="5671"/>
        <w:gridCol w:w="4111"/>
      </w:tblGrid>
      <w:tr w:rsidR="0050179A" w:rsidTr="006E61CA">
        <w:trPr>
          <w:cantSplit/>
        </w:trPr>
        <w:tc>
          <w:tcPr>
            <w:tcW w:w="5671" w:type="dxa"/>
          </w:tcPr>
          <w:p w:rsidR="0050179A" w:rsidRDefault="0044296D" w:rsidP="006E61CA">
            <w:pPr>
              <w:pStyle w:val="Zpat"/>
              <w:spacing w:line="240" w:lineRule="atLeast"/>
            </w:pPr>
            <w:r>
              <w:rPr>
                <w:noProof/>
                <w:lang w:eastAsia="cs-CZ"/>
              </w:rPr>
              <w:drawing>
                <wp:inline distT="0" distB="0" distL="0" distR="0" wp14:anchorId="10585E42" wp14:editId="2924D31C">
                  <wp:extent cx="2057400" cy="1047750"/>
                  <wp:effectExtent l="0" t="0" r="0" b="0"/>
                  <wp:docPr id="23" name="Obrázek 23" descr="Description: Jaspers_Log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Jaspers_Logo 2"/>
                          <pic:cNvPicPr>
                            <a:picLocks noChangeAspect="1" noChangeArrowheads="1"/>
                          </pic:cNvPicPr>
                        </pic:nvPicPr>
                        <pic:blipFill>
                          <a:blip r:embed="rId136" cstate="print">
                            <a:lum contrast="30000"/>
                            <a:extLst>
                              <a:ext uri="{28A0092B-C50C-407E-A947-70E740481C1C}">
                                <a14:useLocalDpi xmlns:a14="http://schemas.microsoft.com/office/drawing/2010/main" val="0"/>
                              </a:ext>
                            </a:extLst>
                          </a:blip>
                          <a:srcRect/>
                          <a:stretch>
                            <a:fillRect/>
                          </a:stretch>
                        </pic:blipFill>
                        <pic:spPr bwMode="auto">
                          <a:xfrm>
                            <a:off x="0" y="0"/>
                            <a:ext cx="2057400" cy="1047750"/>
                          </a:xfrm>
                          <a:prstGeom prst="rect">
                            <a:avLst/>
                          </a:prstGeom>
                          <a:noFill/>
                          <a:ln>
                            <a:noFill/>
                          </a:ln>
                        </pic:spPr>
                      </pic:pic>
                    </a:graphicData>
                  </a:graphic>
                </wp:inline>
              </w:drawing>
            </w:r>
          </w:p>
        </w:tc>
        <w:tc>
          <w:tcPr>
            <w:tcW w:w="4111" w:type="dxa"/>
          </w:tcPr>
          <w:p w:rsidR="0050179A" w:rsidRDefault="0050179A" w:rsidP="006E61CA">
            <w:pPr>
              <w:pStyle w:val="Para1"/>
              <w:tabs>
                <w:tab w:val="left" w:pos="5104"/>
              </w:tabs>
              <w:spacing w:before="0"/>
              <w:ind w:left="0" w:firstLine="0"/>
              <w:jc w:val="right"/>
              <w:rPr>
                <w:position w:val="-34"/>
                <w:lang w:val="cs-CZ"/>
              </w:rPr>
            </w:pPr>
            <w:r>
              <w:rPr>
                <w:position w:val="-34"/>
                <w:lang w:val="cs-CZ"/>
              </w:rPr>
              <w:t>Vídeň, 29.11. 2012</w:t>
            </w:r>
          </w:p>
          <w:p w:rsidR="0050179A" w:rsidRDefault="0050179A" w:rsidP="006E61CA">
            <w:pPr>
              <w:pStyle w:val="Para1"/>
              <w:tabs>
                <w:tab w:val="left" w:pos="5104"/>
              </w:tabs>
              <w:spacing w:before="0"/>
              <w:ind w:left="0" w:firstLine="0"/>
              <w:jc w:val="right"/>
              <w:rPr>
                <w:position w:val="-34"/>
                <w:lang w:val="cs-CZ"/>
              </w:rPr>
            </w:pPr>
            <w:r>
              <w:rPr>
                <w:position w:val="-34"/>
                <w:lang w:val="cs-CZ"/>
              </w:rPr>
              <w:t>JASPERS/2012-KMV/PNR/RAF/so</w:t>
            </w:r>
          </w:p>
          <w:p w:rsidR="0050179A" w:rsidRDefault="0050179A" w:rsidP="006E61CA">
            <w:pPr>
              <w:pStyle w:val="Para1"/>
              <w:tabs>
                <w:tab w:val="left" w:pos="5104"/>
              </w:tabs>
              <w:spacing w:before="0"/>
              <w:ind w:left="0" w:firstLine="0"/>
              <w:jc w:val="right"/>
              <w:rPr>
                <w:position w:val="-34"/>
                <w:lang w:val="cs-CZ"/>
              </w:rPr>
            </w:pPr>
          </w:p>
        </w:tc>
      </w:tr>
    </w:tbl>
    <w:p w:rsidR="0050179A" w:rsidRDefault="0050179A" w:rsidP="0050179A">
      <w:pPr>
        <w:tabs>
          <w:tab w:val="left" w:pos="567"/>
          <w:tab w:val="left" w:pos="1134"/>
          <w:tab w:val="left" w:pos="1701"/>
          <w:tab w:val="left" w:pos="2268"/>
          <w:tab w:val="left" w:pos="5670"/>
          <w:tab w:val="left" w:pos="6237"/>
        </w:tabs>
      </w:pPr>
    </w:p>
    <w:p w:rsidR="0050179A" w:rsidRDefault="0050179A" w:rsidP="0050179A">
      <w:pPr>
        <w:pStyle w:val="Para1"/>
        <w:spacing w:before="0"/>
        <w:jc w:val="both"/>
        <w:rPr>
          <w:b/>
          <w:sz w:val="22"/>
          <w:szCs w:val="22"/>
          <w:lang w:val="cs-CZ"/>
        </w:rPr>
      </w:pPr>
    </w:p>
    <w:tbl>
      <w:tblPr>
        <w:tblW w:w="9465" w:type="dxa"/>
        <w:tblBorders>
          <w:bottom w:val="single" w:sz="4" w:space="0" w:color="auto"/>
          <w:insideH w:val="single" w:sz="4" w:space="0" w:color="auto"/>
        </w:tblBorders>
        <w:tblLook w:val="01E0" w:firstRow="1" w:lastRow="1" w:firstColumn="1" w:lastColumn="1" w:noHBand="0" w:noVBand="0"/>
      </w:tblPr>
      <w:tblGrid>
        <w:gridCol w:w="1668"/>
        <w:gridCol w:w="7797"/>
      </w:tblGrid>
      <w:tr w:rsidR="0050179A" w:rsidTr="006E61CA">
        <w:tc>
          <w:tcPr>
            <w:tcW w:w="1668" w:type="dxa"/>
          </w:tcPr>
          <w:p w:rsidR="0050179A" w:rsidRDefault="0050179A" w:rsidP="006E61CA">
            <w:pPr>
              <w:pStyle w:val="Para1"/>
              <w:spacing w:before="0"/>
              <w:ind w:left="0" w:firstLine="0"/>
              <w:jc w:val="both"/>
              <w:rPr>
                <w:b/>
                <w:sz w:val="28"/>
                <w:szCs w:val="28"/>
                <w:lang w:val="cs-CZ"/>
              </w:rPr>
            </w:pPr>
            <w:r>
              <w:rPr>
                <w:b/>
                <w:sz w:val="28"/>
                <w:szCs w:val="28"/>
                <w:lang w:val="cs-CZ"/>
              </w:rPr>
              <w:t>Poznámky</w:t>
            </w:r>
          </w:p>
          <w:p w:rsidR="0050179A" w:rsidRDefault="0050179A" w:rsidP="006E61CA">
            <w:pPr>
              <w:pStyle w:val="Para1"/>
              <w:spacing w:before="0"/>
              <w:ind w:left="0" w:firstLine="0"/>
              <w:jc w:val="both"/>
              <w:rPr>
                <w:b/>
                <w:sz w:val="28"/>
                <w:szCs w:val="28"/>
                <w:lang w:val="cs-CZ"/>
              </w:rPr>
            </w:pPr>
          </w:p>
        </w:tc>
        <w:tc>
          <w:tcPr>
            <w:tcW w:w="7797" w:type="dxa"/>
          </w:tcPr>
          <w:p w:rsidR="0050179A" w:rsidRDefault="0050179A" w:rsidP="006E61CA">
            <w:pPr>
              <w:pStyle w:val="Para1"/>
              <w:tabs>
                <w:tab w:val="clear" w:pos="1134"/>
                <w:tab w:val="clear" w:pos="1418"/>
                <w:tab w:val="left" w:pos="34"/>
              </w:tabs>
              <w:spacing w:before="0"/>
              <w:ind w:left="34" w:firstLine="0"/>
              <w:jc w:val="right"/>
              <w:rPr>
                <w:lang w:val="cs-CZ"/>
              </w:rPr>
            </w:pPr>
            <w:r>
              <w:rPr>
                <w:lang w:val="cs-CZ"/>
              </w:rPr>
              <w:t>Autoři: Katarína Maj Vrábelová, Paul Riley, Rafael Alcayde Ferrús a Jürgen Schlotzhauer</w:t>
            </w:r>
          </w:p>
        </w:tc>
      </w:tr>
    </w:tbl>
    <w:p w:rsidR="0050179A" w:rsidRDefault="0050179A" w:rsidP="0050179A">
      <w:pPr>
        <w:pStyle w:val="Para1"/>
        <w:spacing w:before="0"/>
        <w:ind w:left="0" w:firstLine="0"/>
        <w:jc w:val="both"/>
        <w:rPr>
          <w:lang w:val="cs-CZ"/>
        </w:rPr>
      </w:pPr>
    </w:p>
    <w:p w:rsidR="0050179A" w:rsidRDefault="0050179A" w:rsidP="0050179A">
      <w:pPr>
        <w:pStyle w:val="Textkomente"/>
        <w:tabs>
          <w:tab w:val="right" w:pos="0"/>
          <w:tab w:val="left" w:pos="5670"/>
          <w:tab w:val="left" w:pos="6237"/>
        </w:tabs>
        <w:spacing w:before="60"/>
        <w:ind w:left="1800" w:hanging="1800"/>
        <w:rPr>
          <w:rFonts w:cs="Arial"/>
          <w:bCs/>
          <w:i/>
          <w:sz w:val="22"/>
          <w:szCs w:val="22"/>
        </w:rPr>
      </w:pPr>
      <w:r>
        <w:rPr>
          <w:b/>
          <w:bCs/>
          <w:sz w:val="22"/>
          <w:szCs w:val="22"/>
        </w:rPr>
        <w:t>Věc:</w:t>
      </w:r>
      <w:r>
        <w:rPr>
          <w:b/>
          <w:bCs/>
          <w:sz w:val="22"/>
          <w:szCs w:val="22"/>
        </w:rPr>
        <w:tab/>
        <w:t>Doporučení k druhému návrhu Studie proveditelnosti stavby – „</w:t>
      </w:r>
      <w:r>
        <w:rPr>
          <w:rFonts w:cs="Arial"/>
          <w:b/>
          <w:bCs/>
          <w:i/>
          <w:sz w:val="22"/>
          <w:szCs w:val="22"/>
        </w:rPr>
        <w:t>Hradec Králové - Pardubice”</w:t>
      </w:r>
    </w:p>
    <w:p w:rsidR="0050179A" w:rsidRDefault="0050179A" w:rsidP="0050179A">
      <w:pPr>
        <w:pStyle w:val="Textkomente"/>
        <w:tabs>
          <w:tab w:val="right" w:pos="0"/>
          <w:tab w:val="left" w:pos="5670"/>
          <w:tab w:val="left" w:pos="6237"/>
        </w:tabs>
        <w:spacing w:line="0" w:lineRule="atLeast"/>
        <w:ind w:left="1797" w:hanging="1797"/>
        <w:rPr>
          <w:b/>
          <w:bCs/>
        </w:rPr>
      </w:pPr>
    </w:p>
    <w:p w:rsidR="0050179A" w:rsidRDefault="0050179A" w:rsidP="0050179A">
      <w:pPr>
        <w:pStyle w:val="Textkomente"/>
        <w:tabs>
          <w:tab w:val="right" w:pos="0"/>
          <w:tab w:val="left" w:pos="5670"/>
          <w:tab w:val="left" w:pos="6237"/>
        </w:tabs>
        <w:spacing w:line="0" w:lineRule="atLeast"/>
        <w:ind w:left="1797" w:hanging="1797"/>
        <w:rPr>
          <w:b/>
          <w:bCs/>
        </w:rPr>
      </w:pPr>
      <w:r>
        <w:rPr>
          <w:b/>
          <w:bCs/>
        </w:rPr>
        <w:t xml:space="preserve">Č.j.: </w:t>
      </w:r>
      <w:r>
        <w:rPr>
          <w:b/>
          <w:bCs/>
        </w:rPr>
        <w:tab/>
        <w:t>2010 032 CZ RAL RAL</w:t>
      </w:r>
      <w:r>
        <w:rPr>
          <w:b/>
          <w:bCs/>
        </w:rPr>
        <w:tab/>
      </w:r>
    </w:p>
    <w:p w:rsidR="0050179A" w:rsidRDefault="0050179A" w:rsidP="0050179A">
      <w:pPr>
        <w:pStyle w:val="Textkomente"/>
        <w:tabs>
          <w:tab w:val="right" w:pos="0"/>
          <w:tab w:val="left" w:pos="5670"/>
          <w:tab w:val="left" w:pos="6237"/>
        </w:tabs>
        <w:spacing w:line="0" w:lineRule="atLeast"/>
        <w:ind w:left="1797" w:hanging="1797"/>
        <w:rPr>
          <w:b/>
          <w:bCs/>
        </w:rPr>
      </w:pPr>
    </w:p>
    <w:p w:rsidR="0050179A" w:rsidRDefault="0050179A" w:rsidP="0050179A">
      <w:pPr>
        <w:spacing w:line="0" w:lineRule="atLeast"/>
        <w:ind w:left="1800" w:hanging="1800"/>
        <w:outlineLvl w:val="0"/>
        <w:rPr>
          <w:rFonts w:cs="Arial"/>
          <w:bCs/>
          <w:i/>
        </w:rPr>
      </w:pPr>
      <w:r>
        <w:rPr>
          <w:b/>
          <w:bCs/>
        </w:rPr>
        <w:t xml:space="preserve">Přijaté dokumenty: </w:t>
      </w:r>
      <w:r>
        <w:rPr>
          <w:b/>
          <w:bCs/>
        </w:rPr>
        <w:tab/>
      </w:r>
      <w:r>
        <w:rPr>
          <w:rFonts w:cs="Arial"/>
          <w:bCs/>
          <w:i/>
        </w:rPr>
        <w:t>Studie proveditelnosti „Hradec Králové - Pardubice”</w:t>
      </w:r>
    </w:p>
    <w:p w:rsidR="0050179A" w:rsidRDefault="0050179A" w:rsidP="0050179A">
      <w:pPr>
        <w:spacing w:line="0" w:lineRule="atLeast"/>
        <w:ind w:left="1800" w:hanging="1800"/>
        <w:outlineLvl w:val="0"/>
        <w:rPr>
          <w:b/>
          <w:bCs/>
        </w:rPr>
      </w:pPr>
    </w:p>
    <w:p w:rsidR="0050179A" w:rsidRDefault="0050179A" w:rsidP="0050179A">
      <w:pPr>
        <w:spacing w:line="0" w:lineRule="atLeast"/>
        <w:ind w:left="1800" w:hanging="1800"/>
        <w:outlineLvl w:val="0"/>
        <w:rPr>
          <w:b/>
          <w:bCs/>
        </w:rPr>
      </w:pPr>
    </w:p>
    <w:p w:rsidR="0050179A" w:rsidRDefault="0050179A" w:rsidP="0050179A">
      <w:pPr>
        <w:spacing w:line="276" w:lineRule="auto"/>
        <w:rPr>
          <w:rFonts w:cs="Arial"/>
          <w:b/>
          <w:sz w:val="28"/>
          <w:szCs w:val="28"/>
          <w:u w:val="single"/>
        </w:rPr>
      </w:pPr>
      <w:r>
        <w:rPr>
          <w:rFonts w:cs="Arial"/>
          <w:b/>
          <w:sz w:val="28"/>
          <w:szCs w:val="28"/>
          <w:u w:val="single"/>
        </w:rPr>
        <w:t>Úvod</w:t>
      </w:r>
    </w:p>
    <w:p w:rsidR="0050179A" w:rsidRDefault="0050179A" w:rsidP="0050179A">
      <w:pPr>
        <w:spacing w:line="276" w:lineRule="auto"/>
        <w:rPr>
          <w:rFonts w:cs="Arial"/>
        </w:rPr>
      </w:pPr>
    </w:p>
    <w:p w:rsidR="0050179A" w:rsidRDefault="0050179A" w:rsidP="0050179A">
      <w:pPr>
        <w:spacing w:line="276" w:lineRule="auto"/>
        <w:rPr>
          <w:rFonts w:cs="Arial"/>
        </w:rPr>
      </w:pPr>
      <w:r>
        <w:rPr>
          <w:rFonts w:cs="Arial"/>
        </w:rPr>
        <w:t xml:space="preserve">Následující poznámky se týkají aktualizované Studie proveditelnosti 09/2012 „Modernizace železniční trati Hradec Králové-Pardubice-Chrudim, (úsek) Hradec Králové-Pardubice”. </w:t>
      </w:r>
    </w:p>
    <w:p w:rsidR="0050179A" w:rsidRDefault="0050179A" w:rsidP="0050179A">
      <w:pPr>
        <w:spacing w:line="276" w:lineRule="auto"/>
        <w:rPr>
          <w:rFonts w:cs="Arial"/>
        </w:rPr>
      </w:pPr>
      <w:r>
        <w:rPr>
          <w:rFonts w:cs="Arial"/>
        </w:rPr>
        <w:t>První doporučující zpráva JASPERS ze dne 1.7. 2012 měla za cíl předložit obecné poznámky a poukázat na hlavní zjištěné problémy. Pro účely této zprávy byla provedena hlubší analýza studie proveditelnosti („SP“), které také zohlednila informace získané v průběhu návštěvy a schůzky, která se uskutečnila v červenci 2012. Poznámky si nekladou za cíl být zcela vyčerpávající nebo konečné z hlediska JASPERS, protože například nebylo dosud možné provést žádné odpovídající hodnocení nákladů na investice a údržbu.</w:t>
      </w:r>
    </w:p>
    <w:p w:rsidR="0050179A" w:rsidRDefault="0050179A" w:rsidP="0050179A">
      <w:pPr>
        <w:spacing w:line="276" w:lineRule="auto"/>
        <w:rPr>
          <w:rFonts w:cs="Arial"/>
          <w:u w:val="single"/>
        </w:rPr>
      </w:pPr>
      <w:r>
        <w:rPr>
          <w:rFonts w:cs="Arial"/>
          <w:u w:val="single"/>
        </w:rPr>
        <w:t xml:space="preserve">Ocenili jsme, že prezentace a kvalita stávající SP se významně zlepšily, zejména v rámci jednotlivých kapitol, jako je analýza provozu, plánování provozu a technické řešení. </w:t>
      </w:r>
    </w:p>
    <w:p w:rsidR="0050179A" w:rsidRDefault="0050179A" w:rsidP="0050179A">
      <w:pPr>
        <w:spacing w:line="276" w:lineRule="auto"/>
        <w:rPr>
          <w:rFonts w:cs="Arial"/>
        </w:rPr>
      </w:pPr>
      <w:r>
        <w:rPr>
          <w:rFonts w:cs="Arial"/>
        </w:rPr>
        <w:t>Zpráva je rozdělena na několik kapitol, přičemž jejich důležitost v níže uvedeném seznamu klesá:</w:t>
      </w:r>
    </w:p>
    <w:p w:rsidR="00631EAB" w:rsidRDefault="0050179A" w:rsidP="00D20948">
      <w:pPr>
        <w:numPr>
          <w:ilvl w:val="0"/>
          <w:numId w:val="45"/>
        </w:numPr>
        <w:suppressAutoHyphens w:val="0"/>
        <w:spacing w:before="0" w:after="0" w:line="276" w:lineRule="auto"/>
        <w:rPr>
          <w:rFonts w:cs="Arial"/>
        </w:rPr>
      </w:pPr>
      <w:r>
        <w:rPr>
          <w:rFonts w:cs="Arial"/>
        </w:rPr>
        <w:t>Hlavní problémy koncepce – bod 1</w:t>
      </w:r>
    </w:p>
    <w:p w:rsidR="00631EAB" w:rsidRDefault="0050179A" w:rsidP="00D20948">
      <w:pPr>
        <w:numPr>
          <w:ilvl w:val="0"/>
          <w:numId w:val="45"/>
        </w:numPr>
        <w:suppressAutoHyphens w:val="0"/>
        <w:spacing w:before="0" w:after="0" w:line="276" w:lineRule="auto"/>
        <w:rPr>
          <w:rFonts w:cs="Arial"/>
        </w:rPr>
      </w:pPr>
      <w:r>
        <w:rPr>
          <w:rFonts w:cs="Arial"/>
        </w:rPr>
        <w:t>Hlavní problémy odůvodnění a posouzení – body 2-9</w:t>
      </w:r>
    </w:p>
    <w:p w:rsidR="00631EAB" w:rsidRDefault="0050179A" w:rsidP="00D20948">
      <w:pPr>
        <w:numPr>
          <w:ilvl w:val="0"/>
          <w:numId w:val="45"/>
        </w:numPr>
        <w:suppressAutoHyphens w:val="0"/>
        <w:spacing w:before="0" w:after="0" w:line="276" w:lineRule="auto"/>
        <w:rPr>
          <w:rFonts w:cs="Arial"/>
        </w:rPr>
      </w:pPr>
      <w:r>
        <w:rPr>
          <w:rFonts w:cs="Arial"/>
        </w:rPr>
        <w:t>Důležité problémy prezentace – body 10-13</w:t>
      </w:r>
    </w:p>
    <w:p w:rsidR="00631EAB" w:rsidRDefault="0050179A" w:rsidP="00D20948">
      <w:pPr>
        <w:numPr>
          <w:ilvl w:val="0"/>
          <w:numId w:val="45"/>
        </w:numPr>
        <w:suppressAutoHyphens w:val="0"/>
        <w:spacing w:before="0" w:after="0" w:line="276" w:lineRule="auto"/>
        <w:rPr>
          <w:rFonts w:cs="Arial"/>
        </w:rPr>
      </w:pPr>
      <w:r>
        <w:rPr>
          <w:rFonts w:cs="Arial"/>
        </w:rPr>
        <w:t>Další problémy ke zvážení – body 14-26</w:t>
      </w:r>
    </w:p>
    <w:p w:rsidR="0050179A" w:rsidRDefault="0050179A" w:rsidP="0050179A">
      <w:pPr>
        <w:spacing w:line="276" w:lineRule="auto"/>
        <w:rPr>
          <w:rFonts w:cs="Arial"/>
        </w:rPr>
      </w:pPr>
      <w:r>
        <w:rPr>
          <w:rFonts w:cs="Arial"/>
        </w:rPr>
        <w:t>Body v každé kapitole jsou buď obecné, nebo plynou z průběhu SP a nejsou řazeny podle významnosti.</w:t>
      </w:r>
    </w:p>
    <w:p w:rsidR="0050179A" w:rsidRDefault="0050179A" w:rsidP="0050179A">
      <w:pPr>
        <w:spacing w:line="276" w:lineRule="auto"/>
        <w:rPr>
          <w:rFonts w:cs="Arial"/>
        </w:rPr>
      </w:pPr>
    </w:p>
    <w:p w:rsidR="0050179A" w:rsidRDefault="0050179A" w:rsidP="0050179A">
      <w:pPr>
        <w:spacing w:line="276" w:lineRule="auto"/>
        <w:rPr>
          <w:rFonts w:cs="Arial"/>
        </w:rPr>
      </w:pPr>
    </w:p>
    <w:p w:rsidR="0050179A" w:rsidRDefault="0050179A" w:rsidP="0050179A">
      <w:pPr>
        <w:spacing w:line="276" w:lineRule="auto"/>
        <w:rPr>
          <w:rFonts w:cs="Arial"/>
          <w:b/>
          <w:sz w:val="28"/>
          <w:szCs w:val="28"/>
          <w:u w:val="single"/>
        </w:rPr>
      </w:pPr>
      <w:r>
        <w:rPr>
          <w:rFonts w:cs="Arial"/>
          <w:b/>
          <w:sz w:val="28"/>
          <w:szCs w:val="28"/>
          <w:u w:val="single"/>
        </w:rPr>
        <w:t>Hlavní problémy koncepce</w:t>
      </w: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b/>
          <w:sz w:val="20"/>
          <w:szCs w:val="20"/>
          <w:lang w:val="cs-CZ"/>
        </w:rPr>
        <w:t>Definice variant posuzovaných ve SP (obecná poznámka)</w:t>
      </w:r>
    </w:p>
    <w:p w:rsidR="0050179A" w:rsidRDefault="0050179A" w:rsidP="0050179A">
      <w:pPr>
        <w:spacing w:line="276" w:lineRule="auto"/>
        <w:rPr>
          <w:rFonts w:cs="Arial"/>
        </w:rPr>
      </w:pPr>
      <w:r>
        <w:rPr>
          <w:rFonts w:cs="Arial"/>
        </w:rPr>
        <w:t>Varianty analyzované ve studii, tak jak jsou v současné době definovány, jsou považovány za fáze zdokonalení, které vede hlavně k navýšení kapacity trati (různá stádia jediné varianty), spíše než zcela nezávislé varianty.</w:t>
      </w:r>
    </w:p>
    <w:p w:rsidR="0050179A" w:rsidRDefault="0050179A" w:rsidP="0050179A">
      <w:pPr>
        <w:spacing w:line="276" w:lineRule="auto"/>
        <w:rPr>
          <w:rFonts w:cs="Arial"/>
        </w:rPr>
      </w:pPr>
      <w:r>
        <w:rPr>
          <w:rFonts w:cs="Arial"/>
        </w:rPr>
        <w:t>V předcházejících poznámkách JASPERS doporučil znovu definovat varianty s cílem zvážit v posouzení všechny nezávislé varianty (nikoliv různé fáze téže varianty) nebo ve SP vhodně zdůraznit důvody, které vedly k definování stávajících variant (například limity a podmínky stávající dopravní cesty).</w:t>
      </w:r>
    </w:p>
    <w:p w:rsidR="0050179A" w:rsidRDefault="0050179A" w:rsidP="0050179A">
      <w:pPr>
        <w:spacing w:line="276" w:lineRule="auto"/>
        <w:rPr>
          <w:rFonts w:cs="Arial"/>
        </w:rPr>
      </w:pPr>
      <w:r>
        <w:rPr>
          <w:rFonts w:cs="Arial"/>
        </w:rPr>
        <w:t xml:space="preserve">Navíc nebylo z předcházející verze studie jasné, zda byly zkoumány další dílčí varianty zahrnující různá nádraží/zastávky, což bylo důrazně doporučeno. </w:t>
      </w:r>
    </w:p>
    <w:p w:rsidR="0050179A" w:rsidRDefault="0050179A" w:rsidP="0050179A">
      <w:pPr>
        <w:spacing w:line="276" w:lineRule="auto"/>
        <w:rPr>
          <w:rFonts w:cs="Arial"/>
        </w:rPr>
      </w:pPr>
      <w:r>
        <w:rPr>
          <w:rFonts w:cs="Arial"/>
        </w:rPr>
        <w:t xml:space="preserve">Problém však nebyl v nové verzi studie řešen. </w:t>
      </w:r>
      <w:r>
        <w:rPr>
          <w:rFonts w:cs="Arial"/>
          <w:u w:val="single"/>
        </w:rPr>
        <w:t>Zvolené varianty v kombinaci s posouzením metodiky zvolené varianty</w:t>
      </w:r>
      <w:r>
        <w:rPr>
          <w:rFonts w:cs="Arial"/>
        </w:rPr>
        <w:t xml:space="preserve"> nadále zůstaly hlavním zjištěným problémem a </w:t>
      </w:r>
      <w:r>
        <w:rPr>
          <w:rFonts w:cs="Arial"/>
          <w:u w:val="single"/>
        </w:rPr>
        <w:t>budou vyžadovat zdůvodnění jakékoliv budoucí investice</w:t>
      </w:r>
      <w:r>
        <w:rPr>
          <w:rFonts w:cs="Arial"/>
        </w:rPr>
        <w:t xml:space="preserve"> na trati. Toto téma je podrobněji rozebráno v bodě 2.</w:t>
      </w:r>
    </w:p>
    <w:p w:rsidR="0050179A" w:rsidRDefault="0050179A" w:rsidP="0050179A">
      <w:pPr>
        <w:spacing w:line="276" w:lineRule="auto"/>
        <w:rPr>
          <w:rFonts w:cs="Arial"/>
        </w:rPr>
      </w:pPr>
    </w:p>
    <w:p w:rsidR="0050179A" w:rsidRDefault="0050179A" w:rsidP="0050179A">
      <w:pPr>
        <w:spacing w:line="276" w:lineRule="auto"/>
        <w:rPr>
          <w:rFonts w:cs="Arial"/>
          <w:b/>
          <w:sz w:val="28"/>
          <w:szCs w:val="28"/>
          <w:u w:val="single"/>
        </w:rPr>
      </w:pPr>
      <w:r>
        <w:rPr>
          <w:rFonts w:cs="Arial"/>
          <w:b/>
          <w:sz w:val="28"/>
          <w:szCs w:val="28"/>
          <w:u w:val="single"/>
        </w:rPr>
        <w:t xml:space="preserve">Hlavní problémy zdůvodnění a posouzení </w:t>
      </w: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cs="Arial"/>
          <w:b/>
          <w:bCs/>
          <w:color w:val="000000"/>
          <w:sz w:val="20"/>
          <w:szCs w:val="20"/>
          <w:lang w:val="cs-CZ"/>
        </w:rPr>
        <w:t>Metodika posouzení variant a závěry/přístup analýzy nákladů a přínosů (obecná poznámka)</w:t>
      </w:r>
    </w:p>
    <w:p w:rsidR="0050179A" w:rsidRDefault="0050179A" w:rsidP="0050179A">
      <w:pPr>
        <w:spacing w:line="276" w:lineRule="auto"/>
        <w:rPr>
          <w:rFonts w:cs="Arial"/>
        </w:rPr>
      </w:pPr>
      <w:r>
        <w:rPr>
          <w:rFonts w:cs="Arial"/>
        </w:rPr>
        <w:t xml:space="preserve">Výsledky posouzení variant uvedené v aktualizované Studii proveditelnosti (tabulka 7-22 a tak, byly vypočteny v přiložených excelových tabulkách) naznačují, že všechny varianty stavby jsou přijatelné díky tomu, že ekonomické vnitřní výnosové procento (EIRR) je vyšší než referenční sazba (diskontní sazba = 5.5 %.) Avšak </w:t>
      </w:r>
      <w:r>
        <w:rPr>
          <w:rFonts w:cs="Arial"/>
          <w:u w:val="single"/>
        </w:rPr>
        <w:t>další fáze investice (jak jsou uvedeny v bodě 1 výše), které mají být uskutečněny navíc k variantě  Střední 1, by měly být řádně posouzeny se zohlednění nárůstu očekávané čisté účetní hodnoty</w:t>
      </w:r>
      <w:r>
        <w:rPr>
          <w:rFonts w:cs="Arial"/>
        </w:rPr>
        <w:t xml:space="preserve"> (</w:t>
      </w:r>
      <w:r>
        <w:rPr>
          <w:rFonts w:cs="Arial"/>
          <w:u w:val="single"/>
        </w:rPr>
        <w:t>ENPV)</w:t>
      </w:r>
      <w:r>
        <w:rPr>
          <w:rFonts w:cs="Arial"/>
        </w:rPr>
        <w:t xml:space="preserve"> příslušné varianty ve srovnání s ENPV Střední varianty 1 (například očekávaná čistá účetní hodnota varianty Maximální minus ENPV varianty Střední 1). Výsledky jsou ve skutečnosti záporné, což je prokázáno níže uvedeným příkladem. </w:t>
      </w:r>
    </w:p>
    <w:p w:rsidR="0050179A" w:rsidRDefault="0050179A" w:rsidP="0050179A">
      <w:pPr>
        <w:spacing w:line="276" w:lineRule="auto"/>
        <w:rPr>
          <w:rFonts w:cs="Arial"/>
          <w:u w:val="single"/>
        </w:rPr>
      </w:pPr>
      <w:r>
        <w:rPr>
          <w:rFonts w:cs="Arial"/>
        </w:rPr>
        <w:t xml:space="preserve">Čistá účetní hodnota varianty 1.1. je mnohem vyšší než u varianty 2.2. což, </w:t>
      </w:r>
      <w:r>
        <w:rPr>
          <w:rFonts w:cs="Arial"/>
          <w:u w:val="single"/>
        </w:rPr>
        <w:t>jak je v současné době uvedeno jen na základě analýzy nákladů a přínosů, silně naznačuje, že žádné další investice do trati nad variantu 1.1 nejsou zdůvodnitelné.</w:t>
      </w:r>
    </w:p>
    <w:p w:rsidR="0050179A" w:rsidRDefault="0050179A" w:rsidP="0050179A">
      <w:pPr>
        <w:spacing w:line="276" w:lineRule="auto"/>
        <w:rPr>
          <w:rFonts w:cs="Arial"/>
          <w:u w:val="single"/>
        </w:rPr>
      </w:pPr>
      <w:r>
        <w:rPr>
          <w:rFonts w:cs="Arial"/>
          <w:u w:val="single"/>
        </w:rPr>
        <w:t xml:space="preserve">Posouzení variant v analýze nákladů a přínosů se samo o sobě nezdá být v tomto případě vhodným k podpoře jakéhokoliv doporučení výhod budoucích fází. JASPERS by musel prohlásit za významný problém, pokud by jakékoliv konečné posouzení nebylo v souladu se závěrem, že všechny varianty přeshující variantu 1.1 jsou v pořádku na základě výsledků analýzy nákladů a přínosů. </w:t>
      </w:r>
    </w:p>
    <w:p w:rsidR="0050179A" w:rsidRDefault="0050179A" w:rsidP="0050179A">
      <w:pPr>
        <w:spacing w:line="312" w:lineRule="auto"/>
        <w:rPr>
          <w:rFonts w:cs="Arial"/>
        </w:rPr>
      </w:pPr>
      <w:r>
        <w:rPr>
          <w:rFonts w:cs="Arial"/>
        </w:rPr>
        <w:t>V různých částech stávající SP je možno najít několik argumentů svědčících ve prospěch variant Střední 2 a Maximální, které by bylo možno zahrnout do závěrů jako způsob dokazující budoucí vhodnost těchto dvou variant. Některé z těchto argumentů jsou uvedeny níže a mohly by být použity v jakékoliv srovnávací analýze.</w:t>
      </w:r>
    </w:p>
    <w:p w:rsidR="00631EAB" w:rsidRDefault="0050179A" w:rsidP="00D20948">
      <w:pPr>
        <w:numPr>
          <w:ilvl w:val="0"/>
          <w:numId w:val="51"/>
        </w:numPr>
        <w:suppressAutoHyphens w:val="0"/>
        <w:spacing w:before="0" w:after="0" w:line="312" w:lineRule="auto"/>
        <w:rPr>
          <w:rFonts w:cs="Arial"/>
        </w:rPr>
      </w:pPr>
      <w:r>
        <w:rPr>
          <w:rFonts w:cs="Arial"/>
        </w:rPr>
        <w:t>Problémy spolehlivosti (úzká místa) v důsledku omezené kapacity jednokolejových úseků s ohledem na očekávaný počet vlaků (zejména na úseku Pardubice – Pardubice Rosice);</w:t>
      </w:r>
    </w:p>
    <w:p w:rsidR="00631EAB" w:rsidRDefault="0050179A" w:rsidP="00D20948">
      <w:pPr>
        <w:numPr>
          <w:ilvl w:val="0"/>
          <w:numId w:val="51"/>
        </w:numPr>
        <w:suppressAutoHyphens w:val="0"/>
        <w:spacing w:before="0" w:after="0" w:line="312" w:lineRule="auto"/>
        <w:rPr>
          <w:rFonts w:cs="Arial"/>
        </w:rPr>
      </w:pPr>
      <w:r>
        <w:rPr>
          <w:rFonts w:cs="Arial"/>
        </w:rPr>
        <w:t>Nedostatek volné kapacity pro nákladní vlaky na jednokolejných úsecích;</w:t>
      </w:r>
    </w:p>
    <w:p w:rsidR="00631EAB" w:rsidRDefault="0050179A" w:rsidP="00D20948">
      <w:pPr>
        <w:numPr>
          <w:ilvl w:val="0"/>
          <w:numId w:val="51"/>
        </w:numPr>
        <w:suppressAutoHyphens w:val="0"/>
        <w:spacing w:before="0" w:after="0" w:line="312" w:lineRule="auto"/>
        <w:rPr>
          <w:rFonts w:cs="Arial"/>
        </w:rPr>
      </w:pPr>
      <w:r>
        <w:rPr>
          <w:rFonts w:cs="Arial"/>
        </w:rPr>
        <w:t>Nevyhovující podmínky zhlaví nádraží Hradec Králové;</w:t>
      </w:r>
    </w:p>
    <w:p w:rsidR="00631EAB" w:rsidRDefault="0050179A" w:rsidP="00D20948">
      <w:pPr>
        <w:numPr>
          <w:ilvl w:val="0"/>
          <w:numId w:val="51"/>
        </w:numPr>
        <w:suppressAutoHyphens w:val="0"/>
        <w:spacing w:before="0" w:after="0" w:line="312" w:lineRule="auto"/>
        <w:rPr>
          <w:rFonts w:cs="Arial"/>
        </w:rPr>
      </w:pPr>
      <w:r>
        <w:rPr>
          <w:rFonts w:cs="Arial"/>
        </w:rPr>
        <w:t>Nízká nástupiště bez výškového oddělení nástupu na nádraží Pardubice Rosice;</w:t>
      </w:r>
    </w:p>
    <w:p w:rsidR="00631EAB" w:rsidRDefault="0050179A" w:rsidP="00D20948">
      <w:pPr>
        <w:numPr>
          <w:ilvl w:val="0"/>
          <w:numId w:val="51"/>
        </w:numPr>
        <w:suppressAutoHyphens w:val="0"/>
        <w:spacing w:before="0" w:after="0" w:line="312" w:lineRule="auto"/>
        <w:rPr>
          <w:rFonts w:cs="Arial"/>
        </w:rPr>
      </w:pPr>
      <w:r>
        <w:rPr>
          <w:rFonts w:cs="Arial"/>
        </w:rPr>
        <w:t>Časové úspory cestujících na trati Pardubice – Chrudim;</w:t>
      </w:r>
    </w:p>
    <w:p w:rsidR="00631EAB" w:rsidRDefault="0050179A" w:rsidP="00D20948">
      <w:pPr>
        <w:numPr>
          <w:ilvl w:val="0"/>
          <w:numId w:val="51"/>
        </w:numPr>
        <w:suppressAutoHyphens w:val="0"/>
        <w:spacing w:before="0" w:after="0" w:line="312" w:lineRule="auto"/>
        <w:rPr>
          <w:rFonts w:cs="Arial"/>
        </w:rPr>
      </w:pPr>
      <w:r>
        <w:rPr>
          <w:rFonts w:cs="Arial"/>
        </w:rPr>
        <w:t>atd.</w:t>
      </w:r>
    </w:p>
    <w:p w:rsidR="0050179A" w:rsidRDefault="0050179A" w:rsidP="0050179A">
      <w:pPr>
        <w:spacing w:line="312" w:lineRule="auto"/>
        <w:rPr>
          <w:rFonts w:cs="Arial"/>
          <w:highlight w:val="yellow"/>
        </w:rPr>
      </w:pPr>
      <w:r>
        <w:rPr>
          <w:rFonts w:cs="Arial"/>
        </w:rPr>
        <w:t>Je také možno zvážit různé provozní modely různých fází variant v případě podpory od kraje a objemy dopravy (například více vlaků v rámci vyšších variant nebo méně vlaků v rámci nižších variant), čímž by došlo k využití jakékoliv zvýšené kapacity a posílení ekonomické výslednosti dalších fází.</w:t>
      </w:r>
    </w:p>
    <w:p w:rsidR="0050179A" w:rsidRDefault="0050179A" w:rsidP="0050179A">
      <w:pPr>
        <w:spacing w:line="276" w:lineRule="auto"/>
        <w:rPr>
          <w:rFonts w:cs="Arial"/>
        </w:rPr>
      </w:pPr>
      <w:r>
        <w:rPr>
          <w:rFonts w:cs="Arial"/>
        </w:rPr>
        <w:t>Pokud to není možné podrobně vyřešit v této studii, může být ve studii navrženo, že další fáze mohou být podrobněji analyzovány v následné studii.</w:t>
      </w:r>
    </w:p>
    <w:p w:rsidR="00631EAB" w:rsidRDefault="0050179A" w:rsidP="00D20948">
      <w:pPr>
        <w:pStyle w:val="Odstavecseseznamem1"/>
        <w:numPr>
          <w:ilvl w:val="0"/>
          <w:numId w:val="44"/>
        </w:numPr>
        <w:spacing w:after="0"/>
        <w:jc w:val="both"/>
        <w:rPr>
          <w:rFonts w:ascii="Arial" w:hAnsi="Arial"/>
          <w:b/>
          <w:sz w:val="20"/>
          <w:szCs w:val="20"/>
          <w:lang w:val="cs-CZ"/>
        </w:rPr>
      </w:pPr>
      <w:r>
        <w:rPr>
          <w:rFonts w:ascii="Arial" w:hAnsi="Arial"/>
          <w:b/>
          <w:sz w:val="20"/>
          <w:szCs w:val="20"/>
          <w:lang w:val="cs-CZ"/>
        </w:rPr>
        <w:t>Krátký seznam variant k ekonomickému zhodnocení (obecná poznámka)</w:t>
      </w:r>
    </w:p>
    <w:p w:rsidR="0050179A" w:rsidRDefault="0050179A" w:rsidP="0050179A">
      <w:pPr>
        <w:spacing w:line="312" w:lineRule="auto"/>
        <w:rPr>
          <w:rFonts w:cs="Arial"/>
        </w:rPr>
      </w:pPr>
      <w:r>
        <w:rPr>
          <w:rFonts w:cs="Arial"/>
          <w:color w:val="000000"/>
        </w:rPr>
        <w:t xml:space="preserve">Některé variant nebyly v předložených variantách zváženy (ekonomické hodnocení). Vysvětlení krátkého seznamu variant k ekonomické analýze dosud nebylo předloženo. Není například jasné, proč omezená investiční varianta Střední 1 (1.1. není varianta úplné modernizace, protože zahrnuje „Nulovou” variantu úseku Stéblová-Opatovice) a úplná investiční varianta Střední 2 (Střední 2.2) byly zvoleny k provedení ekonomické analýzy a ostatní varianty byly odmítnuty. </w:t>
      </w:r>
      <w:r>
        <w:rPr>
          <w:rFonts w:cs="Arial"/>
          <w:color w:val="000000"/>
          <w:u w:val="single"/>
        </w:rPr>
        <w:t>JASPERS nemůže hodnotit proces sestavení krátkého seznamu, pokud není uvedeno jasné zdůvodnění variant zařazených do krátkého seznamu.</w:t>
      </w:r>
    </w:p>
    <w:p w:rsidR="00631EAB" w:rsidRDefault="0050179A" w:rsidP="00D20948">
      <w:pPr>
        <w:pStyle w:val="Odstavecseseznamem1"/>
        <w:numPr>
          <w:ilvl w:val="0"/>
          <w:numId w:val="44"/>
        </w:numPr>
        <w:spacing w:after="0"/>
        <w:jc w:val="both"/>
        <w:rPr>
          <w:rFonts w:ascii="Arial" w:hAnsi="Arial"/>
          <w:b/>
          <w:sz w:val="20"/>
          <w:szCs w:val="20"/>
          <w:lang w:val="cs-CZ"/>
        </w:rPr>
      </w:pPr>
      <w:r>
        <w:rPr>
          <w:rFonts w:ascii="Arial" w:hAnsi="Arial"/>
          <w:b/>
          <w:sz w:val="20"/>
          <w:szCs w:val="20"/>
          <w:lang w:val="cs-CZ"/>
        </w:rPr>
        <w:t>Rozděleních dalších nákladů na údržbu, opravy a obnovu pro Nulovou variantu stavby (kapitola 3.2, strany 25-28</w:t>
      </w:r>
      <w:r>
        <w:rPr>
          <w:rStyle w:val="Znakapoznpodarou"/>
          <w:rFonts w:ascii="Arial" w:hAnsi="Arial"/>
          <w:b/>
          <w:sz w:val="20"/>
          <w:szCs w:val="20"/>
          <w:lang w:val="cs-CZ"/>
        </w:rPr>
        <w:footnoteReference w:id="3"/>
      </w:r>
      <w:r>
        <w:rPr>
          <w:rFonts w:ascii="Arial" w:hAnsi="Arial"/>
          <w:b/>
          <w:sz w:val="20"/>
          <w:szCs w:val="20"/>
          <w:lang w:val="cs-CZ"/>
        </w:rPr>
        <w:t>)</w:t>
      </w:r>
    </w:p>
    <w:p w:rsidR="0050179A" w:rsidRDefault="0050179A" w:rsidP="0050179A">
      <w:pPr>
        <w:spacing w:line="312" w:lineRule="auto"/>
        <w:rPr>
          <w:rFonts w:cs="Arial"/>
          <w:color w:val="000000"/>
        </w:rPr>
      </w:pPr>
      <w:r>
        <w:rPr>
          <w:rFonts w:cs="Arial"/>
          <w:color w:val="000000"/>
        </w:rPr>
        <w:t xml:space="preserve">Další informace týkající se plánu obnovy opotřebovaného zařízení byly zahrnuty do poslední verze SP. Avšak i s takto zahrnutými informacemi </w:t>
      </w:r>
      <w:r>
        <w:rPr>
          <w:rFonts w:cs="Arial"/>
          <w:color w:val="000000"/>
          <w:u w:val="single"/>
        </w:rPr>
        <w:t>není stále možné posoudit další výdaje na údržbu, opravy a obnovu v Nulové variantě</w:t>
      </w:r>
      <w:r>
        <w:rPr>
          <w:rFonts w:cs="Arial"/>
          <w:color w:val="000000"/>
        </w:rPr>
        <w:t>. K provedení řádného posouzení v tomto smyslu by měl být součástí studie komentovaný rozpis dalších nákladů na opravy a obnovu Nulové varianty v dělení na jednotlivé položky.</w:t>
      </w: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b/>
          <w:sz w:val="20"/>
          <w:szCs w:val="20"/>
          <w:lang w:val="cs-CZ"/>
        </w:rPr>
        <w:t>Rozpis investičních nákladů (kapitoly 3.3 až 3.6, strany 28-58)</w:t>
      </w:r>
    </w:p>
    <w:p w:rsidR="0050179A" w:rsidRDefault="0050179A" w:rsidP="0050179A">
      <w:pPr>
        <w:spacing w:line="276" w:lineRule="auto"/>
        <w:rPr>
          <w:rFonts w:cs="Arial"/>
        </w:rPr>
      </w:pPr>
      <w:r>
        <w:rPr>
          <w:rFonts w:cs="Arial"/>
        </w:rPr>
        <w:t>Doplňující informace pro všechny varianty stavby týkající se investičních nákladů byly zahrnuty do SP pod položkou „náklady na realizaci“. Nově zahrnuté informace obsahují rozpis nákladů v dělení na úseky a podle profesí, ale nejsou stále dostačující k tomu, aby JASPERS mohl provést odpovídající posouzení.</w:t>
      </w:r>
    </w:p>
    <w:p w:rsidR="0050179A" w:rsidRDefault="0050179A" w:rsidP="0050179A">
      <w:pPr>
        <w:spacing w:line="276" w:lineRule="auto"/>
        <w:rPr>
          <w:rFonts w:cs="Arial"/>
        </w:rPr>
      </w:pPr>
      <w:r>
        <w:rPr>
          <w:rFonts w:cs="Arial"/>
        </w:rPr>
        <w:t>Struktura rozpisu nákladů dokumentující varianty SP je předmětem jednání se SŽDC. Co nejdříve po dosažení shody na konečné variantě bude odeslána konzultantovi. Náklady by měly být stanoveny pro každou z analyzovaných variant stavby v takové míře podrobnosti, jaká je zahrnuta v rozpisu struktury, který má být zaslán.</w:t>
      </w:r>
    </w:p>
    <w:p w:rsidR="0050179A" w:rsidRDefault="0050179A" w:rsidP="0050179A">
      <w:pPr>
        <w:spacing w:line="276" w:lineRule="auto"/>
        <w:rPr>
          <w:rFonts w:cs="Arial"/>
        </w:rPr>
      </w:pPr>
      <w:r>
        <w:rPr>
          <w:rFonts w:cs="Arial"/>
        </w:rPr>
        <w:t xml:space="preserve">Mezi tím by předložené tabulky nákladů měly být doplněny o informace týkající se množství a jednotkových cen každé jednotlivé zahrnuté položky, aby bylo možno provést řádné posouzení. </w:t>
      </w: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b/>
          <w:sz w:val="20"/>
          <w:szCs w:val="20"/>
          <w:lang w:val="cs-CZ"/>
        </w:rPr>
        <w:t>Obecné předpoklady pro GVD v rozpisu variant (kapitola 4.2.4, strany 78-80)</w:t>
      </w:r>
    </w:p>
    <w:p w:rsidR="0050179A" w:rsidRDefault="0050179A" w:rsidP="0050179A">
      <w:pPr>
        <w:spacing w:line="312" w:lineRule="auto"/>
        <w:rPr>
          <w:rFonts w:cs="Arial"/>
          <w:color w:val="000000"/>
        </w:rPr>
      </w:pPr>
      <w:r>
        <w:rPr>
          <w:rFonts w:cs="Arial"/>
          <w:color w:val="000000"/>
        </w:rPr>
        <w:t xml:space="preserve">Podle následujícího textu zahrnutého do této kapitoly očekávaného počtu vlaků uvedeného v kapitole 4.1.2 ohledně budoucí situace bude dosaženo jen ve střednědobém termínu: </w:t>
      </w:r>
    </w:p>
    <w:p w:rsidR="0050179A" w:rsidRDefault="0050179A" w:rsidP="0050179A">
      <w:pPr>
        <w:spacing w:line="312" w:lineRule="auto"/>
        <w:rPr>
          <w:rFonts w:cs="Arial"/>
          <w:color w:val="000000"/>
        </w:rPr>
      </w:pPr>
    </w:p>
    <w:p w:rsidR="0050179A" w:rsidRDefault="0050179A" w:rsidP="0050179A">
      <w:pPr>
        <w:spacing w:line="312" w:lineRule="auto"/>
        <w:rPr>
          <w:rFonts w:cs="Arial"/>
          <w:color w:val="000000"/>
        </w:rPr>
      </w:pPr>
      <w:r>
        <w:rPr>
          <w:rFonts w:cs="Arial"/>
          <w:i/>
          <w:color w:val="000000"/>
        </w:rPr>
        <w:t>„Následné časové polohy vlakových cest, zejména vlaků uvedených jako kategorie R /rychlíky/byly převzaty z „Posouzení dopravní kapacity železniční trati Hradec Králové – Pardubice (SUDOP Praha, 2009)”. Průjezd vlaků tak, jak je uveden v modelových dopravních grafech, spíše odpovídá střednědobému časovému horizontu; pokud jde o časově bližší periodu, je možné zvážit částečný nárůst dopravy podle představ OREDO, to by znamenalo 7 vlaků za 60 minut ve špičce a 5 vlaků za 60 minut mimo špičku. Takovýto nižší počet vlaků umožní upravit časové polohy vlakových cest tak, aby byly dosažitelné s ohledem na podmínky železniční dopravní cesty ”.</w:t>
      </w:r>
    </w:p>
    <w:p w:rsidR="0050179A" w:rsidRDefault="0050179A" w:rsidP="0050179A">
      <w:pPr>
        <w:spacing w:line="312" w:lineRule="auto"/>
        <w:rPr>
          <w:rFonts w:cs="Arial"/>
          <w:color w:val="000000"/>
        </w:rPr>
      </w:pPr>
      <w:r>
        <w:rPr>
          <w:rFonts w:cs="Arial"/>
          <w:color w:val="000000"/>
        </w:rPr>
        <w:t xml:space="preserve">Podle toho, jak jsme to pochopili, počet vlaků zohledněný v analýze poptávky a ve výpočtech analýzy nákladů a přínosů pro celé hodnocené období je stejný a odpovídá hodnotám uvedeným v kapitole 4.1.2. Pokud se očekávají jiné časové horizonty ohledně počtu vlaků, proč to nebylo zohledněno v prognóze poptávky a ve výpočtech analýzy nákladů a přínosů? </w:t>
      </w:r>
    </w:p>
    <w:p w:rsidR="0050179A" w:rsidRDefault="0050179A" w:rsidP="0050179A">
      <w:pPr>
        <w:spacing w:line="312" w:lineRule="auto"/>
        <w:rPr>
          <w:rFonts w:cs="Arial"/>
          <w:color w:val="000000"/>
        </w:rPr>
      </w:pPr>
      <w:r>
        <w:rPr>
          <w:rFonts w:cs="Arial"/>
          <w:color w:val="000000"/>
        </w:rPr>
        <w:t>V takovém případě by měl být zahrnut očekávaný počet vlaků u všech scénářů a SP by měla být aktualizována.</w:t>
      </w:r>
    </w:p>
    <w:p w:rsidR="0050179A" w:rsidRDefault="0050179A" w:rsidP="0050179A">
      <w:pPr>
        <w:spacing w:line="312" w:lineRule="auto"/>
        <w:rPr>
          <w:rFonts w:cs="Arial"/>
          <w:color w:val="000000"/>
        </w:rPr>
      </w:pPr>
      <w:r>
        <w:rPr>
          <w:rFonts w:cs="Arial"/>
          <w:color w:val="000000"/>
        </w:rPr>
        <w:t>Postupné zavedení vyššího počtu vlaků zdůvodněné potřebami plynoucími z poptávky by pomohlo zdůvodnit budoucí potřebu variant Střední 2 a Maximální z hlediska omezení kapacity varianty Střední 1.</w:t>
      </w: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b/>
          <w:sz w:val="20"/>
          <w:szCs w:val="20"/>
          <w:lang w:val="cs-CZ"/>
        </w:rPr>
        <w:t>Kapacita trati pro varianty Minimální, Střední 1 a Střední 2 (kapitola 4.3.2, strany 80-85)</w:t>
      </w:r>
    </w:p>
    <w:p w:rsidR="0050179A" w:rsidRDefault="0050179A" w:rsidP="0050179A">
      <w:pPr>
        <w:spacing w:line="276" w:lineRule="auto"/>
        <w:rPr>
          <w:rFonts w:cs="Arial"/>
        </w:rPr>
      </w:pPr>
      <w:r>
        <w:rPr>
          <w:rFonts w:cs="Arial"/>
        </w:rPr>
        <w:t>Výpočty propustnosti úseků, které zůstanou jednokolejné ve všech variantách, ukazují že, u budoucího počtu vlaků bude míra obsazenosti blízká a v některých případech mírně vyšší než doporučený limit podle předpisu D24 a Kodexu UIC 406R.</w:t>
      </w:r>
    </w:p>
    <w:p w:rsidR="0050179A" w:rsidRDefault="0050179A" w:rsidP="0050179A">
      <w:pPr>
        <w:spacing w:line="276" w:lineRule="auto"/>
        <w:rPr>
          <w:rFonts w:cs="Arial"/>
        </w:rPr>
      </w:pPr>
      <w:r>
        <w:rPr>
          <w:rFonts w:cs="Arial"/>
        </w:rPr>
        <w:t>To ukazuje, že i když kapacita těchto úseků bude dostatečná pro očekávaný počet vlaků, spolehlivost trati bude vcelku nízká a jakékoliv zpoždění v důsledku mimořádné události se odrazí v následném zpoždění ostatních vlaků, což odradí cestující.</w:t>
      </w:r>
    </w:p>
    <w:p w:rsidR="0050179A" w:rsidRDefault="0050179A" w:rsidP="0050179A">
      <w:pPr>
        <w:spacing w:line="276" w:lineRule="auto"/>
        <w:rPr>
          <w:rFonts w:cs="Arial"/>
        </w:rPr>
      </w:pPr>
      <w:r>
        <w:rPr>
          <w:rFonts w:cs="Arial"/>
        </w:rPr>
        <w:t>Tato situace je ještě více problematická na úseku Pardubice – Pardubice Rosice, protože když se trať blíží k nádraží Pardubice Rosice, na jednokolejnou trať vjíždějí také vlaky po trati ze směru Pardubice – Chrudim, což ještě dále snižuje spolehlivost.</w:t>
      </w:r>
    </w:p>
    <w:p w:rsidR="0050179A" w:rsidRDefault="0050179A" w:rsidP="0050179A">
      <w:pPr>
        <w:spacing w:line="276" w:lineRule="auto"/>
        <w:rPr>
          <w:rFonts w:cs="Arial"/>
        </w:rPr>
      </w:pPr>
      <w:r>
        <w:rPr>
          <w:rFonts w:cs="Arial"/>
        </w:rPr>
        <w:t xml:space="preserve">Minimálním požadavkem na otevření prostoru pro další investice na trati po realizaci varianty Střední 1 je podrobný popis těchto kapacitních problémů v konečných závěrech SP, pokud nebudou použity návrhy JASPERS týkající se změn metodiky posuzování. </w:t>
      </w:r>
    </w:p>
    <w:p w:rsidR="0050179A" w:rsidRDefault="0050179A" w:rsidP="0050179A">
      <w:pPr>
        <w:spacing w:line="276" w:lineRule="auto"/>
        <w:rPr>
          <w:rFonts w:cs="Arial"/>
        </w:rPr>
      </w:pPr>
      <w:r>
        <w:rPr>
          <w:rFonts w:cs="Arial"/>
        </w:rPr>
        <w:t>Další množností by byla revize počtu vlaků směrem dolů ve variantě Střední 1, čímž by také bylo dosaženo lepší bilance v ekonomické analýze. Viz bod 2, kde se tento bod řešen.</w:t>
      </w: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b/>
          <w:sz w:val="20"/>
          <w:szCs w:val="20"/>
          <w:lang w:val="cs-CZ"/>
        </w:rPr>
        <w:t>Kapacita nádraží (kapitola 4.3.4, strany 86-87)</w:t>
      </w:r>
    </w:p>
    <w:p w:rsidR="0050179A" w:rsidRDefault="0050179A" w:rsidP="0050179A">
      <w:pPr>
        <w:spacing w:line="276" w:lineRule="auto"/>
        <w:rPr>
          <w:rFonts w:cs="Arial"/>
        </w:rPr>
      </w:pPr>
      <w:r>
        <w:rPr>
          <w:rFonts w:cs="Arial"/>
        </w:rPr>
        <w:t>Byla také počítána prostupnost té části nádraží Hradec Králové, která byla zvolena pro obnovu. Podobný výpočet by měl být předložen i pro nádraží Pardubice-Rosice.</w:t>
      </w: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b/>
          <w:sz w:val="20"/>
          <w:szCs w:val="20"/>
          <w:lang w:val="cs-CZ"/>
        </w:rPr>
        <w:t>Dokumentace modelu provozu a prognóza poptávky</w:t>
      </w:r>
    </w:p>
    <w:p w:rsidR="0050179A" w:rsidRDefault="0050179A" w:rsidP="0050179A">
      <w:pPr>
        <w:pStyle w:val="Odstavecseseznamem1"/>
        <w:spacing w:after="0"/>
        <w:ind w:left="0"/>
        <w:jc w:val="both"/>
        <w:rPr>
          <w:rFonts w:ascii="Arial" w:hAnsi="Arial" w:cs="Tahoma"/>
          <w:color w:val="000000"/>
          <w:sz w:val="20"/>
          <w:shd w:val="clear" w:color="auto" w:fill="FFFFFF"/>
          <w:lang w:val="cs-CZ"/>
        </w:rPr>
      </w:pPr>
      <w:r>
        <w:rPr>
          <w:rFonts w:ascii="Arial" w:hAnsi="Arial"/>
          <w:sz w:val="20"/>
          <w:szCs w:val="20"/>
          <w:lang w:val="cs-CZ"/>
        </w:rPr>
        <w:t xml:space="preserve">Došlo ke značnému zlepšení revidované dokumentace poptávky od poslední verze. Absence některých základních údajů však stále ještě brání tomu, aby bylo možno plně posoudit prognózu </w:t>
      </w:r>
      <w:r>
        <w:rPr>
          <w:rFonts w:ascii="Arial" w:hAnsi="Arial" w:cs="Tahoma"/>
          <w:bCs/>
          <w:color w:val="000000"/>
          <w:sz w:val="20"/>
          <w:shd w:val="clear" w:color="auto" w:fill="FFFFFF"/>
          <w:lang w:val="cs-CZ"/>
        </w:rPr>
        <w:t>(jak bylo požadováno v elektronickém sdělení v češtině ze dne 2.11. 2012):</w:t>
      </w:r>
    </w:p>
    <w:p w:rsidR="0050179A" w:rsidRDefault="0050179A" w:rsidP="0050179A">
      <w:pPr>
        <w:shd w:val="clear" w:color="auto" w:fill="FFFFFF"/>
        <w:rPr>
          <w:rFonts w:cs="Tahoma"/>
          <w:color w:val="000000"/>
          <w:shd w:val="clear" w:color="auto" w:fill="FFFFFF"/>
        </w:rPr>
      </w:pPr>
      <w:r>
        <w:rPr>
          <w:rFonts w:cs="Tahoma"/>
          <w:color w:val="000000"/>
          <w:shd w:val="clear" w:color="auto" w:fill="FFFFFF"/>
        </w:rPr>
        <w:t> </w:t>
      </w:r>
      <w:r>
        <w:rPr>
          <w:rFonts w:cs="Tahoma"/>
          <w:color w:val="000000"/>
          <w:u w:val="single"/>
          <w:shd w:val="clear" w:color="auto" w:fill="FFFFFF"/>
        </w:rPr>
        <w:t>Základní prognóza:</w:t>
      </w:r>
    </w:p>
    <w:p w:rsidR="00631EAB" w:rsidRDefault="0050179A" w:rsidP="00D20948">
      <w:pPr>
        <w:numPr>
          <w:ilvl w:val="0"/>
          <w:numId w:val="46"/>
        </w:numPr>
        <w:shd w:val="clear" w:color="auto" w:fill="FFFFFF"/>
        <w:suppressAutoHyphens w:val="0"/>
        <w:spacing w:before="100" w:beforeAutospacing="1" w:after="100" w:afterAutospacing="1" w:line="240" w:lineRule="auto"/>
        <w:jc w:val="left"/>
        <w:rPr>
          <w:rFonts w:cs="Tahoma"/>
          <w:color w:val="000000"/>
          <w:shd w:val="clear" w:color="auto" w:fill="FFFFFF"/>
        </w:rPr>
      </w:pPr>
      <w:r>
        <w:rPr>
          <w:rFonts w:cs="Tahoma"/>
          <w:color w:val="000000"/>
          <w:shd w:val="clear" w:color="auto" w:fill="FFFFFF"/>
        </w:rPr>
        <w:t>Jaká je elasticita hlavních nezávislých proměnných ohledně poptávky (HNP, počet obyvatel)?</w:t>
      </w:r>
    </w:p>
    <w:p w:rsidR="0050179A" w:rsidRDefault="0050179A" w:rsidP="0050179A">
      <w:pPr>
        <w:shd w:val="clear" w:color="auto" w:fill="FFFFFF"/>
        <w:rPr>
          <w:rFonts w:cs="Tahoma"/>
          <w:color w:val="000000"/>
          <w:shd w:val="clear" w:color="auto" w:fill="FFFFFF"/>
        </w:rPr>
      </w:pPr>
      <w:r>
        <w:rPr>
          <w:rFonts w:cs="Tahoma"/>
          <w:color w:val="000000"/>
          <w:u w:val="single"/>
          <w:shd w:val="clear" w:color="auto" w:fill="FFFFFF"/>
        </w:rPr>
        <w:t xml:space="preserve">Dopravní vztahy plynoucí z modelu: </w:t>
      </w:r>
    </w:p>
    <w:p w:rsidR="00631EAB" w:rsidRDefault="0050179A" w:rsidP="00D20948">
      <w:pPr>
        <w:numPr>
          <w:ilvl w:val="0"/>
          <w:numId w:val="47"/>
        </w:numPr>
        <w:shd w:val="clear" w:color="auto" w:fill="FFFFFF"/>
        <w:suppressAutoHyphens w:val="0"/>
        <w:spacing w:before="100" w:beforeAutospacing="1" w:after="100" w:afterAutospacing="1" w:line="240" w:lineRule="auto"/>
        <w:jc w:val="left"/>
        <w:rPr>
          <w:rFonts w:cs="Tahoma"/>
          <w:color w:val="000000"/>
          <w:shd w:val="clear" w:color="auto" w:fill="FFFFFF"/>
        </w:rPr>
      </w:pPr>
      <w:r>
        <w:rPr>
          <w:rFonts w:cs="Tahoma"/>
          <w:color w:val="000000"/>
          <w:shd w:val="clear" w:color="auto" w:fill="FFFFFF"/>
        </w:rPr>
        <w:t>Počet cestujících denně používající automobil mezi Hradcem a Pardubicemi.</w:t>
      </w:r>
    </w:p>
    <w:p w:rsidR="00631EAB" w:rsidRDefault="0050179A" w:rsidP="00D20948">
      <w:pPr>
        <w:numPr>
          <w:ilvl w:val="0"/>
          <w:numId w:val="47"/>
        </w:numPr>
        <w:shd w:val="clear" w:color="auto" w:fill="FFFFFF"/>
        <w:suppressAutoHyphens w:val="0"/>
        <w:spacing w:before="100" w:beforeAutospacing="1" w:after="100" w:afterAutospacing="1" w:line="240" w:lineRule="auto"/>
        <w:jc w:val="left"/>
        <w:rPr>
          <w:rFonts w:cs="Tahoma"/>
          <w:color w:val="000000"/>
          <w:shd w:val="clear" w:color="auto" w:fill="FFFFFF"/>
        </w:rPr>
      </w:pPr>
      <w:r>
        <w:rPr>
          <w:rFonts w:cs="Tahoma"/>
          <w:color w:val="000000"/>
          <w:shd w:val="clear" w:color="auto" w:fill="FFFFFF"/>
        </w:rPr>
        <w:t>Počet cestujících denně používajících autobus mezi Hradcem a Pardubicemi.</w:t>
      </w:r>
    </w:p>
    <w:p w:rsidR="0050179A" w:rsidRDefault="0050179A" w:rsidP="0050179A">
      <w:pPr>
        <w:shd w:val="clear" w:color="auto" w:fill="FFFFFF"/>
        <w:rPr>
          <w:rFonts w:cs="Tahoma"/>
          <w:color w:val="000000"/>
          <w:shd w:val="clear" w:color="auto" w:fill="FFFFFF"/>
        </w:rPr>
      </w:pPr>
      <w:r>
        <w:rPr>
          <w:rFonts w:cs="Tahoma"/>
          <w:color w:val="000000"/>
          <w:u w:val="single"/>
          <w:shd w:val="clear" w:color="auto" w:fill="FFFFFF"/>
        </w:rPr>
        <w:t>Časové úspory: metoda výpočtu časových úspor</w:t>
      </w:r>
    </w:p>
    <w:p w:rsidR="00631EAB" w:rsidRDefault="0050179A" w:rsidP="00D20948">
      <w:pPr>
        <w:numPr>
          <w:ilvl w:val="0"/>
          <w:numId w:val="48"/>
        </w:numPr>
        <w:shd w:val="clear" w:color="auto" w:fill="FFFFFF"/>
        <w:suppressAutoHyphens w:val="0"/>
        <w:spacing w:before="100" w:beforeAutospacing="1" w:after="100" w:afterAutospacing="1" w:line="240" w:lineRule="auto"/>
        <w:jc w:val="left"/>
        <w:rPr>
          <w:rFonts w:cs="Tahoma"/>
          <w:color w:val="000000"/>
          <w:shd w:val="clear" w:color="auto" w:fill="FFFFFF"/>
        </w:rPr>
      </w:pPr>
      <w:r>
        <w:rPr>
          <w:rFonts w:cs="Tahoma"/>
          <w:color w:val="000000"/>
          <w:shd w:val="clear" w:color="auto" w:fill="FFFFFF"/>
        </w:rPr>
        <w:t xml:space="preserve">Pouze čas strávený ve vozidle nebo také čekání a doba potřebná k dosažení vozidla? </w:t>
      </w:r>
    </w:p>
    <w:p w:rsidR="00631EAB" w:rsidRDefault="0050179A" w:rsidP="00D20948">
      <w:pPr>
        <w:numPr>
          <w:ilvl w:val="0"/>
          <w:numId w:val="48"/>
        </w:numPr>
        <w:shd w:val="clear" w:color="auto" w:fill="FFFFFF"/>
        <w:suppressAutoHyphens w:val="0"/>
        <w:spacing w:before="100" w:beforeAutospacing="1" w:after="100" w:afterAutospacing="1" w:line="240" w:lineRule="auto"/>
        <w:jc w:val="left"/>
        <w:rPr>
          <w:rFonts w:cs="Tahoma"/>
          <w:color w:val="000000"/>
          <w:shd w:val="clear" w:color="auto" w:fill="FFFFFF"/>
        </w:rPr>
      </w:pPr>
      <w:r>
        <w:rPr>
          <w:rFonts w:cs="Tahoma"/>
          <w:color w:val="000000"/>
          <w:shd w:val="clear" w:color="auto" w:fill="FFFFFF"/>
        </w:rPr>
        <w:t>Základní doby jízdy použité pro automobily, autobusy a železnici pro potřeby výpočtu převedených úspor doby jízdy (mezi Hradcem Králové a Pardubicemi).</w:t>
      </w:r>
    </w:p>
    <w:p w:rsidR="0050179A" w:rsidRDefault="0050179A" w:rsidP="0050179A">
      <w:pPr>
        <w:shd w:val="clear" w:color="auto" w:fill="FFFFFF"/>
        <w:rPr>
          <w:rFonts w:cs="Tahoma"/>
          <w:color w:val="000000"/>
          <w:shd w:val="clear" w:color="auto" w:fill="FFFFFF"/>
        </w:rPr>
      </w:pPr>
      <w:r>
        <w:rPr>
          <w:rFonts w:cs="Tahoma"/>
          <w:color w:val="000000"/>
          <w:u w:val="single"/>
          <w:shd w:val="clear" w:color="auto" w:fill="FFFFFF"/>
        </w:rPr>
        <w:t xml:space="preserve">Problematiku volby způsobu dopravy </w:t>
      </w:r>
    </w:p>
    <w:p w:rsidR="0050179A" w:rsidRDefault="0050179A" w:rsidP="0050179A">
      <w:pPr>
        <w:shd w:val="clear" w:color="auto" w:fill="FFFFFF"/>
        <w:rPr>
          <w:rFonts w:cs="Tahoma"/>
          <w:color w:val="000000"/>
          <w:shd w:val="clear" w:color="auto" w:fill="FFFFFF"/>
        </w:rPr>
      </w:pPr>
      <w:r>
        <w:rPr>
          <w:rFonts w:cs="Tahoma"/>
          <w:color w:val="000000"/>
          <w:shd w:val="clear" w:color="auto" w:fill="FFFFFF"/>
        </w:rPr>
        <w:t> Osobní automobil – veřejná doprava</w:t>
      </w:r>
    </w:p>
    <w:p w:rsidR="00631EAB" w:rsidRDefault="0050179A" w:rsidP="00D20948">
      <w:pPr>
        <w:numPr>
          <w:ilvl w:val="0"/>
          <w:numId w:val="49"/>
        </w:numPr>
        <w:shd w:val="clear" w:color="auto" w:fill="FFFFFF"/>
        <w:suppressAutoHyphens w:val="0"/>
        <w:spacing w:before="100" w:beforeAutospacing="1" w:after="100" w:afterAutospacing="1" w:line="240" w:lineRule="auto"/>
        <w:jc w:val="left"/>
        <w:rPr>
          <w:rFonts w:cs="Tahoma"/>
          <w:color w:val="000000"/>
          <w:shd w:val="clear" w:color="auto" w:fill="FFFFFF"/>
        </w:rPr>
      </w:pPr>
      <w:r>
        <w:rPr>
          <w:rFonts w:cs="Tahoma"/>
          <w:color w:val="000000"/>
          <w:shd w:val="clear" w:color="auto" w:fill="FFFFFF"/>
        </w:rPr>
        <w:t>Metoda formulace jednotlivých kritérií modelu volby dopravního prostředku (zevšeobecněné náklady? A jakými parametry a vahami? Parametry logitového modelu).</w:t>
      </w:r>
    </w:p>
    <w:p w:rsidR="00631EAB" w:rsidRDefault="0050179A" w:rsidP="00D20948">
      <w:pPr>
        <w:numPr>
          <w:ilvl w:val="0"/>
          <w:numId w:val="49"/>
        </w:numPr>
        <w:shd w:val="clear" w:color="auto" w:fill="FFFFFF"/>
        <w:suppressAutoHyphens w:val="0"/>
        <w:spacing w:before="100" w:beforeAutospacing="1" w:after="100" w:afterAutospacing="1" w:line="240" w:lineRule="auto"/>
        <w:jc w:val="left"/>
        <w:rPr>
          <w:rFonts w:cs="Tahoma"/>
          <w:color w:val="000000"/>
          <w:shd w:val="clear" w:color="auto" w:fill="FFFFFF"/>
        </w:rPr>
      </w:pPr>
      <w:r>
        <w:rPr>
          <w:rFonts w:cs="Tahoma"/>
          <w:color w:val="000000"/>
          <w:shd w:val="clear" w:color="auto" w:fill="FFFFFF"/>
        </w:rPr>
        <w:t>Metoda kalibrace.</w:t>
      </w:r>
    </w:p>
    <w:p w:rsidR="0050179A" w:rsidRDefault="0050179A" w:rsidP="0050179A">
      <w:pPr>
        <w:shd w:val="clear" w:color="auto" w:fill="FFFFFF"/>
        <w:rPr>
          <w:rFonts w:cs="Tahoma"/>
          <w:color w:val="000000"/>
          <w:shd w:val="clear" w:color="auto" w:fill="FFFFFF"/>
        </w:rPr>
      </w:pPr>
      <w:r>
        <w:rPr>
          <w:rFonts w:cs="Tahoma"/>
          <w:color w:val="000000"/>
          <w:shd w:val="clear" w:color="auto" w:fill="FFFFFF"/>
        </w:rPr>
        <w:t>Autobus - vlak: trasa / způsob volby v přiřazení</w:t>
      </w:r>
    </w:p>
    <w:p w:rsidR="00631EAB" w:rsidRDefault="0050179A" w:rsidP="00D20948">
      <w:pPr>
        <w:numPr>
          <w:ilvl w:val="0"/>
          <w:numId w:val="50"/>
        </w:numPr>
        <w:shd w:val="clear" w:color="auto" w:fill="FFFFFF"/>
        <w:suppressAutoHyphens w:val="0"/>
        <w:spacing w:before="100" w:beforeAutospacing="1" w:after="100" w:afterAutospacing="1" w:line="240" w:lineRule="auto"/>
        <w:jc w:val="left"/>
        <w:rPr>
          <w:rFonts w:cs="Tahoma"/>
          <w:color w:val="000000"/>
          <w:shd w:val="clear" w:color="auto" w:fill="FFFFFF"/>
        </w:rPr>
      </w:pPr>
      <w:r>
        <w:rPr>
          <w:rFonts w:cs="Tahoma"/>
          <w:color w:val="000000"/>
          <w:shd w:val="clear" w:color="auto" w:fill="FFFFFF"/>
        </w:rPr>
        <w:t>Formulace funkce impedance (parametry a metoda přiřazení trasy – na základě logitu?).</w:t>
      </w:r>
    </w:p>
    <w:p w:rsidR="00631EAB" w:rsidRDefault="0050179A" w:rsidP="00D20948">
      <w:pPr>
        <w:numPr>
          <w:ilvl w:val="0"/>
          <w:numId w:val="50"/>
        </w:numPr>
        <w:shd w:val="clear" w:color="auto" w:fill="FFFFFF"/>
        <w:suppressAutoHyphens w:val="0"/>
        <w:spacing w:before="100" w:beforeAutospacing="1" w:after="100" w:afterAutospacing="1" w:line="240" w:lineRule="auto"/>
        <w:jc w:val="left"/>
        <w:rPr>
          <w:rFonts w:cs="Tahoma"/>
          <w:color w:val="000000"/>
          <w:shd w:val="clear" w:color="auto" w:fill="FFFFFF"/>
        </w:rPr>
      </w:pPr>
      <w:r>
        <w:rPr>
          <w:rFonts w:cs="Tahoma"/>
          <w:color w:val="000000"/>
          <w:shd w:val="clear" w:color="auto" w:fill="FFFFFF"/>
        </w:rPr>
        <w:t>Metoda kalibrace, použité parametry.</w:t>
      </w:r>
    </w:p>
    <w:p w:rsidR="0050179A" w:rsidRDefault="0050179A" w:rsidP="0050179A">
      <w:pPr>
        <w:shd w:val="clear" w:color="auto" w:fill="FFFFFF"/>
        <w:rPr>
          <w:rFonts w:cs="Tahoma"/>
          <w:color w:val="000000"/>
          <w:shd w:val="clear" w:color="auto" w:fill="FFFFFF"/>
        </w:rPr>
      </w:pPr>
      <w:r>
        <w:rPr>
          <w:rFonts w:cs="Tahoma"/>
          <w:color w:val="000000"/>
          <w:shd w:val="clear" w:color="auto" w:fill="FFFFFF"/>
        </w:rPr>
        <w:t>Odhadovaná změna počtu přímých autobusů na trase Hradec Králové-Pardubice po dokončení zdokonalení trati.</w:t>
      </w:r>
    </w:p>
    <w:p w:rsidR="0050179A" w:rsidRDefault="0050179A" w:rsidP="0050179A">
      <w:pPr>
        <w:spacing w:line="312" w:lineRule="auto"/>
        <w:rPr>
          <w:rFonts w:cs="Arial"/>
        </w:rPr>
      </w:pPr>
    </w:p>
    <w:p w:rsidR="0050179A" w:rsidRDefault="0050179A" w:rsidP="0050179A">
      <w:pPr>
        <w:spacing w:line="276" w:lineRule="auto"/>
        <w:rPr>
          <w:rFonts w:cs="Arial"/>
          <w:b/>
          <w:sz w:val="28"/>
          <w:szCs w:val="28"/>
          <w:u w:val="single"/>
        </w:rPr>
      </w:pPr>
      <w:r>
        <w:rPr>
          <w:rFonts w:cs="Arial"/>
          <w:b/>
          <w:sz w:val="28"/>
          <w:szCs w:val="28"/>
          <w:u w:val="single"/>
        </w:rPr>
        <w:t>Důležité problémy prezentace</w:t>
      </w:r>
    </w:p>
    <w:p w:rsidR="00631EAB" w:rsidRDefault="0050179A" w:rsidP="00D20948">
      <w:pPr>
        <w:pStyle w:val="Odstavecseseznamem1"/>
        <w:numPr>
          <w:ilvl w:val="0"/>
          <w:numId w:val="44"/>
        </w:numPr>
        <w:spacing w:after="0"/>
        <w:jc w:val="both"/>
        <w:rPr>
          <w:rFonts w:ascii="Arial" w:hAnsi="Arial"/>
          <w:b/>
          <w:sz w:val="20"/>
          <w:szCs w:val="20"/>
          <w:lang w:val="cs-CZ"/>
        </w:rPr>
      </w:pPr>
      <w:r>
        <w:rPr>
          <w:rFonts w:ascii="Arial" w:hAnsi="Arial"/>
          <w:b/>
          <w:sz w:val="20"/>
          <w:szCs w:val="20"/>
          <w:lang w:val="cs-CZ"/>
        </w:rPr>
        <w:t>Organizace a strategie údržby (obecná poznámka)</w:t>
      </w:r>
    </w:p>
    <w:p w:rsidR="0050179A" w:rsidRDefault="0050179A" w:rsidP="0050179A">
      <w:pPr>
        <w:spacing w:line="276" w:lineRule="auto"/>
        <w:rPr>
          <w:rFonts w:cs="Arial"/>
        </w:rPr>
      </w:pPr>
      <w:r>
        <w:rPr>
          <w:rFonts w:cs="Arial"/>
        </w:rPr>
        <w:t>SŽDC uvedla, že za současné situace je část údržby vykonávána najatým externích dodavatelem a nebylo by spolehlivé, kdyby SŽDC formulovala prognózu budoucí situace, protože se politika údržby a oprav mění. V každém případě se požaduje popis organizace stávající údržby a oprav včetně počtu zaměstnanců, jejich konkrétních povinností, stávajících dílen, jejich umístění, zařízení a nářadí, dopravních prostředků a stávajícího a budoucího rozpočtu údržbu na tento úsek tak, jak bylo dohodnuto pro ostatní stavby.</w:t>
      </w:r>
    </w:p>
    <w:p w:rsidR="0050179A" w:rsidRDefault="0050179A" w:rsidP="0050179A">
      <w:pPr>
        <w:spacing w:line="276" w:lineRule="auto"/>
        <w:rPr>
          <w:rFonts w:cs="Arial"/>
        </w:rPr>
      </w:pPr>
      <w:r>
        <w:rPr>
          <w:rFonts w:cs="Arial"/>
        </w:rPr>
        <w:t>Kromě toho by měl být také uveden plánovaný přístup k údržbě s ohledem na silný provoz na trati (v rozsahu Nulová údržba a rychlá rekonstrukce s maximalistickou frekvencí údržby s dlouhou životností dopravní cesty).</w:t>
      </w:r>
    </w:p>
    <w:p w:rsidR="00631EAB" w:rsidRDefault="0050179A" w:rsidP="00D20948">
      <w:pPr>
        <w:pStyle w:val="Odstavecseseznamem1"/>
        <w:numPr>
          <w:ilvl w:val="0"/>
          <w:numId w:val="44"/>
        </w:numPr>
        <w:spacing w:after="0"/>
        <w:jc w:val="both"/>
        <w:rPr>
          <w:rFonts w:ascii="Arial" w:hAnsi="Arial"/>
          <w:b/>
          <w:sz w:val="20"/>
          <w:szCs w:val="20"/>
          <w:lang w:val="cs-CZ"/>
        </w:rPr>
      </w:pPr>
      <w:r>
        <w:rPr>
          <w:rFonts w:ascii="Arial" w:hAnsi="Arial"/>
          <w:b/>
          <w:sz w:val="20"/>
          <w:szCs w:val="20"/>
          <w:lang w:val="cs-CZ"/>
        </w:rPr>
        <w:t>Diskuze ohledně studie s JASPERS (kapitola 2.1, strana 14)</w:t>
      </w:r>
    </w:p>
    <w:p w:rsidR="0050179A" w:rsidRDefault="0050179A" w:rsidP="0050179A">
      <w:pPr>
        <w:spacing w:line="276" w:lineRule="auto"/>
        <w:rPr>
          <w:rFonts w:cs="Arial"/>
        </w:rPr>
      </w:pPr>
      <w:r>
        <w:rPr>
          <w:rFonts w:cs="Arial"/>
        </w:rPr>
        <w:t>Doporučující poznámky JASPERS jsou již doslovně zahrnuty v kapitole 9 „Dokumentární část”. Pak nevidíme potřebu této kapitoly tam, kde jsou poznámky JASPERS zahrnuty částečně nikoliv doslova. S ohledem na to odstraňte tuto kapitolu..</w:t>
      </w:r>
    </w:p>
    <w:p w:rsidR="00631EAB" w:rsidRDefault="0050179A" w:rsidP="00D20948">
      <w:pPr>
        <w:pStyle w:val="Odstavecseseznamem1"/>
        <w:numPr>
          <w:ilvl w:val="0"/>
          <w:numId w:val="44"/>
        </w:numPr>
        <w:spacing w:after="0"/>
        <w:jc w:val="both"/>
        <w:rPr>
          <w:rFonts w:ascii="Arial" w:hAnsi="Arial"/>
          <w:b/>
          <w:sz w:val="20"/>
          <w:szCs w:val="20"/>
          <w:lang w:val="cs-CZ"/>
        </w:rPr>
      </w:pPr>
      <w:r>
        <w:rPr>
          <w:rFonts w:ascii="Arial" w:hAnsi="Arial"/>
          <w:b/>
          <w:sz w:val="20"/>
          <w:szCs w:val="20"/>
          <w:lang w:val="cs-CZ"/>
        </w:rPr>
        <w:t>Stávající stav trati (kapitola 3.1, strana 24)</w:t>
      </w:r>
    </w:p>
    <w:p w:rsidR="0050179A" w:rsidRDefault="0050179A" w:rsidP="0050179A">
      <w:pPr>
        <w:rPr>
          <w:rFonts w:cs="Arial"/>
        </w:rPr>
      </w:pPr>
      <w:r>
        <w:rPr>
          <w:rFonts w:cs="Arial"/>
        </w:rPr>
        <w:t>Obecně by měl být stávající stav dopravní cesty a zařízení popsán přesněji. Měly by být specifikovány důvody, proč je třeba provést výměnu.</w:t>
      </w:r>
    </w:p>
    <w:p w:rsidR="0050179A" w:rsidRDefault="0050179A" w:rsidP="0050179A">
      <w:pPr>
        <w:ind w:left="360"/>
        <w:rPr>
          <w:rFonts w:cs="Arial"/>
        </w:rPr>
      </w:pPr>
    </w:p>
    <w:p w:rsidR="0050179A" w:rsidRDefault="0050179A" w:rsidP="0050179A">
      <w:pPr>
        <w:rPr>
          <w:rFonts w:cs="Arial"/>
        </w:rPr>
      </w:pPr>
      <w:r>
        <w:rPr>
          <w:rFonts w:cs="Arial"/>
        </w:rPr>
        <w:t>Nedostatečné napojení trati (kvůli kterému je třeba zbytečně posunovat), opotřebené kolejnice a výhybky s nízkorychlostní geometrií</w:t>
      </w:r>
      <w:r>
        <w:t xml:space="preserve"> (délka koleje, počet a druh), nestabilní kolejové lože a spodek</w:t>
      </w:r>
      <w:r>
        <w:rPr>
          <w:rFonts w:cs="Arial"/>
        </w:rPr>
        <w:t xml:space="preserve"> (délka koleje, objem v m</w:t>
      </w:r>
      <w:r>
        <w:rPr>
          <w:rFonts w:cs="Arial"/>
          <w:vertAlign w:val="superscript"/>
        </w:rPr>
        <w:t>3</w:t>
      </w:r>
      <w:r>
        <w:rPr>
          <w:rFonts w:cs="Arial"/>
        </w:rPr>
        <w:t xml:space="preserve">) je možno uvést jako podpůrné argumenty. </w:t>
      </w:r>
    </w:p>
    <w:p w:rsidR="0050179A" w:rsidRDefault="0050179A" w:rsidP="0050179A">
      <w:pPr>
        <w:rPr>
          <w:rFonts w:cs="Arial"/>
        </w:rPr>
      </w:pPr>
      <w:r>
        <w:rPr>
          <w:rFonts w:cs="Arial"/>
        </w:rPr>
        <w:t xml:space="preserve">Podle TSI INS by doporučená výška nástupiště mněla být alespoň 550 mm nad kolejnicí. Vysvětlete prosím, proč stávající výška nebyla dostatečná. </w:t>
      </w:r>
    </w:p>
    <w:p w:rsidR="0050179A" w:rsidRDefault="0050179A" w:rsidP="0050179A">
      <w:pPr>
        <w:rPr>
          <w:rFonts w:cs="Arial"/>
        </w:rPr>
      </w:pPr>
      <w:r>
        <w:rPr>
          <w:rFonts w:cs="Arial"/>
        </w:rPr>
        <w:t>Měl by být přesněji popsán stav mostů a propustků. Požaduje se tabulka obsahující položky, jejich umístění, druh konstrukce, rozměry, rok provedení a stávající stav.</w:t>
      </w:r>
    </w:p>
    <w:p w:rsidR="0050179A" w:rsidRDefault="0050179A" w:rsidP="0050179A">
      <w:r>
        <w:t xml:space="preserve">Předpokládá se výměna zabezpečovacího zařízení. Stejně jako v dalších dílčích kapitolách i zde doplňte krátký odstavec zdůvodňující, proč stávající zařízení není možno dále používat nebo bude muset být brzy vyměněno. Měly by být uvedeny údaje popisující životnost výstražného zařízení v tabulce obsahující položky, rok výstavby a stávající stav. </w:t>
      </w:r>
    </w:p>
    <w:p w:rsidR="0050179A" w:rsidRDefault="0050179A" w:rsidP="0050179A">
      <w:r>
        <w:t>Doplňte informace / dílčí kapitolu o telekomunikačních prostředcích (zastaralé komunikační zařízení, přenosové linky atd.).</w:t>
      </w:r>
    </w:p>
    <w:p w:rsidR="0050179A" w:rsidRDefault="0050179A" w:rsidP="0050179A">
      <w:r>
        <w:t>Stávající stav zastávek a zařízení OHC by měl být popsán přesněji. Požaduje se tabulka uvádějící položky, kapacitu nebo rozměry, rok provedení a stávající stav. Dobrým důvodem pro výměnu by byla omezená kapacita stávajících zastávek. (</w:t>
      </w:r>
      <w:r w:rsidRPr="00961F48">
        <w:rPr>
          <w:highlight w:val="yellow"/>
        </w:rPr>
        <w:t xml:space="preserve">špatný překlad = nejedná se o zastávky ale o trakční měnírny, v originále substations, a OHC je over-head catenary, čili trakční vedení – tento odstavec je tedy o zařízeních elektrické trakce – pozn. </w:t>
      </w:r>
      <w:r w:rsidR="00AC5CDF" w:rsidRPr="00D20948">
        <w:rPr>
          <w:highlight w:val="yellow"/>
        </w:rPr>
        <w:t>SUDOP</w:t>
      </w:r>
      <w:r>
        <w:t xml:space="preserve">) </w:t>
      </w:r>
    </w:p>
    <w:p w:rsidR="00631EAB" w:rsidRDefault="0050179A" w:rsidP="00D20948">
      <w:pPr>
        <w:pStyle w:val="Odstavecseseznamem1"/>
        <w:numPr>
          <w:ilvl w:val="0"/>
          <w:numId w:val="44"/>
        </w:numPr>
        <w:spacing w:after="0"/>
        <w:jc w:val="both"/>
        <w:rPr>
          <w:rFonts w:ascii="Arial" w:hAnsi="Arial"/>
          <w:b/>
          <w:sz w:val="20"/>
          <w:szCs w:val="20"/>
          <w:lang w:val="cs-CZ"/>
        </w:rPr>
      </w:pPr>
      <w:r>
        <w:rPr>
          <w:rFonts w:ascii="Arial" w:hAnsi="Arial"/>
          <w:b/>
          <w:sz w:val="20"/>
          <w:szCs w:val="20"/>
          <w:lang w:val="cs-CZ"/>
        </w:rPr>
        <w:t>Přínosy v oblasti bezpečnosti (kapitola 7.2.6 strany 156-157)</w:t>
      </w:r>
    </w:p>
    <w:p w:rsidR="0050179A" w:rsidRDefault="0050179A" w:rsidP="0050179A">
      <w:pPr>
        <w:spacing w:line="276" w:lineRule="auto"/>
        <w:rPr>
          <w:rFonts w:cs="Arial"/>
        </w:rPr>
      </w:pPr>
      <w:r>
        <w:rPr>
          <w:rFonts w:cs="Arial"/>
        </w:rPr>
        <w:t>Možné přínosy v oblasti bezpečnosti by měly být popsány hmatatelněji alespoň pomocí použití příkladů podstatných pro infrastrukturu k zajištění vyšší míry bezpečnosti, které mají být použity, jak již bylo uspokojivě vyřešeno v jiných projektech (například nádraží Olomouc).</w:t>
      </w:r>
    </w:p>
    <w:p w:rsidR="0050179A" w:rsidRDefault="0050179A" w:rsidP="0050179A">
      <w:pPr>
        <w:spacing w:line="276" w:lineRule="auto"/>
        <w:rPr>
          <w:rFonts w:cs="Arial"/>
        </w:rPr>
      </w:pPr>
    </w:p>
    <w:p w:rsidR="0050179A" w:rsidRDefault="0050179A" w:rsidP="0050179A">
      <w:pPr>
        <w:spacing w:line="276" w:lineRule="auto"/>
        <w:rPr>
          <w:rFonts w:cs="Arial"/>
          <w:b/>
          <w:sz w:val="28"/>
          <w:szCs w:val="28"/>
          <w:u w:val="single"/>
        </w:rPr>
      </w:pPr>
      <w:r>
        <w:rPr>
          <w:rFonts w:cs="Arial"/>
          <w:b/>
          <w:sz w:val="28"/>
          <w:szCs w:val="28"/>
          <w:u w:val="single"/>
        </w:rPr>
        <w:t xml:space="preserve">Další problémy, které je třeba zvážit </w:t>
      </w:r>
    </w:p>
    <w:p w:rsidR="00631EAB" w:rsidRDefault="0050179A" w:rsidP="00D20948">
      <w:pPr>
        <w:pStyle w:val="Odstavecseseznamem1"/>
        <w:numPr>
          <w:ilvl w:val="0"/>
          <w:numId w:val="44"/>
        </w:numPr>
        <w:spacing w:after="0"/>
        <w:jc w:val="both"/>
        <w:rPr>
          <w:rFonts w:ascii="Arial" w:hAnsi="Arial"/>
          <w:b/>
          <w:sz w:val="20"/>
          <w:szCs w:val="20"/>
          <w:lang w:val="cs-CZ"/>
        </w:rPr>
      </w:pPr>
      <w:r>
        <w:rPr>
          <w:rFonts w:ascii="Arial" w:hAnsi="Arial"/>
          <w:b/>
          <w:sz w:val="20"/>
          <w:szCs w:val="20"/>
          <w:lang w:val="cs-CZ"/>
        </w:rPr>
        <w:t>Nová definice úvodní kapitoly (kapitola 1, strany 12-13)</w:t>
      </w:r>
    </w:p>
    <w:p w:rsidR="0050179A" w:rsidRDefault="0050179A" w:rsidP="0050179A">
      <w:pPr>
        <w:spacing w:line="276" w:lineRule="auto"/>
      </w:pPr>
      <w:r>
        <w:rPr>
          <w:rFonts w:cs="Arial"/>
        </w:rPr>
        <w:t>Úvodní kapitola by měla obsahovat úplnější soubor informací o obecných tématech souvisejících se stavbou, souvislost stavby s jinými stavbami a důvody a cíle stavby. Zejména by úvod měl pojednávat o následujících položkách</w:t>
      </w:r>
      <w:r>
        <w:t>:</w:t>
      </w:r>
    </w:p>
    <w:p w:rsidR="00631EAB" w:rsidRDefault="0050179A" w:rsidP="00D20948">
      <w:pPr>
        <w:numPr>
          <w:ilvl w:val="0"/>
          <w:numId w:val="43"/>
        </w:numPr>
        <w:suppressAutoHyphens w:val="0"/>
        <w:spacing w:before="120" w:after="120" w:line="276" w:lineRule="auto"/>
        <w:rPr>
          <w:rFonts w:cs="Arial"/>
        </w:rPr>
      </w:pPr>
      <w:r>
        <w:rPr>
          <w:rFonts w:cs="Arial"/>
        </w:rPr>
        <w:t>Role českých železnic v Evropě;</w:t>
      </w:r>
    </w:p>
    <w:p w:rsidR="00631EAB" w:rsidRDefault="0050179A" w:rsidP="00D20948">
      <w:pPr>
        <w:numPr>
          <w:ilvl w:val="0"/>
          <w:numId w:val="43"/>
        </w:numPr>
        <w:suppressAutoHyphens w:val="0"/>
        <w:spacing w:before="120" w:after="120" w:line="276" w:lineRule="auto"/>
        <w:rPr>
          <w:rFonts w:cs="Arial"/>
        </w:rPr>
      </w:pPr>
      <w:r>
        <w:rPr>
          <w:rFonts w:cs="Arial"/>
        </w:rPr>
        <w:t>Programy obnovy železniční sítě spravované SŽDC;</w:t>
      </w:r>
    </w:p>
    <w:p w:rsidR="00631EAB" w:rsidRDefault="0050179A" w:rsidP="00D20948">
      <w:pPr>
        <w:numPr>
          <w:ilvl w:val="0"/>
          <w:numId w:val="43"/>
        </w:numPr>
        <w:suppressAutoHyphens w:val="0"/>
        <w:spacing w:before="120" w:after="120" w:line="276" w:lineRule="auto"/>
        <w:rPr>
          <w:rFonts w:cs="Arial"/>
        </w:rPr>
      </w:pPr>
      <w:r>
        <w:rPr>
          <w:rFonts w:cs="Arial"/>
        </w:rPr>
        <w:t>Význam a funkce železniční trati Hradec Králové – Pardubice;</w:t>
      </w:r>
    </w:p>
    <w:p w:rsidR="00631EAB" w:rsidRDefault="0050179A" w:rsidP="00D20948">
      <w:pPr>
        <w:numPr>
          <w:ilvl w:val="0"/>
          <w:numId w:val="43"/>
        </w:numPr>
        <w:suppressAutoHyphens w:val="0"/>
        <w:spacing w:before="120" w:after="120" w:line="276" w:lineRule="auto"/>
        <w:rPr>
          <w:rFonts w:cs="Arial"/>
        </w:rPr>
      </w:pPr>
      <w:r>
        <w:rPr>
          <w:rFonts w:cs="Arial"/>
        </w:rPr>
        <w:t>Spojení stavby s jinými významnými železničními stavbami na národní a mezinárodní úrovni (Národní tranzitní železniční koridory, TEN-T, atd.) další významné podmiňující stavby (na základě platného dokumentu koncepce);</w:t>
      </w:r>
    </w:p>
    <w:p w:rsidR="00631EAB" w:rsidRDefault="0050179A" w:rsidP="00D20948">
      <w:pPr>
        <w:numPr>
          <w:ilvl w:val="0"/>
          <w:numId w:val="43"/>
        </w:numPr>
        <w:suppressAutoHyphens w:val="0"/>
        <w:spacing w:before="120" w:after="120" w:line="276" w:lineRule="auto"/>
        <w:rPr>
          <w:rFonts w:cs="Arial"/>
        </w:rPr>
      </w:pPr>
      <w:r>
        <w:rPr>
          <w:rFonts w:cs="Arial"/>
        </w:rPr>
        <w:t>Hlavní zjištěné problémy (ze kterých plyne potřeba realizace stavby);</w:t>
      </w:r>
    </w:p>
    <w:p w:rsidR="00631EAB" w:rsidRDefault="0050179A" w:rsidP="00D20948">
      <w:pPr>
        <w:numPr>
          <w:ilvl w:val="0"/>
          <w:numId w:val="43"/>
        </w:numPr>
        <w:suppressAutoHyphens w:val="0"/>
        <w:spacing w:before="120" w:after="120" w:line="276" w:lineRule="auto"/>
        <w:rPr>
          <w:rFonts w:cs="Arial"/>
        </w:rPr>
      </w:pPr>
      <w:r>
        <w:rPr>
          <w:rFonts w:cs="Arial"/>
        </w:rPr>
        <w:t>Úkoly stavby – cíle</w:t>
      </w:r>
      <w:r>
        <w:rPr>
          <w:rStyle w:val="Znakapoznpodarou"/>
          <w:rFonts w:cs="Arial"/>
        </w:rPr>
        <w:footnoteReference w:id="4"/>
      </w:r>
      <w:r>
        <w:rPr>
          <w:rFonts w:cs="Arial"/>
        </w:rPr>
        <w:t xml:space="preserve"> a dopady (tam, kde je to možné, včetně kvantifikace); </w:t>
      </w:r>
    </w:p>
    <w:p w:rsidR="00631EAB" w:rsidRDefault="0050179A" w:rsidP="00D20948">
      <w:pPr>
        <w:numPr>
          <w:ilvl w:val="0"/>
          <w:numId w:val="43"/>
        </w:numPr>
        <w:suppressAutoHyphens w:val="0"/>
        <w:spacing w:before="120" w:after="120" w:line="276" w:lineRule="auto"/>
        <w:rPr>
          <w:rFonts w:cs="Arial"/>
        </w:rPr>
      </w:pPr>
      <w:r>
        <w:rPr>
          <w:rFonts w:cs="Arial"/>
        </w:rPr>
        <w:t>Metodologie studie;</w:t>
      </w:r>
    </w:p>
    <w:p w:rsidR="00631EAB" w:rsidRDefault="0050179A" w:rsidP="00D20948">
      <w:pPr>
        <w:numPr>
          <w:ilvl w:val="0"/>
          <w:numId w:val="43"/>
        </w:numPr>
        <w:suppressAutoHyphens w:val="0"/>
        <w:spacing w:before="120" w:after="120" w:line="276" w:lineRule="auto"/>
        <w:rPr>
          <w:rFonts w:cs="Arial"/>
        </w:rPr>
      </w:pPr>
      <w:r>
        <w:rPr>
          <w:rFonts w:cs="Arial"/>
        </w:rPr>
        <w:t xml:space="preserve">Napojení na síť městské hromadné dopravy (a budoucí lepší synchronizace); </w:t>
      </w:r>
    </w:p>
    <w:p w:rsidR="00631EAB" w:rsidRDefault="0050179A" w:rsidP="00D20948">
      <w:pPr>
        <w:numPr>
          <w:ilvl w:val="0"/>
          <w:numId w:val="43"/>
        </w:numPr>
        <w:suppressAutoHyphens w:val="0"/>
        <w:spacing w:before="120" w:after="120" w:line="276" w:lineRule="auto"/>
        <w:rPr>
          <w:rFonts w:cs="Arial"/>
        </w:rPr>
      </w:pPr>
      <w:r>
        <w:rPr>
          <w:rFonts w:cs="Arial"/>
        </w:rPr>
        <w:t>Další zlepšení, která povedou k navýšení přitažlivosti železniční dopravy (nádraží atd.);</w:t>
      </w:r>
    </w:p>
    <w:p w:rsidR="00631EAB" w:rsidRDefault="0050179A" w:rsidP="00D20948">
      <w:pPr>
        <w:numPr>
          <w:ilvl w:val="0"/>
          <w:numId w:val="43"/>
        </w:numPr>
        <w:suppressAutoHyphens w:val="0"/>
        <w:spacing w:before="120" w:after="120" w:line="276" w:lineRule="auto"/>
        <w:rPr>
          <w:rFonts w:cs="Arial"/>
        </w:rPr>
      </w:pPr>
      <w:r>
        <w:rPr>
          <w:rFonts w:cs="Arial"/>
        </w:rPr>
        <w:t>Hlavní vnější rizika (jako ne nerealizace klíčových podmiňujících staveb) a možné dopady na dosažení cílů stavby.</w:t>
      </w:r>
    </w:p>
    <w:p w:rsidR="0050179A" w:rsidRDefault="0050179A" w:rsidP="0050179A">
      <w:pPr>
        <w:spacing w:before="120" w:after="120" w:line="276" w:lineRule="auto"/>
        <w:rPr>
          <w:rFonts w:cs="Arial"/>
        </w:rPr>
      </w:pPr>
      <w:r>
        <w:rPr>
          <w:rFonts w:cs="Arial"/>
        </w:rPr>
        <w:t xml:space="preserve">Některé z těchto bodů již byly řešeny, alespoň částečně, v několika částech SP, ale JASPERS doporučuje restrukturalizovat SP a zahrnout do ní položky popsané výše v jedné úvodní kapitole s cílem předložit dobré, rychlé a všeobecné shrnutí potřeb, cílů a očekávaných zlepšení, kterých má být realizací stavby dosaženo. </w:t>
      </w:r>
    </w:p>
    <w:p w:rsidR="00631EAB" w:rsidRDefault="0050179A" w:rsidP="00D20948">
      <w:pPr>
        <w:pStyle w:val="Odstavecseseznamem1"/>
        <w:numPr>
          <w:ilvl w:val="0"/>
          <w:numId w:val="44"/>
        </w:numPr>
        <w:spacing w:after="0"/>
        <w:jc w:val="both"/>
        <w:rPr>
          <w:rFonts w:ascii="Arial" w:hAnsi="Arial"/>
          <w:b/>
          <w:sz w:val="20"/>
          <w:szCs w:val="20"/>
          <w:lang w:val="cs-CZ"/>
        </w:rPr>
      </w:pPr>
      <w:r>
        <w:rPr>
          <w:rFonts w:ascii="Arial" w:hAnsi="Arial"/>
          <w:b/>
          <w:sz w:val="20"/>
          <w:szCs w:val="20"/>
          <w:lang w:val="cs-CZ"/>
        </w:rPr>
        <w:t>Rozsah opatření různých variant (kapitola 2.2.1 strany 17-19)</w:t>
      </w:r>
    </w:p>
    <w:p w:rsidR="0050179A" w:rsidRDefault="0050179A" w:rsidP="0050179A">
      <w:pPr>
        <w:spacing w:line="276" w:lineRule="auto"/>
        <w:rPr>
          <w:rFonts w:cs="Arial"/>
        </w:rPr>
      </w:pPr>
      <w:r>
        <w:rPr>
          <w:rFonts w:cs="Arial"/>
        </w:rPr>
        <w:t>Měl by být stručně definován význam slov (použitých v této tabulce), například „údržba”, znovuobnovení normalizovaného stavu”, „modernizace”, „optimalizace”.</w:t>
      </w:r>
    </w:p>
    <w:p w:rsidR="00631EAB" w:rsidRDefault="0050179A" w:rsidP="00D20948">
      <w:pPr>
        <w:pStyle w:val="Odstavecseseznamem1"/>
        <w:numPr>
          <w:ilvl w:val="0"/>
          <w:numId w:val="44"/>
        </w:numPr>
        <w:spacing w:after="0"/>
        <w:jc w:val="both"/>
        <w:rPr>
          <w:rFonts w:ascii="Arial" w:hAnsi="Arial"/>
          <w:b/>
          <w:sz w:val="20"/>
          <w:szCs w:val="20"/>
          <w:lang w:val="cs-CZ"/>
        </w:rPr>
      </w:pPr>
      <w:r>
        <w:rPr>
          <w:rFonts w:ascii="Arial" w:hAnsi="Arial"/>
          <w:b/>
          <w:sz w:val="20"/>
          <w:szCs w:val="20"/>
          <w:lang w:val="cs-CZ"/>
        </w:rPr>
        <w:t>Popis jednotlivých úseků v rámci každé varianty (kapitoly 3.3, 3.4, 3.5 a 3.6 strany 28-58)</w:t>
      </w:r>
    </w:p>
    <w:p w:rsidR="0050179A" w:rsidRDefault="0050179A" w:rsidP="0050179A">
      <w:pPr>
        <w:spacing w:line="276" w:lineRule="auto"/>
        <w:rPr>
          <w:rFonts w:cs="Arial"/>
        </w:rPr>
      </w:pPr>
      <w:r>
        <w:rPr>
          <w:rFonts w:cs="Arial"/>
        </w:rPr>
        <w:t xml:space="preserve">Aby byla studie srozumitelnější a aby se předešlo zmatení jejích čtenářů, doporučujeme vyhnout se opakování popisů prací, které mají být provedeny na jednotlivých úsecích, pokud to již bylo vysvětleno v předcházející variantě. </w:t>
      </w:r>
    </w:p>
    <w:p w:rsidR="0050179A" w:rsidRDefault="0050179A" w:rsidP="0050179A">
      <w:pPr>
        <w:spacing w:line="276" w:lineRule="auto"/>
        <w:rPr>
          <w:rFonts w:cs="Arial"/>
        </w:rPr>
      </w:pPr>
      <w:r>
        <w:rPr>
          <w:rFonts w:cs="Arial"/>
        </w:rPr>
        <w:t>Dlouhý popisný text by měl být nahrazen odkazem na variantu, ve které je úsek již popsán (řešení … je technicky shodné s variantou …), jak se již stalo v některých případech (například popis jižního zhlaví nádraží Hradec Králové v maximální variantě na straně 55).</w:t>
      </w: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b/>
          <w:sz w:val="20"/>
          <w:szCs w:val="20"/>
          <w:lang w:val="cs-CZ"/>
        </w:rPr>
        <w:t>Náklady na realizaci variant Střední 2.2 a Maximální 2 (tabulky 3-5 a 3-7, strany 51 a 58)</w:t>
      </w:r>
    </w:p>
    <w:p w:rsidR="0050179A" w:rsidRDefault="0050179A" w:rsidP="0050179A">
      <w:pPr>
        <w:spacing w:line="276" w:lineRule="auto"/>
        <w:rPr>
          <w:rFonts w:cs="Arial"/>
        </w:rPr>
      </w:pPr>
      <w:r>
        <w:rPr>
          <w:rFonts w:cs="Arial"/>
        </w:rPr>
        <w:t>V tabulkách nákladů na realizaci zkontrolujte varianty Střední 2.2 a Maximální 2. Zdá se, že je tam několik chyb. Například obě varianty obsahují investice do svršku na úseku Pardubice – Pardubice Rosice a investice se podle tabulky rovnají nule. Obě varianty také obsahují investici na tomto úseku do mostů a tunelů, ale hodnota dílčích položek je nula.</w:t>
      </w:r>
    </w:p>
    <w:p w:rsidR="0050179A" w:rsidRDefault="0050179A" w:rsidP="0050179A">
      <w:pPr>
        <w:spacing w:line="276" w:lineRule="auto"/>
        <w:rPr>
          <w:rFonts w:cs="Arial"/>
        </w:rPr>
      </w:pPr>
      <w:r>
        <w:rPr>
          <w:rFonts w:cs="Arial"/>
        </w:rPr>
        <w:t xml:space="preserve">Zkontrolujte také tabulky dalších variant, aby se předešlo možným chybám. </w:t>
      </w: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b/>
          <w:sz w:val="20"/>
          <w:szCs w:val="20"/>
          <w:lang w:val="cs-CZ"/>
        </w:rPr>
        <w:t>Schémata úseku v různých variantách (obr. 3-2 až 3-23, strany 26 až 55)</w:t>
      </w:r>
    </w:p>
    <w:p w:rsidR="0050179A" w:rsidRDefault="0050179A" w:rsidP="0050179A">
      <w:pPr>
        <w:spacing w:line="276" w:lineRule="auto"/>
        <w:rPr>
          <w:rFonts w:cs="Arial"/>
        </w:rPr>
      </w:pPr>
      <w:r>
        <w:rPr>
          <w:rFonts w:cs="Arial"/>
        </w:rPr>
        <w:t>Vložená schémata zlepšují srozumitelnost PS, avšak na některých obrázcích není vysvětlen význam různých barev. Například obr. 3-12 obsahuje několik modře vybarvených tratí vedle červených a černých tratí, jejichž úkolem je odlišit upravené nebo zachované tratě a obr. 3-20 obsahuje zeleně vybarvenou trať.</w:t>
      </w: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b/>
          <w:sz w:val="20"/>
          <w:szCs w:val="20"/>
          <w:lang w:val="cs-CZ"/>
        </w:rPr>
        <w:t>Dopravní cesta jako podsystém konvenční evropské železniční sítě (kapitola 3.7.5, strany 61 to 65)</w:t>
      </w:r>
    </w:p>
    <w:p w:rsidR="0050179A" w:rsidRDefault="0050179A" w:rsidP="0050179A">
      <w:pPr>
        <w:spacing w:line="276" w:lineRule="auto"/>
        <w:rPr>
          <w:rFonts w:cs="Arial"/>
        </w:rPr>
      </w:pPr>
      <w:r>
        <w:rPr>
          <w:rFonts w:cs="Arial"/>
        </w:rPr>
        <w:t>První odstavec této kapitoly okazuje na stavbu „rekonstrukce železniční trati Ústí nad Orlicí – Choceň”. Prosím opravte.</w:t>
      </w:r>
    </w:p>
    <w:p w:rsidR="0050179A" w:rsidRDefault="0050179A" w:rsidP="0050179A">
      <w:pPr>
        <w:spacing w:line="276" w:lineRule="auto"/>
        <w:rPr>
          <w:rFonts w:cs="Arial"/>
        </w:rPr>
      </w:pPr>
      <w:r>
        <w:rPr>
          <w:rFonts w:cs="Arial"/>
        </w:rPr>
        <w:t>Tabulky vložené do této kapitoly usnadňují názorné pochopení stavu plnění požadavků TSI. Avšak bylo by zajímavější zahrnout také míru plnění různých variant analyzovaných ve studii.</w:t>
      </w:r>
    </w:p>
    <w:p w:rsidR="0050179A" w:rsidRDefault="0050179A" w:rsidP="0050179A">
      <w:pPr>
        <w:spacing w:line="276" w:lineRule="auto"/>
        <w:rPr>
          <w:rFonts w:cs="Arial"/>
        </w:rPr>
      </w:pPr>
      <w:r>
        <w:rPr>
          <w:rFonts w:cs="Arial"/>
        </w:rPr>
        <w:t xml:space="preserve">Je-li míra plnění různých variant zjevně odlišná, mohl by to také být argument pro navrhované vícekriteriální srovnání. </w:t>
      </w: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b/>
          <w:sz w:val="20"/>
          <w:szCs w:val="20"/>
          <w:lang w:val="cs-CZ"/>
        </w:rPr>
        <w:t>Jízdní doby (kapitoly 4.2.2 a 4.2.3 strany 73-78)</w:t>
      </w:r>
    </w:p>
    <w:p w:rsidR="0050179A" w:rsidRDefault="0050179A" w:rsidP="0050179A">
      <w:pPr>
        <w:spacing w:line="312" w:lineRule="auto"/>
        <w:rPr>
          <w:rFonts w:cs="Arial"/>
          <w:color w:val="000000"/>
        </w:rPr>
      </w:pPr>
      <w:r>
        <w:rPr>
          <w:rFonts w:cs="Arial"/>
          <w:color w:val="000000"/>
        </w:rPr>
        <w:t>Očekávané jízdní doby rychlíků a osobních vlaků ve směru Pardubice – Hradec pro Minimální variantu jsou delší než v případě Nulové varianty. Uveďte odpovídající vysvětlení, protože Minimální varianta předpokládá vyšší investice než Nulová varianta.</w:t>
      </w:r>
    </w:p>
    <w:p w:rsidR="0050179A" w:rsidRDefault="0050179A" w:rsidP="0050179A">
      <w:pPr>
        <w:spacing w:line="312" w:lineRule="auto"/>
        <w:rPr>
          <w:rFonts w:cs="Arial"/>
          <w:color w:val="000000"/>
        </w:rPr>
      </w:pPr>
      <w:r>
        <w:rPr>
          <w:rFonts w:cs="Arial"/>
          <w:color w:val="000000"/>
        </w:rPr>
        <w:t>Do tabulky doplňte skutečné hodnoty časových úspor i v případě, že jsou negativní (nyní je tam napsáno, že nejsou žádné časové úspory, což není pravda podle hodnot uvedených v tabulce).</w:t>
      </w:r>
    </w:p>
    <w:p w:rsidR="0050179A" w:rsidRDefault="0050179A" w:rsidP="0050179A">
      <w:pPr>
        <w:spacing w:line="312" w:lineRule="auto"/>
        <w:rPr>
          <w:rFonts w:cs="Arial"/>
          <w:color w:val="000000"/>
        </w:rPr>
      </w:pPr>
      <w:r>
        <w:rPr>
          <w:rFonts w:cs="Arial"/>
          <w:color w:val="000000"/>
        </w:rPr>
        <w:t>Stávající doba jízdy rychlíků ve směru Hradec Králové – Pardubice se zvýšila o jednu minutu ve srovnání s přecházející verzí SP (v anglické verzi byla aktualizována hodnota celkové doby včetně zastávek, avšak nikoliv hodnota jednotlivých dob jízdy. Prosím opravte v souladu s tím). Uveďte důvody tohoto nárůstu.</w:t>
      </w:r>
    </w:p>
    <w:p w:rsidR="0050179A" w:rsidRDefault="0050179A" w:rsidP="0050179A">
      <w:pPr>
        <w:spacing w:line="312" w:lineRule="auto"/>
        <w:rPr>
          <w:rFonts w:cs="Arial"/>
          <w:color w:val="000000"/>
        </w:rPr>
      </w:pPr>
      <w:r>
        <w:rPr>
          <w:rFonts w:cs="Arial"/>
          <w:color w:val="000000"/>
        </w:rPr>
        <w:t>Kromě toho tento nárůst stávající doby jízdy nebyl zohledněn jako nárůst úspor času do budoucna (byla zjištěna další chyba v hodnotě časových úspor uvedená v tabulkách, prosím podívejte se na to). Opravte podle toho tabulky a pokud lze, aktualizujte hodnotu odpovídajících časových úspor v ekonomickém hodnocení.</w:t>
      </w: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b/>
          <w:sz w:val="20"/>
          <w:szCs w:val="20"/>
          <w:lang w:val="cs-CZ"/>
        </w:rPr>
        <w:t>Kapacita trati ve variantách Minimální, Střední 1 a Střední 2 (kapitola 4.3.2, strany 80-85)</w:t>
      </w:r>
    </w:p>
    <w:p w:rsidR="0050179A" w:rsidRDefault="0050179A" w:rsidP="0050179A">
      <w:pPr>
        <w:spacing w:line="276" w:lineRule="auto"/>
        <w:rPr>
          <w:rFonts w:cs="Arial"/>
        </w:rPr>
      </w:pPr>
      <w:r>
        <w:rPr>
          <w:rFonts w:cs="Arial"/>
        </w:rPr>
        <w:t>Druhý odstavec na straně 82 v anglické verzi obsahuje odkaz na kapacitu úseku Pardubice – Pardubice Rosice, což je pojednáno v novém odstavci začínajícím na straně 83 této nové verze SP. Přesuňte laskavě tuto část textu do odpovídajícího odstavce a zkontrolujte soulad s novými informacemi zahrnutými do příslušného odstavce.</w:t>
      </w:r>
    </w:p>
    <w:p w:rsidR="0050179A" w:rsidRDefault="0050179A" w:rsidP="0050179A">
      <w:pPr>
        <w:spacing w:line="276" w:lineRule="auto"/>
        <w:rPr>
          <w:rFonts w:cs="Arial"/>
        </w:rPr>
      </w:pPr>
      <w:r>
        <w:rPr>
          <w:rFonts w:cs="Arial"/>
        </w:rPr>
        <w:t>Ve výpočtu propustnosti jednokolejného úseku Stéblová – Opatovice v Minimální variantě byl zohledněn stávající počet vlaků, protože, jak je uvedeno, neexistuje dostatečná kapacita pro budoucí počty vlaků. Aby bylo možno provést správné posouzení varianty a zohlednit skutečnost, že se zdá, že plánovací úřad má v úmyslu navýšit počet vlaků v každém případě, měl být výpočet propustnosti proveden, aby bylo možno analyzovat maximální počet vlaků, které by mohly projíždět v této variantě a tato hodnota by měla být použita prognóze poptávky a výpočtech analýzy nákladů a přínosů (podobně zdůvodnění platí i pro Nulové varianty, pokud vůbec bude možné počet vlaků zvýšit).</w:t>
      </w:r>
    </w:p>
    <w:p w:rsidR="0050179A" w:rsidRDefault="0050179A" w:rsidP="0050179A">
      <w:pPr>
        <w:spacing w:line="276" w:lineRule="auto"/>
        <w:rPr>
          <w:rFonts w:cs="Arial"/>
        </w:rPr>
      </w:pPr>
      <w:r>
        <w:rPr>
          <w:rFonts w:cs="Arial"/>
        </w:rPr>
        <w:t>Vezmeme-li do úvahy ekonomické vnitřní výnosové procento Minimální varianty ve výši 0.2%, nelze očekávat, že by se díky této změně stala varianta Minimální proveditelnou. Avšak přinejmenším mělo být zahrnuto konstatování uvádějící důvody, proč tento přístup nebyl zvážen a že změny by v žádném případě nevedly k tomu, že by ekonomické vnitřní výnosové procento varianty Minimální bylo vyšší než prahová hodnota 5. 5 %.</w:t>
      </w: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b/>
          <w:sz w:val="20"/>
          <w:szCs w:val="20"/>
          <w:lang w:val="cs-CZ"/>
        </w:rPr>
        <w:t>Zahrnutí nákladních vlaků do trati (kapitola 4.3.3, stran 85-86)</w:t>
      </w:r>
    </w:p>
    <w:p w:rsidR="0050179A" w:rsidRDefault="0050179A" w:rsidP="0050179A">
      <w:pPr>
        <w:spacing w:line="312" w:lineRule="auto"/>
        <w:rPr>
          <w:rFonts w:cs="Arial"/>
          <w:color w:val="000000"/>
        </w:rPr>
      </w:pPr>
      <w:r>
        <w:rPr>
          <w:rFonts w:cs="Arial"/>
          <w:color w:val="000000"/>
        </w:rPr>
        <w:t>Měl by být jasně stanoven vztah mezi hodnotami v tabulkách 4-19 a 4-20 a intervaly uvažovanými ve  výpočtech v této kapitole. Je také potřebné uvést, jak byl vypočten maximální dostupný počet minut.</w:t>
      </w: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b/>
          <w:sz w:val="20"/>
          <w:szCs w:val="20"/>
          <w:lang w:val="cs-CZ"/>
        </w:rPr>
        <w:t>Náklady na údržbu (kapitola 7.1.3 strany 138-140)</w:t>
      </w:r>
    </w:p>
    <w:p w:rsidR="0050179A" w:rsidRDefault="0050179A" w:rsidP="0050179A">
      <w:pPr>
        <w:spacing w:line="276" w:lineRule="auto"/>
        <w:rPr>
          <w:rFonts w:cs="Arial"/>
        </w:rPr>
      </w:pPr>
      <w:r>
        <w:rPr>
          <w:rFonts w:cs="Arial"/>
        </w:rPr>
        <w:t xml:space="preserve">K řádnému provedení posouzení by bylo třeba uvést více informací ohledně tzv. nákladů na údržbu a opravy pro variantu stavby Střední 1, která je uvedena v tabulce 7-7. Tato varianta je shodná jako Nulová varianta bez úseků Stéblová – Opatovice a pak by i náklady na opravy jiných úseků v Nulové variantě měly být shodné. </w:t>
      </w:r>
    </w:p>
    <w:p w:rsidR="0050179A" w:rsidRDefault="0050179A" w:rsidP="0050179A">
      <w:pPr>
        <w:spacing w:line="276" w:lineRule="auto"/>
        <w:rPr>
          <w:rFonts w:cs="Arial"/>
        </w:rPr>
      </w:pPr>
      <w:r>
        <w:rPr>
          <w:rFonts w:cs="Arial"/>
        </w:rPr>
        <w:t>Avšak čísla uvedená v tabulce vykazují vyšší hodnoty nákladů na opravy ve variantě Střední 1 ve srovnání s variantou Nulová v letech 2016, 2017 a 2018, tedy bezprostředně po dokončení stavebních prací, což nelze zdůvodnit opětovnými investicemi, protože úsek Stéblová – Opatovice bude do té doby obnoven a ostatní úseky by měly mít stejné náklady na opravy jako je Nulová varianta stavby.</w:t>
      </w: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b/>
          <w:sz w:val="20"/>
          <w:szCs w:val="20"/>
          <w:lang w:val="cs-CZ"/>
        </w:rPr>
        <w:t>Úspory provozních nákladů v silniční dopravě (kapitola 7.2.3 strany 149-151)</w:t>
      </w:r>
    </w:p>
    <w:p w:rsidR="0050179A" w:rsidRDefault="0050179A" w:rsidP="0050179A">
      <w:pPr>
        <w:spacing w:line="276" w:lineRule="auto"/>
        <w:rPr>
          <w:rFonts w:cs="Arial"/>
        </w:rPr>
      </w:pPr>
      <w:r>
        <w:rPr>
          <w:rFonts w:cs="Arial"/>
        </w:rPr>
        <w:t>Úspory nákladů na dopravu autobusy byly vypočteny na základě skutečného snížení počtu cestujících/ujetých km a předpokládané míry obsazenosti autobusových spojů. Uveďte, zda očekávané snížení počtu autobusů bude v souladu s očekávaným snížením počtu cestujících. Jinak by tato hodnota měla být vypočítána na základě jízdního řádu.</w:t>
      </w: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b/>
          <w:sz w:val="20"/>
          <w:szCs w:val="20"/>
          <w:lang w:val="cs-CZ"/>
        </w:rPr>
        <w:t xml:space="preserve">Úspory času (kapitola 7.2.4 strany 151-154) </w:t>
      </w:r>
    </w:p>
    <w:p w:rsidR="0050179A" w:rsidRDefault="0050179A" w:rsidP="0050179A">
      <w:pPr>
        <w:spacing w:line="312" w:lineRule="auto"/>
        <w:rPr>
          <w:rFonts w:cs="Arial"/>
        </w:rPr>
      </w:pPr>
      <w:r>
        <w:rPr>
          <w:rFonts w:cs="Arial"/>
        </w:rPr>
        <w:t>Do této kapitoly vložte odkaz na skutečnost, že varianty Střední 2 Maximální osahují také časové úspory na straně cestujících z trati z Chrudimi s ohledem na snížení čekací doby v Pardubicích Rosicích v důsledku zdvojkolejnění trati.</w:t>
      </w:r>
    </w:p>
    <w:p w:rsidR="0050179A" w:rsidRDefault="0050179A" w:rsidP="0050179A">
      <w:pPr>
        <w:spacing w:line="312" w:lineRule="auto"/>
        <w:rPr>
          <w:rFonts w:cs="Arial"/>
        </w:rPr>
      </w:pPr>
      <w:r>
        <w:rPr>
          <w:rFonts w:cs="Arial"/>
        </w:rPr>
        <w:t>I přesto, že je to v textu SP uvedeno správně, poznamenáváme, že výpočet jednotky hodnoty v čase (VOT) podle tabulek analýzy nákladů a přínosů je proveden s předpokladem ročního nárůstu jednotky hodnoty v čase ve výši 2.5 %. To se týká jak zvyšování hodnot HEATCO 2002 na HEATCO 2012 a později z hodnot roku 2012 na hodnoty roku 2043. Základní navýšení z hodnot roku 2002 na hodnoty roku 2012 mělo vycházet z údajů o skutečném růstu HNP (s elasticitou 0.7); přičemž předpokládáme, že   elasticity jednotky hodnoty v čase ve výši 0.7 s ohledem na růst HDP znamená, že navýšení jednotky hodnoty v čase ve výši 2.5 % ročně na roky 2012 – 2043 implicitně předpokládá průměrný růst HDP ve výši cca 3.6 % ročně, což je dost vysoká hodnota; není to také v souladu s předpokládaným růstem HDP uvedeným v prognóze poptávky.</w:t>
      </w:r>
    </w:p>
    <w:p w:rsidR="0050179A" w:rsidRDefault="0050179A" w:rsidP="0050179A">
      <w:pPr>
        <w:spacing w:line="312" w:lineRule="auto"/>
        <w:rPr>
          <w:rFonts w:cs="Arial"/>
          <w:color w:val="FF0000"/>
        </w:rPr>
      </w:pPr>
      <w:r>
        <w:rPr>
          <w:rFonts w:cs="Arial"/>
        </w:rPr>
        <w:t xml:space="preserve">Stejný problém vyvstává s navýšením jednotkových cen externích položek. Růst HDP se může také uplatnit při elasticitě = 1. </w:t>
      </w:r>
    </w:p>
    <w:p w:rsidR="0050179A" w:rsidRDefault="0050179A" w:rsidP="0050179A">
      <w:pPr>
        <w:spacing w:line="312" w:lineRule="auto"/>
        <w:rPr>
          <w:rFonts w:cs="Arial"/>
          <w:color w:val="000000"/>
        </w:rPr>
      </w:pPr>
    </w:p>
    <w:p w:rsidR="00631EAB" w:rsidRDefault="0050179A" w:rsidP="00D20948">
      <w:pPr>
        <w:pStyle w:val="Odstavecseseznamem1"/>
        <w:numPr>
          <w:ilvl w:val="0"/>
          <w:numId w:val="44"/>
        </w:numPr>
        <w:spacing w:after="0"/>
        <w:ind w:left="357" w:hanging="357"/>
        <w:jc w:val="both"/>
        <w:rPr>
          <w:rFonts w:ascii="Arial" w:hAnsi="Arial"/>
          <w:b/>
          <w:sz w:val="20"/>
          <w:szCs w:val="20"/>
          <w:lang w:val="cs-CZ"/>
        </w:rPr>
      </w:pPr>
      <w:r>
        <w:rPr>
          <w:rFonts w:ascii="Arial" w:hAnsi="Arial"/>
          <w:b/>
          <w:sz w:val="20"/>
          <w:szCs w:val="20"/>
          <w:lang w:val="cs-CZ"/>
        </w:rPr>
        <w:t>Kontext ochrany životního prostředí (kapitola 6, strany 123, 130)</w:t>
      </w:r>
    </w:p>
    <w:p w:rsidR="0050179A" w:rsidRDefault="0050179A" w:rsidP="0050179A">
      <w:pPr>
        <w:spacing w:line="312" w:lineRule="auto"/>
        <w:rPr>
          <w:rFonts w:cs="Arial"/>
        </w:rPr>
      </w:pPr>
      <w:r>
        <w:rPr>
          <w:rFonts w:cs="Arial"/>
        </w:rPr>
        <w:t>Obecně lze konstatovat, že požadované informace týkající se životního prostředí byly shledány upokojivými. Velká část informací o procesu konzultací a stavu životního prostředí bude vložena do dokumentu Přehled životního prostředí a tento dokument bude předložen JASPERS k posouzení.</w:t>
      </w:r>
    </w:p>
    <w:p w:rsidR="0050179A" w:rsidRDefault="0050179A" w:rsidP="0050179A">
      <w:pPr>
        <w:spacing w:line="312" w:lineRule="auto"/>
        <w:rPr>
          <w:rFonts w:cs="Arial"/>
        </w:rPr>
      </w:pPr>
      <w:r>
        <w:rPr>
          <w:rFonts w:cs="Arial"/>
        </w:rPr>
        <w:t xml:space="preserve">Opravte laskavě v kapitole 6.3. větu </w:t>
      </w:r>
      <w:r>
        <w:rPr>
          <w:rFonts w:cs="Arial"/>
          <w:i/>
        </w:rPr>
        <w:t>„Trať Hradec Králové – Pardubice neprochází žádnou chráněnou krajinnou oblastí a žádná taková oblast se nenachází v její blízkosti.”</w:t>
      </w:r>
      <w:r>
        <w:rPr>
          <w:rFonts w:cs="Arial"/>
        </w:rPr>
        <w:t xml:space="preserve"> Toto konstatování není správné, vezeme-li do úvahy informaci o tom, že stavba se nachází v rámci lokality zařazené do programu Natura 2000.</w:t>
      </w:r>
    </w:p>
    <w:p w:rsidR="0050179A" w:rsidRDefault="0050179A" w:rsidP="0050179A">
      <w:pPr>
        <w:spacing w:line="312" w:lineRule="auto"/>
        <w:rPr>
          <w:rFonts w:cs="Arial"/>
        </w:rPr>
      </w:pPr>
      <w:r>
        <w:rPr>
          <w:rFonts w:cs="Arial"/>
        </w:rPr>
        <w:t>V kapitole 6.10 Hluk na straně 130 anglické verze laskavě odstraňte odstavce, ve kterých je odkaz na jiné části studie.</w:t>
      </w:r>
    </w:p>
    <w:p w:rsidR="0050179A" w:rsidRDefault="0050179A" w:rsidP="0050179A">
      <w:pPr>
        <w:spacing w:line="312" w:lineRule="auto"/>
        <w:rPr>
          <w:rFonts w:cs="Arial"/>
        </w:rPr>
      </w:pPr>
    </w:p>
    <w:p w:rsidR="0050179A" w:rsidRDefault="0050179A" w:rsidP="0050179A">
      <w:pPr>
        <w:spacing w:line="312" w:lineRule="auto"/>
        <w:rPr>
          <w:rFonts w:cs="Arial"/>
        </w:rPr>
      </w:pPr>
    </w:p>
    <w:p w:rsidR="0050179A" w:rsidRDefault="0050179A" w:rsidP="0050179A">
      <w:pPr>
        <w:spacing w:line="312" w:lineRule="auto"/>
        <w:rPr>
          <w:rFonts w:cs="Arial"/>
        </w:rPr>
      </w:pPr>
    </w:p>
    <w:p w:rsidR="0050179A" w:rsidRDefault="0050179A" w:rsidP="0050179A">
      <w:pPr>
        <w:spacing w:line="312" w:lineRule="auto"/>
        <w:rPr>
          <w:rFonts w:cs="Arial"/>
        </w:rPr>
      </w:pPr>
    </w:p>
    <w:p w:rsidR="0050179A" w:rsidRDefault="0050179A" w:rsidP="0050179A">
      <w:pPr>
        <w:spacing w:line="312" w:lineRule="auto"/>
        <w:rPr>
          <w:rFonts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14"/>
      </w:tblGrid>
      <w:tr w:rsidR="0050179A" w:rsidTr="006E61CA">
        <w:tc>
          <w:tcPr>
            <w:tcW w:w="8414" w:type="dxa"/>
          </w:tcPr>
          <w:p w:rsidR="0050179A" w:rsidRDefault="0050179A" w:rsidP="006E61CA">
            <w:pPr>
              <w:rPr>
                <w:sz w:val="18"/>
                <w:szCs w:val="18"/>
              </w:rPr>
            </w:pPr>
            <w:r>
              <w:rPr>
                <w:sz w:val="18"/>
                <w:szCs w:val="18"/>
              </w:rPr>
              <w:t>Zřeknutí se odpovědnosti: JASPERS poskytuje pomoc v dobré víře a s přiměřenou a řádnou péčí (diligentia quam in suis) na základě zkušeností a obchodní praxe svých partnerů, EIB, EBRD a KfW; avšak příjemci této pomoci berou na vědomí, že EIB zastoupená zde JASPERS nenese odpovědnost za jakoukoliv ztrátu nebo škodu plynoucí z jakékoliv rady poskytnuté JASPERS.</w:t>
            </w:r>
          </w:p>
        </w:tc>
      </w:tr>
    </w:tbl>
    <w:p w:rsidR="0050179A" w:rsidRDefault="0050179A" w:rsidP="0050179A">
      <w:pPr>
        <w:spacing w:before="120"/>
        <w:ind w:left="1800" w:hanging="1800"/>
        <w:outlineLvl w:val="0"/>
        <w:rPr>
          <w:rFonts w:cs="Arial"/>
          <w:bCs/>
          <w:i/>
        </w:rPr>
      </w:pPr>
    </w:p>
    <w:p w:rsidR="0050179A" w:rsidRDefault="0050179A" w:rsidP="0050179A">
      <w:pPr>
        <w:spacing w:line="276" w:lineRule="auto"/>
        <w:rPr>
          <w:rFonts w:cs="Arial"/>
        </w:rPr>
      </w:pPr>
    </w:p>
    <w:p w:rsidR="00F708AC" w:rsidRDefault="00F708AC" w:rsidP="00D4137B">
      <w:pPr>
        <w:rPr>
          <w:rFonts w:ascii="Arial" w:hAnsi="Arial"/>
        </w:rPr>
      </w:pPr>
      <w:r>
        <w:rPr>
          <w:rFonts w:ascii="Arial" w:hAnsi="Arial"/>
        </w:rPr>
        <w:br w:type="page"/>
      </w:r>
    </w:p>
    <w:p w:rsidR="00F708AC" w:rsidRPr="00D20948" w:rsidRDefault="00AC5CDF" w:rsidP="00F708AC">
      <w:pPr>
        <w:pStyle w:val="Vc"/>
        <w:rPr>
          <w:sz w:val="28"/>
          <w:szCs w:val="28"/>
        </w:rPr>
      </w:pPr>
      <w:r w:rsidRPr="00D20948">
        <w:rPr>
          <w:rFonts w:cs="Arial"/>
          <w:sz w:val="28"/>
          <w:szCs w:val="28"/>
        </w:rPr>
        <w:t>Záznam z jednání o „Aktualizaci Studie proveditelnosti Uzel Plzeň“ a „Studii proveditelnosti Hradec Králové – Pardubice“</w:t>
      </w:r>
    </w:p>
    <w:p w:rsidR="00F708AC" w:rsidRPr="00CE3A34" w:rsidRDefault="00F708AC" w:rsidP="00F708AC">
      <w:pPr>
        <w:rPr>
          <w:rFonts w:cs="Arial"/>
        </w:rPr>
      </w:pPr>
      <w:r w:rsidRPr="00CE3A34">
        <w:rPr>
          <w:rFonts w:cs="Arial"/>
        </w:rPr>
        <w:t xml:space="preserve">konaného dne </w:t>
      </w:r>
      <w:r>
        <w:rPr>
          <w:rFonts w:cs="Arial"/>
        </w:rPr>
        <w:t>19</w:t>
      </w:r>
      <w:r w:rsidRPr="00CE3A34">
        <w:rPr>
          <w:rFonts w:cs="Arial"/>
        </w:rPr>
        <w:t xml:space="preserve">. </w:t>
      </w:r>
      <w:r>
        <w:rPr>
          <w:rFonts w:cs="Arial"/>
        </w:rPr>
        <w:t>dubna 2013 na GŘ SŽDC s. o., Dlážděná 1003/7, Praha 1. Přítomní</w:t>
      </w:r>
      <w:r w:rsidRPr="00CE3A34">
        <w:rPr>
          <w:rFonts w:cs="Arial"/>
        </w:rPr>
        <w:t xml:space="preserve"> </w:t>
      </w:r>
      <w:r>
        <w:rPr>
          <w:rFonts w:cs="Arial"/>
        </w:rPr>
        <w:t>dle prezenční listiny.</w:t>
      </w:r>
    </w:p>
    <w:p w:rsidR="00F708AC" w:rsidRDefault="00F708AC" w:rsidP="00F708AC">
      <w:pPr>
        <w:rPr>
          <w:rFonts w:cs="Arial"/>
        </w:rPr>
      </w:pPr>
      <w:r>
        <w:rPr>
          <w:rFonts w:cs="Arial"/>
        </w:rPr>
        <w:t>Cílem jednání bylo představení a projednání předpokladů dopracování SP Uzel Plzeň a projednání návrhu vypořádání doporučení JASPERS ke studii Hradec Králové – Pardubice.</w:t>
      </w:r>
    </w:p>
    <w:p w:rsidR="00F708AC" w:rsidRPr="00340B37" w:rsidRDefault="00F708AC" w:rsidP="00F708AC">
      <w:pPr>
        <w:rPr>
          <w:rFonts w:cs="Arial"/>
          <w:b/>
        </w:rPr>
      </w:pPr>
      <w:r w:rsidRPr="00340B37">
        <w:rPr>
          <w:rFonts w:cs="Arial"/>
          <w:b/>
        </w:rPr>
        <w:t xml:space="preserve">1. Studie proveditelnosti </w:t>
      </w:r>
      <w:r>
        <w:rPr>
          <w:rFonts w:cs="Arial"/>
          <w:b/>
        </w:rPr>
        <w:t>U</w:t>
      </w:r>
      <w:r w:rsidRPr="00340B37">
        <w:rPr>
          <w:rFonts w:cs="Arial"/>
          <w:b/>
        </w:rPr>
        <w:t>zel Plzeň</w:t>
      </w:r>
    </w:p>
    <w:p w:rsidR="00F708AC" w:rsidRDefault="00F708AC" w:rsidP="00F708AC">
      <w:pPr>
        <w:rPr>
          <w:rFonts w:cs="Arial"/>
        </w:rPr>
      </w:pPr>
      <w:r>
        <w:rPr>
          <w:rFonts w:cs="Arial"/>
        </w:rPr>
        <w:t>„Studie proveditelnosti – Uzel Plzeň“ byla zpracována, odevzdána a projednána se zástupci SŽDC a MD ČR v prosinci roku 2011. Následně byla předána JASPERS a na základě jejich připomínek (srpen 2012), byla koncem března letošního roku 2013 zadána „Aktualizace Studie proveditelnosti – Uzel Plzeň“. Hlavním cílem této aktualizace je transparentní popis vývoje a volby variant, posouzení návrhu infrastruktury z hlediska poptávky, doplnění studie o část týkající se životního prostředí, případně další části jako je např. organizace údržby.</w:t>
      </w:r>
    </w:p>
    <w:p w:rsidR="00F708AC" w:rsidRDefault="00F708AC" w:rsidP="00F708AC">
      <w:pPr>
        <w:rPr>
          <w:rFonts w:cs="Arial"/>
        </w:rPr>
      </w:pPr>
      <w:r>
        <w:rPr>
          <w:rFonts w:cs="Arial"/>
        </w:rPr>
        <w:t xml:space="preserve"> V úvodu byla zpracovatelem přednesena </w:t>
      </w:r>
      <w:r w:rsidRPr="00F76F2E">
        <w:rPr>
          <w:rFonts w:cs="Arial"/>
          <w:b/>
        </w:rPr>
        <w:t>prezentace</w:t>
      </w:r>
      <w:r>
        <w:rPr>
          <w:rFonts w:cs="Arial"/>
        </w:rPr>
        <w:t xml:space="preserve"> základních údajů, vstupů a návrhů řešení, týkajících se uzlu Plzeň, která </w:t>
      </w:r>
      <w:r w:rsidRPr="00F76F2E">
        <w:rPr>
          <w:rFonts w:cs="Arial"/>
          <w:b/>
        </w:rPr>
        <w:t>je přílohou záznamu</w:t>
      </w:r>
      <w:r>
        <w:rPr>
          <w:rFonts w:cs="Arial"/>
        </w:rPr>
        <w:t xml:space="preserve">. </w:t>
      </w:r>
    </w:p>
    <w:p w:rsidR="00F708AC" w:rsidRDefault="00F708AC" w:rsidP="00F708AC">
      <w:pPr>
        <w:rPr>
          <w:rFonts w:cs="Arial"/>
        </w:rPr>
      </w:pPr>
      <w:r>
        <w:rPr>
          <w:rFonts w:cs="Arial"/>
        </w:rPr>
        <w:t xml:space="preserve"> Dále vyjímáme jen to nejdůležitější. </w:t>
      </w:r>
    </w:p>
    <w:p w:rsidR="00F708AC" w:rsidRDefault="00F708AC" w:rsidP="00F708AC">
      <w:pPr>
        <w:rPr>
          <w:rFonts w:cs="Arial"/>
        </w:rPr>
      </w:pPr>
      <w:r w:rsidRPr="00F76F2E">
        <w:rPr>
          <w:rFonts w:cs="Arial"/>
          <w:b/>
        </w:rPr>
        <w:t>Železniční uzel Plzeň</w:t>
      </w:r>
      <w:r>
        <w:rPr>
          <w:rFonts w:cs="Arial"/>
        </w:rPr>
        <w:t xml:space="preserve"> je v rámci studie rozdělen na čtyři oblasti, kde každá z nich má i různé varianty</w:t>
      </w:r>
      <w:r w:rsidRPr="008645BE">
        <w:rPr>
          <w:rFonts w:cs="Arial"/>
        </w:rPr>
        <w:t xml:space="preserve"> </w:t>
      </w:r>
      <w:r>
        <w:rPr>
          <w:rFonts w:cs="Arial"/>
        </w:rPr>
        <w:t>technického a dopravně technologického řešení. Jedná se o následující oblasti:</w:t>
      </w:r>
    </w:p>
    <w:p w:rsidR="00631EAB" w:rsidRDefault="00F708AC" w:rsidP="00D20948">
      <w:pPr>
        <w:numPr>
          <w:ilvl w:val="0"/>
          <w:numId w:val="53"/>
        </w:numPr>
        <w:suppressAutoHyphens w:val="0"/>
        <w:spacing w:before="0" w:after="120" w:line="240" w:lineRule="auto"/>
        <w:rPr>
          <w:rFonts w:cs="Arial"/>
        </w:rPr>
      </w:pPr>
      <w:r>
        <w:rPr>
          <w:rFonts w:cs="Arial"/>
        </w:rPr>
        <w:t>Oblast hlavního nádraží (osobní nádraží, východní zhlaví tzv. triangl tratí),</w:t>
      </w:r>
    </w:p>
    <w:p w:rsidR="00631EAB" w:rsidRDefault="00F708AC" w:rsidP="00D20948">
      <w:pPr>
        <w:numPr>
          <w:ilvl w:val="0"/>
          <w:numId w:val="53"/>
        </w:numPr>
        <w:suppressAutoHyphens w:val="0"/>
        <w:spacing w:before="0" w:after="120" w:line="240" w:lineRule="auto"/>
        <w:rPr>
          <w:rFonts w:cs="Arial"/>
        </w:rPr>
      </w:pPr>
      <w:r>
        <w:rPr>
          <w:rFonts w:cs="Arial"/>
        </w:rPr>
        <w:t>Oblast Skvrňan (oblast souběhu a oddělení tratí na Domažlice, Cheb),</w:t>
      </w:r>
    </w:p>
    <w:p w:rsidR="00631EAB" w:rsidRDefault="00F708AC" w:rsidP="00D20948">
      <w:pPr>
        <w:numPr>
          <w:ilvl w:val="0"/>
          <w:numId w:val="53"/>
        </w:numPr>
        <w:suppressAutoHyphens w:val="0"/>
        <w:spacing w:before="0" w:after="120" w:line="240" w:lineRule="auto"/>
        <w:rPr>
          <w:rFonts w:cs="Arial"/>
        </w:rPr>
      </w:pPr>
      <w:r>
        <w:rPr>
          <w:rFonts w:cs="Arial"/>
        </w:rPr>
        <w:t>Oblast seřaďovacího nádraží Doubravka,</w:t>
      </w:r>
    </w:p>
    <w:p w:rsidR="00631EAB" w:rsidRDefault="00F708AC" w:rsidP="00D20948">
      <w:pPr>
        <w:numPr>
          <w:ilvl w:val="0"/>
          <w:numId w:val="53"/>
        </w:numPr>
        <w:suppressAutoHyphens w:val="0"/>
        <w:spacing w:before="0" w:after="120" w:line="240" w:lineRule="auto"/>
        <w:rPr>
          <w:rFonts w:cs="Arial"/>
        </w:rPr>
      </w:pPr>
      <w:r>
        <w:rPr>
          <w:rFonts w:cs="Arial"/>
        </w:rPr>
        <w:t>Oblast Koterova</w:t>
      </w:r>
    </w:p>
    <w:p w:rsidR="00F708AC" w:rsidRDefault="00F708AC" w:rsidP="00F708AC">
      <w:r w:rsidRPr="007B5054">
        <w:rPr>
          <w:b/>
        </w:rPr>
        <w:t>Varianty řešení</w:t>
      </w:r>
      <w:r>
        <w:t xml:space="preserve"> lze rozdělit z hlediska významu, pořadí realizace a hodnocení na:</w:t>
      </w:r>
    </w:p>
    <w:p w:rsidR="00631EAB" w:rsidRDefault="00F708AC" w:rsidP="00D20948">
      <w:pPr>
        <w:numPr>
          <w:ilvl w:val="0"/>
          <w:numId w:val="54"/>
        </w:numPr>
        <w:suppressAutoHyphens w:val="0"/>
        <w:spacing w:before="40" w:after="40" w:line="240" w:lineRule="auto"/>
      </w:pPr>
      <w:r w:rsidRPr="00D54B4C">
        <w:t>Varianty technického a dopravně technologického řešení v jednotlivých definovaných oblastech,</w:t>
      </w:r>
    </w:p>
    <w:p w:rsidR="00631EAB" w:rsidRDefault="00F708AC" w:rsidP="00D20948">
      <w:pPr>
        <w:numPr>
          <w:ilvl w:val="0"/>
          <w:numId w:val="54"/>
        </w:numPr>
        <w:suppressAutoHyphens w:val="0"/>
        <w:spacing w:before="40" w:after="40" w:line="240" w:lineRule="auto"/>
      </w:pPr>
      <w:r w:rsidRPr="00D54B4C">
        <w:t>Varianty pořadí výstavby jednotlivých staveb,</w:t>
      </w:r>
    </w:p>
    <w:p w:rsidR="00631EAB" w:rsidRDefault="00F708AC" w:rsidP="00D20948">
      <w:pPr>
        <w:numPr>
          <w:ilvl w:val="0"/>
          <w:numId w:val="54"/>
        </w:numPr>
        <w:suppressAutoHyphens w:val="0"/>
        <w:spacing w:before="40" w:after="40" w:line="240" w:lineRule="auto"/>
      </w:pPr>
      <w:r w:rsidRPr="00D54B4C">
        <w:t>Varianty ekonomického hodnocení</w:t>
      </w:r>
    </w:p>
    <w:p w:rsidR="00F708AC" w:rsidRDefault="00F708AC" w:rsidP="00F708AC">
      <w:pPr>
        <w:rPr>
          <w:rFonts w:cs="Arial"/>
        </w:rPr>
      </w:pPr>
      <w:r w:rsidRPr="007B5054">
        <w:rPr>
          <w:rFonts w:cs="Arial"/>
          <w:b/>
        </w:rPr>
        <w:t>Varianty technického řešení</w:t>
      </w:r>
      <w:r>
        <w:rPr>
          <w:rFonts w:cs="Arial"/>
        </w:rPr>
        <w:t xml:space="preserve"> jsou navrženy v jednotlivých oblastech včetně varianty bez projektu, které budou mezi sebou na základě dílčích kritérií posouzeny.</w:t>
      </w:r>
    </w:p>
    <w:p w:rsidR="00F708AC" w:rsidRDefault="00F708AC" w:rsidP="00F708AC">
      <w:pPr>
        <w:rPr>
          <w:rFonts w:cs="Arial"/>
        </w:rPr>
      </w:pPr>
      <w:r>
        <w:rPr>
          <w:rFonts w:cs="Arial"/>
        </w:rPr>
        <w:t>Oblast hlavního nádraží je řešena ve dvou variantách a postup výstavby je navržen ve dvou na sebe navazujících stavbách </w:t>
      </w:r>
      <w:r w:rsidRPr="00C35406">
        <w:rPr>
          <w:rFonts w:cs="Arial"/>
          <w:b/>
        </w:rPr>
        <w:t>(1. a 2. stavba)</w:t>
      </w:r>
      <w:r>
        <w:rPr>
          <w:rFonts w:cs="Arial"/>
        </w:rPr>
        <w:t xml:space="preserve">. </w:t>
      </w:r>
    </w:p>
    <w:p w:rsidR="00F708AC" w:rsidRDefault="00F708AC" w:rsidP="00F708AC">
      <w:pPr>
        <w:rPr>
          <w:rFonts w:cs="Arial"/>
        </w:rPr>
      </w:pPr>
      <w:r>
        <w:rPr>
          <w:rFonts w:cs="Arial"/>
        </w:rPr>
        <w:t xml:space="preserve">Stejně tak je ve dvou variantách řešena oblast Skvrňan </w:t>
      </w:r>
      <w:r w:rsidRPr="00C35406">
        <w:rPr>
          <w:rFonts w:cs="Arial"/>
          <w:b/>
        </w:rPr>
        <w:t>(3. stavba)</w:t>
      </w:r>
      <w:r>
        <w:rPr>
          <w:rFonts w:cs="Arial"/>
        </w:rPr>
        <w:t xml:space="preserve"> a oddělení tratí na Domažlice a Cheb (varianty „rozplet“ a „přesmyk“). </w:t>
      </w:r>
    </w:p>
    <w:p w:rsidR="00F708AC" w:rsidRDefault="00F708AC" w:rsidP="00F708AC">
      <w:pPr>
        <w:rPr>
          <w:rFonts w:cs="Arial"/>
        </w:rPr>
      </w:pPr>
      <w:r>
        <w:rPr>
          <w:rFonts w:cs="Arial"/>
        </w:rPr>
        <w:t xml:space="preserve">Rovněž seřaďovací nádraží </w:t>
      </w:r>
      <w:r w:rsidRPr="00C35406">
        <w:rPr>
          <w:rFonts w:cs="Arial"/>
          <w:b/>
        </w:rPr>
        <w:t>(4. stavba)</w:t>
      </w:r>
      <w:r>
        <w:rPr>
          <w:rFonts w:cs="Arial"/>
        </w:rPr>
        <w:t xml:space="preserve"> je navrženo ve dvou projektových variantách, a sice z hlediska jeho umístění buď do stávající oblasti Doubravka, nebo nově v oblasti Koterova. </w:t>
      </w:r>
    </w:p>
    <w:p w:rsidR="00F708AC" w:rsidRDefault="00F708AC" w:rsidP="00F708AC">
      <w:r>
        <w:t xml:space="preserve">Po rozhodnutí o variantě umístění výhledového seřaďovacího nádraží zbývá dokončit rekonstrukci hlavních kolejí od kolejiště Lobzy (návaznost na </w:t>
      </w:r>
      <w:smartTag w:uri="urn:schemas-microsoft-com:office:smarttags" w:element="metricconverter">
        <w:smartTagPr>
          <w:attr w:name="ProductID" w:val="1. a"/>
        </w:smartTagPr>
        <w:r>
          <w:t>1. a</w:t>
        </w:r>
      </w:smartTag>
      <w:r>
        <w:t xml:space="preserve"> 2. stavbu hlavního nádraží) do Koterova. Zároveň je potřeba řešit zastávku Koterov v souvislosti se záměry města. Řešení v této oblasti</w:t>
      </w:r>
      <w:r w:rsidRPr="00C35406">
        <w:rPr>
          <w:b/>
        </w:rPr>
        <w:t xml:space="preserve"> (</w:t>
      </w:r>
      <w:r w:rsidRPr="00C35406">
        <w:rPr>
          <w:rFonts w:cs="Arial"/>
          <w:b/>
        </w:rPr>
        <w:t>5. stavba</w:t>
      </w:r>
      <w:r>
        <w:rPr>
          <w:rFonts w:cs="Arial"/>
          <w:b/>
        </w:rPr>
        <w:t>)</w:t>
      </w:r>
      <w:r>
        <w:rPr>
          <w:rFonts w:cs="Arial"/>
        </w:rPr>
        <w:t xml:space="preserve"> je</w:t>
      </w:r>
      <w:r>
        <w:t xml:space="preserve"> s výjimkou seřaďovacího nádraží invariantní. </w:t>
      </w:r>
    </w:p>
    <w:p w:rsidR="00F708AC" w:rsidRPr="00F76F2E" w:rsidRDefault="00F708AC" w:rsidP="00F708AC">
      <w:pPr>
        <w:rPr>
          <w:rFonts w:cs="Arial"/>
          <w:b/>
        </w:rPr>
      </w:pPr>
      <w:r w:rsidRPr="00F76F2E">
        <w:rPr>
          <w:b/>
        </w:rPr>
        <w:t>Všechny varianty technického řešení jsou zpracovány ve schématech, která jsou rovněž přílohou záznamu.</w:t>
      </w:r>
    </w:p>
    <w:p w:rsidR="00F708AC" w:rsidRDefault="00F708AC" w:rsidP="00F708AC">
      <w:pPr>
        <w:rPr>
          <w:rFonts w:cs="Arial"/>
        </w:rPr>
      </w:pPr>
      <w:r w:rsidRPr="002B62E5">
        <w:rPr>
          <w:rFonts w:cs="Arial"/>
          <w:b/>
        </w:rPr>
        <w:t>Varianty pořadí výstavby.</w:t>
      </w:r>
      <w:r>
        <w:rPr>
          <w:rFonts w:cs="Arial"/>
        </w:rPr>
        <w:t xml:space="preserve"> V průběhu posledních několika let bylo investorem SŽDC zvažováno různé pořadí staveb. V této studii je navržen už jen jeden harmonogram výstavby, který nejlépe odpovídá současným požadavkům na železniční dopravu. Některé stavby jsou navrženy tak, že v případě potřeby lze jejich pořadí zaměnit.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1937"/>
        <w:gridCol w:w="4877"/>
      </w:tblGrid>
      <w:tr w:rsidR="00F708AC" w:rsidRPr="003A36F7" w:rsidTr="006E61CA">
        <w:tc>
          <w:tcPr>
            <w:tcW w:w="2802" w:type="dxa"/>
            <w:shd w:val="clear" w:color="auto" w:fill="auto"/>
          </w:tcPr>
          <w:p w:rsidR="00F708AC" w:rsidRPr="00C35406" w:rsidRDefault="00F708AC" w:rsidP="006E61CA">
            <w:pPr>
              <w:rPr>
                <w:rFonts w:cs="Arial"/>
                <w:b/>
                <w:sz w:val="22"/>
                <w:szCs w:val="22"/>
              </w:rPr>
            </w:pPr>
            <w:r>
              <w:br w:type="page"/>
            </w:r>
            <w:r>
              <w:rPr>
                <w:rFonts w:cs="Arial"/>
              </w:rPr>
              <w:br w:type="page"/>
            </w:r>
            <w:r w:rsidRPr="00C35406">
              <w:rPr>
                <w:rFonts w:cs="Arial"/>
                <w:b/>
                <w:sz w:val="22"/>
                <w:szCs w:val="22"/>
              </w:rPr>
              <w:t>Název stavby (pořadí)</w:t>
            </w:r>
          </w:p>
        </w:tc>
        <w:tc>
          <w:tcPr>
            <w:tcW w:w="1984" w:type="dxa"/>
            <w:shd w:val="clear" w:color="auto" w:fill="F2DBDB"/>
          </w:tcPr>
          <w:p w:rsidR="00F708AC" w:rsidRPr="00C35406" w:rsidRDefault="00F708AC" w:rsidP="006E61CA">
            <w:pPr>
              <w:rPr>
                <w:rFonts w:cs="Arial"/>
                <w:b/>
                <w:sz w:val="22"/>
                <w:szCs w:val="22"/>
              </w:rPr>
            </w:pPr>
            <w:r w:rsidRPr="00C35406">
              <w:rPr>
                <w:rFonts w:cs="Arial"/>
                <w:b/>
                <w:sz w:val="22"/>
                <w:szCs w:val="22"/>
              </w:rPr>
              <w:t>Roky výstavby</w:t>
            </w:r>
          </w:p>
        </w:tc>
        <w:tc>
          <w:tcPr>
            <w:tcW w:w="5103" w:type="dxa"/>
            <w:shd w:val="clear" w:color="auto" w:fill="auto"/>
          </w:tcPr>
          <w:p w:rsidR="00F708AC" w:rsidRPr="00C35406" w:rsidRDefault="00F708AC" w:rsidP="006E61CA">
            <w:pPr>
              <w:rPr>
                <w:rFonts w:cs="Arial"/>
                <w:b/>
                <w:sz w:val="22"/>
                <w:szCs w:val="22"/>
              </w:rPr>
            </w:pPr>
            <w:r w:rsidRPr="00C35406">
              <w:rPr>
                <w:rFonts w:cs="Arial"/>
                <w:b/>
                <w:sz w:val="22"/>
                <w:szCs w:val="22"/>
              </w:rPr>
              <w:t xml:space="preserve">Poznámka </w:t>
            </w:r>
          </w:p>
        </w:tc>
      </w:tr>
      <w:tr w:rsidR="00F708AC" w:rsidRPr="006F4593" w:rsidTr="006E61CA">
        <w:tc>
          <w:tcPr>
            <w:tcW w:w="2802" w:type="dxa"/>
            <w:shd w:val="clear" w:color="auto" w:fill="auto"/>
          </w:tcPr>
          <w:p w:rsidR="00631EAB" w:rsidRDefault="00F708AC" w:rsidP="00D20948">
            <w:pPr>
              <w:numPr>
                <w:ilvl w:val="0"/>
                <w:numId w:val="55"/>
              </w:numPr>
              <w:suppressAutoHyphens w:val="0"/>
              <w:spacing w:before="40" w:after="40" w:line="240" w:lineRule="auto"/>
              <w:rPr>
                <w:rFonts w:cs="Arial"/>
                <w:b/>
                <w:sz w:val="22"/>
                <w:szCs w:val="22"/>
              </w:rPr>
            </w:pPr>
            <w:r w:rsidRPr="00C35406">
              <w:rPr>
                <w:rFonts w:cs="Arial"/>
                <w:b/>
                <w:sz w:val="22"/>
                <w:szCs w:val="22"/>
              </w:rPr>
              <w:t>stavba</w:t>
            </w:r>
          </w:p>
        </w:tc>
        <w:tc>
          <w:tcPr>
            <w:tcW w:w="1984" w:type="dxa"/>
            <w:shd w:val="clear" w:color="auto" w:fill="F2DBDB"/>
          </w:tcPr>
          <w:p w:rsidR="00F708AC" w:rsidRPr="00C35406" w:rsidRDefault="00F708AC" w:rsidP="006E61CA">
            <w:pPr>
              <w:rPr>
                <w:rFonts w:cs="Arial"/>
                <w:sz w:val="22"/>
                <w:szCs w:val="22"/>
              </w:rPr>
            </w:pPr>
            <w:r w:rsidRPr="00C35406">
              <w:rPr>
                <w:rFonts w:cs="Arial"/>
                <w:sz w:val="22"/>
                <w:szCs w:val="22"/>
              </w:rPr>
              <w:t>2014 – 2015</w:t>
            </w:r>
          </w:p>
        </w:tc>
        <w:tc>
          <w:tcPr>
            <w:tcW w:w="5103" w:type="dxa"/>
            <w:shd w:val="clear" w:color="auto" w:fill="auto"/>
          </w:tcPr>
          <w:p w:rsidR="00F708AC" w:rsidRPr="00C35406" w:rsidRDefault="00F708AC" w:rsidP="006E61CA">
            <w:pPr>
              <w:rPr>
                <w:rFonts w:cs="Arial"/>
                <w:sz w:val="22"/>
                <w:szCs w:val="22"/>
              </w:rPr>
            </w:pPr>
          </w:p>
        </w:tc>
      </w:tr>
      <w:tr w:rsidR="00F708AC" w:rsidRPr="006F4593" w:rsidTr="006E61CA">
        <w:tc>
          <w:tcPr>
            <w:tcW w:w="2802" w:type="dxa"/>
            <w:shd w:val="clear" w:color="auto" w:fill="auto"/>
          </w:tcPr>
          <w:p w:rsidR="00631EAB" w:rsidRDefault="00F708AC" w:rsidP="00D20948">
            <w:pPr>
              <w:numPr>
                <w:ilvl w:val="0"/>
                <w:numId w:val="55"/>
              </w:numPr>
              <w:suppressAutoHyphens w:val="0"/>
              <w:spacing w:before="40" w:after="40" w:line="240" w:lineRule="auto"/>
              <w:rPr>
                <w:rFonts w:cs="Arial"/>
                <w:b/>
                <w:bCs/>
                <w:kern w:val="28"/>
                <w:sz w:val="22"/>
                <w:szCs w:val="22"/>
              </w:rPr>
            </w:pPr>
            <w:r w:rsidRPr="00C35406">
              <w:rPr>
                <w:rFonts w:cs="Arial"/>
                <w:b/>
                <w:sz w:val="22"/>
                <w:szCs w:val="22"/>
              </w:rPr>
              <w:t>stavba</w:t>
            </w:r>
          </w:p>
        </w:tc>
        <w:tc>
          <w:tcPr>
            <w:tcW w:w="1984" w:type="dxa"/>
            <w:shd w:val="clear" w:color="auto" w:fill="F2DBDB"/>
          </w:tcPr>
          <w:p w:rsidR="00F708AC" w:rsidRPr="00C35406" w:rsidRDefault="00F708AC" w:rsidP="006E61CA">
            <w:pPr>
              <w:rPr>
                <w:rFonts w:cs="Arial"/>
                <w:sz w:val="22"/>
                <w:szCs w:val="22"/>
              </w:rPr>
            </w:pPr>
            <w:r w:rsidRPr="00C35406">
              <w:rPr>
                <w:rFonts w:cs="Arial"/>
                <w:sz w:val="22"/>
                <w:szCs w:val="22"/>
              </w:rPr>
              <w:t xml:space="preserve">2016 – 2017 </w:t>
            </w:r>
          </w:p>
        </w:tc>
        <w:tc>
          <w:tcPr>
            <w:tcW w:w="5103" w:type="dxa"/>
            <w:shd w:val="clear" w:color="auto" w:fill="auto"/>
          </w:tcPr>
          <w:p w:rsidR="00F708AC" w:rsidRPr="00C35406" w:rsidRDefault="00F708AC" w:rsidP="006E61CA">
            <w:pPr>
              <w:rPr>
                <w:rFonts w:cs="Arial"/>
                <w:sz w:val="22"/>
                <w:szCs w:val="22"/>
              </w:rPr>
            </w:pPr>
          </w:p>
        </w:tc>
      </w:tr>
      <w:tr w:rsidR="00F708AC" w:rsidRPr="006F4593" w:rsidTr="006E61CA">
        <w:tc>
          <w:tcPr>
            <w:tcW w:w="2802" w:type="dxa"/>
            <w:shd w:val="clear" w:color="auto" w:fill="auto"/>
          </w:tcPr>
          <w:p w:rsidR="00631EAB" w:rsidRDefault="00F708AC" w:rsidP="00D20948">
            <w:pPr>
              <w:numPr>
                <w:ilvl w:val="0"/>
                <w:numId w:val="55"/>
              </w:numPr>
              <w:suppressAutoHyphens w:val="0"/>
              <w:spacing w:before="40" w:after="40" w:line="240" w:lineRule="auto"/>
              <w:rPr>
                <w:rFonts w:cs="Arial"/>
                <w:b/>
                <w:bCs/>
                <w:kern w:val="28"/>
                <w:sz w:val="22"/>
                <w:szCs w:val="22"/>
              </w:rPr>
            </w:pPr>
            <w:r w:rsidRPr="00C35406">
              <w:rPr>
                <w:rFonts w:cs="Arial"/>
                <w:b/>
                <w:sz w:val="22"/>
                <w:szCs w:val="22"/>
              </w:rPr>
              <w:t>stavba</w:t>
            </w:r>
          </w:p>
        </w:tc>
        <w:tc>
          <w:tcPr>
            <w:tcW w:w="1984" w:type="dxa"/>
            <w:shd w:val="clear" w:color="auto" w:fill="F2DBDB"/>
          </w:tcPr>
          <w:p w:rsidR="00F708AC" w:rsidRPr="00C35406" w:rsidRDefault="00F708AC" w:rsidP="006E61CA">
            <w:pPr>
              <w:rPr>
                <w:rFonts w:cs="Arial"/>
                <w:sz w:val="22"/>
                <w:szCs w:val="22"/>
              </w:rPr>
            </w:pPr>
            <w:r w:rsidRPr="00C35406">
              <w:rPr>
                <w:rFonts w:cs="Arial"/>
                <w:sz w:val="22"/>
                <w:szCs w:val="22"/>
              </w:rPr>
              <w:t xml:space="preserve">2017 – 2018 </w:t>
            </w:r>
          </w:p>
        </w:tc>
        <w:tc>
          <w:tcPr>
            <w:tcW w:w="5103" w:type="dxa"/>
            <w:shd w:val="clear" w:color="auto" w:fill="auto"/>
          </w:tcPr>
          <w:p w:rsidR="00F708AC" w:rsidRPr="00C35406" w:rsidRDefault="00F708AC" w:rsidP="006E61CA">
            <w:pPr>
              <w:rPr>
                <w:rFonts w:cs="Arial"/>
                <w:sz w:val="22"/>
                <w:szCs w:val="22"/>
              </w:rPr>
            </w:pPr>
            <w:r w:rsidRPr="00C35406">
              <w:rPr>
                <w:rFonts w:cs="Arial"/>
                <w:sz w:val="22"/>
                <w:szCs w:val="22"/>
              </w:rPr>
              <w:t xml:space="preserve">stavba může být zahájena dříve 2015 – 2016 </w:t>
            </w:r>
          </w:p>
        </w:tc>
      </w:tr>
      <w:tr w:rsidR="00F708AC" w:rsidRPr="006F4593" w:rsidTr="006E61CA">
        <w:tc>
          <w:tcPr>
            <w:tcW w:w="2802" w:type="dxa"/>
            <w:shd w:val="clear" w:color="auto" w:fill="auto"/>
          </w:tcPr>
          <w:p w:rsidR="00631EAB" w:rsidRDefault="00F708AC" w:rsidP="00D20948">
            <w:pPr>
              <w:numPr>
                <w:ilvl w:val="0"/>
                <w:numId w:val="55"/>
              </w:numPr>
              <w:suppressAutoHyphens w:val="0"/>
              <w:spacing w:before="40" w:after="40" w:line="240" w:lineRule="auto"/>
              <w:rPr>
                <w:rFonts w:cs="Arial"/>
                <w:b/>
                <w:bCs/>
                <w:kern w:val="28"/>
                <w:sz w:val="22"/>
                <w:szCs w:val="22"/>
              </w:rPr>
            </w:pPr>
            <w:r w:rsidRPr="00C35406">
              <w:rPr>
                <w:rFonts w:cs="Arial"/>
                <w:b/>
                <w:sz w:val="22"/>
                <w:szCs w:val="22"/>
              </w:rPr>
              <w:t>stavba</w:t>
            </w:r>
          </w:p>
        </w:tc>
        <w:tc>
          <w:tcPr>
            <w:tcW w:w="1984" w:type="dxa"/>
            <w:shd w:val="clear" w:color="auto" w:fill="F2DBDB"/>
          </w:tcPr>
          <w:p w:rsidR="00F708AC" w:rsidRPr="00C35406" w:rsidRDefault="00F708AC" w:rsidP="006E61CA">
            <w:pPr>
              <w:rPr>
                <w:rFonts w:cs="Arial"/>
                <w:sz w:val="22"/>
                <w:szCs w:val="22"/>
              </w:rPr>
            </w:pPr>
            <w:r w:rsidRPr="00C35406">
              <w:rPr>
                <w:rFonts w:cs="Arial"/>
                <w:sz w:val="22"/>
                <w:szCs w:val="22"/>
              </w:rPr>
              <w:t>2021 – 2022</w:t>
            </w:r>
          </w:p>
        </w:tc>
        <w:tc>
          <w:tcPr>
            <w:tcW w:w="5103" w:type="dxa"/>
            <w:shd w:val="clear" w:color="auto" w:fill="auto"/>
          </w:tcPr>
          <w:p w:rsidR="00F708AC" w:rsidRPr="00C35406" w:rsidRDefault="00F708AC" w:rsidP="006E61CA">
            <w:pPr>
              <w:rPr>
                <w:rFonts w:cs="Arial"/>
                <w:sz w:val="22"/>
                <w:szCs w:val="22"/>
              </w:rPr>
            </w:pPr>
            <w:r w:rsidRPr="00C35406">
              <w:rPr>
                <w:rFonts w:cs="Arial"/>
                <w:sz w:val="22"/>
                <w:szCs w:val="22"/>
              </w:rPr>
              <w:t>stavba může být zahájena dříve 2019 – 202</w:t>
            </w:r>
            <w:r>
              <w:rPr>
                <w:rFonts w:cs="Arial"/>
                <w:sz w:val="22"/>
                <w:szCs w:val="22"/>
              </w:rPr>
              <w:t>0</w:t>
            </w:r>
            <w:r w:rsidRPr="00C35406">
              <w:rPr>
                <w:rFonts w:cs="Arial"/>
                <w:sz w:val="22"/>
                <w:szCs w:val="22"/>
              </w:rPr>
              <w:t xml:space="preserve"> </w:t>
            </w:r>
          </w:p>
        </w:tc>
      </w:tr>
      <w:tr w:rsidR="00F708AC" w:rsidRPr="006F4593" w:rsidTr="006E61CA">
        <w:tc>
          <w:tcPr>
            <w:tcW w:w="2802" w:type="dxa"/>
            <w:shd w:val="clear" w:color="auto" w:fill="auto"/>
          </w:tcPr>
          <w:p w:rsidR="00631EAB" w:rsidRDefault="00F708AC" w:rsidP="00D20948">
            <w:pPr>
              <w:numPr>
                <w:ilvl w:val="0"/>
                <w:numId w:val="55"/>
              </w:numPr>
              <w:suppressAutoHyphens w:val="0"/>
              <w:spacing w:before="40" w:after="40" w:line="240" w:lineRule="auto"/>
              <w:rPr>
                <w:rFonts w:cs="Arial"/>
                <w:b/>
                <w:bCs/>
                <w:kern w:val="28"/>
                <w:sz w:val="22"/>
                <w:szCs w:val="22"/>
              </w:rPr>
            </w:pPr>
            <w:r w:rsidRPr="00C35406">
              <w:rPr>
                <w:rFonts w:cs="Arial"/>
                <w:b/>
                <w:sz w:val="22"/>
                <w:szCs w:val="22"/>
              </w:rPr>
              <w:t>stavba</w:t>
            </w:r>
          </w:p>
        </w:tc>
        <w:tc>
          <w:tcPr>
            <w:tcW w:w="1984" w:type="dxa"/>
            <w:shd w:val="clear" w:color="auto" w:fill="F2DBDB"/>
          </w:tcPr>
          <w:p w:rsidR="00F708AC" w:rsidRPr="00C35406" w:rsidRDefault="00F708AC" w:rsidP="006E61CA">
            <w:pPr>
              <w:rPr>
                <w:rFonts w:cs="Arial"/>
                <w:sz w:val="22"/>
                <w:szCs w:val="22"/>
              </w:rPr>
            </w:pPr>
            <w:r w:rsidRPr="00C35406">
              <w:rPr>
                <w:rFonts w:cs="Arial"/>
                <w:sz w:val="22"/>
                <w:szCs w:val="22"/>
              </w:rPr>
              <w:t xml:space="preserve">2023 </w:t>
            </w:r>
          </w:p>
        </w:tc>
        <w:tc>
          <w:tcPr>
            <w:tcW w:w="5103" w:type="dxa"/>
            <w:shd w:val="clear" w:color="auto" w:fill="auto"/>
          </w:tcPr>
          <w:p w:rsidR="00F708AC" w:rsidRPr="00C35406" w:rsidRDefault="00F708AC" w:rsidP="006E61CA">
            <w:pPr>
              <w:rPr>
                <w:rFonts w:cs="Arial"/>
                <w:sz w:val="22"/>
                <w:szCs w:val="22"/>
              </w:rPr>
            </w:pPr>
            <w:r w:rsidRPr="00C35406">
              <w:rPr>
                <w:rFonts w:cs="Arial"/>
                <w:sz w:val="22"/>
                <w:szCs w:val="22"/>
              </w:rPr>
              <w:t>stavba může být zahájena dříve 202</w:t>
            </w:r>
            <w:r>
              <w:rPr>
                <w:rFonts w:cs="Arial"/>
                <w:sz w:val="22"/>
                <w:szCs w:val="22"/>
              </w:rPr>
              <w:t>1</w:t>
            </w:r>
            <w:r w:rsidRPr="00C35406">
              <w:rPr>
                <w:rFonts w:cs="Arial"/>
                <w:sz w:val="22"/>
                <w:szCs w:val="22"/>
              </w:rPr>
              <w:t xml:space="preserve"> </w:t>
            </w:r>
          </w:p>
        </w:tc>
      </w:tr>
    </w:tbl>
    <w:p w:rsidR="00F708AC" w:rsidRPr="001D25A2" w:rsidRDefault="00F708AC" w:rsidP="00F708AC">
      <w:pPr>
        <w:spacing w:after="0" w:line="276" w:lineRule="auto"/>
        <w:rPr>
          <w:rFonts w:cs="Arial"/>
        </w:rPr>
      </w:pPr>
      <w:r>
        <w:rPr>
          <w:rFonts w:cs="Arial"/>
          <w:b/>
        </w:rPr>
        <w:t xml:space="preserve">Horizont výstavby (doba realizace) </w:t>
      </w:r>
      <w:r w:rsidRPr="001D25A2">
        <w:rPr>
          <w:rFonts w:cs="Arial"/>
        </w:rPr>
        <w:t xml:space="preserve">ostatních navazujících a souvisejících železničních staveb majících vliv na přepravní prognózu staveb v uzlu.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3119"/>
      </w:tblGrid>
      <w:tr w:rsidR="00F708AC" w:rsidRPr="003A36F7" w:rsidTr="006E61CA">
        <w:tc>
          <w:tcPr>
            <w:tcW w:w="4077" w:type="dxa"/>
            <w:shd w:val="clear" w:color="auto" w:fill="auto"/>
          </w:tcPr>
          <w:p w:rsidR="00F708AC" w:rsidRPr="003A36F7" w:rsidRDefault="00F708AC" w:rsidP="006E61CA">
            <w:pPr>
              <w:spacing w:after="0"/>
              <w:rPr>
                <w:rFonts w:cs="Arial"/>
                <w:b/>
                <w:sz w:val="24"/>
              </w:rPr>
            </w:pPr>
            <w:r w:rsidRPr="003A36F7">
              <w:rPr>
                <w:rFonts w:cs="Arial"/>
                <w:b/>
                <w:sz w:val="24"/>
              </w:rPr>
              <w:t>Název stavby</w:t>
            </w:r>
          </w:p>
        </w:tc>
        <w:tc>
          <w:tcPr>
            <w:tcW w:w="3119" w:type="dxa"/>
            <w:shd w:val="clear" w:color="auto" w:fill="F2DBDB"/>
          </w:tcPr>
          <w:p w:rsidR="00F708AC" w:rsidRPr="003A36F7" w:rsidRDefault="00F708AC" w:rsidP="006E61CA">
            <w:pPr>
              <w:spacing w:after="0"/>
              <w:rPr>
                <w:rFonts w:cs="Arial"/>
                <w:b/>
                <w:sz w:val="24"/>
              </w:rPr>
            </w:pPr>
            <w:r>
              <w:rPr>
                <w:rFonts w:cs="Arial"/>
                <w:b/>
                <w:sz w:val="24"/>
              </w:rPr>
              <w:t>Uvedení do provozu</w:t>
            </w:r>
          </w:p>
        </w:tc>
      </w:tr>
      <w:tr w:rsidR="00F708AC" w:rsidRPr="006F4593" w:rsidTr="006E61CA">
        <w:tc>
          <w:tcPr>
            <w:tcW w:w="4077" w:type="dxa"/>
            <w:shd w:val="clear" w:color="auto" w:fill="auto"/>
          </w:tcPr>
          <w:p w:rsidR="00F708AC" w:rsidRPr="006F4593" w:rsidRDefault="00F708AC" w:rsidP="006E61CA">
            <w:pPr>
              <w:spacing w:before="40" w:after="40"/>
              <w:rPr>
                <w:rFonts w:cs="Arial"/>
              </w:rPr>
            </w:pPr>
            <w:r>
              <w:rPr>
                <w:rFonts w:cs="Arial"/>
                <w:b/>
              </w:rPr>
              <w:t>Praha – Plzeň, (dokončení 3. TŽK)</w:t>
            </w:r>
          </w:p>
        </w:tc>
        <w:tc>
          <w:tcPr>
            <w:tcW w:w="3119" w:type="dxa"/>
            <w:shd w:val="clear" w:color="auto" w:fill="F2DBDB"/>
          </w:tcPr>
          <w:p w:rsidR="00F708AC" w:rsidRPr="006F4593" w:rsidRDefault="00F708AC" w:rsidP="006E61CA">
            <w:pPr>
              <w:spacing w:before="40" w:after="40"/>
              <w:rPr>
                <w:rFonts w:cs="Arial"/>
              </w:rPr>
            </w:pPr>
            <w:r w:rsidRPr="002E4D62">
              <w:rPr>
                <w:rFonts w:cs="Arial"/>
                <w:b/>
              </w:rPr>
              <w:t>2017</w:t>
            </w:r>
          </w:p>
        </w:tc>
      </w:tr>
      <w:tr w:rsidR="00F708AC" w:rsidRPr="006F4593" w:rsidTr="006E61CA">
        <w:tc>
          <w:tcPr>
            <w:tcW w:w="4077" w:type="dxa"/>
            <w:shd w:val="clear" w:color="auto" w:fill="auto"/>
          </w:tcPr>
          <w:p w:rsidR="00F708AC" w:rsidRPr="006F4593" w:rsidRDefault="00F708AC" w:rsidP="006E61CA">
            <w:pPr>
              <w:spacing w:before="40" w:after="40"/>
              <w:rPr>
                <w:rFonts w:cs="Arial"/>
              </w:rPr>
            </w:pPr>
            <w:r>
              <w:rPr>
                <w:rFonts w:cs="Arial"/>
                <w:b/>
              </w:rPr>
              <w:t>Praha – Beroun nová trať</w:t>
            </w:r>
            <w:r w:rsidRPr="006F4593">
              <w:rPr>
                <w:rFonts w:cs="Arial"/>
              </w:rPr>
              <w:t xml:space="preserve"> </w:t>
            </w:r>
          </w:p>
        </w:tc>
        <w:tc>
          <w:tcPr>
            <w:tcW w:w="3119" w:type="dxa"/>
            <w:shd w:val="clear" w:color="auto" w:fill="F2DBDB"/>
          </w:tcPr>
          <w:p w:rsidR="00F708AC" w:rsidRPr="002E4D62" w:rsidRDefault="00F708AC" w:rsidP="006E61CA">
            <w:pPr>
              <w:spacing w:before="40" w:after="40"/>
              <w:rPr>
                <w:rFonts w:cs="Arial"/>
                <w:b/>
              </w:rPr>
            </w:pPr>
            <w:r w:rsidRPr="002E4D62">
              <w:rPr>
                <w:rFonts w:cs="Arial"/>
                <w:b/>
              </w:rPr>
              <w:t xml:space="preserve">2026 </w:t>
            </w:r>
          </w:p>
        </w:tc>
      </w:tr>
      <w:tr w:rsidR="00F708AC" w:rsidRPr="006F4593" w:rsidTr="006E61CA">
        <w:tc>
          <w:tcPr>
            <w:tcW w:w="4077" w:type="dxa"/>
            <w:shd w:val="clear" w:color="auto" w:fill="auto"/>
          </w:tcPr>
          <w:p w:rsidR="00F708AC" w:rsidRPr="006F4593" w:rsidRDefault="00F708AC" w:rsidP="006E61CA">
            <w:pPr>
              <w:spacing w:before="40" w:after="40"/>
              <w:rPr>
                <w:rFonts w:cs="Arial"/>
              </w:rPr>
            </w:pPr>
            <w:r>
              <w:rPr>
                <w:rFonts w:cs="Arial"/>
                <w:b/>
              </w:rPr>
              <w:t>Plzeň – Domažlice</w:t>
            </w:r>
            <w:r w:rsidRPr="006F4593">
              <w:rPr>
                <w:rFonts w:cs="Arial"/>
              </w:rPr>
              <w:t xml:space="preserve"> </w:t>
            </w:r>
            <w:r w:rsidRPr="00B17449">
              <w:rPr>
                <w:rFonts w:cs="Arial"/>
                <w:b/>
              </w:rPr>
              <w:t>(modernizace)</w:t>
            </w:r>
          </w:p>
        </w:tc>
        <w:tc>
          <w:tcPr>
            <w:tcW w:w="3119" w:type="dxa"/>
            <w:shd w:val="clear" w:color="auto" w:fill="F2DBDB"/>
          </w:tcPr>
          <w:p w:rsidR="00F708AC" w:rsidRPr="002E4D62" w:rsidRDefault="00F708AC" w:rsidP="006E61CA">
            <w:pPr>
              <w:spacing w:before="40" w:after="40"/>
              <w:rPr>
                <w:rFonts w:cs="Arial"/>
                <w:b/>
              </w:rPr>
            </w:pPr>
            <w:r>
              <w:rPr>
                <w:rFonts w:cs="Arial"/>
                <w:b/>
              </w:rPr>
              <w:t>2031</w:t>
            </w:r>
            <w:r w:rsidRPr="002E4D62">
              <w:rPr>
                <w:rFonts w:cs="Arial"/>
                <w:b/>
              </w:rPr>
              <w:t xml:space="preserve"> </w:t>
            </w:r>
          </w:p>
        </w:tc>
      </w:tr>
      <w:tr w:rsidR="00F708AC" w:rsidRPr="006F4593" w:rsidTr="006E61CA">
        <w:tc>
          <w:tcPr>
            <w:tcW w:w="4077" w:type="dxa"/>
            <w:shd w:val="clear" w:color="auto" w:fill="auto"/>
          </w:tcPr>
          <w:p w:rsidR="00F708AC" w:rsidRPr="006F4593" w:rsidRDefault="00F708AC" w:rsidP="006E61CA">
            <w:pPr>
              <w:spacing w:before="40" w:after="40"/>
              <w:rPr>
                <w:rFonts w:cs="Arial"/>
              </w:rPr>
            </w:pPr>
            <w:r>
              <w:rPr>
                <w:rFonts w:cs="Arial"/>
                <w:b/>
              </w:rPr>
              <w:t>Praha – Brno</w:t>
            </w:r>
            <w:r w:rsidRPr="006F4593">
              <w:rPr>
                <w:rFonts w:cs="Arial"/>
              </w:rPr>
              <w:t xml:space="preserve"> </w:t>
            </w:r>
            <w:r w:rsidRPr="00B17449">
              <w:rPr>
                <w:rFonts w:cs="Arial"/>
                <w:b/>
              </w:rPr>
              <w:t>(rychlé spojení)</w:t>
            </w:r>
          </w:p>
        </w:tc>
        <w:tc>
          <w:tcPr>
            <w:tcW w:w="3119" w:type="dxa"/>
            <w:shd w:val="clear" w:color="auto" w:fill="F2DBDB"/>
          </w:tcPr>
          <w:p w:rsidR="00F708AC" w:rsidRPr="002E4D62" w:rsidRDefault="00F708AC" w:rsidP="006E61CA">
            <w:pPr>
              <w:spacing w:before="40" w:after="40"/>
              <w:rPr>
                <w:rFonts w:cs="Arial"/>
                <w:b/>
              </w:rPr>
            </w:pPr>
            <w:r w:rsidRPr="002E4D62">
              <w:rPr>
                <w:rFonts w:cs="Arial"/>
                <w:b/>
              </w:rPr>
              <w:t>2041</w:t>
            </w:r>
          </w:p>
        </w:tc>
      </w:tr>
    </w:tbl>
    <w:p w:rsidR="00F708AC" w:rsidRPr="001D25A2" w:rsidRDefault="00F708AC" w:rsidP="00F708AC">
      <w:pPr>
        <w:spacing w:after="0" w:line="276" w:lineRule="auto"/>
        <w:rPr>
          <w:rFonts w:cs="Arial"/>
        </w:rPr>
      </w:pPr>
      <w:r>
        <w:rPr>
          <w:rFonts w:cs="Arial"/>
          <w:b/>
        </w:rPr>
        <w:t xml:space="preserve">Doba realizace všech dopravních staveb města, ŘSD </w:t>
      </w:r>
      <w:r w:rsidRPr="001D25A2">
        <w:rPr>
          <w:rFonts w:cs="Arial"/>
        </w:rPr>
        <w:t>v době hodnocení projektu majících vliv na přepravní prognózu nebo se jinak dotýkají železničních staveb v uzlu (předpoklad, že se stavby budou realizovat v rámci přestavby uzlu).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3119"/>
      </w:tblGrid>
      <w:tr w:rsidR="00F708AC" w:rsidRPr="003A36F7" w:rsidTr="006E61CA">
        <w:tc>
          <w:tcPr>
            <w:tcW w:w="4077" w:type="dxa"/>
            <w:shd w:val="clear" w:color="auto" w:fill="auto"/>
          </w:tcPr>
          <w:p w:rsidR="00F708AC" w:rsidRPr="003A36F7" w:rsidRDefault="00F708AC" w:rsidP="006E61CA">
            <w:pPr>
              <w:spacing w:after="0"/>
              <w:rPr>
                <w:rFonts w:cs="Arial"/>
                <w:b/>
                <w:sz w:val="24"/>
              </w:rPr>
            </w:pPr>
            <w:r w:rsidRPr="003A36F7">
              <w:rPr>
                <w:rFonts w:cs="Arial"/>
                <w:b/>
                <w:sz w:val="24"/>
              </w:rPr>
              <w:t>Název stavby</w:t>
            </w:r>
          </w:p>
        </w:tc>
        <w:tc>
          <w:tcPr>
            <w:tcW w:w="3119" w:type="dxa"/>
            <w:shd w:val="clear" w:color="auto" w:fill="F2DBDB"/>
          </w:tcPr>
          <w:p w:rsidR="00F708AC" w:rsidRPr="003A36F7" w:rsidRDefault="00F708AC" w:rsidP="006E61CA">
            <w:pPr>
              <w:spacing w:after="0"/>
              <w:rPr>
                <w:rFonts w:cs="Arial"/>
                <w:b/>
                <w:sz w:val="24"/>
              </w:rPr>
            </w:pPr>
            <w:r>
              <w:rPr>
                <w:rFonts w:cs="Arial"/>
                <w:b/>
                <w:sz w:val="24"/>
              </w:rPr>
              <w:t>Uvedení do provozu</w:t>
            </w:r>
          </w:p>
        </w:tc>
      </w:tr>
      <w:tr w:rsidR="00F708AC" w:rsidRPr="006F4593" w:rsidTr="006E61CA">
        <w:tc>
          <w:tcPr>
            <w:tcW w:w="4077" w:type="dxa"/>
            <w:shd w:val="clear" w:color="auto" w:fill="auto"/>
          </w:tcPr>
          <w:p w:rsidR="00F708AC" w:rsidRPr="006F4593" w:rsidRDefault="00F708AC" w:rsidP="006E61CA">
            <w:pPr>
              <w:spacing w:before="40" w:after="40"/>
              <w:rPr>
                <w:rFonts w:cs="Arial"/>
              </w:rPr>
            </w:pPr>
            <w:r w:rsidRPr="00443C2C">
              <w:rPr>
                <w:rFonts w:cs="Arial"/>
                <w:b/>
              </w:rPr>
              <w:t>BUS terminál Šumavská</w:t>
            </w:r>
            <w:r>
              <w:rPr>
                <w:rFonts w:cs="Arial"/>
                <w:b/>
              </w:rPr>
              <w:t xml:space="preserve"> </w:t>
            </w:r>
          </w:p>
        </w:tc>
        <w:tc>
          <w:tcPr>
            <w:tcW w:w="3119" w:type="dxa"/>
            <w:shd w:val="clear" w:color="auto" w:fill="F2DBDB"/>
          </w:tcPr>
          <w:p w:rsidR="00F708AC" w:rsidRPr="006F4593" w:rsidRDefault="00F708AC" w:rsidP="006E61CA">
            <w:pPr>
              <w:spacing w:before="40" w:after="40"/>
              <w:rPr>
                <w:rFonts w:cs="Arial"/>
              </w:rPr>
            </w:pPr>
            <w:r w:rsidRPr="002E4D62">
              <w:rPr>
                <w:rFonts w:cs="Arial"/>
                <w:b/>
              </w:rPr>
              <w:t>201</w:t>
            </w:r>
            <w:r>
              <w:rPr>
                <w:rFonts w:cs="Arial"/>
                <w:b/>
              </w:rPr>
              <w:t>7</w:t>
            </w:r>
          </w:p>
        </w:tc>
      </w:tr>
      <w:tr w:rsidR="00F708AC" w:rsidRPr="006F4593" w:rsidTr="006E61CA">
        <w:tc>
          <w:tcPr>
            <w:tcW w:w="4077" w:type="dxa"/>
            <w:shd w:val="clear" w:color="auto" w:fill="auto"/>
          </w:tcPr>
          <w:p w:rsidR="00F708AC" w:rsidRPr="006F4593" w:rsidRDefault="00F708AC" w:rsidP="006E61CA">
            <w:pPr>
              <w:spacing w:before="40" w:after="40"/>
              <w:rPr>
                <w:rFonts w:cs="Arial"/>
              </w:rPr>
            </w:pPr>
            <w:r w:rsidRPr="00443C2C">
              <w:rPr>
                <w:rFonts w:cs="Arial"/>
                <w:b/>
              </w:rPr>
              <w:t xml:space="preserve">Ul. Mikulášská </w:t>
            </w:r>
          </w:p>
        </w:tc>
        <w:tc>
          <w:tcPr>
            <w:tcW w:w="3119" w:type="dxa"/>
            <w:shd w:val="clear" w:color="auto" w:fill="F2DBDB"/>
          </w:tcPr>
          <w:p w:rsidR="00F708AC" w:rsidRPr="002E4D62" w:rsidRDefault="00F708AC" w:rsidP="006E61CA">
            <w:pPr>
              <w:spacing w:before="40" w:after="40"/>
              <w:rPr>
                <w:rFonts w:cs="Arial"/>
                <w:b/>
              </w:rPr>
            </w:pPr>
            <w:r w:rsidRPr="002E4D62">
              <w:rPr>
                <w:rFonts w:cs="Arial"/>
                <w:b/>
              </w:rPr>
              <w:t>20</w:t>
            </w:r>
            <w:r>
              <w:rPr>
                <w:rFonts w:cs="Arial"/>
                <w:b/>
              </w:rPr>
              <w:t>17</w:t>
            </w:r>
            <w:r w:rsidRPr="002E4D62">
              <w:rPr>
                <w:rFonts w:cs="Arial"/>
                <w:b/>
              </w:rPr>
              <w:t xml:space="preserve"> </w:t>
            </w:r>
          </w:p>
        </w:tc>
      </w:tr>
      <w:tr w:rsidR="00F708AC" w:rsidRPr="006F4593" w:rsidTr="006E61CA">
        <w:tc>
          <w:tcPr>
            <w:tcW w:w="4077" w:type="dxa"/>
            <w:shd w:val="clear" w:color="auto" w:fill="auto"/>
          </w:tcPr>
          <w:p w:rsidR="00F708AC" w:rsidRPr="006F4593" w:rsidRDefault="00F708AC" w:rsidP="006E61CA">
            <w:pPr>
              <w:spacing w:before="40" w:after="40"/>
              <w:rPr>
                <w:rFonts w:cs="Arial"/>
              </w:rPr>
            </w:pPr>
            <w:r>
              <w:rPr>
                <w:rFonts w:cs="Arial"/>
                <w:b/>
              </w:rPr>
              <w:t>Domažlická I/26</w:t>
            </w:r>
            <w:r w:rsidRPr="006F4593">
              <w:rPr>
                <w:rFonts w:cs="Arial"/>
              </w:rPr>
              <w:t xml:space="preserve"> </w:t>
            </w:r>
          </w:p>
        </w:tc>
        <w:tc>
          <w:tcPr>
            <w:tcW w:w="3119" w:type="dxa"/>
            <w:shd w:val="clear" w:color="auto" w:fill="F2DBDB"/>
          </w:tcPr>
          <w:p w:rsidR="00F708AC" w:rsidRPr="002E4D62" w:rsidRDefault="00F708AC" w:rsidP="006E61CA">
            <w:pPr>
              <w:spacing w:before="40" w:after="40"/>
              <w:rPr>
                <w:rFonts w:cs="Arial"/>
                <w:b/>
              </w:rPr>
            </w:pPr>
            <w:r>
              <w:rPr>
                <w:rFonts w:cs="Arial"/>
                <w:b/>
              </w:rPr>
              <w:t>2019</w:t>
            </w:r>
            <w:r w:rsidRPr="002E4D62">
              <w:rPr>
                <w:rFonts w:cs="Arial"/>
                <w:b/>
              </w:rPr>
              <w:t xml:space="preserve"> </w:t>
            </w:r>
          </w:p>
        </w:tc>
      </w:tr>
      <w:tr w:rsidR="00F708AC" w:rsidRPr="006F4593" w:rsidTr="006E61CA">
        <w:tc>
          <w:tcPr>
            <w:tcW w:w="4077" w:type="dxa"/>
            <w:shd w:val="clear" w:color="auto" w:fill="auto"/>
          </w:tcPr>
          <w:p w:rsidR="00F708AC" w:rsidRPr="006F4593" w:rsidRDefault="00F708AC" w:rsidP="006E61CA">
            <w:pPr>
              <w:spacing w:before="40" w:after="40"/>
              <w:rPr>
                <w:rFonts w:cs="Arial"/>
              </w:rPr>
            </w:pPr>
            <w:r>
              <w:rPr>
                <w:rFonts w:cs="Arial"/>
                <w:b/>
              </w:rPr>
              <w:t xml:space="preserve">I/20 část Na Roudné – Rokycanská </w:t>
            </w:r>
            <w:r w:rsidRPr="006F4593">
              <w:rPr>
                <w:rFonts w:cs="Arial"/>
              </w:rPr>
              <w:t xml:space="preserve"> </w:t>
            </w:r>
          </w:p>
        </w:tc>
        <w:tc>
          <w:tcPr>
            <w:tcW w:w="3119" w:type="dxa"/>
            <w:shd w:val="clear" w:color="auto" w:fill="F2DBDB"/>
          </w:tcPr>
          <w:p w:rsidR="00F708AC" w:rsidRPr="002E4D62" w:rsidRDefault="00F708AC" w:rsidP="006E61CA">
            <w:pPr>
              <w:spacing w:before="40" w:after="40"/>
              <w:rPr>
                <w:rFonts w:cs="Arial"/>
                <w:b/>
              </w:rPr>
            </w:pPr>
            <w:r w:rsidRPr="002E4D62">
              <w:rPr>
                <w:rFonts w:cs="Arial"/>
                <w:b/>
              </w:rPr>
              <w:t>20</w:t>
            </w:r>
            <w:r>
              <w:rPr>
                <w:rFonts w:cs="Arial"/>
                <w:b/>
              </w:rPr>
              <w:t>26</w:t>
            </w:r>
          </w:p>
        </w:tc>
      </w:tr>
    </w:tbl>
    <w:p w:rsidR="00F708AC" w:rsidRDefault="00F708AC" w:rsidP="00F708AC">
      <w:r w:rsidRPr="00377437">
        <w:rPr>
          <w:rFonts w:cs="Arial"/>
          <w:b/>
        </w:rPr>
        <w:t>Varianty ekonomického hodnocení</w:t>
      </w:r>
      <w:r>
        <w:rPr>
          <w:rFonts w:cs="Arial"/>
          <w:b/>
        </w:rPr>
        <w:t xml:space="preserve"> </w:t>
      </w:r>
      <w:r>
        <w:t>vzniknou na základě kombinací variant technického řešení v jednotlivých oblastech, v návaznosti na ostatní stavby v železničním uzlu i v navazujících tratích s přihlédnutím na stavby jiných investorů (ŘSD, město, kraj). S variantou bez projektu jsou navrženy následující tři kombinace projektových variant k ekonomickému hodnocení.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3"/>
        <w:gridCol w:w="1653"/>
        <w:gridCol w:w="1654"/>
        <w:gridCol w:w="1654"/>
      </w:tblGrid>
      <w:tr w:rsidR="00F708AC" w:rsidTr="006E61CA">
        <w:tc>
          <w:tcPr>
            <w:tcW w:w="4503" w:type="dxa"/>
            <w:shd w:val="clear" w:color="auto" w:fill="FDE9D9"/>
          </w:tcPr>
          <w:p w:rsidR="00F708AC" w:rsidRPr="006F4593" w:rsidRDefault="00F708AC" w:rsidP="006E61CA">
            <w:pPr>
              <w:spacing w:before="120" w:after="0" w:line="360" w:lineRule="auto"/>
              <w:rPr>
                <w:b/>
              </w:rPr>
            </w:pPr>
          </w:p>
        </w:tc>
        <w:tc>
          <w:tcPr>
            <w:tcW w:w="1653" w:type="dxa"/>
            <w:shd w:val="clear" w:color="auto" w:fill="FDE9D9"/>
          </w:tcPr>
          <w:p w:rsidR="00F708AC" w:rsidRPr="006F4593" w:rsidRDefault="00F708AC" w:rsidP="006E61CA">
            <w:pPr>
              <w:spacing w:before="120" w:after="0" w:line="360" w:lineRule="auto"/>
              <w:jc w:val="center"/>
              <w:rPr>
                <w:b/>
              </w:rPr>
            </w:pPr>
            <w:r w:rsidRPr="006F4593">
              <w:rPr>
                <w:b/>
              </w:rPr>
              <w:t>1. varianta</w:t>
            </w:r>
          </w:p>
        </w:tc>
        <w:tc>
          <w:tcPr>
            <w:tcW w:w="1654" w:type="dxa"/>
            <w:shd w:val="clear" w:color="auto" w:fill="FDE9D9"/>
          </w:tcPr>
          <w:p w:rsidR="00F708AC" w:rsidRPr="006F4593" w:rsidRDefault="00F708AC" w:rsidP="006E61CA">
            <w:pPr>
              <w:spacing w:before="120" w:after="0" w:line="360" w:lineRule="auto"/>
              <w:jc w:val="center"/>
              <w:rPr>
                <w:b/>
              </w:rPr>
            </w:pPr>
            <w:r w:rsidRPr="006F4593">
              <w:rPr>
                <w:b/>
              </w:rPr>
              <w:t>2. varianta</w:t>
            </w:r>
          </w:p>
        </w:tc>
        <w:tc>
          <w:tcPr>
            <w:tcW w:w="1654" w:type="dxa"/>
            <w:shd w:val="clear" w:color="auto" w:fill="FDE9D9"/>
          </w:tcPr>
          <w:p w:rsidR="00F708AC" w:rsidRPr="006F4593" w:rsidRDefault="00F708AC" w:rsidP="006E61CA">
            <w:pPr>
              <w:spacing w:before="120" w:after="0" w:line="360" w:lineRule="auto"/>
              <w:jc w:val="center"/>
              <w:rPr>
                <w:b/>
              </w:rPr>
            </w:pPr>
            <w:r w:rsidRPr="006F4593">
              <w:rPr>
                <w:b/>
              </w:rPr>
              <w:t>3. varianta</w:t>
            </w:r>
          </w:p>
        </w:tc>
      </w:tr>
      <w:tr w:rsidR="00F708AC" w:rsidTr="006E61CA">
        <w:tc>
          <w:tcPr>
            <w:tcW w:w="4503" w:type="dxa"/>
            <w:shd w:val="clear" w:color="auto" w:fill="FDE9D9"/>
          </w:tcPr>
          <w:p w:rsidR="00F708AC" w:rsidRPr="006F4593" w:rsidRDefault="00F708AC" w:rsidP="006E61CA">
            <w:pPr>
              <w:spacing w:before="120" w:after="0" w:line="360" w:lineRule="auto"/>
              <w:rPr>
                <w:b/>
              </w:rPr>
            </w:pPr>
            <w:r w:rsidRPr="006F4593">
              <w:rPr>
                <w:b/>
              </w:rPr>
              <w:t>Stavba 1a 2 var. A oblast hl. n.</w:t>
            </w:r>
          </w:p>
        </w:tc>
        <w:tc>
          <w:tcPr>
            <w:tcW w:w="1653" w:type="dxa"/>
            <w:shd w:val="clear" w:color="auto" w:fill="EAF1DD"/>
          </w:tcPr>
          <w:p w:rsidR="00F708AC" w:rsidRPr="006F4593" w:rsidRDefault="00F708AC" w:rsidP="006E61CA">
            <w:pPr>
              <w:spacing w:before="120" w:after="0" w:line="360" w:lineRule="auto"/>
              <w:jc w:val="center"/>
              <w:rPr>
                <w:b/>
              </w:rPr>
            </w:pPr>
            <w:r w:rsidRPr="006F4593">
              <w:rPr>
                <w:b/>
              </w:rPr>
              <w:t>X</w:t>
            </w:r>
          </w:p>
        </w:tc>
        <w:tc>
          <w:tcPr>
            <w:tcW w:w="1654" w:type="dxa"/>
            <w:shd w:val="clear" w:color="auto" w:fill="EAF1DD"/>
          </w:tcPr>
          <w:p w:rsidR="00F708AC" w:rsidRPr="006F4593" w:rsidRDefault="00F708AC" w:rsidP="006E61CA">
            <w:pPr>
              <w:spacing w:before="120" w:after="0" w:line="360" w:lineRule="auto"/>
              <w:jc w:val="center"/>
              <w:rPr>
                <w:b/>
              </w:rPr>
            </w:pPr>
            <w:r w:rsidRPr="006F4593">
              <w:rPr>
                <w:b/>
              </w:rPr>
              <w:t>X</w:t>
            </w:r>
          </w:p>
        </w:tc>
        <w:tc>
          <w:tcPr>
            <w:tcW w:w="1654" w:type="dxa"/>
            <w:shd w:val="clear" w:color="auto" w:fill="EAF1DD"/>
          </w:tcPr>
          <w:p w:rsidR="00F708AC" w:rsidRPr="006F4593" w:rsidRDefault="00F708AC" w:rsidP="006E61CA">
            <w:pPr>
              <w:spacing w:before="120" w:after="0" w:line="360" w:lineRule="auto"/>
              <w:jc w:val="center"/>
              <w:rPr>
                <w:b/>
              </w:rPr>
            </w:pPr>
            <w:r w:rsidRPr="006F4593">
              <w:rPr>
                <w:b/>
              </w:rPr>
              <w:t>X</w:t>
            </w:r>
          </w:p>
        </w:tc>
      </w:tr>
      <w:tr w:rsidR="00F708AC" w:rsidTr="006E61CA">
        <w:tc>
          <w:tcPr>
            <w:tcW w:w="4503" w:type="dxa"/>
            <w:shd w:val="clear" w:color="auto" w:fill="FDE9D9"/>
          </w:tcPr>
          <w:p w:rsidR="00F708AC" w:rsidRPr="006F4593" w:rsidRDefault="00F708AC" w:rsidP="006E61CA">
            <w:pPr>
              <w:spacing w:before="120" w:after="0" w:line="360" w:lineRule="auto"/>
              <w:rPr>
                <w:b/>
              </w:rPr>
            </w:pPr>
            <w:r w:rsidRPr="006F4593">
              <w:rPr>
                <w:b/>
              </w:rPr>
              <w:t>Stavba 1a 2 var. B oblast hl. n.</w:t>
            </w:r>
          </w:p>
        </w:tc>
        <w:tc>
          <w:tcPr>
            <w:tcW w:w="1653" w:type="dxa"/>
            <w:shd w:val="clear" w:color="auto" w:fill="auto"/>
          </w:tcPr>
          <w:p w:rsidR="00F708AC" w:rsidRPr="006F4593" w:rsidRDefault="00F708AC" w:rsidP="006E61CA">
            <w:pPr>
              <w:spacing w:before="120" w:after="0" w:line="360" w:lineRule="auto"/>
              <w:jc w:val="center"/>
              <w:rPr>
                <w:b/>
              </w:rPr>
            </w:pPr>
            <w:r w:rsidRPr="006F4593">
              <w:rPr>
                <w:b/>
              </w:rPr>
              <w:t>NE</w:t>
            </w:r>
          </w:p>
        </w:tc>
        <w:tc>
          <w:tcPr>
            <w:tcW w:w="1654" w:type="dxa"/>
            <w:shd w:val="clear" w:color="auto" w:fill="auto"/>
          </w:tcPr>
          <w:p w:rsidR="00F708AC" w:rsidRPr="006F4593" w:rsidRDefault="00F708AC" w:rsidP="006E61CA">
            <w:pPr>
              <w:spacing w:before="120" w:after="0" w:line="360" w:lineRule="auto"/>
              <w:jc w:val="center"/>
              <w:rPr>
                <w:b/>
              </w:rPr>
            </w:pPr>
            <w:r w:rsidRPr="006F4593">
              <w:rPr>
                <w:b/>
              </w:rPr>
              <w:t>NE</w:t>
            </w:r>
          </w:p>
        </w:tc>
        <w:tc>
          <w:tcPr>
            <w:tcW w:w="1654" w:type="dxa"/>
            <w:shd w:val="clear" w:color="auto" w:fill="auto"/>
          </w:tcPr>
          <w:p w:rsidR="00F708AC" w:rsidRPr="006F4593" w:rsidRDefault="00F708AC" w:rsidP="006E61CA">
            <w:pPr>
              <w:spacing w:before="120" w:after="0" w:line="360" w:lineRule="auto"/>
              <w:jc w:val="center"/>
              <w:rPr>
                <w:b/>
              </w:rPr>
            </w:pPr>
            <w:r w:rsidRPr="006F4593">
              <w:rPr>
                <w:b/>
              </w:rPr>
              <w:t>NE</w:t>
            </w:r>
          </w:p>
        </w:tc>
      </w:tr>
      <w:tr w:rsidR="00F708AC" w:rsidTr="006E61CA">
        <w:tc>
          <w:tcPr>
            <w:tcW w:w="4503" w:type="dxa"/>
            <w:shd w:val="clear" w:color="auto" w:fill="FDE9D9"/>
          </w:tcPr>
          <w:p w:rsidR="00F708AC" w:rsidRPr="006F4593" w:rsidRDefault="00F708AC" w:rsidP="006E61CA">
            <w:pPr>
              <w:spacing w:before="120" w:after="0" w:line="360" w:lineRule="auto"/>
              <w:rPr>
                <w:b/>
              </w:rPr>
            </w:pPr>
            <w:r w:rsidRPr="006F4593">
              <w:rPr>
                <w:b/>
              </w:rPr>
              <w:t>Přesmyk oblast Skvrňan</w:t>
            </w:r>
            <w:r>
              <w:rPr>
                <w:b/>
              </w:rPr>
              <w:t xml:space="preserve"> stavba 3</w:t>
            </w:r>
          </w:p>
        </w:tc>
        <w:tc>
          <w:tcPr>
            <w:tcW w:w="1653" w:type="dxa"/>
            <w:shd w:val="clear" w:color="auto" w:fill="EAF1DD"/>
          </w:tcPr>
          <w:p w:rsidR="00F708AC" w:rsidRPr="006F4593" w:rsidRDefault="00F708AC" w:rsidP="006E61CA">
            <w:pPr>
              <w:spacing w:before="120" w:after="0" w:line="360" w:lineRule="auto"/>
              <w:jc w:val="center"/>
              <w:rPr>
                <w:b/>
              </w:rPr>
            </w:pPr>
            <w:r w:rsidRPr="006F4593">
              <w:rPr>
                <w:b/>
              </w:rPr>
              <w:t>X</w:t>
            </w:r>
          </w:p>
        </w:tc>
        <w:tc>
          <w:tcPr>
            <w:tcW w:w="1654" w:type="dxa"/>
            <w:shd w:val="clear" w:color="auto" w:fill="EAF1DD"/>
          </w:tcPr>
          <w:p w:rsidR="00F708AC" w:rsidRPr="006F4593" w:rsidRDefault="00F708AC" w:rsidP="006E61CA">
            <w:pPr>
              <w:spacing w:before="120" w:after="0" w:line="360" w:lineRule="auto"/>
              <w:jc w:val="center"/>
              <w:rPr>
                <w:b/>
              </w:rPr>
            </w:pPr>
            <w:r w:rsidRPr="006F4593">
              <w:rPr>
                <w:b/>
              </w:rPr>
              <w:t>X</w:t>
            </w:r>
          </w:p>
        </w:tc>
        <w:tc>
          <w:tcPr>
            <w:tcW w:w="1654" w:type="dxa"/>
            <w:shd w:val="clear" w:color="auto" w:fill="EAF1DD"/>
          </w:tcPr>
          <w:p w:rsidR="00F708AC" w:rsidRPr="006F4593" w:rsidRDefault="00F708AC" w:rsidP="006E61CA">
            <w:pPr>
              <w:spacing w:before="120" w:after="0" w:line="360" w:lineRule="auto"/>
              <w:jc w:val="center"/>
              <w:rPr>
                <w:b/>
              </w:rPr>
            </w:pPr>
            <w:r w:rsidRPr="006F4593">
              <w:rPr>
                <w:b/>
              </w:rPr>
              <w:t>X</w:t>
            </w:r>
          </w:p>
        </w:tc>
      </w:tr>
      <w:tr w:rsidR="00F708AC" w:rsidTr="006E61CA">
        <w:tc>
          <w:tcPr>
            <w:tcW w:w="4503" w:type="dxa"/>
            <w:shd w:val="clear" w:color="auto" w:fill="FDE9D9"/>
          </w:tcPr>
          <w:p w:rsidR="00F708AC" w:rsidRPr="006F4593" w:rsidRDefault="00F708AC" w:rsidP="006E61CA">
            <w:pPr>
              <w:spacing w:before="120" w:after="0" w:line="360" w:lineRule="auto"/>
              <w:rPr>
                <w:b/>
              </w:rPr>
            </w:pPr>
            <w:r w:rsidRPr="006F4593">
              <w:rPr>
                <w:b/>
              </w:rPr>
              <w:t>Rozplet oblast Skvrňan</w:t>
            </w:r>
            <w:r>
              <w:rPr>
                <w:b/>
              </w:rPr>
              <w:t>, stavba 3</w:t>
            </w:r>
          </w:p>
        </w:tc>
        <w:tc>
          <w:tcPr>
            <w:tcW w:w="1653" w:type="dxa"/>
            <w:shd w:val="clear" w:color="auto" w:fill="auto"/>
          </w:tcPr>
          <w:p w:rsidR="00F708AC" w:rsidRPr="006F4593" w:rsidRDefault="00F708AC" w:rsidP="006E61CA">
            <w:pPr>
              <w:spacing w:before="120" w:after="0" w:line="360" w:lineRule="auto"/>
              <w:jc w:val="center"/>
              <w:rPr>
                <w:b/>
              </w:rPr>
            </w:pPr>
            <w:r w:rsidRPr="006F4593">
              <w:rPr>
                <w:b/>
              </w:rPr>
              <w:t>NE</w:t>
            </w:r>
          </w:p>
        </w:tc>
        <w:tc>
          <w:tcPr>
            <w:tcW w:w="1654" w:type="dxa"/>
            <w:shd w:val="clear" w:color="auto" w:fill="auto"/>
          </w:tcPr>
          <w:p w:rsidR="00F708AC" w:rsidRPr="006F4593" w:rsidRDefault="00F708AC" w:rsidP="006E61CA">
            <w:pPr>
              <w:spacing w:before="120" w:after="0" w:line="360" w:lineRule="auto"/>
              <w:jc w:val="center"/>
              <w:rPr>
                <w:b/>
              </w:rPr>
            </w:pPr>
            <w:r w:rsidRPr="006F4593">
              <w:rPr>
                <w:b/>
              </w:rPr>
              <w:t>NE</w:t>
            </w:r>
          </w:p>
        </w:tc>
        <w:tc>
          <w:tcPr>
            <w:tcW w:w="1654" w:type="dxa"/>
            <w:shd w:val="clear" w:color="auto" w:fill="auto"/>
          </w:tcPr>
          <w:p w:rsidR="00F708AC" w:rsidRPr="006F4593" w:rsidRDefault="00F708AC" w:rsidP="006E61CA">
            <w:pPr>
              <w:spacing w:before="120" w:after="0" w:line="360" w:lineRule="auto"/>
              <w:jc w:val="center"/>
              <w:rPr>
                <w:b/>
              </w:rPr>
            </w:pPr>
            <w:r w:rsidRPr="006F4593">
              <w:rPr>
                <w:b/>
              </w:rPr>
              <w:t>NE</w:t>
            </w:r>
          </w:p>
        </w:tc>
      </w:tr>
      <w:tr w:rsidR="00F708AC" w:rsidTr="006E61CA">
        <w:tc>
          <w:tcPr>
            <w:tcW w:w="4503" w:type="dxa"/>
            <w:shd w:val="clear" w:color="auto" w:fill="FDE9D9"/>
          </w:tcPr>
          <w:p w:rsidR="00F708AC" w:rsidRPr="006F4593" w:rsidRDefault="00F708AC" w:rsidP="006E61CA">
            <w:pPr>
              <w:spacing w:before="120" w:after="0" w:line="360" w:lineRule="auto"/>
              <w:rPr>
                <w:b/>
              </w:rPr>
            </w:pPr>
            <w:r w:rsidRPr="006F4593">
              <w:rPr>
                <w:b/>
              </w:rPr>
              <w:t>Seřaďovací nádraží Doubravka</w:t>
            </w:r>
            <w:r>
              <w:rPr>
                <w:b/>
              </w:rPr>
              <w:t>, stavba 4</w:t>
            </w:r>
          </w:p>
        </w:tc>
        <w:tc>
          <w:tcPr>
            <w:tcW w:w="1653" w:type="dxa"/>
            <w:shd w:val="clear" w:color="auto" w:fill="auto"/>
          </w:tcPr>
          <w:p w:rsidR="00F708AC" w:rsidRPr="006F4593" w:rsidRDefault="00F708AC" w:rsidP="006E61CA">
            <w:pPr>
              <w:spacing w:before="120" w:after="0" w:line="360" w:lineRule="auto"/>
              <w:jc w:val="center"/>
              <w:rPr>
                <w:b/>
              </w:rPr>
            </w:pPr>
            <w:r w:rsidRPr="006F4593">
              <w:rPr>
                <w:b/>
              </w:rPr>
              <w:t>–</w:t>
            </w:r>
          </w:p>
        </w:tc>
        <w:tc>
          <w:tcPr>
            <w:tcW w:w="1654" w:type="dxa"/>
            <w:shd w:val="clear" w:color="auto" w:fill="EAF1DD"/>
          </w:tcPr>
          <w:p w:rsidR="00F708AC" w:rsidRPr="006F4593" w:rsidRDefault="00F708AC" w:rsidP="006E61CA">
            <w:pPr>
              <w:spacing w:before="120" w:after="0" w:line="360" w:lineRule="auto"/>
              <w:jc w:val="center"/>
              <w:rPr>
                <w:b/>
              </w:rPr>
            </w:pPr>
            <w:r w:rsidRPr="006F4593">
              <w:rPr>
                <w:b/>
              </w:rPr>
              <w:t>X</w:t>
            </w:r>
          </w:p>
        </w:tc>
        <w:tc>
          <w:tcPr>
            <w:tcW w:w="1654" w:type="dxa"/>
            <w:shd w:val="clear" w:color="auto" w:fill="auto"/>
          </w:tcPr>
          <w:p w:rsidR="00F708AC" w:rsidRPr="006F4593" w:rsidRDefault="00F708AC" w:rsidP="006E61CA">
            <w:pPr>
              <w:spacing w:before="120" w:after="0" w:line="360" w:lineRule="auto"/>
              <w:jc w:val="center"/>
              <w:rPr>
                <w:b/>
              </w:rPr>
            </w:pPr>
            <w:r w:rsidRPr="006F4593">
              <w:rPr>
                <w:b/>
              </w:rPr>
              <w:t>–</w:t>
            </w:r>
          </w:p>
        </w:tc>
      </w:tr>
      <w:tr w:rsidR="00F708AC" w:rsidTr="006E61CA">
        <w:tc>
          <w:tcPr>
            <w:tcW w:w="4503" w:type="dxa"/>
            <w:shd w:val="clear" w:color="auto" w:fill="FDE9D9"/>
          </w:tcPr>
          <w:p w:rsidR="00F708AC" w:rsidRPr="006F4593" w:rsidRDefault="00F708AC" w:rsidP="006E61CA">
            <w:pPr>
              <w:spacing w:before="120" w:after="0" w:line="360" w:lineRule="auto"/>
              <w:rPr>
                <w:b/>
              </w:rPr>
            </w:pPr>
            <w:r w:rsidRPr="006F4593">
              <w:rPr>
                <w:b/>
              </w:rPr>
              <w:t>Seřaďovací nádraží Koterov</w:t>
            </w:r>
            <w:r>
              <w:rPr>
                <w:b/>
              </w:rPr>
              <w:t>, stavba 4</w:t>
            </w:r>
          </w:p>
        </w:tc>
        <w:tc>
          <w:tcPr>
            <w:tcW w:w="1653" w:type="dxa"/>
            <w:shd w:val="clear" w:color="auto" w:fill="EAF1DD"/>
          </w:tcPr>
          <w:p w:rsidR="00F708AC" w:rsidRPr="006F4593" w:rsidRDefault="00F708AC" w:rsidP="006E61CA">
            <w:pPr>
              <w:spacing w:before="120" w:after="0" w:line="360" w:lineRule="auto"/>
              <w:jc w:val="center"/>
              <w:rPr>
                <w:b/>
              </w:rPr>
            </w:pPr>
            <w:r w:rsidRPr="006F4593">
              <w:rPr>
                <w:b/>
              </w:rPr>
              <w:t>X</w:t>
            </w:r>
          </w:p>
        </w:tc>
        <w:tc>
          <w:tcPr>
            <w:tcW w:w="1654" w:type="dxa"/>
            <w:shd w:val="clear" w:color="auto" w:fill="auto"/>
          </w:tcPr>
          <w:p w:rsidR="00F708AC" w:rsidRPr="006F4593" w:rsidRDefault="00F708AC" w:rsidP="006E61CA">
            <w:pPr>
              <w:spacing w:before="120" w:after="0" w:line="360" w:lineRule="auto"/>
              <w:jc w:val="center"/>
              <w:rPr>
                <w:b/>
              </w:rPr>
            </w:pPr>
            <w:r w:rsidRPr="006F4593">
              <w:rPr>
                <w:b/>
              </w:rPr>
              <w:t>–</w:t>
            </w:r>
          </w:p>
        </w:tc>
        <w:tc>
          <w:tcPr>
            <w:tcW w:w="1654" w:type="dxa"/>
            <w:shd w:val="clear" w:color="auto" w:fill="auto"/>
          </w:tcPr>
          <w:p w:rsidR="00F708AC" w:rsidRPr="006F4593" w:rsidRDefault="00F708AC" w:rsidP="006E61CA">
            <w:pPr>
              <w:spacing w:before="120" w:after="0" w:line="360" w:lineRule="auto"/>
              <w:jc w:val="center"/>
              <w:rPr>
                <w:b/>
              </w:rPr>
            </w:pPr>
            <w:r w:rsidRPr="006F4593">
              <w:rPr>
                <w:b/>
              </w:rPr>
              <w:t>–</w:t>
            </w:r>
          </w:p>
        </w:tc>
      </w:tr>
      <w:tr w:rsidR="00F708AC" w:rsidTr="006E61CA">
        <w:tc>
          <w:tcPr>
            <w:tcW w:w="4503" w:type="dxa"/>
            <w:shd w:val="clear" w:color="auto" w:fill="FDE9D9"/>
          </w:tcPr>
          <w:p w:rsidR="00F708AC" w:rsidRPr="006F4593" w:rsidRDefault="00F708AC" w:rsidP="006E61CA">
            <w:pPr>
              <w:spacing w:before="120" w:after="0" w:line="360" w:lineRule="auto"/>
              <w:rPr>
                <w:b/>
              </w:rPr>
            </w:pPr>
            <w:r>
              <w:rPr>
                <w:b/>
              </w:rPr>
              <w:t xml:space="preserve">Zast. </w:t>
            </w:r>
            <w:r w:rsidRPr="006F4593">
              <w:rPr>
                <w:b/>
              </w:rPr>
              <w:t>Koterov</w:t>
            </w:r>
            <w:r>
              <w:rPr>
                <w:b/>
              </w:rPr>
              <w:t xml:space="preserve"> – Lobzy, stavba 5</w:t>
            </w:r>
          </w:p>
        </w:tc>
        <w:tc>
          <w:tcPr>
            <w:tcW w:w="1653" w:type="dxa"/>
            <w:shd w:val="clear" w:color="auto" w:fill="auto"/>
          </w:tcPr>
          <w:p w:rsidR="00F708AC" w:rsidRPr="006F4593" w:rsidRDefault="00F708AC" w:rsidP="006E61CA">
            <w:pPr>
              <w:spacing w:before="120" w:after="0" w:line="360" w:lineRule="auto"/>
              <w:jc w:val="center"/>
              <w:rPr>
                <w:b/>
              </w:rPr>
            </w:pPr>
            <w:r w:rsidRPr="006F4593">
              <w:rPr>
                <w:b/>
              </w:rPr>
              <w:t>X</w:t>
            </w:r>
          </w:p>
        </w:tc>
        <w:tc>
          <w:tcPr>
            <w:tcW w:w="1654" w:type="dxa"/>
            <w:shd w:val="clear" w:color="auto" w:fill="EAF1DD"/>
          </w:tcPr>
          <w:p w:rsidR="00F708AC" w:rsidRPr="006F4593" w:rsidRDefault="00F708AC" w:rsidP="006E61CA">
            <w:pPr>
              <w:spacing w:before="120" w:after="0" w:line="360" w:lineRule="auto"/>
              <w:jc w:val="center"/>
              <w:rPr>
                <w:b/>
              </w:rPr>
            </w:pPr>
            <w:r w:rsidRPr="006F4593">
              <w:rPr>
                <w:b/>
              </w:rPr>
              <w:t>X</w:t>
            </w:r>
          </w:p>
        </w:tc>
        <w:tc>
          <w:tcPr>
            <w:tcW w:w="1654" w:type="dxa"/>
            <w:shd w:val="clear" w:color="auto" w:fill="auto"/>
          </w:tcPr>
          <w:p w:rsidR="00F708AC" w:rsidRPr="006F4593" w:rsidRDefault="00F708AC" w:rsidP="006E61CA">
            <w:pPr>
              <w:spacing w:before="120" w:after="0" w:line="360" w:lineRule="auto"/>
              <w:jc w:val="center"/>
              <w:rPr>
                <w:b/>
              </w:rPr>
            </w:pPr>
            <w:r w:rsidRPr="006F4593">
              <w:rPr>
                <w:b/>
              </w:rPr>
              <w:t>–</w:t>
            </w:r>
          </w:p>
        </w:tc>
      </w:tr>
    </w:tbl>
    <w:p w:rsidR="00F708AC" w:rsidRDefault="00F708AC" w:rsidP="00F708AC">
      <w:r>
        <w:t xml:space="preserve">Poznámka: Křížkem označené stavby se v dané variantě hodnotí. </w:t>
      </w:r>
    </w:p>
    <w:p w:rsidR="00F708AC" w:rsidRDefault="00F708AC" w:rsidP="00F708AC">
      <w:r>
        <w:t>Var. B hlavního nádraží a „rozplet“ v oblasti Skvrňan nedoporučujeme hodnotit, stavby nevykazují větší přínos a jsou investičně náročnější než varianta A hlavního nádraží resp. varianta přesmyk.</w:t>
      </w:r>
    </w:p>
    <w:p w:rsidR="00F708AC" w:rsidRDefault="00F708AC" w:rsidP="00F708AC">
      <w:pPr>
        <w:rPr>
          <w:rFonts w:cs="Arial"/>
        </w:rPr>
      </w:pPr>
      <w:r>
        <w:t xml:space="preserve">Stavby označené </w:t>
      </w:r>
      <w:r w:rsidRPr="00E31D8F">
        <w:rPr>
          <w:b/>
        </w:rPr>
        <w:t>–</w:t>
      </w:r>
      <w:r>
        <w:t xml:space="preserve"> znamenají, že v dané variantě se po dobu hodnocení nepředpokládá žádná investice (varianta bez projektu).</w:t>
      </w:r>
    </w:p>
    <w:p w:rsidR="00F708AC" w:rsidRDefault="00F708AC" w:rsidP="00F708AC">
      <w:pPr>
        <w:rPr>
          <w:rFonts w:cs="Arial"/>
        </w:rPr>
      </w:pPr>
      <w:r>
        <w:rPr>
          <w:rFonts w:cs="Arial"/>
        </w:rPr>
        <w:t>V následující diskusi byly pak probrány hlavní důvody a cíle, kterých má být modernizací dosaženo a byly zodpovězeny a vysvětleny připomínky JASPERS k předchozí studii.</w:t>
      </w:r>
    </w:p>
    <w:p w:rsidR="00F708AC" w:rsidRDefault="00F708AC" w:rsidP="00F708AC">
      <w:pPr>
        <w:rPr>
          <w:rFonts w:cs="Arial"/>
        </w:rPr>
      </w:pPr>
      <w:r>
        <w:rPr>
          <w:rFonts w:cs="Arial"/>
        </w:rPr>
        <w:t>Zástupci JASPERS s navrženým postupem volby variant souhlasili a zdůraznili:</w:t>
      </w:r>
    </w:p>
    <w:p w:rsidR="00631EAB" w:rsidRDefault="00F708AC" w:rsidP="00D20948">
      <w:pPr>
        <w:numPr>
          <w:ilvl w:val="0"/>
          <w:numId w:val="54"/>
        </w:numPr>
        <w:suppressAutoHyphens w:val="0"/>
        <w:spacing w:before="0" w:after="120" w:line="240" w:lineRule="auto"/>
        <w:rPr>
          <w:rFonts w:cs="Arial"/>
        </w:rPr>
      </w:pPr>
      <w:r>
        <w:rPr>
          <w:rFonts w:cs="Arial"/>
        </w:rPr>
        <w:t xml:space="preserve">potřebu provázat navržená investiční opatření s počtem vlaků, který vychází z budoucí dopravní poptávky, ne jenom objednávky, kdy je </w:t>
      </w:r>
      <w:r>
        <w:t>budoucí počet osobních vlaků určen Ministerstvem dopravy, provozovatelem ČD a organizátorem regionální dopravy,</w:t>
      </w:r>
    </w:p>
    <w:p w:rsidR="00631EAB" w:rsidRPr="00F5279A" w:rsidRDefault="00F708AC" w:rsidP="00D20948">
      <w:pPr>
        <w:numPr>
          <w:ilvl w:val="0"/>
          <w:numId w:val="54"/>
        </w:numPr>
        <w:suppressAutoHyphens w:val="0"/>
        <w:spacing w:before="0" w:after="120" w:line="280" w:lineRule="auto"/>
      </w:pPr>
      <w:r w:rsidRPr="00B17449">
        <w:t>s</w:t>
      </w:r>
      <w:r w:rsidRPr="00B17449">
        <w:rPr>
          <w:rFonts w:cs="Arial"/>
        </w:rPr>
        <w:t xml:space="preserve">tanovit </w:t>
      </w:r>
      <w:r>
        <w:t>p</w:t>
      </w:r>
      <w:r w:rsidRPr="00B17449">
        <w:t xml:space="preserve">ředpoklady a </w:t>
      </w:r>
      <w:r>
        <w:t>harmonogram</w:t>
      </w:r>
      <w:r w:rsidRPr="00B17449">
        <w:t xml:space="preserve"> </w:t>
      </w:r>
      <w:r>
        <w:t xml:space="preserve">navazujících modernizací </w:t>
      </w:r>
      <w:r w:rsidRPr="00B17449">
        <w:t>železničních tratí</w:t>
      </w:r>
      <w:r>
        <w:t xml:space="preserve">, které </w:t>
      </w:r>
      <w:r w:rsidRPr="00B17449">
        <w:t>by měly být dělány konzistentně s ostatními studiemi a měly by odpovídat realistické finanční perspektivě.</w:t>
      </w:r>
      <w:r w:rsidRPr="00F5279A">
        <w:t xml:space="preserve"> </w:t>
      </w:r>
    </w:p>
    <w:p w:rsidR="00631EAB" w:rsidRPr="00F5279A" w:rsidRDefault="00F708AC" w:rsidP="00D20948">
      <w:pPr>
        <w:numPr>
          <w:ilvl w:val="0"/>
          <w:numId w:val="54"/>
        </w:numPr>
        <w:suppressAutoHyphens w:val="0"/>
        <w:spacing w:before="0" w:after="120" w:line="280" w:lineRule="auto"/>
      </w:pPr>
      <w:r w:rsidRPr="00F5279A">
        <w:t>pot</w:t>
      </w:r>
      <w:r w:rsidRPr="00F5279A">
        <w:rPr>
          <w:rFonts w:hint="eastAsia"/>
        </w:rPr>
        <w:t>ř</w:t>
      </w:r>
      <w:r w:rsidRPr="00F5279A">
        <w:t xml:space="preserve">ebu zahrnout i </w:t>
      </w:r>
      <w:r w:rsidRPr="007E0CF6">
        <w:t>další důležit</w:t>
      </w:r>
      <w:r>
        <w:t>é</w:t>
      </w:r>
      <w:r w:rsidRPr="007E0CF6">
        <w:t xml:space="preserve"> </w:t>
      </w:r>
      <w:r>
        <w:t xml:space="preserve">stavby </w:t>
      </w:r>
      <w:r w:rsidRPr="007E0CF6">
        <w:t>neželezniční infrastruktur</w:t>
      </w:r>
      <w:r>
        <w:t>y</w:t>
      </w:r>
      <w:r w:rsidRPr="007E0CF6">
        <w:t xml:space="preserve"> (např. silnice I/20 a I/26) či předpokládané změny veřejné dopravy v Plzni a okolí, které mohou ovlivnit poptávku</w:t>
      </w:r>
      <w:r>
        <w:t>,</w:t>
      </w:r>
    </w:p>
    <w:p w:rsidR="00631EAB" w:rsidRDefault="00F708AC" w:rsidP="00D20948">
      <w:pPr>
        <w:numPr>
          <w:ilvl w:val="0"/>
          <w:numId w:val="54"/>
        </w:numPr>
        <w:suppressAutoHyphens w:val="0"/>
        <w:spacing w:before="0" w:after="120" w:line="240" w:lineRule="auto"/>
        <w:rPr>
          <w:rFonts w:cs="Arial"/>
        </w:rPr>
      </w:pPr>
      <w:r>
        <w:rPr>
          <w:rFonts w:cs="Arial"/>
        </w:rPr>
        <w:t>potřebu aktualizace dopravního modelu a prognózy poptávky,</w:t>
      </w:r>
    </w:p>
    <w:p w:rsidR="00631EAB" w:rsidRDefault="00F708AC" w:rsidP="00D20948">
      <w:pPr>
        <w:numPr>
          <w:ilvl w:val="0"/>
          <w:numId w:val="54"/>
        </w:numPr>
        <w:suppressAutoHyphens w:val="0"/>
        <w:spacing w:before="0" w:after="120" w:line="240" w:lineRule="auto"/>
        <w:rPr>
          <w:rFonts w:cs="Arial"/>
        </w:rPr>
      </w:pPr>
      <w:r>
        <w:t>doložit dopravně-technologickým výpočtem potřebu rozsahu jednotlivých zařízení a kolejových skupin,</w:t>
      </w:r>
    </w:p>
    <w:p w:rsidR="00631EAB" w:rsidRDefault="00F708AC" w:rsidP="00D20948">
      <w:pPr>
        <w:numPr>
          <w:ilvl w:val="0"/>
          <w:numId w:val="54"/>
        </w:numPr>
        <w:suppressAutoHyphens w:val="0"/>
        <w:spacing w:before="0" w:after="120" w:line="240" w:lineRule="auto"/>
        <w:rPr>
          <w:rFonts w:cs="Arial"/>
        </w:rPr>
      </w:pPr>
      <w:r>
        <w:rPr>
          <w:rFonts w:cs="Arial"/>
        </w:rPr>
        <w:t>uvést přesvědčivý popis současného technického stavu i varianty bez projektu, který by doložil potřebu navrhovaných opatření.</w:t>
      </w:r>
    </w:p>
    <w:p w:rsidR="00F708AC" w:rsidRPr="00340B37" w:rsidRDefault="00F708AC" w:rsidP="00F708AC">
      <w:pPr>
        <w:jc w:val="left"/>
        <w:rPr>
          <w:rFonts w:cs="Arial"/>
          <w:b/>
        </w:rPr>
      </w:pPr>
      <w:r w:rsidRPr="00045B62">
        <w:rPr>
          <w:rFonts w:cs="Arial"/>
        </w:rPr>
        <w:t>Závěrem bylo domluveno</w:t>
      </w:r>
      <w:r>
        <w:rPr>
          <w:rFonts w:cs="Arial"/>
        </w:rPr>
        <w:t>, že jednotlivé ucelené části mohou být zaslány JASPERS k připomínkám ještě před dokončením studie.</w:t>
      </w:r>
      <w:r w:rsidRPr="00045B62">
        <w:rPr>
          <w:rFonts w:cs="Arial"/>
        </w:rPr>
        <w:br w:type="page"/>
      </w:r>
      <w:r w:rsidRPr="00340B37">
        <w:rPr>
          <w:rFonts w:cs="Arial"/>
          <w:b/>
        </w:rPr>
        <w:t>2. Studie proveditelnosti Hradec Králové – Pardubice</w:t>
      </w:r>
    </w:p>
    <w:p w:rsidR="00F708AC" w:rsidRDefault="00F708AC" w:rsidP="00F708AC">
      <w:pPr>
        <w:rPr>
          <w:rFonts w:cs="Arial"/>
        </w:rPr>
      </w:pPr>
      <w:r>
        <w:rPr>
          <w:rFonts w:cs="Arial"/>
        </w:rPr>
        <w:t>Ke SP ve verzi 9/2012 vydali JASPERS „Doporučení k druhému návrhu SP stavby Hradec Králové – Pardubice“ (JASPERS/2012-KMV/PNR/RAF/so z 29. 12. 2012), k němuž projektant SUDOP PRAHA. zpracoval návrh odpovědí. Z tohoto návrhu byly diskutovány vybrané body.</w:t>
      </w:r>
      <w:r w:rsidRPr="00521964">
        <w:rPr>
          <w:rFonts w:cs="Arial"/>
        </w:rPr>
        <w:t xml:space="preserve"> </w:t>
      </w:r>
      <w:r>
        <w:rPr>
          <w:rFonts w:cs="Arial"/>
        </w:rPr>
        <w:t>Upravená textová část studie ve verzi z 2/2013 byla na JASPERS zaslána před jednáním.</w:t>
      </w:r>
    </w:p>
    <w:p w:rsidR="00F708AC" w:rsidRDefault="00F708AC" w:rsidP="00F708AC">
      <w:pPr>
        <w:rPr>
          <w:rFonts w:cs="Arial"/>
        </w:rPr>
      </w:pPr>
      <w:r w:rsidRPr="007B72B1">
        <w:rPr>
          <w:rFonts w:cs="Arial"/>
          <w:u w:val="single"/>
        </w:rPr>
        <w:t>Ad 01 zdůvodnění doporučené varianty</w:t>
      </w:r>
      <w:r>
        <w:rPr>
          <w:rFonts w:cs="Arial"/>
        </w:rPr>
        <w:t>. Paní Maj Vrábelová, pan Riley a pan Schlotzhauer (všichni JASPERS) souhlasí s tím, že varianta „maximální“ s plným zdvoukolejněním je vhodným řešením. Variantu „maximální“ doporučuje též projektant i SŽDC. Ekonomické hodnocení ale variantu „maximální“ nepodporuje, protože nejvyšší ENPV má varianta „střední 1“, tedy pro rozšíření z rozsahu varianty „střední 1“ do rozsahu variant „střední 2“ a „maximální“ je změna ENPV záporná. Doporučení varianty, která nemá nejlepší ekonomické hodnocení, je podle metodiky možné, ale muselo by být dostatečně vyargumentováno jinými přínosy. Přitom existuje riziko, že EK nebo posuzovatel při národním schvalování bude výsledek ekonomického porovnání favorizovat proti jiným argumentům. Pan Schlotzhauer poukázal na přetížení jednokolejných úseků ve variantě „střední 1“; pan Černý (SUDOP PRAHA) potvrdil, že vysoký stupeň obsazení vede k minimální variabilitě polohy tras a nižší stabilitě provozu proti variantě „maximální“. Zástupci JASPERS, SŽDC i SUDOP PRAHA se dohodli, že pro dokončení SP s cílem lepšího zdůvodnění varianty „maximální“ jsou možné dva postupy:</w:t>
      </w:r>
    </w:p>
    <w:p w:rsidR="00631EAB" w:rsidRDefault="00F708AC" w:rsidP="00D20948">
      <w:pPr>
        <w:numPr>
          <w:ilvl w:val="0"/>
          <w:numId w:val="52"/>
        </w:numPr>
        <w:suppressAutoHyphens w:val="0"/>
        <w:spacing w:before="0" w:after="120" w:line="240" w:lineRule="auto"/>
        <w:rPr>
          <w:rFonts w:cs="Arial"/>
        </w:rPr>
      </w:pPr>
      <w:r>
        <w:rPr>
          <w:rFonts w:cs="Arial"/>
        </w:rPr>
        <w:t>lépe zhodnotit přínosy varianty s plným zdvoukolejněním. Další benefity by mohly plynout:</w:t>
      </w:r>
    </w:p>
    <w:p w:rsidR="00631EAB" w:rsidRDefault="00F708AC" w:rsidP="00D20948">
      <w:pPr>
        <w:numPr>
          <w:ilvl w:val="1"/>
          <w:numId w:val="52"/>
        </w:numPr>
        <w:suppressAutoHyphens w:val="0"/>
        <w:spacing w:before="0" w:after="120" w:line="240" w:lineRule="auto"/>
        <w:rPr>
          <w:rFonts w:cs="Arial"/>
        </w:rPr>
      </w:pPr>
      <w:r>
        <w:rPr>
          <w:rFonts w:cs="Arial"/>
        </w:rPr>
        <w:t>z vyhodnocení přínosů budoucích opakovaných omezení provozu pro opravné a udržovací práce, které na jednokolejných úsecích („střední 1“, „střední 2“) budou mít horší vliv na cestující než při dvoukolejné trati („maximální“);</w:t>
      </w:r>
    </w:p>
    <w:p w:rsidR="00631EAB" w:rsidRDefault="00F708AC" w:rsidP="00D20948">
      <w:pPr>
        <w:numPr>
          <w:ilvl w:val="1"/>
          <w:numId w:val="52"/>
        </w:numPr>
        <w:suppressAutoHyphens w:val="0"/>
        <w:spacing w:before="0" w:after="120" w:line="240" w:lineRule="auto"/>
        <w:rPr>
          <w:rFonts w:cs="Arial"/>
        </w:rPr>
      </w:pPr>
      <w:r>
        <w:rPr>
          <w:rFonts w:cs="Arial"/>
        </w:rPr>
        <w:t>z mírné redukce počtu vlaků ve variantě „střední 1“ tak, aby nebyl překročen předpisově přípustný stupeň obsazení (S</w:t>
      </w:r>
      <w:r w:rsidRPr="0006458C">
        <w:rPr>
          <w:rFonts w:cs="Arial"/>
          <w:vertAlign w:val="subscript"/>
        </w:rPr>
        <w:t>0</w:t>
      </w:r>
      <w:r>
        <w:rPr>
          <w:rFonts w:cs="Arial"/>
        </w:rPr>
        <w:t>=0,67), čímž by se patrně snížil i přepravní výkon a tím výsledek ekonomického hodnocení této varianty.</w:t>
      </w:r>
    </w:p>
    <w:p w:rsidR="00631EAB" w:rsidRDefault="00F708AC" w:rsidP="00D20948">
      <w:pPr>
        <w:numPr>
          <w:ilvl w:val="0"/>
          <w:numId w:val="52"/>
        </w:numPr>
        <w:suppressAutoHyphens w:val="0"/>
        <w:spacing w:before="0" w:after="120" w:line="240" w:lineRule="auto"/>
        <w:rPr>
          <w:rFonts w:cs="Arial"/>
        </w:rPr>
      </w:pPr>
      <w:r>
        <w:rPr>
          <w:rFonts w:cs="Arial"/>
        </w:rPr>
        <w:t>ponechat jedinou projektovou variantu „maximální“ s tím, že nyní uvažované varianty „střední 1“ a „střední 2“ by byly jejími etapami. Tento přístup nepovažuje JASPERS za standardní, ale ve zdůvodněných případech jej lze využít.</w:t>
      </w:r>
    </w:p>
    <w:p w:rsidR="00F708AC" w:rsidRDefault="00F708AC" w:rsidP="00F708AC">
      <w:pPr>
        <w:rPr>
          <w:rFonts w:cs="Arial"/>
        </w:rPr>
      </w:pPr>
      <w:r>
        <w:rPr>
          <w:rFonts w:cs="Arial"/>
        </w:rPr>
        <w:t>Pro výběr postupu se uskuteční jednání SŽDC a SUDOP PRAHA do poloviny května 2013. Předložení malé žádosti OPD na stavbu zdvoukolejnění trati Stéblová – Opatovice n. L. není uzavřením této SP podmíněno.</w:t>
      </w:r>
    </w:p>
    <w:p w:rsidR="00F708AC" w:rsidRDefault="00F708AC" w:rsidP="00F708AC">
      <w:pPr>
        <w:rPr>
          <w:rFonts w:cs="Arial"/>
        </w:rPr>
      </w:pPr>
      <w:r w:rsidRPr="007B72B1">
        <w:rPr>
          <w:rFonts w:cs="Arial"/>
          <w:u w:val="single"/>
        </w:rPr>
        <w:t>Ad 06 struktura investičních nákladů</w:t>
      </w:r>
      <w:r>
        <w:rPr>
          <w:rFonts w:cs="Arial"/>
        </w:rPr>
        <w:t>. Bude použita struktura shodná se SP Ústí n. O. – Choceň. Pan Vaněk (SUDOP PRAHA) přislíbil doplnit jednotkové ceny.</w:t>
      </w:r>
    </w:p>
    <w:p w:rsidR="00F708AC" w:rsidRDefault="00F708AC" w:rsidP="00F708AC">
      <w:pPr>
        <w:rPr>
          <w:rFonts w:cs="Arial"/>
        </w:rPr>
      </w:pPr>
      <w:r w:rsidRPr="007B72B1">
        <w:rPr>
          <w:rFonts w:cs="Arial"/>
          <w:u w:val="single"/>
        </w:rPr>
        <w:t>Ad 07 text kapitoly 4.2.4</w:t>
      </w:r>
      <w:r>
        <w:rPr>
          <w:rFonts w:cs="Arial"/>
        </w:rPr>
        <w:t>. Pan Černý uvedl, že ve verzi z 2/2013 je text již upraven.</w:t>
      </w:r>
    </w:p>
    <w:p w:rsidR="00F708AC" w:rsidRDefault="00F708AC" w:rsidP="00F708AC">
      <w:pPr>
        <w:rPr>
          <w:rFonts w:cs="Arial"/>
        </w:rPr>
      </w:pPr>
      <w:r w:rsidRPr="007B72B1">
        <w:rPr>
          <w:rFonts w:cs="Arial"/>
          <w:u w:val="single"/>
        </w:rPr>
        <w:t>Ad 11 až 14 přepravní model</w:t>
      </w:r>
      <w:r>
        <w:rPr>
          <w:rFonts w:cs="Arial"/>
        </w:rPr>
        <w:t>. Bylo domluveno, že pan Riley a pan Němec (SUDOP PRAHA) se sejdou pro upřesnění konkrétních vstupů. Pan Riley také doporučuje zaměřit se na celkovou dobu přepravy vč. čekání, ne jen na dobu strávenou ve vozidle. Dále pan Riley poukázal na rozpor mezi uvažováním provozu autobusů mezi přepravním modelem (bez redukce) a ekonomickým hodnocením (redukce vlivem konkurenceschopnější železnice), rozpor je v neprospěch hodnocení projektu. Pan Němec obhajoval zvolený přístup s tím, že je takto používán standardně, aby nebyl zpracovatel obviňován ze zkreslování výsledků ve prospěch železnice. Závěrem bylo domluveno, že do doby úpravy studie ve smyslu bodu 01 nebudou JASPERS vydávat další stanovisko ke studii.</w:t>
      </w:r>
    </w:p>
    <w:p w:rsidR="00F708AC" w:rsidRPr="00CE3A34" w:rsidRDefault="00F708AC" w:rsidP="00F708AC">
      <w:pPr>
        <w:rPr>
          <w:rFonts w:cs="Arial"/>
        </w:rPr>
      </w:pPr>
      <w:r w:rsidRPr="00CE3A34">
        <w:rPr>
          <w:rFonts w:cs="Arial"/>
        </w:rPr>
        <w:t xml:space="preserve">Zapsal </w:t>
      </w:r>
      <w:r>
        <w:rPr>
          <w:rFonts w:cs="Arial"/>
        </w:rPr>
        <w:t xml:space="preserve">Tikman (Plzeň) a </w:t>
      </w:r>
      <w:r w:rsidRPr="00CE3A34">
        <w:rPr>
          <w:rFonts w:cs="Arial"/>
        </w:rPr>
        <w:t>Fridrich</w:t>
      </w:r>
      <w:r>
        <w:rPr>
          <w:rFonts w:cs="Arial"/>
        </w:rPr>
        <w:t xml:space="preserve"> (HK – Pardubice)</w:t>
      </w:r>
      <w:r w:rsidRPr="00CE3A34">
        <w:rPr>
          <w:rFonts w:cs="Arial"/>
        </w:rPr>
        <w:t>,</w:t>
      </w:r>
      <w:r>
        <w:rPr>
          <w:rFonts w:cs="Arial"/>
        </w:rPr>
        <w:t xml:space="preserve"> 19</w:t>
      </w:r>
      <w:r w:rsidRPr="00CE3A34">
        <w:rPr>
          <w:rFonts w:cs="Arial"/>
        </w:rPr>
        <w:t xml:space="preserve">. </w:t>
      </w:r>
      <w:r>
        <w:rPr>
          <w:rFonts w:cs="Arial"/>
        </w:rPr>
        <w:t>4</w:t>
      </w:r>
      <w:r w:rsidRPr="00CE3A34">
        <w:rPr>
          <w:rFonts w:cs="Arial"/>
        </w:rPr>
        <w:t>. 201</w:t>
      </w:r>
      <w:r>
        <w:rPr>
          <w:rFonts w:cs="Arial"/>
        </w:rPr>
        <w:t>3</w:t>
      </w:r>
    </w:p>
    <w:p w:rsidR="00F708AC" w:rsidRDefault="00F708AC" w:rsidP="00F708AC">
      <w:pPr>
        <w:rPr>
          <w:rFonts w:cs="Arial"/>
          <w:color w:val="FF0000"/>
        </w:rPr>
      </w:pPr>
    </w:p>
    <w:p w:rsidR="00F708AC" w:rsidRDefault="0044296D" w:rsidP="00F708AC">
      <w:pPr>
        <w:keepNext/>
        <w:spacing w:after="0"/>
        <w:rPr>
          <w:rFonts w:cs="Arial"/>
          <w:color w:val="FF0000"/>
        </w:rPr>
      </w:pPr>
      <w:r w:rsidRPr="00D20948">
        <w:rPr>
          <w:rFonts w:cs="Arial"/>
          <w:noProof/>
          <w:color w:val="FF0000"/>
          <w:lang w:eastAsia="cs-CZ"/>
        </w:rPr>
        <w:drawing>
          <wp:inline distT="0" distB="0" distL="0" distR="0" wp14:anchorId="04C39771" wp14:editId="5E957B5A">
            <wp:extent cx="5791200" cy="6524625"/>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7" cstate="print">
                      <a:extLst>
                        <a:ext uri="{28A0092B-C50C-407E-A947-70E740481C1C}">
                          <a14:useLocalDpi xmlns:a14="http://schemas.microsoft.com/office/drawing/2010/main" val="0"/>
                        </a:ext>
                      </a:extLst>
                    </a:blip>
                    <a:srcRect b="3220"/>
                    <a:stretch>
                      <a:fillRect/>
                    </a:stretch>
                  </pic:blipFill>
                  <pic:spPr bwMode="auto">
                    <a:xfrm>
                      <a:off x="0" y="0"/>
                      <a:ext cx="5791200" cy="6524625"/>
                    </a:xfrm>
                    <a:prstGeom prst="rect">
                      <a:avLst/>
                    </a:prstGeom>
                    <a:noFill/>
                    <a:ln>
                      <a:noFill/>
                    </a:ln>
                  </pic:spPr>
                </pic:pic>
              </a:graphicData>
            </a:graphic>
          </wp:inline>
        </w:drawing>
      </w:r>
    </w:p>
    <w:p w:rsidR="00F708AC" w:rsidRDefault="0044296D" w:rsidP="00F708AC">
      <w:pPr>
        <w:rPr>
          <w:rFonts w:cs="Arial"/>
          <w:color w:val="FF0000"/>
        </w:rPr>
      </w:pPr>
      <w:r w:rsidRPr="00D20948">
        <w:rPr>
          <w:rFonts w:cs="Arial"/>
          <w:noProof/>
          <w:color w:val="FF0000"/>
          <w:lang w:eastAsia="cs-CZ"/>
        </w:rPr>
        <w:drawing>
          <wp:inline distT="0" distB="0" distL="0" distR="0" wp14:anchorId="27AA1978" wp14:editId="439FC80A">
            <wp:extent cx="5981700" cy="2695575"/>
            <wp:effectExtent l="0" t="0" r="0" b="0"/>
            <wp:docPr id="24" name="Obrázek 24" descr="Nový obráz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ový obrázek"/>
                    <pic:cNvPicPr>
                      <a:picLocks noChangeAspect="1" noChangeArrowheads="1"/>
                    </pic:cNvPicPr>
                  </pic:nvPicPr>
                  <pic:blipFill>
                    <a:blip r:embed="rId138" cstate="print">
                      <a:extLst>
                        <a:ext uri="{28A0092B-C50C-407E-A947-70E740481C1C}">
                          <a14:useLocalDpi xmlns:a14="http://schemas.microsoft.com/office/drawing/2010/main" val="0"/>
                        </a:ext>
                      </a:extLst>
                    </a:blip>
                    <a:srcRect l="302" t="584" b="12268"/>
                    <a:stretch>
                      <a:fillRect/>
                    </a:stretch>
                  </pic:blipFill>
                  <pic:spPr bwMode="auto">
                    <a:xfrm>
                      <a:off x="0" y="0"/>
                      <a:ext cx="5981700" cy="2695575"/>
                    </a:xfrm>
                    <a:prstGeom prst="rect">
                      <a:avLst/>
                    </a:prstGeom>
                    <a:noFill/>
                    <a:ln>
                      <a:noFill/>
                    </a:ln>
                  </pic:spPr>
                </pic:pic>
              </a:graphicData>
            </a:graphic>
          </wp:inline>
        </w:drawing>
      </w:r>
    </w:p>
    <w:p w:rsidR="00F708AC" w:rsidRPr="001C151B" w:rsidRDefault="00F708AC" w:rsidP="00F708AC">
      <w:pPr>
        <w:rPr>
          <w:rFonts w:cs="Arial"/>
          <w:color w:val="FF0000"/>
        </w:rPr>
      </w:pPr>
    </w:p>
    <w:p w:rsidR="0050179A" w:rsidRDefault="0050179A" w:rsidP="00D4137B">
      <w:pPr>
        <w:rPr>
          <w:rFonts w:ascii="Arial" w:hAnsi="Arial"/>
        </w:rPr>
      </w:pPr>
    </w:p>
    <w:p w:rsidR="00B8432C" w:rsidRDefault="004E4D1F" w:rsidP="00147AB7">
      <w:r w:rsidRPr="00455B8F">
        <w:rPr>
          <w:noProof/>
          <w:lang w:eastAsia="cs-CZ"/>
        </w:rPr>
        <w:drawing>
          <wp:inline distT="0" distB="0" distL="0" distR="0" wp14:anchorId="63CA115B" wp14:editId="5A08B536">
            <wp:extent cx="5434330" cy="8488680"/>
            <wp:effectExtent l="0" t="0" r="0" b="0"/>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434330" cy="8488680"/>
                    </a:xfrm>
                    <a:prstGeom prst="rect">
                      <a:avLst/>
                    </a:prstGeom>
                    <a:noFill/>
                    <a:ln>
                      <a:noFill/>
                    </a:ln>
                  </pic:spPr>
                </pic:pic>
              </a:graphicData>
            </a:graphic>
          </wp:inline>
        </w:drawing>
      </w:r>
    </w:p>
    <w:p w:rsidR="00B8432C" w:rsidRDefault="00B8432C">
      <w:pPr>
        <w:suppressAutoHyphens w:val="0"/>
        <w:spacing w:before="0" w:after="0" w:line="240" w:lineRule="auto"/>
        <w:jc w:val="left"/>
      </w:pPr>
    </w:p>
    <w:p w:rsidR="00B8432C" w:rsidRDefault="00283B32" w:rsidP="00147AB7">
      <w:r>
        <w:rPr>
          <w:noProof/>
          <w:lang w:eastAsia="cs-CZ"/>
        </w:rPr>
        <w:drawing>
          <wp:inline distT="0" distB="0" distL="0" distR="0" wp14:anchorId="1B1CBAB3" wp14:editId="383335F3">
            <wp:extent cx="5836285" cy="8258810"/>
            <wp:effectExtent l="0" t="0" r="0" b="8890"/>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cstate="print"/>
                    <a:stretch>
                      <a:fillRect/>
                    </a:stretch>
                  </pic:blipFill>
                  <pic:spPr>
                    <a:xfrm>
                      <a:off x="0" y="0"/>
                      <a:ext cx="5836285" cy="8258810"/>
                    </a:xfrm>
                    <a:prstGeom prst="rect">
                      <a:avLst/>
                    </a:prstGeom>
                  </pic:spPr>
                </pic:pic>
              </a:graphicData>
            </a:graphic>
          </wp:inline>
        </w:drawing>
      </w:r>
    </w:p>
    <w:p w:rsidR="00B8432C" w:rsidRDefault="00B8432C" w:rsidP="00256F26">
      <w:pPr>
        <w:suppressAutoHyphens w:val="0"/>
        <w:spacing w:before="0" w:after="0" w:line="240" w:lineRule="auto"/>
        <w:jc w:val="left"/>
      </w:pPr>
      <w:r>
        <w:br w:type="page"/>
      </w:r>
      <w:r w:rsidR="00283B32">
        <w:rPr>
          <w:noProof/>
          <w:lang w:eastAsia="cs-CZ"/>
        </w:rPr>
        <w:drawing>
          <wp:inline distT="0" distB="0" distL="0" distR="0" wp14:anchorId="1FA98BB6" wp14:editId="46619631">
            <wp:extent cx="5836285" cy="8258810"/>
            <wp:effectExtent l="0" t="0" r="0" b="889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cstate="print"/>
                    <a:stretch>
                      <a:fillRect/>
                    </a:stretch>
                  </pic:blipFill>
                  <pic:spPr>
                    <a:xfrm>
                      <a:off x="0" y="0"/>
                      <a:ext cx="5836285" cy="8258810"/>
                    </a:xfrm>
                    <a:prstGeom prst="rect">
                      <a:avLst/>
                    </a:prstGeom>
                  </pic:spPr>
                </pic:pic>
              </a:graphicData>
            </a:graphic>
          </wp:inline>
        </w:drawing>
      </w:r>
    </w:p>
    <w:p w:rsidR="00426813" w:rsidRDefault="00426813" w:rsidP="00147AB7">
      <w:pPr>
        <w:sectPr w:rsidR="00426813" w:rsidSect="006D3C8B">
          <w:footerReference w:type="default" r:id="rId142"/>
          <w:footnotePr>
            <w:pos w:val="beneathText"/>
          </w:footnotePr>
          <w:pgSz w:w="11905" w:h="16837" w:code="9"/>
          <w:pgMar w:top="1701" w:right="1134" w:bottom="1134" w:left="1418" w:header="709" w:footer="401" w:gutter="0"/>
          <w:cols w:space="708"/>
          <w:docGrid w:linePitch="360"/>
        </w:sectPr>
      </w:pPr>
    </w:p>
    <w:p w:rsidR="00E17D91" w:rsidRDefault="00E17D91" w:rsidP="000A1D96">
      <w:pPr>
        <w:pStyle w:val="Nadpis1"/>
        <w:ind w:hanging="716"/>
      </w:pPr>
      <w:bookmarkStart w:id="376" w:name="_Toc390958730"/>
      <w:r>
        <w:t>PŘÍLOHY</w:t>
      </w:r>
      <w:bookmarkEnd w:id="376"/>
    </w:p>
    <w:p w:rsidR="00872231" w:rsidRPr="000C06A3" w:rsidRDefault="00872231" w:rsidP="00872231">
      <w:pPr>
        <w:rPr>
          <w:b/>
          <w:sz w:val="24"/>
        </w:rPr>
      </w:pPr>
      <w:r w:rsidRPr="000C06A3">
        <w:rPr>
          <w:b/>
          <w:sz w:val="24"/>
        </w:rPr>
        <w:t xml:space="preserve">Traťová schémata </w:t>
      </w:r>
    </w:p>
    <w:p w:rsidR="00872231" w:rsidRDefault="00872231" w:rsidP="00872231">
      <w:r>
        <w:t>1.1</w:t>
      </w:r>
      <w:r>
        <w:tab/>
      </w:r>
      <w:r w:rsidR="00D8333D">
        <w:t>Blokové</w:t>
      </w:r>
      <w:r>
        <w:t xml:space="preserve"> schéma, </w:t>
      </w:r>
      <w:r w:rsidR="00D8333D">
        <w:t>stavájící stav, varianta</w:t>
      </w:r>
      <w:r>
        <w:t xml:space="preserve"> bez projektu</w:t>
      </w:r>
    </w:p>
    <w:p w:rsidR="00872231" w:rsidRDefault="00872231" w:rsidP="00872231">
      <w:r>
        <w:t>1.2</w:t>
      </w:r>
      <w:r>
        <w:tab/>
      </w:r>
      <w:r w:rsidR="00D8333D">
        <w:t>Blokové</w:t>
      </w:r>
      <w:r w:rsidR="00A66686">
        <w:t xml:space="preserve"> schéma, varianta projektová M</w:t>
      </w:r>
      <w:r>
        <w:t>inimální</w:t>
      </w:r>
    </w:p>
    <w:p w:rsidR="00872231" w:rsidRPr="00D8333D" w:rsidRDefault="00872231" w:rsidP="00872231">
      <w:r w:rsidRPr="00D8333D">
        <w:t>1.3</w:t>
      </w:r>
      <w:r w:rsidRPr="00D8333D">
        <w:tab/>
      </w:r>
      <w:r w:rsidR="00D8333D">
        <w:t>Blokové</w:t>
      </w:r>
      <w:r w:rsidR="00A66686" w:rsidRPr="00D8333D">
        <w:t xml:space="preserve"> schéma, varianta projektová </w:t>
      </w:r>
      <w:r w:rsidR="00D8333D" w:rsidRPr="00D8333D">
        <w:t xml:space="preserve">Maximální - </w:t>
      </w:r>
      <w:r w:rsidR="00223E13" w:rsidRPr="00D8333D">
        <w:t>Etapa</w:t>
      </w:r>
    </w:p>
    <w:p w:rsidR="00872231" w:rsidRDefault="00872231" w:rsidP="00872231">
      <w:r>
        <w:t>1.</w:t>
      </w:r>
      <w:r w:rsidR="00D8333D">
        <w:t>4</w:t>
      </w:r>
      <w:r>
        <w:tab/>
      </w:r>
      <w:r w:rsidR="00D8333D">
        <w:t>Blokové</w:t>
      </w:r>
      <w:r w:rsidR="00A66686">
        <w:t xml:space="preserve"> schéma, varianta projektová M</w:t>
      </w:r>
      <w:r>
        <w:t>aximální</w:t>
      </w:r>
    </w:p>
    <w:p w:rsidR="00E24A84" w:rsidRDefault="00E24A84" w:rsidP="00872231">
      <w:r>
        <w:t>2.1</w:t>
      </w:r>
      <w:r>
        <w:tab/>
        <w:t xml:space="preserve">Rozdělení nákladů dle struktury </w:t>
      </w:r>
      <w:r w:rsidR="00E839AA">
        <w:t>JASPERS pro varia</w:t>
      </w:r>
      <w:r w:rsidR="00D8333D">
        <w:t>n</w:t>
      </w:r>
      <w:r w:rsidR="00E839AA">
        <w:t>tu Minimální</w:t>
      </w:r>
    </w:p>
    <w:p w:rsidR="00E839AA" w:rsidRPr="00D8333D" w:rsidRDefault="00E839AA" w:rsidP="00E839AA">
      <w:r w:rsidRPr="00D8333D">
        <w:t>2.2</w:t>
      </w:r>
      <w:r w:rsidRPr="00D8333D">
        <w:tab/>
        <w:t>Rozd</w:t>
      </w:r>
      <w:r w:rsidRPr="00D8333D">
        <w:rPr>
          <w:rFonts w:hint="eastAsia"/>
        </w:rPr>
        <w:t>ě</w:t>
      </w:r>
      <w:r w:rsidRPr="00D8333D">
        <w:t>lení náklad</w:t>
      </w:r>
      <w:r w:rsidRPr="00D8333D">
        <w:rPr>
          <w:rFonts w:hint="eastAsia"/>
        </w:rPr>
        <w:t>ů</w:t>
      </w:r>
      <w:r w:rsidRPr="00D8333D">
        <w:t xml:space="preserve"> dle struktury JASPERS pro vari</w:t>
      </w:r>
      <w:r w:rsidR="00D8333D" w:rsidRPr="00D8333D">
        <w:t>a</w:t>
      </w:r>
      <w:r w:rsidRPr="00D8333D">
        <w:t xml:space="preserve">ntu </w:t>
      </w:r>
      <w:r w:rsidR="00D8333D" w:rsidRPr="00D8333D">
        <w:t xml:space="preserve">Maximální - </w:t>
      </w:r>
      <w:r w:rsidR="00223E13" w:rsidRPr="00D8333D">
        <w:t>Etapa</w:t>
      </w:r>
    </w:p>
    <w:p w:rsidR="00E839AA" w:rsidRDefault="00E839AA" w:rsidP="00E839AA">
      <w:r>
        <w:t>2.</w:t>
      </w:r>
      <w:r w:rsidR="00D8333D">
        <w:t>3</w:t>
      </w:r>
      <w:r>
        <w:tab/>
        <w:t>Rozdělení nákladů dle struktury JASPERS pro varia</w:t>
      </w:r>
      <w:r w:rsidR="00D8333D">
        <w:t>n</w:t>
      </w:r>
      <w:r>
        <w:t>tu Maximální</w:t>
      </w:r>
    </w:p>
    <w:p w:rsidR="00E839AA" w:rsidRDefault="00E839AA" w:rsidP="00872231"/>
    <w:p w:rsidR="00B15E6B" w:rsidRDefault="00B15E6B" w:rsidP="00E17D91"/>
    <w:sectPr w:rsidR="00B15E6B" w:rsidSect="006D3C8B">
      <w:footerReference w:type="default" r:id="rId143"/>
      <w:footnotePr>
        <w:pos w:val="beneathText"/>
      </w:footnotePr>
      <w:pgSz w:w="11905" w:h="16837" w:code="9"/>
      <w:pgMar w:top="1701" w:right="1134" w:bottom="1134" w:left="1418" w:header="709" w:footer="39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43F3" w:rsidRDefault="003843F3">
      <w:pPr>
        <w:spacing w:before="0" w:after="0" w:line="240" w:lineRule="auto"/>
      </w:pPr>
      <w:r>
        <w:separator/>
      </w:r>
    </w:p>
  </w:endnote>
  <w:endnote w:type="continuationSeparator" w:id="0">
    <w:p w:rsidR="003843F3" w:rsidRDefault="003843F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2FF" w:usb1="400004FF" w:usb2="00000000" w:usb3="00000000" w:csb0="0000019F" w:csb1="00000000"/>
  </w:font>
  <w:font w:name="MS Reference Sans Serif">
    <w:panose1 w:val="020B0604030504040204"/>
    <w:charset w:val="EE"/>
    <w:family w:val="swiss"/>
    <w:pitch w:val="variable"/>
    <w:sig w:usb0="20000287" w:usb1="00000000"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Shell Dlg">
    <w:panose1 w:val="020B0604020202020204"/>
    <w:charset w:val="EE"/>
    <w:family w:val="swiss"/>
    <w:pitch w:val="variable"/>
    <w:sig w:usb0="E1002AFF" w:usb1="C0000002" w:usb2="00000008" w:usb3="00000000" w:csb0="000101FF" w:csb1="00000000"/>
  </w:font>
  <w:font w:name="Microsoft Sans Serif">
    <w:panose1 w:val="020B0604020202020204"/>
    <w:charset w:val="EE"/>
    <w:family w:val="swiss"/>
    <w:pitch w:val="variable"/>
    <w:sig w:usb0="E1002AFF" w:usb1="C0000002" w:usb2="00000008"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CellMar>
        <w:left w:w="70" w:type="dxa"/>
        <w:right w:w="70" w:type="dxa"/>
      </w:tblCellMar>
      <w:tblLook w:val="0000" w:firstRow="0" w:lastRow="0" w:firstColumn="0" w:lastColumn="0" w:noHBand="0" w:noVBand="0"/>
    </w:tblPr>
    <w:tblGrid>
      <w:gridCol w:w="6946"/>
      <w:gridCol w:w="567"/>
      <w:gridCol w:w="1843"/>
    </w:tblGrid>
    <w:tr w:rsidR="003843F3">
      <w:trPr>
        <w:cantSplit/>
        <w:trHeight w:hRule="exact" w:val="482"/>
      </w:trPr>
      <w:tc>
        <w:tcPr>
          <w:tcW w:w="6946" w:type="dxa"/>
          <w:tcBorders>
            <w:top w:val="single" w:sz="4" w:space="0" w:color="FFFFFF"/>
            <w:bottom w:val="single" w:sz="4" w:space="0" w:color="FFFFFF"/>
            <w:right w:val="single" w:sz="4" w:space="0" w:color="FFFFFF"/>
          </w:tcBorders>
          <w:vAlign w:val="center"/>
        </w:tcPr>
        <w:p w:rsidR="003843F3" w:rsidRDefault="003843F3">
          <w:pPr>
            <w:pStyle w:val="Zpat"/>
            <w:spacing w:before="60" w:after="60" w:line="240" w:lineRule="auto"/>
            <w:ind w:left="-68"/>
            <w:jc w:val="left"/>
            <w:rPr>
              <w:rStyle w:val="slostrnky"/>
              <w:rFonts w:cs="Tahoma"/>
              <w:b/>
              <w:bCs/>
              <w:noProof/>
              <w:color w:val="808080"/>
              <w:sz w:val="18"/>
            </w:rPr>
          </w:pPr>
        </w:p>
      </w:tc>
      <w:tc>
        <w:tcPr>
          <w:tcW w:w="567" w:type="dxa"/>
          <w:tcBorders>
            <w:top w:val="single" w:sz="4" w:space="0" w:color="FFFFFF"/>
            <w:left w:val="single" w:sz="4" w:space="0" w:color="FFFFFF"/>
            <w:bottom w:val="single" w:sz="4" w:space="0" w:color="FFFFFF"/>
            <w:right w:val="single" w:sz="4" w:space="0" w:color="FFFFFF"/>
          </w:tcBorders>
          <w:vAlign w:val="center"/>
        </w:tcPr>
        <w:p w:rsidR="003843F3" w:rsidRDefault="003843F3">
          <w:pPr>
            <w:pStyle w:val="Zpat"/>
            <w:spacing w:before="60" w:after="60" w:line="240" w:lineRule="auto"/>
            <w:jc w:val="center"/>
            <w:rPr>
              <w:rStyle w:val="slostrnky"/>
              <w:rFonts w:cs="Tahoma"/>
              <w:noProof/>
            </w:rPr>
          </w:pPr>
        </w:p>
      </w:tc>
      <w:tc>
        <w:tcPr>
          <w:tcW w:w="1843" w:type="dxa"/>
          <w:tcBorders>
            <w:top w:val="single" w:sz="4" w:space="0" w:color="FFFFFF"/>
            <w:left w:val="single" w:sz="4" w:space="0" w:color="FFFFFF"/>
            <w:bottom w:val="single" w:sz="4" w:space="0" w:color="FFFFFF"/>
          </w:tcBorders>
          <w:vAlign w:val="center"/>
        </w:tcPr>
        <w:p w:rsidR="003843F3" w:rsidRDefault="003843F3">
          <w:pPr>
            <w:pStyle w:val="Zpat"/>
            <w:spacing w:before="60" w:after="60" w:line="240" w:lineRule="auto"/>
            <w:ind w:left="-11"/>
            <w:jc w:val="center"/>
            <w:rPr>
              <w:rStyle w:val="slostrnky"/>
              <w:rFonts w:cs="Tahoma"/>
              <w:b/>
              <w:bCs/>
              <w:noProof/>
              <w:color w:val="FFFFFF"/>
              <w:sz w:val="16"/>
            </w:rPr>
          </w:pPr>
        </w:p>
      </w:tc>
    </w:tr>
  </w:tbl>
  <w:p w:rsidR="003843F3" w:rsidRDefault="003843F3">
    <w:pPr>
      <w:pStyle w:val="Zpat"/>
      <w:rPr>
        <w:sz w:val="6"/>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Borders>
        <w:top w:val="single" w:sz="4" w:space="0" w:color="auto"/>
      </w:tblBorders>
      <w:tblCellMar>
        <w:left w:w="70" w:type="dxa"/>
        <w:right w:w="70" w:type="dxa"/>
      </w:tblCellMar>
      <w:tblLook w:val="0000" w:firstRow="0" w:lastRow="0" w:firstColumn="0" w:lastColumn="0" w:noHBand="0" w:noVBand="0"/>
    </w:tblPr>
    <w:tblGrid>
      <w:gridCol w:w="3119"/>
      <w:gridCol w:w="3402"/>
      <w:gridCol w:w="992"/>
      <w:gridCol w:w="1843"/>
    </w:tblGrid>
    <w:tr w:rsidR="003843F3" w:rsidTr="00583985">
      <w:trPr>
        <w:cantSplit/>
        <w:trHeight w:hRule="exact" w:val="584"/>
      </w:trPr>
      <w:tc>
        <w:tcPr>
          <w:tcW w:w="3119" w:type="dxa"/>
          <w:vAlign w:val="center"/>
        </w:tcPr>
        <w:p w:rsidR="003843F3" w:rsidRDefault="003843F3" w:rsidP="0082658E">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Přepravní prognóza</w:t>
          </w:r>
        </w:p>
      </w:tc>
      <w:tc>
        <w:tcPr>
          <w:tcW w:w="3402" w:type="dxa"/>
          <w:vAlign w:val="center"/>
        </w:tcPr>
        <w:p w:rsidR="003843F3" w:rsidRDefault="003843F3" w:rsidP="00797E6F">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73C69955" wp14:editId="24F55A8D">
                <wp:extent cx="1802765" cy="319405"/>
                <wp:effectExtent l="0" t="0" r="0" b="0"/>
                <wp:docPr id="61"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2765" cy="319405"/>
                        </a:xfrm>
                        <a:prstGeom prst="rect">
                          <a:avLst/>
                        </a:prstGeom>
                        <a:noFill/>
                        <a:ln>
                          <a:noFill/>
                        </a:ln>
                      </pic:spPr>
                    </pic:pic>
                  </a:graphicData>
                </a:graphic>
              </wp:inline>
            </w:drawing>
          </w:r>
        </w:p>
      </w:tc>
      <w:tc>
        <w:tcPr>
          <w:tcW w:w="992" w:type="dxa"/>
          <w:vAlign w:val="center"/>
        </w:tcPr>
        <w:p w:rsidR="003843F3" w:rsidRDefault="003843F3">
          <w:pPr>
            <w:pStyle w:val="Zpat"/>
            <w:spacing w:before="60" w:after="60" w:line="240" w:lineRule="auto"/>
            <w:jc w:val="center"/>
            <w:rPr>
              <w:rStyle w:val="slostrnky"/>
              <w:rFonts w:cs="Tahoma"/>
              <w:noProof/>
            </w:rPr>
          </w:pPr>
        </w:p>
      </w:tc>
      <w:tc>
        <w:tcPr>
          <w:tcW w:w="1843" w:type="dxa"/>
          <w:shd w:val="clear" w:color="auto" w:fill="999999"/>
          <w:vAlign w:val="center"/>
        </w:tcPr>
        <w:p w:rsidR="003843F3" w:rsidRDefault="003843F3">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Pr>
              <w:rStyle w:val="slostrnky"/>
              <w:rFonts w:cs="Tahoma"/>
              <w:b/>
              <w:bCs/>
              <w:noProof/>
              <w:color w:val="FFFFFF"/>
              <w:sz w:val="16"/>
            </w:rPr>
            <w:t>112</w:t>
          </w:r>
          <w:r>
            <w:rPr>
              <w:rStyle w:val="slostrnky"/>
              <w:rFonts w:cs="Tahoma"/>
              <w:b/>
              <w:bCs/>
              <w:noProof/>
              <w:color w:val="FFFFFF"/>
              <w:sz w:val="16"/>
            </w:rPr>
            <w:fldChar w:fldCharType="end"/>
          </w:r>
        </w:p>
      </w:tc>
    </w:tr>
  </w:tbl>
  <w:p w:rsidR="003843F3" w:rsidRDefault="003843F3">
    <w:pPr>
      <w:pStyle w:val="Zpat"/>
      <w:rPr>
        <w:sz w:val="6"/>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Borders>
        <w:top w:val="single" w:sz="4" w:space="0" w:color="auto"/>
      </w:tblBorders>
      <w:tblCellMar>
        <w:left w:w="70" w:type="dxa"/>
        <w:right w:w="70" w:type="dxa"/>
      </w:tblCellMar>
      <w:tblLook w:val="0000" w:firstRow="0" w:lastRow="0" w:firstColumn="0" w:lastColumn="0" w:noHBand="0" w:noVBand="0"/>
    </w:tblPr>
    <w:tblGrid>
      <w:gridCol w:w="3119"/>
      <w:gridCol w:w="3402"/>
      <w:gridCol w:w="992"/>
      <w:gridCol w:w="1843"/>
    </w:tblGrid>
    <w:tr w:rsidR="003843F3" w:rsidTr="00583985">
      <w:trPr>
        <w:cantSplit/>
        <w:trHeight w:hRule="exact" w:val="584"/>
      </w:trPr>
      <w:tc>
        <w:tcPr>
          <w:tcW w:w="3119" w:type="dxa"/>
          <w:vAlign w:val="center"/>
        </w:tcPr>
        <w:p w:rsidR="003843F3" w:rsidRDefault="003843F3" w:rsidP="0082658E">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Vztah k životnímu prostředí</w:t>
          </w:r>
        </w:p>
      </w:tc>
      <w:tc>
        <w:tcPr>
          <w:tcW w:w="3402" w:type="dxa"/>
          <w:vAlign w:val="center"/>
        </w:tcPr>
        <w:p w:rsidR="003843F3" w:rsidRDefault="003843F3" w:rsidP="00797E6F">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1FCFB871" wp14:editId="7EE38AC8">
                <wp:extent cx="1802765" cy="319405"/>
                <wp:effectExtent l="0" t="0" r="0" b="0"/>
                <wp:docPr id="77"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2765" cy="319405"/>
                        </a:xfrm>
                        <a:prstGeom prst="rect">
                          <a:avLst/>
                        </a:prstGeom>
                        <a:noFill/>
                        <a:ln>
                          <a:noFill/>
                        </a:ln>
                      </pic:spPr>
                    </pic:pic>
                  </a:graphicData>
                </a:graphic>
              </wp:inline>
            </w:drawing>
          </w:r>
        </w:p>
      </w:tc>
      <w:tc>
        <w:tcPr>
          <w:tcW w:w="992" w:type="dxa"/>
          <w:vAlign w:val="center"/>
        </w:tcPr>
        <w:p w:rsidR="003843F3" w:rsidRDefault="003843F3">
          <w:pPr>
            <w:pStyle w:val="Zpat"/>
            <w:spacing w:before="60" w:after="60" w:line="240" w:lineRule="auto"/>
            <w:jc w:val="center"/>
            <w:rPr>
              <w:rStyle w:val="slostrnky"/>
              <w:rFonts w:cs="Tahoma"/>
              <w:noProof/>
            </w:rPr>
          </w:pPr>
        </w:p>
      </w:tc>
      <w:tc>
        <w:tcPr>
          <w:tcW w:w="1843" w:type="dxa"/>
          <w:shd w:val="clear" w:color="auto" w:fill="999999"/>
          <w:vAlign w:val="center"/>
        </w:tcPr>
        <w:p w:rsidR="003843F3" w:rsidRDefault="003843F3">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Pr>
              <w:rStyle w:val="slostrnky"/>
              <w:rFonts w:cs="Tahoma"/>
              <w:b/>
              <w:bCs/>
              <w:noProof/>
              <w:color w:val="FFFFFF"/>
              <w:sz w:val="16"/>
            </w:rPr>
            <w:t>123</w:t>
          </w:r>
          <w:r>
            <w:rPr>
              <w:rStyle w:val="slostrnky"/>
              <w:rFonts w:cs="Tahoma"/>
              <w:b/>
              <w:bCs/>
              <w:noProof/>
              <w:color w:val="FFFFFF"/>
              <w:sz w:val="16"/>
            </w:rPr>
            <w:fldChar w:fldCharType="end"/>
          </w:r>
        </w:p>
      </w:tc>
    </w:tr>
  </w:tbl>
  <w:p w:rsidR="003843F3" w:rsidRDefault="003843F3">
    <w:pPr>
      <w:pStyle w:val="Zpat"/>
      <w:rPr>
        <w:sz w:val="6"/>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Borders>
        <w:top w:val="single" w:sz="4" w:space="0" w:color="auto"/>
      </w:tblBorders>
      <w:tblCellMar>
        <w:left w:w="70" w:type="dxa"/>
        <w:right w:w="70" w:type="dxa"/>
      </w:tblCellMar>
      <w:tblLook w:val="0000" w:firstRow="0" w:lastRow="0" w:firstColumn="0" w:lastColumn="0" w:noHBand="0" w:noVBand="0"/>
    </w:tblPr>
    <w:tblGrid>
      <w:gridCol w:w="3119"/>
      <w:gridCol w:w="3402"/>
      <w:gridCol w:w="992"/>
      <w:gridCol w:w="1843"/>
    </w:tblGrid>
    <w:tr w:rsidR="003843F3" w:rsidTr="00583985">
      <w:trPr>
        <w:cantSplit/>
        <w:trHeight w:hRule="exact" w:val="584"/>
      </w:trPr>
      <w:tc>
        <w:tcPr>
          <w:tcW w:w="3119" w:type="dxa"/>
          <w:vAlign w:val="center"/>
        </w:tcPr>
        <w:p w:rsidR="003843F3" w:rsidRDefault="003843F3" w:rsidP="0082658E">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Ekonomické hodnocení</w:t>
          </w:r>
        </w:p>
      </w:tc>
      <w:tc>
        <w:tcPr>
          <w:tcW w:w="3402" w:type="dxa"/>
          <w:vAlign w:val="center"/>
        </w:tcPr>
        <w:p w:rsidR="003843F3" w:rsidRDefault="003843F3" w:rsidP="00797E6F">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4A85E245" wp14:editId="0D465FE4">
                <wp:extent cx="1802765" cy="319405"/>
                <wp:effectExtent l="0" t="0" r="0" b="0"/>
                <wp:docPr id="78"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2765" cy="319405"/>
                        </a:xfrm>
                        <a:prstGeom prst="rect">
                          <a:avLst/>
                        </a:prstGeom>
                        <a:noFill/>
                        <a:ln>
                          <a:noFill/>
                        </a:ln>
                      </pic:spPr>
                    </pic:pic>
                  </a:graphicData>
                </a:graphic>
              </wp:inline>
            </w:drawing>
          </w:r>
        </w:p>
      </w:tc>
      <w:tc>
        <w:tcPr>
          <w:tcW w:w="992" w:type="dxa"/>
          <w:vAlign w:val="center"/>
        </w:tcPr>
        <w:p w:rsidR="003843F3" w:rsidRDefault="003843F3">
          <w:pPr>
            <w:pStyle w:val="Zpat"/>
            <w:spacing w:before="60" w:after="60" w:line="240" w:lineRule="auto"/>
            <w:jc w:val="center"/>
            <w:rPr>
              <w:rStyle w:val="slostrnky"/>
              <w:rFonts w:cs="Tahoma"/>
              <w:noProof/>
            </w:rPr>
          </w:pPr>
        </w:p>
      </w:tc>
      <w:tc>
        <w:tcPr>
          <w:tcW w:w="1843" w:type="dxa"/>
          <w:shd w:val="clear" w:color="auto" w:fill="999999"/>
          <w:vAlign w:val="center"/>
        </w:tcPr>
        <w:p w:rsidR="003843F3" w:rsidRDefault="003843F3">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Pr>
              <w:rStyle w:val="slostrnky"/>
              <w:rFonts w:cs="Tahoma"/>
              <w:b/>
              <w:bCs/>
              <w:noProof/>
              <w:color w:val="FFFFFF"/>
              <w:sz w:val="16"/>
            </w:rPr>
            <w:t>131</w:t>
          </w:r>
          <w:r>
            <w:rPr>
              <w:rStyle w:val="slostrnky"/>
              <w:rFonts w:cs="Tahoma"/>
              <w:b/>
              <w:bCs/>
              <w:noProof/>
              <w:color w:val="FFFFFF"/>
              <w:sz w:val="16"/>
            </w:rPr>
            <w:fldChar w:fldCharType="end"/>
          </w:r>
        </w:p>
      </w:tc>
    </w:tr>
  </w:tbl>
  <w:p w:rsidR="003843F3" w:rsidRDefault="003843F3">
    <w:pPr>
      <w:pStyle w:val="Zpat"/>
      <w:rPr>
        <w:sz w:val="6"/>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207" w:type="dxa"/>
      <w:tblInd w:w="70" w:type="dxa"/>
      <w:tblBorders>
        <w:top w:val="single" w:sz="4" w:space="0" w:color="auto"/>
      </w:tblBorders>
      <w:tblCellMar>
        <w:left w:w="70" w:type="dxa"/>
        <w:right w:w="70" w:type="dxa"/>
      </w:tblCellMar>
      <w:tblLook w:val="0000" w:firstRow="0" w:lastRow="0" w:firstColumn="0" w:lastColumn="0" w:noHBand="0" w:noVBand="0"/>
    </w:tblPr>
    <w:tblGrid>
      <w:gridCol w:w="4736"/>
      <w:gridCol w:w="5166"/>
      <w:gridCol w:w="1506"/>
      <w:gridCol w:w="2799"/>
    </w:tblGrid>
    <w:tr w:rsidR="003843F3" w:rsidTr="00E816C7">
      <w:trPr>
        <w:cantSplit/>
        <w:trHeight w:hRule="exact" w:val="633"/>
      </w:trPr>
      <w:tc>
        <w:tcPr>
          <w:tcW w:w="4736" w:type="dxa"/>
          <w:vAlign w:val="center"/>
        </w:tcPr>
        <w:p w:rsidR="003843F3" w:rsidRDefault="003843F3" w:rsidP="0082658E">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Ekonomické hodnocení</w:t>
          </w:r>
        </w:p>
      </w:tc>
      <w:tc>
        <w:tcPr>
          <w:tcW w:w="5166" w:type="dxa"/>
          <w:vAlign w:val="center"/>
        </w:tcPr>
        <w:p w:rsidR="003843F3" w:rsidRDefault="003843F3" w:rsidP="00797E6F">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56F70CE8" wp14:editId="5EB6F7B9">
                <wp:extent cx="1802765" cy="319405"/>
                <wp:effectExtent l="0" t="0" r="0" b="0"/>
                <wp:docPr id="80"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2765" cy="319405"/>
                        </a:xfrm>
                        <a:prstGeom prst="rect">
                          <a:avLst/>
                        </a:prstGeom>
                        <a:noFill/>
                        <a:ln>
                          <a:noFill/>
                        </a:ln>
                      </pic:spPr>
                    </pic:pic>
                  </a:graphicData>
                </a:graphic>
              </wp:inline>
            </w:drawing>
          </w:r>
        </w:p>
      </w:tc>
      <w:tc>
        <w:tcPr>
          <w:tcW w:w="1506" w:type="dxa"/>
          <w:vAlign w:val="center"/>
        </w:tcPr>
        <w:p w:rsidR="003843F3" w:rsidRDefault="003843F3">
          <w:pPr>
            <w:pStyle w:val="Zpat"/>
            <w:spacing w:before="60" w:after="60" w:line="240" w:lineRule="auto"/>
            <w:jc w:val="center"/>
            <w:rPr>
              <w:rStyle w:val="slostrnky"/>
              <w:rFonts w:cs="Tahoma"/>
              <w:noProof/>
            </w:rPr>
          </w:pPr>
        </w:p>
      </w:tc>
      <w:tc>
        <w:tcPr>
          <w:tcW w:w="2799" w:type="dxa"/>
          <w:shd w:val="clear" w:color="auto" w:fill="999999"/>
          <w:vAlign w:val="center"/>
        </w:tcPr>
        <w:p w:rsidR="003843F3" w:rsidRDefault="003843F3">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Pr>
              <w:rStyle w:val="slostrnky"/>
              <w:rFonts w:cs="Tahoma"/>
              <w:b/>
              <w:bCs/>
              <w:noProof/>
              <w:color w:val="FFFFFF"/>
              <w:sz w:val="16"/>
            </w:rPr>
            <w:t>151</w:t>
          </w:r>
          <w:r>
            <w:rPr>
              <w:rStyle w:val="slostrnky"/>
              <w:rFonts w:cs="Tahoma"/>
              <w:b/>
              <w:bCs/>
              <w:noProof/>
              <w:color w:val="FFFFFF"/>
              <w:sz w:val="16"/>
            </w:rPr>
            <w:fldChar w:fldCharType="end"/>
          </w:r>
        </w:p>
      </w:tc>
    </w:tr>
  </w:tbl>
  <w:p w:rsidR="003843F3" w:rsidRDefault="003843F3">
    <w:pPr>
      <w:pStyle w:val="Zpat"/>
      <w:rPr>
        <w:sz w:val="6"/>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Borders>
        <w:top w:val="single" w:sz="4" w:space="0" w:color="auto"/>
      </w:tblBorders>
      <w:tblCellMar>
        <w:left w:w="70" w:type="dxa"/>
        <w:right w:w="70" w:type="dxa"/>
      </w:tblCellMar>
      <w:tblLook w:val="0000" w:firstRow="0" w:lastRow="0" w:firstColumn="0" w:lastColumn="0" w:noHBand="0" w:noVBand="0"/>
    </w:tblPr>
    <w:tblGrid>
      <w:gridCol w:w="3119"/>
      <w:gridCol w:w="3402"/>
      <w:gridCol w:w="992"/>
      <w:gridCol w:w="1843"/>
    </w:tblGrid>
    <w:tr w:rsidR="003843F3" w:rsidTr="00D01BC8">
      <w:trPr>
        <w:cantSplit/>
        <w:trHeight w:hRule="exact" w:val="584"/>
      </w:trPr>
      <w:tc>
        <w:tcPr>
          <w:tcW w:w="3119" w:type="dxa"/>
          <w:vAlign w:val="center"/>
        </w:tcPr>
        <w:p w:rsidR="003843F3" w:rsidRDefault="003843F3" w:rsidP="00D01BC8">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Ekonomické hodnocení</w:t>
          </w:r>
        </w:p>
      </w:tc>
      <w:tc>
        <w:tcPr>
          <w:tcW w:w="3402" w:type="dxa"/>
          <w:vAlign w:val="center"/>
        </w:tcPr>
        <w:p w:rsidR="003843F3" w:rsidRDefault="003843F3" w:rsidP="00D01BC8">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3AACA569" wp14:editId="0C528065">
                <wp:extent cx="1802765" cy="319405"/>
                <wp:effectExtent l="0" t="0" r="0" b="0"/>
                <wp:docPr id="82"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2765" cy="319405"/>
                        </a:xfrm>
                        <a:prstGeom prst="rect">
                          <a:avLst/>
                        </a:prstGeom>
                        <a:noFill/>
                        <a:ln>
                          <a:noFill/>
                        </a:ln>
                      </pic:spPr>
                    </pic:pic>
                  </a:graphicData>
                </a:graphic>
              </wp:inline>
            </w:drawing>
          </w:r>
        </w:p>
      </w:tc>
      <w:tc>
        <w:tcPr>
          <w:tcW w:w="992" w:type="dxa"/>
          <w:vAlign w:val="center"/>
        </w:tcPr>
        <w:p w:rsidR="003843F3" w:rsidRDefault="003843F3" w:rsidP="00D01BC8">
          <w:pPr>
            <w:pStyle w:val="Zpat"/>
            <w:spacing w:before="60" w:after="60" w:line="240" w:lineRule="auto"/>
            <w:jc w:val="center"/>
            <w:rPr>
              <w:rStyle w:val="slostrnky"/>
              <w:rFonts w:cs="Tahoma"/>
              <w:noProof/>
            </w:rPr>
          </w:pPr>
        </w:p>
      </w:tc>
      <w:tc>
        <w:tcPr>
          <w:tcW w:w="1843" w:type="dxa"/>
          <w:shd w:val="clear" w:color="auto" w:fill="999999"/>
          <w:vAlign w:val="center"/>
        </w:tcPr>
        <w:p w:rsidR="003843F3" w:rsidRDefault="003843F3" w:rsidP="00D01BC8">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Pr>
              <w:rStyle w:val="slostrnky"/>
              <w:rFonts w:cs="Tahoma"/>
              <w:b/>
              <w:bCs/>
              <w:noProof/>
              <w:color w:val="FFFFFF"/>
              <w:sz w:val="16"/>
            </w:rPr>
            <w:t>157</w:t>
          </w:r>
          <w:r>
            <w:rPr>
              <w:rStyle w:val="slostrnky"/>
              <w:rFonts w:cs="Tahoma"/>
              <w:b/>
              <w:bCs/>
              <w:noProof/>
              <w:color w:val="FFFFFF"/>
              <w:sz w:val="16"/>
            </w:rPr>
            <w:fldChar w:fldCharType="end"/>
          </w:r>
        </w:p>
      </w:tc>
    </w:tr>
  </w:tbl>
  <w:p w:rsidR="003843F3" w:rsidRDefault="003843F3">
    <w:pPr>
      <w:pStyle w:val="Zpat"/>
      <w:rPr>
        <w:sz w:val="6"/>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Borders>
        <w:top w:val="single" w:sz="4" w:space="0" w:color="auto"/>
      </w:tblBorders>
      <w:tblCellMar>
        <w:left w:w="70" w:type="dxa"/>
        <w:right w:w="70" w:type="dxa"/>
      </w:tblCellMar>
      <w:tblLook w:val="0000" w:firstRow="0" w:lastRow="0" w:firstColumn="0" w:lastColumn="0" w:noHBand="0" w:noVBand="0"/>
    </w:tblPr>
    <w:tblGrid>
      <w:gridCol w:w="3119"/>
      <w:gridCol w:w="3402"/>
      <w:gridCol w:w="992"/>
      <w:gridCol w:w="1843"/>
    </w:tblGrid>
    <w:tr w:rsidR="003843F3" w:rsidTr="00D01BC8">
      <w:trPr>
        <w:cantSplit/>
        <w:trHeight w:hRule="exact" w:val="584"/>
      </w:trPr>
      <w:tc>
        <w:tcPr>
          <w:tcW w:w="3119" w:type="dxa"/>
          <w:vAlign w:val="center"/>
        </w:tcPr>
        <w:p w:rsidR="003843F3" w:rsidRDefault="003843F3" w:rsidP="00D01BC8">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Závěr, doporučení pro další postup</w:t>
          </w:r>
        </w:p>
      </w:tc>
      <w:tc>
        <w:tcPr>
          <w:tcW w:w="3402" w:type="dxa"/>
          <w:vAlign w:val="center"/>
        </w:tcPr>
        <w:p w:rsidR="003843F3" w:rsidRDefault="003843F3" w:rsidP="00D01BC8">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4F3FFCBC" wp14:editId="64CF9AE7">
                <wp:extent cx="1802765" cy="319405"/>
                <wp:effectExtent l="0" t="0" r="0" b="0"/>
                <wp:docPr id="101"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2765" cy="319405"/>
                        </a:xfrm>
                        <a:prstGeom prst="rect">
                          <a:avLst/>
                        </a:prstGeom>
                        <a:noFill/>
                        <a:ln>
                          <a:noFill/>
                        </a:ln>
                      </pic:spPr>
                    </pic:pic>
                  </a:graphicData>
                </a:graphic>
              </wp:inline>
            </w:drawing>
          </w:r>
        </w:p>
      </w:tc>
      <w:tc>
        <w:tcPr>
          <w:tcW w:w="992" w:type="dxa"/>
          <w:vAlign w:val="center"/>
        </w:tcPr>
        <w:p w:rsidR="003843F3" w:rsidRDefault="003843F3" w:rsidP="00D01BC8">
          <w:pPr>
            <w:pStyle w:val="Zpat"/>
            <w:spacing w:before="60" w:after="60" w:line="240" w:lineRule="auto"/>
            <w:jc w:val="center"/>
            <w:rPr>
              <w:rStyle w:val="slostrnky"/>
              <w:rFonts w:cs="Tahoma"/>
              <w:noProof/>
            </w:rPr>
          </w:pPr>
        </w:p>
      </w:tc>
      <w:tc>
        <w:tcPr>
          <w:tcW w:w="1843" w:type="dxa"/>
          <w:shd w:val="clear" w:color="auto" w:fill="999999"/>
          <w:vAlign w:val="center"/>
        </w:tcPr>
        <w:p w:rsidR="003843F3" w:rsidRDefault="003843F3" w:rsidP="00D01BC8">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Pr>
              <w:rStyle w:val="slostrnky"/>
              <w:rFonts w:cs="Tahoma"/>
              <w:b/>
              <w:bCs/>
              <w:noProof/>
              <w:color w:val="FFFFFF"/>
              <w:sz w:val="16"/>
            </w:rPr>
            <w:t>160</w:t>
          </w:r>
          <w:r>
            <w:rPr>
              <w:rStyle w:val="slostrnky"/>
              <w:rFonts w:cs="Tahoma"/>
              <w:b/>
              <w:bCs/>
              <w:noProof/>
              <w:color w:val="FFFFFF"/>
              <w:sz w:val="16"/>
            </w:rPr>
            <w:fldChar w:fldCharType="end"/>
          </w:r>
        </w:p>
      </w:tc>
    </w:tr>
  </w:tbl>
  <w:p w:rsidR="003843F3" w:rsidRDefault="003843F3">
    <w:pPr>
      <w:pStyle w:val="Zpat"/>
      <w:rPr>
        <w:sz w:val="6"/>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Borders>
        <w:top w:val="single" w:sz="4" w:space="0" w:color="auto"/>
      </w:tblBorders>
      <w:tblCellMar>
        <w:left w:w="70" w:type="dxa"/>
        <w:right w:w="70" w:type="dxa"/>
      </w:tblCellMar>
      <w:tblLook w:val="0000" w:firstRow="0" w:lastRow="0" w:firstColumn="0" w:lastColumn="0" w:noHBand="0" w:noVBand="0"/>
    </w:tblPr>
    <w:tblGrid>
      <w:gridCol w:w="3119"/>
      <w:gridCol w:w="3402"/>
      <w:gridCol w:w="992"/>
      <w:gridCol w:w="1843"/>
    </w:tblGrid>
    <w:tr w:rsidR="003843F3" w:rsidTr="00D01BC8">
      <w:trPr>
        <w:cantSplit/>
        <w:trHeight w:hRule="exact" w:val="584"/>
      </w:trPr>
      <w:tc>
        <w:tcPr>
          <w:tcW w:w="3119" w:type="dxa"/>
          <w:vAlign w:val="center"/>
        </w:tcPr>
        <w:p w:rsidR="003843F3" w:rsidRDefault="003843F3" w:rsidP="00D01BC8">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Seznam použité literatury</w:t>
          </w:r>
        </w:p>
      </w:tc>
      <w:tc>
        <w:tcPr>
          <w:tcW w:w="3402" w:type="dxa"/>
          <w:vAlign w:val="center"/>
        </w:tcPr>
        <w:p w:rsidR="003843F3" w:rsidRDefault="003843F3" w:rsidP="00D01BC8">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27B9FF48" wp14:editId="25833AC9">
                <wp:extent cx="1802765" cy="319405"/>
                <wp:effectExtent l="0" t="0" r="0" b="0"/>
                <wp:docPr id="102"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2765" cy="319405"/>
                        </a:xfrm>
                        <a:prstGeom prst="rect">
                          <a:avLst/>
                        </a:prstGeom>
                        <a:noFill/>
                        <a:ln>
                          <a:noFill/>
                        </a:ln>
                      </pic:spPr>
                    </pic:pic>
                  </a:graphicData>
                </a:graphic>
              </wp:inline>
            </w:drawing>
          </w:r>
        </w:p>
      </w:tc>
      <w:tc>
        <w:tcPr>
          <w:tcW w:w="992" w:type="dxa"/>
          <w:vAlign w:val="center"/>
        </w:tcPr>
        <w:p w:rsidR="003843F3" w:rsidRDefault="003843F3" w:rsidP="00D01BC8">
          <w:pPr>
            <w:pStyle w:val="Zpat"/>
            <w:spacing w:before="60" w:after="60" w:line="240" w:lineRule="auto"/>
            <w:jc w:val="center"/>
            <w:rPr>
              <w:rStyle w:val="slostrnky"/>
              <w:rFonts w:cs="Tahoma"/>
              <w:noProof/>
            </w:rPr>
          </w:pPr>
        </w:p>
      </w:tc>
      <w:tc>
        <w:tcPr>
          <w:tcW w:w="1843" w:type="dxa"/>
          <w:shd w:val="clear" w:color="auto" w:fill="999999"/>
          <w:vAlign w:val="center"/>
        </w:tcPr>
        <w:p w:rsidR="003843F3" w:rsidRDefault="003843F3" w:rsidP="00D01BC8">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Pr>
              <w:rStyle w:val="slostrnky"/>
              <w:rFonts w:cs="Tahoma"/>
              <w:b/>
              <w:bCs/>
              <w:noProof/>
              <w:color w:val="FFFFFF"/>
              <w:sz w:val="16"/>
            </w:rPr>
            <w:t>161</w:t>
          </w:r>
          <w:r>
            <w:rPr>
              <w:rStyle w:val="slostrnky"/>
              <w:rFonts w:cs="Tahoma"/>
              <w:b/>
              <w:bCs/>
              <w:noProof/>
              <w:color w:val="FFFFFF"/>
              <w:sz w:val="16"/>
            </w:rPr>
            <w:fldChar w:fldCharType="end"/>
          </w:r>
        </w:p>
      </w:tc>
    </w:tr>
  </w:tbl>
  <w:p w:rsidR="003843F3" w:rsidRDefault="003843F3">
    <w:pPr>
      <w:pStyle w:val="Zpat"/>
      <w:rPr>
        <w:sz w:val="6"/>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Borders>
        <w:top w:val="single" w:sz="4" w:space="0" w:color="auto"/>
      </w:tblBorders>
      <w:tblCellMar>
        <w:left w:w="70" w:type="dxa"/>
        <w:right w:w="70" w:type="dxa"/>
      </w:tblCellMar>
      <w:tblLook w:val="0000" w:firstRow="0" w:lastRow="0" w:firstColumn="0" w:lastColumn="0" w:noHBand="0" w:noVBand="0"/>
    </w:tblPr>
    <w:tblGrid>
      <w:gridCol w:w="3119"/>
      <w:gridCol w:w="3402"/>
      <w:gridCol w:w="992"/>
      <w:gridCol w:w="1843"/>
    </w:tblGrid>
    <w:tr w:rsidR="003843F3" w:rsidTr="00D01BC8">
      <w:trPr>
        <w:cantSplit/>
        <w:trHeight w:hRule="exact" w:val="584"/>
      </w:trPr>
      <w:tc>
        <w:tcPr>
          <w:tcW w:w="3119" w:type="dxa"/>
          <w:vAlign w:val="center"/>
        </w:tcPr>
        <w:p w:rsidR="003843F3" w:rsidRDefault="003843F3" w:rsidP="00D01BC8">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Dokladová část</w:t>
          </w:r>
        </w:p>
      </w:tc>
      <w:tc>
        <w:tcPr>
          <w:tcW w:w="3402" w:type="dxa"/>
          <w:vAlign w:val="center"/>
        </w:tcPr>
        <w:p w:rsidR="003843F3" w:rsidRDefault="003843F3" w:rsidP="00D01BC8">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6DB550F3" wp14:editId="5FEF6952">
                <wp:extent cx="1802765" cy="319405"/>
                <wp:effectExtent l="0" t="0" r="0" b="0"/>
                <wp:docPr id="7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2765" cy="319405"/>
                        </a:xfrm>
                        <a:prstGeom prst="rect">
                          <a:avLst/>
                        </a:prstGeom>
                        <a:noFill/>
                        <a:ln>
                          <a:noFill/>
                        </a:ln>
                      </pic:spPr>
                    </pic:pic>
                  </a:graphicData>
                </a:graphic>
              </wp:inline>
            </w:drawing>
          </w:r>
        </w:p>
      </w:tc>
      <w:tc>
        <w:tcPr>
          <w:tcW w:w="992" w:type="dxa"/>
          <w:vAlign w:val="center"/>
        </w:tcPr>
        <w:p w:rsidR="003843F3" w:rsidRDefault="003843F3" w:rsidP="00D01BC8">
          <w:pPr>
            <w:pStyle w:val="Zpat"/>
            <w:spacing w:before="60" w:after="60" w:line="240" w:lineRule="auto"/>
            <w:jc w:val="center"/>
            <w:rPr>
              <w:rStyle w:val="slostrnky"/>
              <w:rFonts w:cs="Tahoma"/>
              <w:noProof/>
            </w:rPr>
          </w:pPr>
        </w:p>
      </w:tc>
      <w:tc>
        <w:tcPr>
          <w:tcW w:w="1843" w:type="dxa"/>
          <w:shd w:val="clear" w:color="auto" w:fill="999999"/>
          <w:vAlign w:val="center"/>
        </w:tcPr>
        <w:p w:rsidR="003843F3" w:rsidRDefault="003843F3" w:rsidP="00D01BC8">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sidR="0003652D">
            <w:rPr>
              <w:rStyle w:val="slostrnky"/>
              <w:rFonts w:cs="Tahoma"/>
              <w:b/>
              <w:bCs/>
              <w:noProof/>
              <w:color w:val="FFFFFF"/>
              <w:sz w:val="16"/>
            </w:rPr>
            <w:t>206</w:t>
          </w:r>
          <w:r>
            <w:rPr>
              <w:rStyle w:val="slostrnky"/>
              <w:rFonts w:cs="Tahoma"/>
              <w:b/>
              <w:bCs/>
              <w:noProof/>
              <w:color w:val="FFFFFF"/>
              <w:sz w:val="16"/>
            </w:rPr>
            <w:fldChar w:fldCharType="end"/>
          </w:r>
        </w:p>
      </w:tc>
    </w:tr>
  </w:tbl>
  <w:p w:rsidR="003843F3" w:rsidRDefault="003843F3" w:rsidP="006D3C8B">
    <w:pPr>
      <w:pStyle w:val="Zpat"/>
      <w:rPr>
        <w:sz w:val="6"/>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Borders>
        <w:top w:val="single" w:sz="4" w:space="0" w:color="auto"/>
      </w:tblBorders>
      <w:tblCellMar>
        <w:left w:w="70" w:type="dxa"/>
        <w:right w:w="70" w:type="dxa"/>
      </w:tblCellMar>
      <w:tblLook w:val="0000" w:firstRow="0" w:lastRow="0" w:firstColumn="0" w:lastColumn="0" w:noHBand="0" w:noVBand="0"/>
    </w:tblPr>
    <w:tblGrid>
      <w:gridCol w:w="3119"/>
      <w:gridCol w:w="3402"/>
      <w:gridCol w:w="992"/>
      <w:gridCol w:w="1843"/>
    </w:tblGrid>
    <w:tr w:rsidR="003843F3" w:rsidTr="00D01BC8">
      <w:trPr>
        <w:cantSplit/>
        <w:trHeight w:hRule="exact" w:val="584"/>
      </w:trPr>
      <w:tc>
        <w:tcPr>
          <w:tcW w:w="3119" w:type="dxa"/>
          <w:vAlign w:val="center"/>
        </w:tcPr>
        <w:p w:rsidR="003843F3" w:rsidRDefault="003843F3" w:rsidP="00D01BC8">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Přílohy</w:t>
          </w:r>
        </w:p>
      </w:tc>
      <w:tc>
        <w:tcPr>
          <w:tcW w:w="3402" w:type="dxa"/>
          <w:vAlign w:val="center"/>
        </w:tcPr>
        <w:p w:rsidR="003843F3" w:rsidRDefault="003843F3" w:rsidP="00D01BC8">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6ADE5EF9" wp14:editId="6FEE6DF7">
                <wp:extent cx="1802765" cy="319405"/>
                <wp:effectExtent l="0" t="0" r="0" b="0"/>
                <wp:docPr id="62"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2765" cy="319405"/>
                        </a:xfrm>
                        <a:prstGeom prst="rect">
                          <a:avLst/>
                        </a:prstGeom>
                        <a:noFill/>
                        <a:ln>
                          <a:noFill/>
                        </a:ln>
                      </pic:spPr>
                    </pic:pic>
                  </a:graphicData>
                </a:graphic>
              </wp:inline>
            </w:drawing>
          </w:r>
        </w:p>
      </w:tc>
      <w:tc>
        <w:tcPr>
          <w:tcW w:w="992" w:type="dxa"/>
          <w:vAlign w:val="center"/>
        </w:tcPr>
        <w:p w:rsidR="003843F3" w:rsidRDefault="003843F3" w:rsidP="00D01BC8">
          <w:pPr>
            <w:pStyle w:val="Zpat"/>
            <w:spacing w:before="60" w:after="60" w:line="240" w:lineRule="auto"/>
            <w:jc w:val="center"/>
            <w:rPr>
              <w:rStyle w:val="slostrnky"/>
              <w:rFonts w:cs="Tahoma"/>
              <w:noProof/>
            </w:rPr>
          </w:pPr>
        </w:p>
      </w:tc>
      <w:tc>
        <w:tcPr>
          <w:tcW w:w="1843" w:type="dxa"/>
          <w:shd w:val="clear" w:color="auto" w:fill="999999"/>
          <w:vAlign w:val="center"/>
        </w:tcPr>
        <w:p w:rsidR="003843F3" w:rsidRDefault="003843F3" w:rsidP="00D01BC8">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sidR="0003652D">
            <w:rPr>
              <w:rStyle w:val="slostrnky"/>
              <w:rFonts w:cs="Tahoma"/>
              <w:b/>
              <w:bCs/>
              <w:noProof/>
              <w:color w:val="FFFFFF"/>
              <w:sz w:val="16"/>
            </w:rPr>
            <w:t>207</w:t>
          </w:r>
          <w:r>
            <w:rPr>
              <w:rStyle w:val="slostrnky"/>
              <w:rFonts w:cs="Tahoma"/>
              <w:b/>
              <w:bCs/>
              <w:noProof/>
              <w:color w:val="FFFFFF"/>
              <w:sz w:val="16"/>
            </w:rPr>
            <w:fldChar w:fldCharType="end"/>
          </w:r>
        </w:p>
      </w:tc>
    </w:tr>
  </w:tbl>
  <w:p w:rsidR="003843F3" w:rsidRDefault="003843F3">
    <w:pPr>
      <w:pStyle w:val="Zpat"/>
      <w:rPr>
        <w:sz w:val="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Borders>
        <w:top w:val="single" w:sz="4" w:space="0" w:color="auto"/>
      </w:tblBorders>
      <w:tblCellMar>
        <w:left w:w="70" w:type="dxa"/>
        <w:right w:w="70" w:type="dxa"/>
      </w:tblCellMar>
      <w:tblLook w:val="0000" w:firstRow="0" w:lastRow="0" w:firstColumn="0" w:lastColumn="0" w:noHBand="0" w:noVBand="0"/>
    </w:tblPr>
    <w:tblGrid>
      <w:gridCol w:w="3119"/>
      <w:gridCol w:w="3260"/>
      <w:gridCol w:w="1134"/>
      <w:gridCol w:w="1843"/>
    </w:tblGrid>
    <w:tr w:rsidR="003843F3" w:rsidTr="00A53212">
      <w:trPr>
        <w:cantSplit/>
        <w:trHeight w:hRule="exact" w:val="574"/>
      </w:trPr>
      <w:tc>
        <w:tcPr>
          <w:tcW w:w="3119" w:type="dxa"/>
          <w:vAlign w:val="center"/>
        </w:tcPr>
        <w:p w:rsidR="003843F3" w:rsidRDefault="003843F3">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Úvod</w:t>
          </w:r>
        </w:p>
      </w:tc>
      <w:tc>
        <w:tcPr>
          <w:tcW w:w="3260" w:type="dxa"/>
          <w:vAlign w:val="center"/>
        </w:tcPr>
        <w:p w:rsidR="003843F3" w:rsidRDefault="003843F3" w:rsidP="0062662A">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1BF0324A" wp14:editId="68C5F76E">
                <wp:extent cx="1845945" cy="327660"/>
                <wp:effectExtent l="0" t="0" r="0" b="0"/>
                <wp:docPr id="20"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5945" cy="327660"/>
                        </a:xfrm>
                        <a:prstGeom prst="rect">
                          <a:avLst/>
                        </a:prstGeom>
                        <a:noFill/>
                        <a:ln>
                          <a:noFill/>
                        </a:ln>
                      </pic:spPr>
                    </pic:pic>
                  </a:graphicData>
                </a:graphic>
              </wp:inline>
            </w:drawing>
          </w:r>
        </w:p>
      </w:tc>
      <w:tc>
        <w:tcPr>
          <w:tcW w:w="1134" w:type="dxa"/>
          <w:vAlign w:val="center"/>
        </w:tcPr>
        <w:p w:rsidR="003843F3" w:rsidRDefault="003843F3">
          <w:pPr>
            <w:pStyle w:val="Zpat"/>
            <w:spacing w:before="60" w:after="60" w:line="240" w:lineRule="auto"/>
            <w:jc w:val="center"/>
            <w:rPr>
              <w:rStyle w:val="slostrnky"/>
              <w:rFonts w:cs="Tahoma"/>
              <w:noProof/>
            </w:rPr>
          </w:pPr>
        </w:p>
      </w:tc>
      <w:tc>
        <w:tcPr>
          <w:tcW w:w="1843" w:type="dxa"/>
          <w:shd w:val="clear" w:color="auto" w:fill="999999"/>
          <w:vAlign w:val="center"/>
        </w:tcPr>
        <w:p w:rsidR="003843F3" w:rsidRDefault="003843F3">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Pr>
              <w:rStyle w:val="slostrnky"/>
              <w:rFonts w:cs="Tahoma"/>
              <w:b/>
              <w:bCs/>
              <w:noProof/>
              <w:color w:val="FFFFFF"/>
              <w:sz w:val="16"/>
            </w:rPr>
            <w:t>18</w:t>
          </w:r>
          <w:r>
            <w:rPr>
              <w:rStyle w:val="slostrnky"/>
              <w:rFonts w:cs="Tahoma"/>
              <w:b/>
              <w:bCs/>
              <w:noProof/>
              <w:color w:val="FFFFFF"/>
              <w:sz w:val="16"/>
            </w:rPr>
            <w:fldChar w:fldCharType="end"/>
          </w:r>
        </w:p>
      </w:tc>
    </w:tr>
  </w:tbl>
  <w:p w:rsidR="003843F3" w:rsidRDefault="003843F3">
    <w:pPr>
      <w:pStyle w:val="Zpat"/>
      <w:rPr>
        <w:sz w:val="6"/>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Borders>
        <w:top w:val="single" w:sz="4" w:space="0" w:color="auto"/>
      </w:tblBorders>
      <w:tblCellMar>
        <w:left w:w="70" w:type="dxa"/>
        <w:right w:w="70" w:type="dxa"/>
      </w:tblCellMar>
      <w:tblLook w:val="0000" w:firstRow="0" w:lastRow="0" w:firstColumn="0" w:lastColumn="0" w:noHBand="0" w:noVBand="0"/>
    </w:tblPr>
    <w:tblGrid>
      <w:gridCol w:w="3402"/>
      <w:gridCol w:w="3119"/>
      <w:gridCol w:w="992"/>
      <w:gridCol w:w="1843"/>
    </w:tblGrid>
    <w:tr w:rsidR="003843F3" w:rsidTr="00583985">
      <w:trPr>
        <w:cantSplit/>
        <w:trHeight w:hRule="exact" w:val="580"/>
      </w:trPr>
      <w:tc>
        <w:tcPr>
          <w:tcW w:w="3402" w:type="dxa"/>
          <w:vAlign w:val="center"/>
        </w:tcPr>
        <w:p w:rsidR="003843F3" w:rsidRDefault="003843F3" w:rsidP="00342C5D">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Projednání, shrnutí</w:t>
          </w:r>
        </w:p>
      </w:tc>
      <w:tc>
        <w:tcPr>
          <w:tcW w:w="3119" w:type="dxa"/>
          <w:vAlign w:val="center"/>
        </w:tcPr>
        <w:p w:rsidR="003843F3" w:rsidRDefault="003843F3" w:rsidP="00583985">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78184ECC" wp14:editId="5793DFFE">
                <wp:extent cx="1811655" cy="319405"/>
                <wp:effectExtent l="0" t="0" r="0" b="0"/>
                <wp:docPr id="21"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11655" cy="319405"/>
                        </a:xfrm>
                        <a:prstGeom prst="rect">
                          <a:avLst/>
                        </a:prstGeom>
                        <a:noFill/>
                        <a:ln>
                          <a:noFill/>
                        </a:ln>
                      </pic:spPr>
                    </pic:pic>
                  </a:graphicData>
                </a:graphic>
              </wp:inline>
            </w:drawing>
          </w:r>
        </w:p>
      </w:tc>
      <w:tc>
        <w:tcPr>
          <w:tcW w:w="992" w:type="dxa"/>
          <w:vAlign w:val="center"/>
        </w:tcPr>
        <w:p w:rsidR="003843F3" w:rsidRDefault="003843F3">
          <w:pPr>
            <w:pStyle w:val="Zpat"/>
            <w:spacing w:before="60" w:after="60" w:line="240" w:lineRule="auto"/>
            <w:jc w:val="center"/>
            <w:rPr>
              <w:rStyle w:val="slostrnky"/>
              <w:rFonts w:cs="Tahoma"/>
              <w:noProof/>
            </w:rPr>
          </w:pPr>
        </w:p>
      </w:tc>
      <w:tc>
        <w:tcPr>
          <w:tcW w:w="1843" w:type="dxa"/>
          <w:shd w:val="clear" w:color="auto" w:fill="999999"/>
          <w:vAlign w:val="center"/>
        </w:tcPr>
        <w:p w:rsidR="003843F3" w:rsidRDefault="003843F3">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sidR="0003652D">
            <w:rPr>
              <w:rStyle w:val="slostrnky"/>
              <w:rFonts w:cs="Tahoma"/>
              <w:b/>
              <w:bCs/>
              <w:noProof/>
              <w:color w:val="FFFFFF"/>
              <w:sz w:val="16"/>
            </w:rPr>
            <w:t>25</w:t>
          </w:r>
          <w:r>
            <w:rPr>
              <w:rStyle w:val="slostrnky"/>
              <w:rFonts w:cs="Tahoma"/>
              <w:b/>
              <w:bCs/>
              <w:noProof/>
              <w:color w:val="FFFFFF"/>
              <w:sz w:val="16"/>
            </w:rPr>
            <w:fldChar w:fldCharType="end"/>
          </w:r>
        </w:p>
      </w:tc>
    </w:tr>
  </w:tbl>
  <w:p w:rsidR="003843F3" w:rsidRDefault="003843F3">
    <w:pPr>
      <w:pStyle w:val="Zpat"/>
      <w:rPr>
        <w:sz w:val="6"/>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Borders>
        <w:top w:val="single" w:sz="4" w:space="0" w:color="auto"/>
      </w:tblBorders>
      <w:tblCellMar>
        <w:left w:w="70" w:type="dxa"/>
        <w:right w:w="70" w:type="dxa"/>
      </w:tblCellMar>
      <w:tblLook w:val="0000" w:firstRow="0" w:lastRow="0" w:firstColumn="0" w:lastColumn="0" w:noHBand="0" w:noVBand="0"/>
    </w:tblPr>
    <w:tblGrid>
      <w:gridCol w:w="3402"/>
      <w:gridCol w:w="2977"/>
      <w:gridCol w:w="1134"/>
      <w:gridCol w:w="1843"/>
    </w:tblGrid>
    <w:tr w:rsidR="003843F3" w:rsidTr="00583985">
      <w:trPr>
        <w:cantSplit/>
        <w:trHeight w:hRule="exact" w:val="583"/>
      </w:trPr>
      <w:tc>
        <w:tcPr>
          <w:tcW w:w="3402" w:type="dxa"/>
          <w:vAlign w:val="center"/>
        </w:tcPr>
        <w:p w:rsidR="003843F3" w:rsidRDefault="003843F3" w:rsidP="0082658E">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Technické řešení</w:t>
          </w:r>
        </w:p>
      </w:tc>
      <w:tc>
        <w:tcPr>
          <w:tcW w:w="2977" w:type="dxa"/>
          <w:vAlign w:val="center"/>
        </w:tcPr>
        <w:p w:rsidR="003843F3" w:rsidRDefault="003843F3" w:rsidP="003E0B71">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19F9D161" wp14:editId="1FE22512">
                <wp:extent cx="1802765" cy="319405"/>
                <wp:effectExtent l="0" t="0" r="0" b="0"/>
                <wp:docPr id="22"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2765" cy="319405"/>
                        </a:xfrm>
                        <a:prstGeom prst="rect">
                          <a:avLst/>
                        </a:prstGeom>
                        <a:noFill/>
                        <a:ln>
                          <a:noFill/>
                        </a:ln>
                      </pic:spPr>
                    </pic:pic>
                  </a:graphicData>
                </a:graphic>
              </wp:inline>
            </w:drawing>
          </w:r>
        </w:p>
      </w:tc>
      <w:tc>
        <w:tcPr>
          <w:tcW w:w="1134" w:type="dxa"/>
          <w:vAlign w:val="center"/>
        </w:tcPr>
        <w:p w:rsidR="003843F3" w:rsidRDefault="003843F3">
          <w:pPr>
            <w:pStyle w:val="Zpat"/>
            <w:spacing w:before="60" w:after="60" w:line="240" w:lineRule="auto"/>
            <w:jc w:val="center"/>
            <w:rPr>
              <w:rStyle w:val="slostrnky"/>
              <w:rFonts w:cs="Tahoma"/>
              <w:noProof/>
            </w:rPr>
          </w:pPr>
        </w:p>
      </w:tc>
      <w:tc>
        <w:tcPr>
          <w:tcW w:w="1843" w:type="dxa"/>
          <w:shd w:val="clear" w:color="auto" w:fill="999999"/>
          <w:vAlign w:val="center"/>
        </w:tcPr>
        <w:p w:rsidR="003843F3" w:rsidRDefault="003843F3">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sidR="0003652D">
            <w:rPr>
              <w:rStyle w:val="slostrnky"/>
              <w:rFonts w:cs="Tahoma"/>
              <w:b/>
              <w:bCs/>
              <w:noProof/>
              <w:color w:val="FFFFFF"/>
              <w:sz w:val="16"/>
            </w:rPr>
            <w:t>30</w:t>
          </w:r>
          <w:r>
            <w:rPr>
              <w:rStyle w:val="slostrnky"/>
              <w:rFonts w:cs="Tahoma"/>
              <w:b/>
              <w:bCs/>
              <w:noProof/>
              <w:color w:val="FFFFFF"/>
              <w:sz w:val="16"/>
            </w:rPr>
            <w:fldChar w:fldCharType="end"/>
          </w:r>
        </w:p>
      </w:tc>
    </w:tr>
  </w:tbl>
  <w:p w:rsidR="003843F3" w:rsidRDefault="003843F3">
    <w:pPr>
      <w:pStyle w:val="Zpat"/>
      <w:rPr>
        <w:sz w:val="6"/>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317" w:type="dxa"/>
      <w:tblInd w:w="70" w:type="dxa"/>
      <w:tblBorders>
        <w:top w:val="single" w:sz="4" w:space="0" w:color="auto"/>
      </w:tblBorders>
      <w:tblCellMar>
        <w:left w:w="70" w:type="dxa"/>
        <w:right w:w="70" w:type="dxa"/>
      </w:tblCellMar>
      <w:tblLook w:val="0000" w:firstRow="0" w:lastRow="0" w:firstColumn="0" w:lastColumn="0" w:noHBand="0" w:noVBand="0"/>
    </w:tblPr>
    <w:tblGrid>
      <w:gridCol w:w="3402"/>
      <w:gridCol w:w="2977"/>
      <w:gridCol w:w="5387"/>
      <w:gridCol w:w="2551"/>
    </w:tblGrid>
    <w:tr w:rsidR="003843F3" w:rsidTr="00FC1012">
      <w:trPr>
        <w:cantSplit/>
        <w:trHeight w:hRule="exact" w:val="583"/>
      </w:trPr>
      <w:tc>
        <w:tcPr>
          <w:tcW w:w="3402" w:type="dxa"/>
          <w:vAlign w:val="center"/>
        </w:tcPr>
        <w:p w:rsidR="003843F3" w:rsidRDefault="003843F3" w:rsidP="0082658E">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Technické řešení</w:t>
          </w:r>
        </w:p>
      </w:tc>
      <w:tc>
        <w:tcPr>
          <w:tcW w:w="2977" w:type="dxa"/>
          <w:vAlign w:val="center"/>
        </w:tcPr>
        <w:p w:rsidR="003843F3" w:rsidRDefault="003843F3" w:rsidP="003E0B71">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3F11312F" wp14:editId="1198C10D">
                <wp:extent cx="1802765" cy="319405"/>
                <wp:effectExtent l="0" t="0" r="0" b="0"/>
                <wp:docPr id="27"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2765" cy="319405"/>
                        </a:xfrm>
                        <a:prstGeom prst="rect">
                          <a:avLst/>
                        </a:prstGeom>
                        <a:noFill/>
                        <a:ln>
                          <a:noFill/>
                        </a:ln>
                      </pic:spPr>
                    </pic:pic>
                  </a:graphicData>
                </a:graphic>
              </wp:inline>
            </w:drawing>
          </w:r>
        </w:p>
      </w:tc>
      <w:tc>
        <w:tcPr>
          <w:tcW w:w="5387" w:type="dxa"/>
          <w:vAlign w:val="center"/>
        </w:tcPr>
        <w:p w:rsidR="003843F3" w:rsidRDefault="003843F3">
          <w:pPr>
            <w:pStyle w:val="Zpat"/>
            <w:spacing w:before="60" w:after="60" w:line="240" w:lineRule="auto"/>
            <w:jc w:val="center"/>
            <w:rPr>
              <w:rStyle w:val="slostrnky"/>
              <w:rFonts w:cs="Tahoma"/>
              <w:noProof/>
            </w:rPr>
          </w:pPr>
        </w:p>
      </w:tc>
      <w:tc>
        <w:tcPr>
          <w:tcW w:w="2551" w:type="dxa"/>
          <w:shd w:val="clear" w:color="auto" w:fill="999999"/>
          <w:vAlign w:val="center"/>
        </w:tcPr>
        <w:p w:rsidR="003843F3" w:rsidRDefault="003843F3">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sidR="0003652D">
            <w:rPr>
              <w:rStyle w:val="slostrnky"/>
              <w:rFonts w:cs="Tahoma"/>
              <w:b/>
              <w:bCs/>
              <w:noProof/>
              <w:color w:val="FFFFFF"/>
              <w:sz w:val="16"/>
            </w:rPr>
            <w:t>31</w:t>
          </w:r>
          <w:r>
            <w:rPr>
              <w:rStyle w:val="slostrnky"/>
              <w:rFonts w:cs="Tahoma"/>
              <w:b/>
              <w:bCs/>
              <w:noProof/>
              <w:color w:val="FFFFFF"/>
              <w:sz w:val="16"/>
            </w:rPr>
            <w:fldChar w:fldCharType="end"/>
          </w:r>
        </w:p>
      </w:tc>
    </w:tr>
  </w:tbl>
  <w:p w:rsidR="003843F3" w:rsidRDefault="003843F3">
    <w:pPr>
      <w:pStyle w:val="Zpat"/>
      <w:rPr>
        <w:sz w:val="6"/>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Borders>
        <w:top w:val="single" w:sz="4" w:space="0" w:color="auto"/>
      </w:tblBorders>
      <w:tblCellMar>
        <w:left w:w="70" w:type="dxa"/>
        <w:right w:w="70" w:type="dxa"/>
      </w:tblCellMar>
      <w:tblLook w:val="0000" w:firstRow="0" w:lastRow="0" w:firstColumn="0" w:lastColumn="0" w:noHBand="0" w:noVBand="0"/>
    </w:tblPr>
    <w:tblGrid>
      <w:gridCol w:w="3402"/>
      <w:gridCol w:w="2977"/>
      <w:gridCol w:w="1134"/>
      <w:gridCol w:w="1843"/>
    </w:tblGrid>
    <w:tr w:rsidR="003843F3" w:rsidTr="00583985">
      <w:trPr>
        <w:cantSplit/>
        <w:trHeight w:hRule="exact" w:val="583"/>
      </w:trPr>
      <w:tc>
        <w:tcPr>
          <w:tcW w:w="3402" w:type="dxa"/>
          <w:vAlign w:val="center"/>
        </w:tcPr>
        <w:p w:rsidR="003843F3" w:rsidRDefault="003843F3" w:rsidP="0082658E">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Technické řešení</w:t>
          </w:r>
        </w:p>
      </w:tc>
      <w:tc>
        <w:tcPr>
          <w:tcW w:w="2977" w:type="dxa"/>
          <w:vAlign w:val="center"/>
        </w:tcPr>
        <w:p w:rsidR="003843F3" w:rsidRDefault="003843F3" w:rsidP="003E0B71">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13BC6E12" wp14:editId="3ED76BC0">
                <wp:extent cx="1802765" cy="319405"/>
                <wp:effectExtent l="0" t="0" r="0" b="0"/>
                <wp:docPr id="29"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2765" cy="319405"/>
                        </a:xfrm>
                        <a:prstGeom prst="rect">
                          <a:avLst/>
                        </a:prstGeom>
                        <a:noFill/>
                        <a:ln>
                          <a:noFill/>
                        </a:ln>
                      </pic:spPr>
                    </pic:pic>
                  </a:graphicData>
                </a:graphic>
              </wp:inline>
            </w:drawing>
          </w:r>
        </w:p>
      </w:tc>
      <w:tc>
        <w:tcPr>
          <w:tcW w:w="1134" w:type="dxa"/>
          <w:vAlign w:val="center"/>
        </w:tcPr>
        <w:p w:rsidR="003843F3" w:rsidRDefault="003843F3">
          <w:pPr>
            <w:pStyle w:val="Zpat"/>
            <w:spacing w:before="60" w:after="60" w:line="240" w:lineRule="auto"/>
            <w:jc w:val="center"/>
            <w:rPr>
              <w:rStyle w:val="slostrnky"/>
              <w:rFonts w:cs="Tahoma"/>
              <w:noProof/>
            </w:rPr>
          </w:pPr>
        </w:p>
      </w:tc>
      <w:tc>
        <w:tcPr>
          <w:tcW w:w="1843" w:type="dxa"/>
          <w:shd w:val="clear" w:color="auto" w:fill="999999"/>
          <w:vAlign w:val="center"/>
        </w:tcPr>
        <w:p w:rsidR="003843F3" w:rsidRDefault="003843F3">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sidR="0003652D">
            <w:rPr>
              <w:rStyle w:val="slostrnky"/>
              <w:rFonts w:cs="Tahoma"/>
              <w:b/>
              <w:bCs/>
              <w:noProof/>
              <w:color w:val="FFFFFF"/>
              <w:sz w:val="16"/>
            </w:rPr>
            <w:t>34</w:t>
          </w:r>
          <w:r>
            <w:rPr>
              <w:rStyle w:val="slostrnky"/>
              <w:rFonts w:cs="Tahoma"/>
              <w:b/>
              <w:bCs/>
              <w:noProof/>
              <w:color w:val="FFFFFF"/>
              <w:sz w:val="16"/>
            </w:rPr>
            <w:fldChar w:fldCharType="end"/>
          </w:r>
        </w:p>
      </w:tc>
    </w:tr>
  </w:tbl>
  <w:p w:rsidR="003843F3" w:rsidRDefault="003843F3">
    <w:pPr>
      <w:pStyle w:val="Zpat"/>
      <w:rPr>
        <w:sz w:val="6"/>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034" w:type="dxa"/>
      <w:tblInd w:w="70" w:type="dxa"/>
      <w:tblBorders>
        <w:top w:val="single" w:sz="4" w:space="0" w:color="auto"/>
      </w:tblBorders>
      <w:tblCellMar>
        <w:left w:w="70" w:type="dxa"/>
        <w:right w:w="70" w:type="dxa"/>
      </w:tblCellMar>
      <w:tblLook w:val="0000" w:firstRow="0" w:lastRow="0" w:firstColumn="0" w:lastColumn="0" w:noHBand="0" w:noVBand="0"/>
    </w:tblPr>
    <w:tblGrid>
      <w:gridCol w:w="3402"/>
      <w:gridCol w:w="5387"/>
      <w:gridCol w:w="3402"/>
      <w:gridCol w:w="1843"/>
    </w:tblGrid>
    <w:tr w:rsidR="003843F3" w:rsidTr="00C65DA3">
      <w:trPr>
        <w:cantSplit/>
        <w:trHeight w:hRule="exact" w:val="583"/>
      </w:trPr>
      <w:tc>
        <w:tcPr>
          <w:tcW w:w="3402" w:type="dxa"/>
          <w:vAlign w:val="center"/>
        </w:tcPr>
        <w:p w:rsidR="003843F3" w:rsidRDefault="003843F3" w:rsidP="0082658E">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Technické řešení</w:t>
          </w:r>
        </w:p>
      </w:tc>
      <w:tc>
        <w:tcPr>
          <w:tcW w:w="5387" w:type="dxa"/>
          <w:vAlign w:val="center"/>
        </w:tcPr>
        <w:p w:rsidR="003843F3" w:rsidRDefault="003843F3" w:rsidP="003E0B71">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2FDBCF96" wp14:editId="1EB7847C">
                <wp:extent cx="1802765" cy="319405"/>
                <wp:effectExtent l="0" t="0" r="0" b="0"/>
                <wp:docPr id="226"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2765" cy="319405"/>
                        </a:xfrm>
                        <a:prstGeom prst="rect">
                          <a:avLst/>
                        </a:prstGeom>
                        <a:noFill/>
                        <a:ln>
                          <a:noFill/>
                        </a:ln>
                      </pic:spPr>
                    </pic:pic>
                  </a:graphicData>
                </a:graphic>
              </wp:inline>
            </w:drawing>
          </w:r>
        </w:p>
      </w:tc>
      <w:tc>
        <w:tcPr>
          <w:tcW w:w="3402" w:type="dxa"/>
          <w:vAlign w:val="center"/>
        </w:tcPr>
        <w:p w:rsidR="003843F3" w:rsidRDefault="003843F3">
          <w:pPr>
            <w:pStyle w:val="Zpat"/>
            <w:spacing w:before="60" w:after="60" w:line="240" w:lineRule="auto"/>
            <w:jc w:val="center"/>
            <w:rPr>
              <w:rStyle w:val="slostrnky"/>
              <w:rFonts w:cs="Tahoma"/>
              <w:noProof/>
            </w:rPr>
          </w:pPr>
        </w:p>
      </w:tc>
      <w:tc>
        <w:tcPr>
          <w:tcW w:w="1843" w:type="dxa"/>
          <w:shd w:val="clear" w:color="auto" w:fill="999999"/>
          <w:vAlign w:val="center"/>
        </w:tcPr>
        <w:p w:rsidR="003843F3" w:rsidRDefault="003843F3">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Pr>
              <w:rStyle w:val="slostrnky"/>
              <w:rFonts w:cs="Tahoma"/>
              <w:b/>
              <w:bCs/>
              <w:noProof/>
              <w:color w:val="FFFFFF"/>
              <w:sz w:val="16"/>
            </w:rPr>
            <w:t>39</w:t>
          </w:r>
          <w:r>
            <w:rPr>
              <w:rStyle w:val="slostrnky"/>
              <w:rFonts w:cs="Tahoma"/>
              <w:b/>
              <w:bCs/>
              <w:noProof/>
              <w:color w:val="FFFFFF"/>
              <w:sz w:val="16"/>
            </w:rPr>
            <w:fldChar w:fldCharType="end"/>
          </w:r>
        </w:p>
      </w:tc>
    </w:tr>
  </w:tbl>
  <w:p w:rsidR="003843F3" w:rsidRDefault="003843F3">
    <w:pPr>
      <w:pStyle w:val="Zpat"/>
      <w:rPr>
        <w:sz w:val="6"/>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Borders>
        <w:top w:val="single" w:sz="4" w:space="0" w:color="auto"/>
      </w:tblBorders>
      <w:tblCellMar>
        <w:left w:w="70" w:type="dxa"/>
        <w:right w:w="70" w:type="dxa"/>
      </w:tblCellMar>
      <w:tblLook w:val="0000" w:firstRow="0" w:lastRow="0" w:firstColumn="0" w:lastColumn="0" w:noHBand="0" w:noVBand="0"/>
    </w:tblPr>
    <w:tblGrid>
      <w:gridCol w:w="3402"/>
      <w:gridCol w:w="2977"/>
      <w:gridCol w:w="1134"/>
      <w:gridCol w:w="1843"/>
    </w:tblGrid>
    <w:tr w:rsidR="003843F3" w:rsidTr="00583985">
      <w:trPr>
        <w:cantSplit/>
        <w:trHeight w:hRule="exact" w:val="583"/>
      </w:trPr>
      <w:tc>
        <w:tcPr>
          <w:tcW w:w="3402" w:type="dxa"/>
          <w:vAlign w:val="center"/>
        </w:tcPr>
        <w:p w:rsidR="003843F3" w:rsidRDefault="003843F3" w:rsidP="0082658E">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Technické řešení</w:t>
          </w:r>
        </w:p>
      </w:tc>
      <w:tc>
        <w:tcPr>
          <w:tcW w:w="2977" w:type="dxa"/>
          <w:vAlign w:val="center"/>
        </w:tcPr>
        <w:p w:rsidR="003843F3" w:rsidRDefault="003843F3" w:rsidP="003E0B71">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1D89C654" wp14:editId="498A3418">
                <wp:extent cx="1802765" cy="319405"/>
                <wp:effectExtent l="0" t="0" r="0" b="0"/>
                <wp:docPr id="59"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2765" cy="319405"/>
                        </a:xfrm>
                        <a:prstGeom prst="rect">
                          <a:avLst/>
                        </a:prstGeom>
                        <a:noFill/>
                        <a:ln>
                          <a:noFill/>
                        </a:ln>
                      </pic:spPr>
                    </pic:pic>
                  </a:graphicData>
                </a:graphic>
              </wp:inline>
            </w:drawing>
          </w:r>
        </w:p>
      </w:tc>
      <w:tc>
        <w:tcPr>
          <w:tcW w:w="1134" w:type="dxa"/>
          <w:vAlign w:val="center"/>
        </w:tcPr>
        <w:p w:rsidR="003843F3" w:rsidRDefault="003843F3">
          <w:pPr>
            <w:pStyle w:val="Zpat"/>
            <w:spacing w:before="60" w:after="60" w:line="240" w:lineRule="auto"/>
            <w:jc w:val="center"/>
            <w:rPr>
              <w:rStyle w:val="slostrnky"/>
              <w:rFonts w:cs="Tahoma"/>
              <w:noProof/>
            </w:rPr>
          </w:pPr>
        </w:p>
      </w:tc>
      <w:tc>
        <w:tcPr>
          <w:tcW w:w="1843" w:type="dxa"/>
          <w:shd w:val="clear" w:color="auto" w:fill="999999"/>
          <w:vAlign w:val="center"/>
        </w:tcPr>
        <w:p w:rsidR="003843F3" w:rsidRDefault="003843F3">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Pr>
              <w:rStyle w:val="slostrnky"/>
              <w:rFonts w:cs="Tahoma"/>
              <w:b/>
              <w:bCs/>
              <w:noProof/>
              <w:color w:val="FFFFFF"/>
              <w:sz w:val="16"/>
            </w:rPr>
            <w:t>65</w:t>
          </w:r>
          <w:r>
            <w:rPr>
              <w:rStyle w:val="slostrnky"/>
              <w:rFonts w:cs="Tahoma"/>
              <w:b/>
              <w:bCs/>
              <w:noProof/>
              <w:color w:val="FFFFFF"/>
              <w:sz w:val="16"/>
            </w:rPr>
            <w:fldChar w:fldCharType="end"/>
          </w:r>
        </w:p>
      </w:tc>
    </w:tr>
  </w:tbl>
  <w:p w:rsidR="003843F3" w:rsidRDefault="003843F3">
    <w:pPr>
      <w:pStyle w:val="Zpat"/>
      <w:rPr>
        <w:sz w:val="6"/>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Borders>
        <w:top w:val="single" w:sz="4" w:space="0" w:color="auto"/>
      </w:tblBorders>
      <w:tblCellMar>
        <w:left w:w="70" w:type="dxa"/>
        <w:right w:w="70" w:type="dxa"/>
      </w:tblCellMar>
      <w:tblLook w:val="0000" w:firstRow="0" w:lastRow="0" w:firstColumn="0" w:lastColumn="0" w:noHBand="0" w:noVBand="0"/>
    </w:tblPr>
    <w:tblGrid>
      <w:gridCol w:w="3402"/>
      <w:gridCol w:w="2977"/>
      <w:gridCol w:w="1134"/>
      <w:gridCol w:w="1843"/>
    </w:tblGrid>
    <w:tr w:rsidR="003843F3" w:rsidTr="00583985">
      <w:trPr>
        <w:cantSplit/>
        <w:trHeight w:hRule="exact" w:val="583"/>
      </w:trPr>
      <w:tc>
        <w:tcPr>
          <w:tcW w:w="3402" w:type="dxa"/>
          <w:vAlign w:val="center"/>
        </w:tcPr>
        <w:p w:rsidR="003843F3" w:rsidRDefault="003843F3" w:rsidP="0082658E">
          <w:pPr>
            <w:pStyle w:val="Zpat"/>
            <w:spacing w:before="60" w:after="60" w:line="240" w:lineRule="auto"/>
            <w:ind w:left="-68"/>
            <w:jc w:val="left"/>
            <w:rPr>
              <w:rStyle w:val="slostrnky"/>
              <w:rFonts w:cs="Tahoma"/>
              <w:b/>
              <w:bCs/>
              <w:noProof/>
              <w:color w:val="808080"/>
              <w:sz w:val="18"/>
            </w:rPr>
          </w:pPr>
          <w:r>
            <w:rPr>
              <w:rStyle w:val="slostrnky"/>
              <w:rFonts w:cs="Tahoma"/>
              <w:b/>
              <w:bCs/>
              <w:noProof/>
              <w:color w:val="808080"/>
              <w:sz w:val="18"/>
            </w:rPr>
            <w:t>Dopravně-technologická část</w:t>
          </w:r>
        </w:p>
      </w:tc>
      <w:tc>
        <w:tcPr>
          <w:tcW w:w="2977" w:type="dxa"/>
          <w:vAlign w:val="center"/>
        </w:tcPr>
        <w:p w:rsidR="003843F3" w:rsidRDefault="003843F3" w:rsidP="003E0B71">
          <w:pPr>
            <w:pStyle w:val="Zpat"/>
            <w:spacing w:before="60" w:after="60" w:line="240" w:lineRule="auto"/>
            <w:ind w:left="-68"/>
            <w:jc w:val="center"/>
            <w:rPr>
              <w:rStyle w:val="slostrnky"/>
              <w:rFonts w:cs="Tahoma"/>
              <w:b/>
              <w:bCs/>
              <w:noProof/>
              <w:color w:val="808080"/>
              <w:sz w:val="18"/>
            </w:rPr>
          </w:pPr>
          <w:r>
            <w:rPr>
              <w:rFonts w:cs="Tahoma"/>
              <w:b/>
              <w:bCs/>
              <w:noProof/>
              <w:color w:val="808080"/>
              <w:sz w:val="18"/>
              <w:lang w:eastAsia="cs-CZ"/>
            </w:rPr>
            <w:drawing>
              <wp:inline distT="0" distB="0" distL="0" distR="0" wp14:anchorId="775F073D" wp14:editId="13A59DAF">
                <wp:extent cx="1802765" cy="319405"/>
                <wp:effectExtent l="0" t="0" r="0" b="0"/>
                <wp:docPr id="60"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2765" cy="319405"/>
                        </a:xfrm>
                        <a:prstGeom prst="rect">
                          <a:avLst/>
                        </a:prstGeom>
                        <a:noFill/>
                        <a:ln>
                          <a:noFill/>
                        </a:ln>
                      </pic:spPr>
                    </pic:pic>
                  </a:graphicData>
                </a:graphic>
              </wp:inline>
            </w:drawing>
          </w:r>
        </w:p>
      </w:tc>
      <w:tc>
        <w:tcPr>
          <w:tcW w:w="1134" w:type="dxa"/>
          <w:vAlign w:val="center"/>
        </w:tcPr>
        <w:p w:rsidR="003843F3" w:rsidRDefault="003843F3">
          <w:pPr>
            <w:pStyle w:val="Zpat"/>
            <w:spacing w:before="60" w:after="60" w:line="240" w:lineRule="auto"/>
            <w:jc w:val="center"/>
            <w:rPr>
              <w:rStyle w:val="slostrnky"/>
              <w:rFonts w:cs="Tahoma"/>
              <w:noProof/>
            </w:rPr>
          </w:pPr>
        </w:p>
      </w:tc>
      <w:tc>
        <w:tcPr>
          <w:tcW w:w="1843" w:type="dxa"/>
          <w:shd w:val="clear" w:color="auto" w:fill="999999"/>
          <w:vAlign w:val="center"/>
        </w:tcPr>
        <w:p w:rsidR="003843F3" w:rsidRDefault="003843F3">
          <w:pPr>
            <w:pStyle w:val="Zpat"/>
            <w:spacing w:before="60" w:after="60" w:line="240" w:lineRule="auto"/>
            <w:ind w:left="-11"/>
            <w:jc w:val="center"/>
            <w:rPr>
              <w:rStyle w:val="slostrnky"/>
              <w:rFonts w:cs="Tahoma"/>
              <w:b/>
              <w:bCs/>
              <w:noProof/>
              <w:color w:val="FFFFFF"/>
              <w:sz w:val="16"/>
            </w:rPr>
          </w:pPr>
          <w:r>
            <w:rPr>
              <w:rStyle w:val="slostrnky"/>
              <w:rFonts w:cs="Tahoma"/>
              <w:b/>
              <w:bCs/>
              <w:noProof/>
              <w:color w:val="FFFFFF"/>
              <w:sz w:val="16"/>
            </w:rPr>
            <w:fldChar w:fldCharType="begin"/>
          </w:r>
          <w:r>
            <w:rPr>
              <w:rStyle w:val="slostrnky"/>
              <w:rFonts w:cs="Tahoma"/>
              <w:b/>
              <w:bCs/>
              <w:noProof/>
              <w:color w:val="FFFFFF"/>
              <w:sz w:val="16"/>
            </w:rPr>
            <w:instrText xml:space="preserve"> PAGE </w:instrText>
          </w:r>
          <w:r>
            <w:rPr>
              <w:rStyle w:val="slostrnky"/>
              <w:rFonts w:cs="Tahoma"/>
              <w:b/>
              <w:bCs/>
              <w:noProof/>
              <w:color w:val="FFFFFF"/>
              <w:sz w:val="16"/>
            </w:rPr>
            <w:fldChar w:fldCharType="separate"/>
          </w:r>
          <w:r>
            <w:rPr>
              <w:rStyle w:val="slostrnky"/>
              <w:rFonts w:cs="Tahoma"/>
              <w:b/>
              <w:bCs/>
              <w:noProof/>
              <w:color w:val="FFFFFF"/>
              <w:sz w:val="16"/>
            </w:rPr>
            <w:t>88</w:t>
          </w:r>
          <w:r>
            <w:rPr>
              <w:rStyle w:val="slostrnky"/>
              <w:rFonts w:cs="Tahoma"/>
              <w:b/>
              <w:bCs/>
              <w:noProof/>
              <w:color w:val="FFFFFF"/>
              <w:sz w:val="16"/>
            </w:rPr>
            <w:fldChar w:fldCharType="end"/>
          </w:r>
        </w:p>
      </w:tc>
    </w:tr>
  </w:tbl>
  <w:p w:rsidR="003843F3" w:rsidRDefault="003843F3">
    <w:pPr>
      <w:pStyle w:val="Zpat"/>
      <w:rPr>
        <w:sz w:val="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43F3" w:rsidRDefault="003843F3">
      <w:pPr>
        <w:spacing w:before="0" w:after="0" w:line="240" w:lineRule="auto"/>
      </w:pPr>
      <w:r>
        <w:separator/>
      </w:r>
    </w:p>
  </w:footnote>
  <w:footnote w:type="continuationSeparator" w:id="0">
    <w:p w:rsidR="003843F3" w:rsidRDefault="003843F3">
      <w:pPr>
        <w:spacing w:before="0" w:after="0" w:line="240" w:lineRule="auto"/>
      </w:pPr>
      <w:r>
        <w:continuationSeparator/>
      </w:r>
    </w:p>
  </w:footnote>
  <w:footnote w:id="1">
    <w:p w:rsidR="003843F3" w:rsidRDefault="003843F3" w:rsidP="00F5279A">
      <w:pPr>
        <w:pStyle w:val="Textpoznpodarou"/>
      </w:pPr>
      <w:r w:rsidRPr="00F126F1">
        <w:rPr>
          <w:rStyle w:val="Znakapoznpodarou"/>
        </w:rPr>
        <w:footnoteRef/>
      </w:r>
      <w:r w:rsidRPr="00F126F1">
        <w:t xml:space="preserve"> V době odevzdání této studie se dokončuje Studie proveditelnosti Uzel Pardubice, jej</w:t>
      </w:r>
      <w:r>
        <w:t>í</w:t>
      </w:r>
      <w:r w:rsidRPr="00F126F1">
        <w:t xml:space="preserve"> výsledk</w:t>
      </w:r>
      <w:r>
        <w:t>y</w:t>
      </w:r>
      <w:r w:rsidRPr="00F126F1">
        <w:t xml:space="preserve"> rozhodn</w:t>
      </w:r>
      <w:r>
        <w:t>o</w:t>
      </w:r>
      <w:r w:rsidRPr="00F126F1">
        <w:t>u o způsobu</w:t>
      </w:r>
      <w:r>
        <w:t xml:space="preserve"> a rozsahu</w:t>
      </w:r>
      <w:r w:rsidRPr="00F126F1">
        <w:t xml:space="preserve"> rekonstrukce uzlu.</w:t>
      </w:r>
    </w:p>
  </w:footnote>
  <w:footnote w:id="2">
    <w:p w:rsidR="003843F3" w:rsidRDefault="003843F3">
      <w:pPr>
        <w:pStyle w:val="Textpoznpodarou"/>
      </w:pPr>
      <w:r>
        <w:rPr>
          <w:rStyle w:val="Znakapoznpodarou"/>
        </w:rPr>
        <w:footnoteRef/>
      </w:r>
      <w:r>
        <w:t xml:space="preserve"> podle informací v době zpracování studie má toto časové schéma zhruba roční skluz</w:t>
      </w:r>
    </w:p>
  </w:footnote>
  <w:footnote w:id="3">
    <w:p w:rsidR="003843F3" w:rsidRDefault="003843F3" w:rsidP="0050179A">
      <w:pPr>
        <w:pStyle w:val="Textpoznpodarou"/>
        <w:rPr>
          <w:sz w:val="16"/>
          <w:szCs w:val="16"/>
        </w:rPr>
      </w:pPr>
      <w:r>
        <w:rPr>
          <w:rStyle w:val="Znakapoznpodarou"/>
          <w:sz w:val="16"/>
          <w:szCs w:val="16"/>
        </w:rPr>
        <w:footnoteRef/>
      </w:r>
      <w:r>
        <w:rPr>
          <w:sz w:val="16"/>
          <w:szCs w:val="16"/>
        </w:rPr>
        <w:t xml:space="preserve"> Číslo stránky podle anglické verze</w:t>
      </w:r>
    </w:p>
  </w:footnote>
  <w:footnote w:id="4">
    <w:p w:rsidR="003843F3" w:rsidRDefault="003843F3" w:rsidP="0050179A">
      <w:pPr>
        <w:spacing w:line="276" w:lineRule="auto"/>
        <w:rPr>
          <w:rFonts w:cs="Arial"/>
          <w:sz w:val="16"/>
          <w:szCs w:val="16"/>
        </w:rPr>
      </w:pPr>
      <w:r>
        <w:rPr>
          <w:rStyle w:val="Znakapoznpodarou"/>
          <w:sz w:val="16"/>
          <w:szCs w:val="16"/>
        </w:rPr>
        <w:footnoteRef/>
      </w:r>
      <w:r>
        <w:rPr>
          <w:sz w:val="16"/>
          <w:szCs w:val="16"/>
        </w:rPr>
        <w:t xml:space="preserve"> Součástí této kapitoly by mělo být jasné a stručné konstatování cílů stavby a očekávání</w:t>
      </w:r>
      <w:r>
        <w:rPr>
          <w:rFonts w:cs="Arial"/>
          <w:sz w:val="16"/>
          <w:szCs w:val="16"/>
        </w:rPr>
        <w:t xml:space="preserve"> odrážející přínosy stavby pro společnost a uživatele a provozní zlepšení. Celkovým cílem této stavby je přispět ke společenskému a hospodářskému rozvoji České republiky cestou zlepšení podmínek národní a mezinárodní dopravy pro cestující a zboží. Cílem stavby je modernizace trati Hradec Králové – Pardubbice včetně zdvojkolejnění některých úseků v závislosti na variantě, která bude nakonec zvolena.. </w:t>
      </w:r>
    </w:p>
    <w:p w:rsidR="003843F3" w:rsidRDefault="003843F3" w:rsidP="0050179A">
      <w:pPr>
        <w:spacing w:line="276" w:lineRule="auto"/>
        <w:rPr>
          <w:rFonts w:cs="Arial"/>
          <w:sz w:val="16"/>
          <w:szCs w:val="16"/>
        </w:rPr>
      </w:pPr>
    </w:p>
    <w:p w:rsidR="003843F3" w:rsidRDefault="003843F3" w:rsidP="0050179A">
      <w:pPr>
        <w:spacing w:line="276" w:lineRule="auto"/>
        <w:rPr>
          <w:rFonts w:cs="Arial"/>
          <w:sz w:val="16"/>
          <w:szCs w:val="16"/>
        </w:rPr>
      </w:pPr>
      <w:r>
        <w:rPr>
          <w:rFonts w:cs="Arial"/>
          <w:sz w:val="16"/>
          <w:szCs w:val="16"/>
        </w:rPr>
        <w:t>Přínosy plynoucí z realizace projektu jsou směrovány na následující skupiny:</w:t>
      </w:r>
    </w:p>
    <w:p w:rsidR="003843F3" w:rsidRDefault="003843F3" w:rsidP="00D20948">
      <w:pPr>
        <w:numPr>
          <w:ilvl w:val="0"/>
          <w:numId w:val="43"/>
        </w:numPr>
        <w:suppressAutoHyphens w:val="0"/>
        <w:spacing w:before="120" w:after="120" w:line="276" w:lineRule="auto"/>
        <w:rPr>
          <w:rFonts w:cs="Arial"/>
          <w:sz w:val="16"/>
          <w:szCs w:val="16"/>
        </w:rPr>
      </w:pPr>
      <w:r>
        <w:rPr>
          <w:rFonts w:cs="Arial"/>
          <w:sz w:val="16"/>
          <w:szCs w:val="16"/>
        </w:rPr>
        <w:t>Uživatelé železniční dopravy (cestující a nákladním dopravci);</w:t>
      </w:r>
    </w:p>
    <w:p w:rsidR="003843F3" w:rsidRDefault="003843F3" w:rsidP="00D20948">
      <w:pPr>
        <w:numPr>
          <w:ilvl w:val="0"/>
          <w:numId w:val="43"/>
        </w:numPr>
        <w:suppressAutoHyphens w:val="0"/>
        <w:spacing w:before="120" w:after="120" w:line="276" w:lineRule="auto"/>
        <w:rPr>
          <w:rFonts w:cs="Arial"/>
          <w:sz w:val="16"/>
          <w:szCs w:val="16"/>
        </w:rPr>
      </w:pPr>
      <w:r>
        <w:rPr>
          <w:rFonts w:cs="Arial"/>
          <w:sz w:val="16"/>
          <w:szCs w:val="16"/>
        </w:rPr>
        <w:t>Bývalí cestující využívající autobusy a osobní automobily;</w:t>
      </w:r>
    </w:p>
    <w:p w:rsidR="003843F3" w:rsidRDefault="003843F3" w:rsidP="00D20948">
      <w:pPr>
        <w:numPr>
          <w:ilvl w:val="0"/>
          <w:numId w:val="43"/>
        </w:numPr>
        <w:suppressAutoHyphens w:val="0"/>
        <w:spacing w:before="120" w:after="120" w:line="276" w:lineRule="auto"/>
        <w:rPr>
          <w:rFonts w:cs="Arial"/>
          <w:sz w:val="16"/>
          <w:szCs w:val="16"/>
        </w:rPr>
      </w:pPr>
      <w:r>
        <w:rPr>
          <w:rFonts w:cs="Arial"/>
          <w:sz w:val="16"/>
          <w:szCs w:val="16"/>
        </w:rPr>
        <w:t>Obyvatelsko v oblasti realizace stavby;</w:t>
      </w:r>
    </w:p>
    <w:p w:rsidR="003843F3" w:rsidRDefault="003843F3" w:rsidP="00D20948">
      <w:pPr>
        <w:numPr>
          <w:ilvl w:val="0"/>
          <w:numId w:val="43"/>
        </w:numPr>
        <w:suppressAutoHyphens w:val="0"/>
        <w:spacing w:before="120" w:after="120" w:line="276" w:lineRule="auto"/>
        <w:rPr>
          <w:rFonts w:cs="Arial"/>
          <w:sz w:val="16"/>
          <w:szCs w:val="16"/>
        </w:rPr>
      </w:pPr>
      <w:r>
        <w:rPr>
          <w:rFonts w:cs="Arial"/>
          <w:sz w:val="16"/>
          <w:szCs w:val="16"/>
        </w:rPr>
        <w:t>Provozovatel železniční dopravní cesty;</w:t>
      </w:r>
    </w:p>
    <w:p w:rsidR="003843F3" w:rsidRDefault="003843F3" w:rsidP="00D20948">
      <w:pPr>
        <w:numPr>
          <w:ilvl w:val="0"/>
          <w:numId w:val="43"/>
        </w:numPr>
        <w:suppressAutoHyphens w:val="0"/>
        <w:spacing w:before="120" w:after="120" w:line="276" w:lineRule="auto"/>
        <w:rPr>
          <w:rFonts w:cs="Arial"/>
          <w:sz w:val="16"/>
          <w:szCs w:val="16"/>
        </w:rPr>
      </w:pPr>
      <w:r>
        <w:rPr>
          <w:rFonts w:cs="Arial"/>
          <w:sz w:val="16"/>
          <w:szCs w:val="16"/>
        </w:rPr>
        <w:t>Provozovatelé vlaků.</w:t>
      </w:r>
    </w:p>
    <w:p w:rsidR="003843F3" w:rsidRDefault="003843F3" w:rsidP="0050179A">
      <w:pPr>
        <w:spacing w:line="276" w:lineRule="auto"/>
        <w:rPr>
          <w:rFonts w:cs="Arial"/>
          <w:sz w:val="16"/>
          <w:szCs w:val="16"/>
        </w:rPr>
      </w:pPr>
    </w:p>
    <w:p w:rsidR="003843F3" w:rsidRDefault="003843F3" w:rsidP="0050179A">
      <w:pPr>
        <w:spacing w:line="276" w:lineRule="auto"/>
        <w:rPr>
          <w:rFonts w:cs="Arial"/>
          <w:sz w:val="16"/>
          <w:szCs w:val="16"/>
        </w:rPr>
      </w:pPr>
      <w:r>
        <w:rPr>
          <w:rFonts w:cs="Arial"/>
          <w:sz w:val="16"/>
          <w:szCs w:val="16"/>
        </w:rPr>
        <w:t>Přínosů bude dosaženo časovými úsporami, zvýšeným počtem cestujících, nižší spotřebou energie, vyšší hodnotou poplatku za přístup na trať a sníženými náklady na údržbu. Pokud je to možné, jejich popis by měl obsahovat i kvantifikaci (například průměrné časové úspory, průměrné procento zvýšení rychlosti atd.)</w:t>
      </w:r>
    </w:p>
    <w:p w:rsidR="003843F3" w:rsidRDefault="003843F3" w:rsidP="0050179A">
      <w:pPr>
        <w:pStyle w:val="Textpoznpodarou"/>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CellMar>
        <w:left w:w="70" w:type="dxa"/>
        <w:right w:w="70" w:type="dxa"/>
      </w:tblCellMar>
      <w:tblLook w:val="0000" w:firstRow="0" w:lastRow="0" w:firstColumn="0" w:lastColumn="0" w:noHBand="0" w:noVBand="0"/>
    </w:tblPr>
    <w:tblGrid>
      <w:gridCol w:w="7088"/>
      <w:gridCol w:w="425"/>
      <w:gridCol w:w="1843"/>
    </w:tblGrid>
    <w:tr w:rsidR="003843F3" w:rsidTr="00AE771F">
      <w:trPr>
        <w:cantSplit/>
        <w:trHeight w:hRule="exact" w:val="718"/>
      </w:trPr>
      <w:tc>
        <w:tcPr>
          <w:tcW w:w="7088" w:type="dxa"/>
          <w:tcBorders>
            <w:bottom w:val="single" w:sz="4" w:space="0" w:color="003366"/>
          </w:tcBorders>
        </w:tcPr>
        <w:p w:rsidR="003843F3" w:rsidRPr="00236186" w:rsidRDefault="003843F3" w:rsidP="00236186">
          <w:pPr>
            <w:pStyle w:val="Zpat"/>
            <w:spacing w:before="60" w:after="60" w:line="240" w:lineRule="auto"/>
            <w:ind w:left="-68"/>
            <w:jc w:val="left"/>
            <w:rPr>
              <w:b/>
              <w:bCs/>
              <w:color w:val="808080"/>
              <w:sz w:val="18"/>
              <w:szCs w:val="18"/>
            </w:rPr>
          </w:pPr>
          <w:r w:rsidRPr="00236186">
            <w:rPr>
              <w:b/>
              <w:bCs/>
              <w:color w:val="808080"/>
              <w:sz w:val="18"/>
              <w:szCs w:val="18"/>
            </w:rPr>
            <w:t xml:space="preserve">Modernizace trati Hradec Králové – Pardubice – Chrudim, </w:t>
          </w:r>
        </w:p>
        <w:p w:rsidR="003843F3" w:rsidRPr="00236186" w:rsidRDefault="003843F3" w:rsidP="00236186">
          <w:pPr>
            <w:pStyle w:val="Zpat"/>
            <w:spacing w:before="60" w:after="60" w:line="240" w:lineRule="auto"/>
            <w:ind w:left="-68"/>
            <w:jc w:val="left"/>
            <w:rPr>
              <w:b/>
              <w:bCs/>
              <w:color w:val="808080"/>
              <w:sz w:val="18"/>
              <w:szCs w:val="18"/>
            </w:rPr>
          </w:pPr>
          <w:r w:rsidRPr="00236186">
            <w:rPr>
              <w:b/>
              <w:bCs/>
              <w:color w:val="808080"/>
              <w:sz w:val="18"/>
              <w:szCs w:val="18"/>
            </w:rPr>
            <w:t>Studie proveditelnosti Hradec Králové – Pardubice</w:t>
          </w:r>
        </w:p>
        <w:p w:rsidR="003843F3" w:rsidRPr="008F26D5" w:rsidRDefault="003843F3" w:rsidP="008F26D5">
          <w:pPr>
            <w:pStyle w:val="Zpat"/>
            <w:ind w:left="-70"/>
            <w:jc w:val="left"/>
            <w:rPr>
              <w:b/>
              <w:bCs/>
              <w:color w:val="808080"/>
              <w:sz w:val="18"/>
            </w:rPr>
          </w:pPr>
          <w:r>
            <w:rPr>
              <w:b/>
              <w:bCs/>
              <w:color w:val="808080"/>
              <w:sz w:val="18"/>
            </w:rPr>
            <w:t>CBA</w:t>
          </w:r>
        </w:p>
        <w:p w:rsidR="003843F3" w:rsidRDefault="003843F3" w:rsidP="008F26D5">
          <w:pPr>
            <w:pStyle w:val="Zpat"/>
            <w:ind w:left="-70"/>
            <w:jc w:val="left"/>
            <w:rPr>
              <w:b/>
              <w:bCs/>
              <w:color w:val="808080"/>
              <w:sz w:val="18"/>
            </w:rPr>
          </w:pPr>
          <w:r w:rsidRPr="008F26D5">
            <w:rPr>
              <w:b/>
              <w:bCs/>
              <w:color w:val="808080"/>
              <w:sz w:val="18"/>
            </w:rPr>
            <w:t>Medlešická spojka</w:t>
          </w:r>
        </w:p>
      </w:tc>
      <w:tc>
        <w:tcPr>
          <w:tcW w:w="425" w:type="dxa"/>
          <w:tcBorders>
            <w:bottom w:val="single" w:sz="4" w:space="0" w:color="auto"/>
            <w:right w:val="single" w:sz="4" w:space="0" w:color="FFFFFF"/>
          </w:tcBorders>
        </w:tcPr>
        <w:p w:rsidR="003843F3" w:rsidRDefault="003843F3">
          <w:pPr>
            <w:pStyle w:val="Zpat"/>
            <w:rPr>
              <w:b/>
              <w:bCs/>
              <w:color w:val="000080"/>
              <w:highlight w:val="green"/>
            </w:rPr>
          </w:pPr>
        </w:p>
      </w:tc>
      <w:tc>
        <w:tcPr>
          <w:tcW w:w="1843" w:type="dxa"/>
          <w:tcBorders>
            <w:top w:val="single" w:sz="4" w:space="0" w:color="FFFFFF"/>
            <w:left w:val="single" w:sz="4" w:space="0" w:color="FFFFFF"/>
            <w:bottom w:val="single" w:sz="4" w:space="0" w:color="003366"/>
            <w:right w:val="single" w:sz="4" w:space="0" w:color="FFFFFF"/>
          </w:tcBorders>
          <w:vAlign w:val="center"/>
        </w:tcPr>
        <w:p w:rsidR="003843F3" w:rsidRDefault="003843F3" w:rsidP="00AE771F">
          <w:pPr>
            <w:pStyle w:val="Zpat"/>
            <w:spacing w:before="0" w:after="0" w:line="240" w:lineRule="auto"/>
            <w:ind w:left="-70" w:right="-431"/>
            <w:rPr>
              <w:b/>
              <w:bCs/>
              <w:color w:val="000080"/>
            </w:rPr>
          </w:pPr>
          <w:r>
            <w:t xml:space="preserve">  </w:t>
          </w:r>
          <w:r>
            <w:rPr>
              <w:noProof/>
              <w:lang w:eastAsia="cs-CZ"/>
            </w:rPr>
            <w:drawing>
              <wp:inline distT="0" distB="0" distL="0" distR="0" wp14:anchorId="406BB0DE" wp14:editId="7E6D1082">
                <wp:extent cx="810895" cy="250190"/>
                <wp:effectExtent l="0" t="0" r="0" b="0"/>
                <wp:docPr id="19"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895" cy="250190"/>
                        </a:xfrm>
                        <a:prstGeom prst="rect">
                          <a:avLst/>
                        </a:prstGeom>
                        <a:noFill/>
                        <a:ln>
                          <a:noFill/>
                        </a:ln>
                      </pic:spPr>
                    </pic:pic>
                  </a:graphicData>
                </a:graphic>
              </wp:inline>
            </w:drawing>
          </w:r>
        </w:p>
      </w:tc>
    </w:tr>
  </w:tbl>
  <w:p w:rsidR="003843F3" w:rsidRPr="008F26D5" w:rsidRDefault="003843F3" w:rsidP="008F26D5">
    <w:pPr>
      <w:pStyle w:val="Zhlav"/>
      <w:spacing w:before="0" w:after="0" w:line="240" w:lineRule="auto"/>
      <w:rPr>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176" w:type="dxa"/>
      <w:tblInd w:w="70" w:type="dxa"/>
      <w:tblCellMar>
        <w:left w:w="70" w:type="dxa"/>
        <w:right w:w="70" w:type="dxa"/>
      </w:tblCellMar>
      <w:tblLook w:val="0000" w:firstRow="0" w:lastRow="0" w:firstColumn="0" w:lastColumn="0" w:noHBand="0" w:noVBand="0"/>
    </w:tblPr>
    <w:tblGrid>
      <w:gridCol w:w="7088"/>
      <w:gridCol w:w="5245"/>
      <w:gridCol w:w="1843"/>
    </w:tblGrid>
    <w:tr w:rsidR="003843F3" w:rsidTr="00FC1012">
      <w:trPr>
        <w:cantSplit/>
        <w:trHeight w:hRule="exact" w:val="718"/>
      </w:trPr>
      <w:tc>
        <w:tcPr>
          <w:tcW w:w="7088" w:type="dxa"/>
          <w:tcBorders>
            <w:bottom w:val="single" w:sz="4" w:space="0" w:color="003366"/>
          </w:tcBorders>
        </w:tcPr>
        <w:p w:rsidR="003843F3" w:rsidRPr="00236186" w:rsidRDefault="003843F3" w:rsidP="00236186">
          <w:pPr>
            <w:pStyle w:val="Zpat"/>
            <w:spacing w:before="60" w:after="60" w:line="240" w:lineRule="auto"/>
            <w:ind w:left="-68"/>
            <w:jc w:val="left"/>
            <w:rPr>
              <w:b/>
              <w:bCs/>
              <w:color w:val="808080"/>
              <w:sz w:val="18"/>
              <w:szCs w:val="18"/>
            </w:rPr>
          </w:pPr>
          <w:r w:rsidRPr="00236186">
            <w:rPr>
              <w:b/>
              <w:bCs/>
              <w:color w:val="808080"/>
              <w:sz w:val="18"/>
              <w:szCs w:val="18"/>
            </w:rPr>
            <w:t xml:space="preserve">Modernizace trati Hradec Králové – Pardubice – Chrudim, </w:t>
          </w:r>
        </w:p>
        <w:p w:rsidR="003843F3" w:rsidRPr="00236186" w:rsidRDefault="003843F3" w:rsidP="00236186">
          <w:pPr>
            <w:pStyle w:val="Zpat"/>
            <w:spacing w:before="60" w:after="60" w:line="240" w:lineRule="auto"/>
            <w:ind w:left="-68"/>
            <w:jc w:val="left"/>
            <w:rPr>
              <w:b/>
              <w:bCs/>
              <w:color w:val="808080"/>
              <w:sz w:val="18"/>
              <w:szCs w:val="18"/>
            </w:rPr>
          </w:pPr>
          <w:r w:rsidRPr="00236186">
            <w:rPr>
              <w:b/>
              <w:bCs/>
              <w:color w:val="808080"/>
              <w:sz w:val="18"/>
              <w:szCs w:val="18"/>
            </w:rPr>
            <w:t>Studie proveditelnosti Hradec Králové – Pardubice</w:t>
          </w:r>
        </w:p>
        <w:p w:rsidR="003843F3" w:rsidRPr="008F26D5" w:rsidRDefault="003843F3" w:rsidP="008F26D5">
          <w:pPr>
            <w:pStyle w:val="Zpat"/>
            <w:ind w:left="-70"/>
            <w:jc w:val="left"/>
            <w:rPr>
              <w:b/>
              <w:bCs/>
              <w:color w:val="808080"/>
              <w:sz w:val="18"/>
            </w:rPr>
          </w:pPr>
          <w:r>
            <w:rPr>
              <w:b/>
              <w:bCs/>
              <w:color w:val="808080"/>
              <w:sz w:val="18"/>
            </w:rPr>
            <w:t>CBA</w:t>
          </w:r>
        </w:p>
        <w:p w:rsidR="003843F3" w:rsidRDefault="003843F3" w:rsidP="008F26D5">
          <w:pPr>
            <w:pStyle w:val="Zpat"/>
            <w:ind w:left="-70"/>
            <w:jc w:val="left"/>
            <w:rPr>
              <w:b/>
              <w:bCs/>
              <w:color w:val="808080"/>
              <w:sz w:val="18"/>
            </w:rPr>
          </w:pPr>
          <w:r w:rsidRPr="008F26D5">
            <w:rPr>
              <w:b/>
              <w:bCs/>
              <w:color w:val="808080"/>
              <w:sz w:val="18"/>
            </w:rPr>
            <w:t>Medlešická spojka</w:t>
          </w:r>
        </w:p>
      </w:tc>
      <w:tc>
        <w:tcPr>
          <w:tcW w:w="5245" w:type="dxa"/>
          <w:tcBorders>
            <w:bottom w:val="single" w:sz="4" w:space="0" w:color="auto"/>
            <w:right w:val="single" w:sz="4" w:space="0" w:color="FFFFFF"/>
          </w:tcBorders>
        </w:tcPr>
        <w:p w:rsidR="003843F3" w:rsidRDefault="003843F3">
          <w:pPr>
            <w:pStyle w:val="Zpat"/>
            <w:rPr>
              <w:b/>
              <w:bCs/>
              <w:color w:val="000080"/>
              <w:highlight w:val="green"/>
            </w:rPr>
          </w:pPr>
        </w:p>
      </w:tc>
      <w:tc>
        <w:tcPr>
          <w:tcW w:w="1843" w:type="dxa"/>
          <w:tcBorders>
            <w:top w:val="single" w:sz="4" w:space="0" w:color="FFFFFF"/>
            <w:left w:val="single" w:sz="4" w:space="0" w:color="FFFFFF"/>
            <w:bottom w:val="single" w:sz="4" w:space="0" w:color="003366"/>
            <w:right w:val="single" w:sz="4" w:space="0" w:color="FFFFFF"/>
          </w:tcBorders>
          <w:vAlign w:val="center"/>
        </w:tcPr>
        <w:p w:rsidR="003843F3" w:rsidRDefault="003843F3" w:rsidP="00AE771F">
          <w:pPr>
            <w:pStyle w:val="Zpat"/>
            <w:spacing w:before="0" w:after="0" w:line="240" w:lineRule="auto"/>
            <w:ind w:left="-70" w:right="-431"/>
            <w:rPr>
              <w:b/>
              <w:bCs/>
              <w:color w:val="000080"/>
            </w:rPr>
          </w:pPr>
          <w:r>
            <w:t xml:space="preserve">  </w:t>
          </w:r>
          <w:r>
            <w:rPr>
              <w:noProof/>
              <w:lang w:eastAsia="cs-CZ"/>
            </w:rPr>
            <w:drawing>
              <wp:inline distT="0" distB="0" distL="0" distR="0" wp14:anchorId="56E8707D" wp14:editId="2E3055BC">
                <wp:extent cx="810895" cy="250190"/>
                <wp:effectExtent l="0" t="0" r="0" b="0"/>
                <wp:docPr id="25"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895" cy="250190"/>
                        </a:xfrm>
                        <a:prstGeom prst="rect">
                          <a:avLst/>
                        </a:prstGeom>
                        <a:noFill/>
                        <a:ln>
                          <a:noFill/>
                        </a:ln>
                      </pic:spPr>
                    </pic:pic>
                  </a:graphicData>
                </a:graphic>
              </wp:inline>
            </w:drawing>
          </w:r>
        </w:p>
      </w:tc>
    </w:tr>
  </w:tbl>
  <w:p w:rsidR="003843F3" w:rsidRPr="008F26D5" w:rsidRDefault="003843F3" w:rsidP="008F26D5">
    <w:pPr>
      <w:pStyle w:val="Zhlav"/>
      <w:spacing w:before="0" w:after="0" w:line="240" w:lineRule="auto"/>
      <w:rPr>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CellMar>
        <w:left w:w="70" w:type="dxa"/>
        <w:right w:w="70" w:type="dxa"/>
      </w:tblCellMar>
      <w:tblLook w:val="0000" w:firstRow="0" w:lastRow="0" w:firstColumn="0" w:lastColumn="0" w:noHBand="0" w:noVBand="0"/>
    </w:tblPr>
    <w:tblGrid>
      <w:gridCol w:w="7088"/>
      <w:gridCol w:w="425"/>
      <w:gridCol w:w="1843"/>
    </w:tblGrid>
    <w:tr w:rsidR="003843F3" w:rsidTr="00AE771F">
      <w:trPr>
        <w:cantSplit/>
        <w:trHeight w:hRule="exact" w:val="718"/>
      </w:trPr>
      <w:tc>
        <w:tcPr>
          <w:tcW w:w="7088" w:type="dxa"/>
          <w:tcBorders>
            <w:bottom w:val="single" w:sz="4" w:space="0" w:color="003366"/>
          </w:tcBorders>
        </w:tcPr>
        <w:p w:rsidR="003843F3" w:rsidRPr="00236186" w:rsidRDefault="003843F3" w:rsidP="00236186">
          <w:pPr>
            <w:pStyle w:val="Zpat"/>
            <w:spacing w:before="60" w:after="60" w:line="240" w:lineRule="auto"/>
            <w:ind w:left="-68"/>
            <w:jc w:val="left"/>
            <w:rPr>
              <w:b/>
              <w:bCs/>
              <w:color w:val="808080"/>
              <w:sz w:val="18"/>
              <w:szCs w:val="18"/>
            </w:rPr>
          </w:pPr>
          <w:r w:rsidRPr="00236186">
            <w:rPr>
              <w:b/>
              <w:bCs/>
              <w:color w:val="808080"/>
              <w:sz w:val="18"/>
              <w:szCs w:val="18"/>
            </w:rPr>
            <w:t xml:space="preserve">Modernizace trati Hradec Králové – Pardubice – Chrudim, </w:t>
          </w:r>
        </w:p>
        <w:p w:rsidR="003843F3" w:rsidRPr="00236186" w:rsidRDefault="003843F3" w:rsidP="00236186">
          <w:pPr>
            <w:pStyle w:val="Zpat"/>
            <w:spacing w:before="60" w:after="60" w:line="240" w:lineRule="auto"/>
            <w:ind w:left="-68"/>
            <w:jc w:val="left"/>
            <w:rPr>
              <w:b/>
              <w:bCs/>
              <w:color w:val="808080"/>
              <w:sz w:val="18"/>
              <w:szCs w:val="18"/>
            </w:rPr>
          </w:pPr>
          <w:r w:rsidRPr="00236186">
            <w:rPr>
              <w:b/>
              <w:bCs/>
              <w:color w:val="808080"/>
              <w:sz w:val="18"/>
              <w:szCs w:val="18"/>
            </w:rPr>
            <w:t>Studie proveditelnosti Hradec Králové – Pardubice</w:t>
          </w:r>
        </w:p>
        <w:p w:rsidR="003843F3" w:rsidRPr="008F26D5" w:rsidRDefault="003843F3" w:rsidP="008F26D5">
          <w:pPr>
            <w:pStyle w:val="Zpat"/>
            <w:ind w:left="-70"/>
            <w:jc w:val="left"/>
            <w:rPr>
              <w:b/>
              <w:bCs/>
              <w:color w:val="808080"/>
              <w:sz w:val="18"/>
            </w:rPr>
          </w:pPr>
          <w:r>
            <w:rPr>
              <w:b/>
              <w:bCs/>
              <w:color w:val="808080"/>
              <w:sz w:val="18"/>
            </w:rPr>
            <w:t>CBA</w:t>
          </w:r>
        </w:p>
        <w:p w:rsidR="003843F3" w:rsidRDefault="003843F3" w:rsidP="008F26D5">
          <w:pPr>
            <w:pStyle w:val="Zpat"/>
            <w:ind w:left="-70"/>
            <w:jc w:val="left"/>
            <w:rPr>
              <w:b/>
              <w:bCs/>
              <w:color w:val="808080"/>
              <w:sz w:val="18"/>
            </w:rPr>
          </w:pPr>
          <w:r w:rsidRPr="008F26D5">
            <w:rPr>
              <w:b/>
              <w:bCs/>
              <w:color w:val="808080"/>
              <w:sz w:val="18"/>
            </w:rPr>
            <w:t>Medlešická spojka</w:t>
          </w:r>
        </w:p>
      </w:tc>
      <w:tc>
        <w:tcPr>
          <w:tcW w:w="425" w:type="dxa"/>
          <w:tcBorders>
            <w:bottom w:val="single" w:sz="4" w:space="0" w:color="auto"/>
            <w:right w:val="single" w:sz="4" w:space="0" w:color="FFFFFF"/>
          </w:tcBorders>
        </w:tcPr>
        <w:p w:rsidR="003843F3" w:rsidRDefault="003843F3">
          <w:pPr>
            <w:pStyle w:val="Zpat"/>
            <w:rPr>
              <w:b/>
              <w:bCs/>
              <w:color w:val="000080"/>
              <w:highlight w:val="green"/>
            </w:rPr>
          </w:pPr>
        </w:p>
      </w:tc>
      <w:tc>
        <w:tcPr>
          <w:tcW w:w="1843" w:type="dxa"/>
          <w:tcBorders>
            <w:top w:val="single" w:sz="4" w:space="0" w:color="FFFFFF"/>
            <w:left w:val="single" w:sz="4" w:space="0" w:color="FFFFFF"/>
            <w:bottom w:val="single" w:sz="4" w:space="0" w:color="003366"/>
            <w:right w:val="single" w:sz="4" w:space="0" w:color="FFFFFF"/>
          </w:tcBorders>
          <w:vAlign w:val="center"/>
        </w:tcPr>
        <w:p w:rsidR="003843F3" w:rsidRDefault="003843F3" w:rsidP="00AE771F">
          <w:pPr>
            <w:pStyle w:val="Zpat"/>
            <w:spacing w:before="0" w:after="0" w:line="240" w:lineRule="auto"/>
            <w:ind w:left="-70" w:right="-431"/>
            <w:rPr>
              <w:b/>
              <w:bCs/>
              <w:color w:val="000080"/>
            </w:rPr>
          </w:pPr>
          <w:r>
            <w:t xml:space="preserve">  </w:t>
          </w:r>
          <w:r>
            <w:rPr>
              <w:noProof/>
              <w:lang w:eastAsia="cs-CZ"/>
            </w:rPr>
            <w:drawing>
              <wp:inline distT="0" distB="0" distL="0" distR="0" wp14:anchorId="5C8D8275" wp14:editId="3BD2AD21">
                <wp:extent cx="810895" cy="250190"/>
                <wp:effectExtent l="0" t="0" r="0" b="0"/>
                <wp:docPr id="28"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895" cy="250190"/>
                        </a:xfrm>
                        <a:prstGeom prst="rect">
                          <a:avLst/>
                        </a:prstGeom>
                        <a:noFill/>
                        <a:ln>
                          <a:noFill/>
                        </a:ln>
                      </pic:spPr>
                    </pic:pic>
                  </a:graphicData>
                </a:graphic>
              </wp:inline>
            </w:drawing>
          </w:r>
        </w:p>
      </w:tc>
    </w:tr>
  </w:tbl>
  <w:p w:rsidR="003843F3" w:rsidRPr="008F26D5" w:rsidRDefault="003843F3" w:rsidP="008F26D5">
    <w:pPr>
      <w:pStyle w:val="Zhlav"/>
      <w:spacing w:before="0" w:after="0" w:line="240" w:lineRule="auto"/>
      <w:rPr>
        <w:szCs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034" w:type="dxa"/>
      <w:tblInd w:w="70" w:type="dxa"/>
      <w:tblCellMar>
        <w:left w:w="70" w:type="dxa"/>
        <w:right w:w="70" w:type="dxa"/>
      </w:tblCellMar>
      <w:tblLook w:val="0000" w:firstRow="0" w:lastRow="0" w:firstColumn="0" w:lastColumn="0" w:noHBand="0" w:noVBand="0"/>
    </w:tblPr>
    <w:tblGrid>
      <w:gridCol w:w="7088"/>
      <w:gridCol w:w="5103"/>
      <w:gridCol w:w="1843"/>
    </w:tblGrid>
    <w:tr w:rsidR="003843F3" w:rsidTr="00C65DA3">
      <w:trPr>
        <w:cantSplit/>
        <w:trHeight w:hRule="exact" w:val="718"/>
      </w:trPr>
      <w:tc>
        <w:tcPr>
          <w:tcW w:w="7088" w:type="dxa"/>
          <w:tcBorders>
            <w:bottom w:val="single" w:sz="4" w:space="0" w:color="003366"/>
          </w:tcBorders>
        </w:tcPr>
        <w:p w:rsidR="003843F3" w:rsidRPr="00236186" w:rsidRDefault="003843F3" w:rsidP="00236186">
          <w:pPr>
            <w:pStyle w:val="Zpat"/>
            <w:spacing w:before="60" w:after="60" w:line="240" w:lineRule="auto"/>
            <w:ind w:left="-68"/>
            <w:jc w:val="left"/>
            <w:rPr>
              <w:b/>
              <w:bCs/>
              <w:color w:val="808080"/>
              <w:sz w:val="18"/>
              <w:szCs w:val="18"/>
            </w:rPr>
          </w:pPr>
          <w:r w:rsidRPr="00236186">
            <w:rPr>
              <w:b/>
              <w:bCs/>
              <w:color w:val="808080"/>
              <w:sz w:val="18"/>
              <w:szCs w:val="18"/>
            </w:rPr>
            <w:t xml:space="preserve">Modernizace trati Hradec Králové – Pardubice – Chrudim, </w:t>
          </w:r>
        </w:p>
        <w:p w:rsidR="003843F3" w:rsidRPr="00236186" w:rsidRDefault="003843F3" w:rsidP="00236186">
          <w:pPr>
            <w:pStyle w:val="Zpat"/>
            <w:spacing w:before="60" w:after="60" w:line="240" w:lineRule="auto"/>
            <w:ind w:left="-68"/>
            <w:jc w:val="left"/>
            <w:rPr>
              <w:b/>
              <w:bCs/>
              <w:color w:val="808080"/>
              <w:sz w:val="18"/>
              <w:szCs w:val="18"/>
            </w:rPr>
          </w:pPr>
          <w:r w:rsidRPr="00236186">
            <w:rPr>
              <w:b/>
              <w:bCs/>
              <w:color w:val="808080"/>
              <w:sz w:val="18"/>
              <w:szCs w:val="18"/>
            </w:rPr>
            <w:t>Studie proveditelnosti Hradec Králové – Pardubice</w:t>
          </w:r>
        </w:p>
        <w:p w:rsidR="003843F3" w:rsidRPr="008F26D5" w:rsidRDefault="003843F3" w:rsidP="008F26D5">
          <w:pPr>
            <w:pStyle w:val="Zpat"/>
            <w:ind w:left="-70"/>
            <w:jc w:val="left"/>
            <w:rPr>
              <w:b/>
              <w:bCs/>
              <w:color w:val="808080"/>
              <w:sz w:val="18"/>
            </w:rPr>
          </w:pPr>
          <w:r>
            <w:rPr>
              <w:b/>
              <w:bCs/>
              <w:color w:val="808080"/>
              <w:sz w:val="18"/>
            </w:rPr>
            <w:t>CBA</w:t>
          </w:r>
        </w:p>
        <w:p w:rsidR="003843F3" w:rsidRDefault="003843F3" w:rsidP="008F26D5">
          <w:pPr>
            <w:pStyle w:val="Zpat"/>
            <w:ind w:left="-70"/>
            <w:jc w:val="left"/>
            <w:rPr>
              <w:b/>
              <w:bCs/>
              <w:color w:val="808080"/>
              <w:sz w:val="18"/>
            </w:rPr>
          </w:pPr>
          <w:r w:rsidRPr="008F26D5">
            <w:rPr>
              <w:b/>
              <w:bCs/>
              <w:color w:val="808080"/>
              <w:sz w:val="18"/>
            </w:rPr>
            <w:t>Medlešická spojka</w:t>
          </w:r>
        </w:p>
      </w:tc>
      <w:tc>
        <w:tcPr>
          <w:tcW w:w="5103" w:type="dxa"/>
          <w:tcBorders>
            <w:bottom w:val="single" w:sz="4" w:space="0" w:color="auto"/>
            <w:right w:val="single" w:sz="4" w:space="0" w:color="FFFFFF"/>
          </w:tcBorders>
        </w:tcPr>
        <w:p w:rsidR="003843F3" w:rsidRDefault="003843F3">
          <w:pPr>
            <w:pStyle w:val="Zpat"/>
            <w:rPr>
              <w:b/>
              <w:bCs/>
              <w:color w:val="000080"/>
              <w:highlight w:val="green"/>
            </w:rPr>
          </w:pPr>
        </w:p>
      </w:tc>
      <w:tc>
        <w:tcPr>
          <w:tcW w:w="1843" w:type="dxa"/>
          <w:tcBorders>
            <w:top w:val="single" w:sz="4" w:space="0" w:color="FFFFFF"/>
            <w:left w:val="single" w:sz="4" w:space="0" w:color="FFFFFF"/>
            <w:bottom w:val="single" w:sz="4" w:space="0" w:color="003366"/>
            <w:right w:val="single" w:sz="4" w:space="0" w:color="FFFFFF"/>
          </w:tcBorders>
          <w:vAlign w:val="center"/>
        </w:tcPr>
        <w:p w:rsidR="003843F3" w:rsidRDefault="003843F3" w:rsidP="00AE771F">
          <w:pPr>
            <w:pStyle w:val="Zpat"/>
            <w:spacing w:before="0" w:after="0" w:line="240" w:lineRule="auto"/>
            <w:ind w:left="-70" w:right="-431"/>
            <w:rPr>
              <w:b/>
              <w:bCs/>
              <w:color w:val="000080"/>
            </w:rPr>
          </w:pPr>
          <w:r>
            <w:t xml:space="preserve">  </w:t>
          </w:r>
          <w:r>
            <w:rPr>
              <w:noProof/>
              <w:lang w:eastAsia="cs-CZ"/>
            </w:rPr>
            <w:drawing>
              <wp:inline distT="0" distB="0" distL="0" distR="0" wp14:anchorId="6ABD36BC" wp14:editId="77E9CD32">
                <wp:extent cx="810895" cy="250190"/>
                <wp:effectExtent l="0" t="0" r="0" b="0"/>
                <wp:docPr id="3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895" cy="250190"/>
                        </a:xfrm>
                        <a:prstGeom prst="rect">
                          <a:avLst/>
                        </a:prstGeom>
                        <a:noFill/>
                        <a:ln>
                          <a:noFill/>
                        </a:ln>
                      </pic:spPr>
                    </pic:pic>
                  </a:graphicData>
                </a:graphic>
              </wp:inline>
            </w:drawing>
          </w:r>
        </w:p>
      </w:tc>
    </w:tr>
  </w:tbl>
  <w:p w:rsidR="003843F3" w:rsidRPr="008F26D5" w:rsidRDefault="003843F3" w:rsidP="008F26D5">
    <w:pPr>
      <w:pStyle w:val="Zhlav"/>
      <w:spacing w:before="0" w:after="0" w:line="240" w:lineRule="auto"/>
      <w:rPr>
        <w:szCs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CellMar>
        <w:left w:w="70" w:type="dxa"/>
        <w:right w:w="70" w:type="dxa"/>
      </w:tblCellMar>
      <w:tblLook w:val="0000" w:firstRow="0" w:lastRow="0" w:firstColumn="0" w:lastColumn="0" w:noHBand="0" w:noVBand="0"/>
    </w:tblPr>
    <w:tblGrid>
      <w:gridCol w:w="7088"/>
      <w:gridCol w:w="425"/>
      <w:gridCol w:w="1843"/>
    </w:tblGrid>
    <w:tr w:rsidR="003843F3" w:rsidTr="00AE771F">
      <w:trPr>
        <w:cantSplit/>
        <w:trHeight w:hRule="exact" w:val="718"/>
      </w:trPr>
      <w:tc>
        <w:tcPr>
          <w:tcW w:w="7088" w:type="dxa"/>
          <w:tcBorders>
            <w:bottom w:val="single" w:sz="4" w:space="0" w:color="003366"/>
          </w:tcBorders>
        </w:tcPr>
        <w:p w:rsidR="003843F3" w:rsidRPr="00236186" w:rsidRDefault="003843F3" w:rsidP="00236186">
          <w:pPr>
            <w:pStyle w:val="Zpat"/>
            <w:spacing w:before="60" w:after="60" w:line="240" w:lineRule="auto"/>
            <w:ind w:left="-68"/>
            <w:jc w:val="left"/>
            <w:rPr>
              <w:b/>
              <w:bCs/>
              <w:color w:val="808080"/>
              <w:sz w:val="18"/>
              <w:szCs w:val="18"/>
            </w:rPr>
          </w:pPr>
          <w:r w:rsidRPr="00236186">
            <w:rPr>
              <w:b/>
              <w:bCs/>
              <w:color w:val="808080"/>
              <w:sz w:val="18"/>
              <w:szCs w:val="18"/>
            </w:rPr>
            <w:t xml:space="preserve">Modernizace trati Hradec Králové – Pardubice – Chrudim, </w:t>
          </w:r>
        </w:p>
        <w:p w:rsidR="003843F3" w:rsidRPr="00236186" w:rsidRDefault="003843F3" w:rsidP="00236186">
          <w:pPr>
            <w:pStyle w:val="Zpat"/>
            <w:spacing w:before="60" w:after="60" w:line="240" w:lineRule="auto"/>
            <w:ind w:left="-68"/>
            <w:jc w:val="left"/>
            <w:rPr>
              <w:b/>
              <w:bCs/>
              <w:color w:val="808080"/>
              <w:sz w:val="18"/>
              <w:szCs w:val="18"/>
            </w:rPr>
          </w:pPr>
          <w:r w:rsidRPr="00236186">
            <w:rPr>
              <w:b/>
              <w:bCs/>
              <w:color w:val="808080"/>
              <w:sz w:val="18"/>
              <w:szCs w:val="18"/>
            </w:rPr>
            <w:t>Studie proveditelnosti Hradec Králové – Pardubice</w:t>
          </w:r>
        </w:p>
        <w:p w:rsidR="003843F3" w:rsidRPr="008F26D5" w:rsidRDefault="003843F3" w:rsidP="008F26D5">
          <w:pPr>
            <w:pStyle w:val="Zpat"/>
            <w:ind w:left="-70"/>
            <w:jc w:val="left"/>
            <w:rPr>
              <w:b/>
              <w:bCs/>
              <w:color w:val="808080"/>
              <w:sz w:val="18"/>
            </w:rPr>
          </w:pPr>
          <w:r>
            <w:rPr>
              <w:b/>
              <w:bCs/>
              <w:color w:val="808080"/>
              <w:sz w:val="18"/>
            </w:rPr>
            <w:t>CBA</w:t>
          </w:r>
        </w:p>
        <w:p w:rsidR="003843F3" w:rsidRDefault="003843F3" w:rsidP="008F26D5">
          <w:pPr>
            <w:pStyle w:val="Zpat"/>
            <w:ind w:left="-70"/>
            <w:jc w:val="left"/>
            <w:rPr>
              <w:b/>
              <w:bCs/>
              <w:color w:val="808080"/>
              <w:sz w:val="18"/>
            </w:rPr>
          </w:pPr>
          <w:r w:rsidRPr="008F26D5">
            <w:rPr>
              <w:b/>
              <w:bCs/>
              <w:color w:val="808080"/>
              <w:sz w:val="18"/>
            </w:rPr>
            <w:t>Medlešická spojka</w:t>
          </w:r>
        </w:p>
      </w:tc>
      <w:tc>
        <w:tcPr>
          <w:tcW w:w="425" w:type="dxa"/>
          <w:tcBorders>
            <w:bottom w:val="single" w:sz="4" w:space="0" w:color="auto"/>
            <w:right w:val="single" w:sz="4" w:space="0" w:color="FFFFFF"/>
          </w:tcBorders>
        </w:tcPr>
        <w:p w:rsidR="003843F3" w:rsidRDefault="003843F3">
          <w:pPr>
            <w:pStyle w:val="Zpat"/>
            <w:rPr>
              <w:b/>
              <w:bCs/>
              <w:color w:val="000080"/>
              <w:highlight w:val="green"/>
            </w:rPr>
          </w:pPr>
        </w:p>
      </w:tc>
      <w:tc>
        <w:tcPr>
          <w:tcW w:w="1843" w:type="dxa"/>
          <w:tcBorders>
            <w:top w:val="single" w:sz="4" w:space="0" w:color="FFFFFF"/>
            <w:left w:val="single" w:sz="4" w:space="0" w:color="FFFFFF"/>
            <w:bottom w:val="single" w:sz="4" w:space="0" w:color="003366"/>
            <w:right w:val="single" w:sz="4" w:space="0" w:color="FFFFFF"/>
          </w:tcBorders>
          <w:vAlign w:val="center"/>
        </w:tcPr>
        <w:p w:rsidR="003843F3" w:rsidRDefault="003843F3" w:rsidP="00AE771F">
          <w:pPr>
            <w:pStyle w:val="Zpat"/>
            <w:spacing w:before="0" w:after="0" w:line="240" w:lineRule="auto"/>
            <w:ind w:left="-70" w:right="-431"/>
            <w:rPr>
              <w:b/>
              <w:bCs/>
              <w:color w:val="000080"/>
            </w:rPr>
          </w:pPr>
          <w:r>
            <w:t xml:space="preserve">  </w:t>
          </w:r>
          <w:r>
            <w:rPr>
              <w:noProof/>
              <w:lang w:eastAsia="cs-CZ"/>
            </w:rPr>
            <w:drawing>
              <wp:inline distT="0" distB="0" distL="0" distR="0" wp14:anchorId="322D7767" wp14:editId="154A6A7C">
                <wp:extent cx="810895" cy="250190"/>
                <wp:effectExtent l="0" t="0" r="0" b="0"/>
                <wp:docPr id="58"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895" cy="250190"/>
                        </a:xfrm>
                        <a:prstGeom prst="rect">
                          <a:avLst/>
                        </a:prstGeom>
                        <a:noFill/>
                        <a:ln>
                          <a:noFill/>
                        </a:ln>
                      </pic:spPr>
                    </pic:pic>
                  </a:graphicData>
                </a:graphic>
              </wp:inline>
            </w:drawing>
          </w:r>
        </w:p>
      </w:tc>
    </w:tr>
  </w:tbl>
  <w:p w:rsidR="003843F3" w:rsidRPr="008F26D5" w:rsidRDefault="003843F3" w:rsidP="008F26D5">
    <w:pPr>
      <w:pStyle w:val="Zhlav"/>
      <w:spacing w:before="0" w:after="0" w:line="240" w:lineRule="auto"/>
      <w:rPr>
        <w:szCs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220" w:type="dxa"/>
      <w:tblInd w:w="70" w:type="dxa"/>
      <w:tblCellMar>
        <w:left w:w="70" w:type="dxa"/>
        <w:right w:w="70" w:type="dxa"/>
      </w:tblCellMar>
      <w:tblLook w:val="0000" w:firstRow="0" w:lastRow="0" w:firstColumn="0" w:lastColumn="0" w:noHBand="0" w:noVBand="0"/>
    </w:tblPr>
    <w:tblGrid>
      <w:gridCol w:w="10773"/>
      <w:gridCol w:w="646"/>
      <w:gridCol w:w="2801"/>
    </w:tblGrid>
    <w:tr w:rsidR="003843F3" w:rsidTr="00D20948">
      <w:trPr>
        <w:cantSplit/>
        <w:trHeight w:hRule="exact" w:val="770"/>
      </w:trPr>
      <w:tc>
        <w:tcPr>
          <w:tcW w:w="10773" w:type="dxa"/>
          <w:tcBorders>
            <w:bottom w:val="single" w:sz="4" w:space="0" w:color="003366"/>
          </w:tcBorders>
        </w:tcPr>
        <w:p w:rsidR="003843F3" w:rsidRPr="00236186" w:rsidRDefault="003843F3" w:rsidP="00236186">
          <w:pPr>
            <w:pStyle w:val="Zpat"/>
            <w:spacing w:before="60" w:after="60" w:line="240" w:lineRule="auto"/>
            <w:ind w:left="-68"/>
            <w:jc w:val="left"/>
            <w:rPr>
              <w:b/>
              <w:bCs/>
              <w:color w:val="808080"/>
              <w:sz w:val="18"/>
              <w:szCs w:val="18"/>
            </w:rPr>
          </w:pPr>
          <w:r w:rsidRPr="00236186">
            <w:rPr>
              <w:b/>
              <w:bCs/>
              <w:color w:val="808080"/>
              <w:sz w:val="18"/>
              <w:szCs w:val="18"/>
            </w:rPr>
            <w:t xml:space="preserve">Modernizace trati Hradec Králové – Pardubice – Chrudim, </w:t>
          </w:r>
        </w:p>
        <w:p w:rsidR="003843F3" w:rsidRPr="00236186" w:rsidRDefault="003843F3" w:rsidP="00236186">
          <w:pPr>
            <w:pStyle w:val="Zpat"/>
            <w:spacing w:before="60" w:after="60" w:line="240" w:lineRule="auto"/>
            <w:ind w:left="-68"/>
            <w:jc w:val="left"/>
            <w:rPr>
              <w:b/>
              <w:bCs/>
              <w:color w:val="808080"/>
              <w:sz w:val="18"/>
              <w:szCs w:val="18"/>
            </w:rPr>
          </w:pPr>
          <w:r w:rsidRPr="00236186">
            <w:rPr>
              <w:b/>
              <w:bCs/>
              <w:color w:val="808080"/>
              <w:sz w:val="18"/>
              <w:szCs w:val="18"/>
            </w:rPr>
            <w:t>Studie proveditelnosti Hradec Králové – Pardubice</w:t>
          </w:r>
        </w:p>
        <w:p w:rsidR="003843F3" w:rsidRPr="008F26D5" w:rsidRDefault="003843F3" w:rsidP="008F26D5">
          <w:pPr>
            <w:pStyle w:val="Zpat"/>
            <w:ind w:left="-70"/>
            <w:jc w:val="left"/>
            <w:rPr>
              <w:b/>
              <w:bCs/>
              <w:color w:val="808080"/>
              <w:sz w:val="18"/>
            </w:rPr>
          </w:pPr>
          <w:r>
            <w:rPr>
              <w:b/>
              <w:bCs/>
              <w:color w:val="808080"/>
              <w:sz w:val="18"/>
            </w:rPr>
            <w:t>CBA</w:t>
          </w:r>
        </w:p>
        <w:p w:rsidR="003843F3" w:rsidRDefault="003843F3" w:rsidP="008F26D5">
          <w:pPr>
            <w:pStyle w:val="Zpat"/>
            <w:ind w:left="-70"/>
            <w:jc w:val="left"/>
            <w:rPr>
              <w:b/>
              <w:bCs/>
              <w:color w:val="808080"/>
              <w:sz w:val="18"/>
            </w:rPr>
          </w:pPr>
          <w:r w:rsidRPr="008F26D5">
            <w:rPr>
              <w:b/>
              <w:bCs/>
              <w:color w:val="808080"/>
              <w:sz w:val="18"/>
            </w:rPr>
            <w:t>Medlešická spojka</w:t>
          </w:r>
        </w:p>
      </w:tc>
      <w:tc>
        <w:tcPr>
          <w:tcW w:w="646" w:type="dxa"/>
          <w:tcBorders>
            <w:bottom w:val="single" w:sz="4" w:space="0" w:color="auto"/>
            <w:right w:val="single" w:sz="4" w:space="0" w:color="FFFFFF"/>
          </w:tcBorders>
        </w:tcPr>
        <w:p w:rsidR="003843F3" w:rsidRDefault="003843F3">
          <w:pPr>
            <w:pStyle w:val="Zpat"/>
            <w:rPr>
              <w:b/>
              <w:bCs/>
              <w:color w:val="000080"/>
              <w:highlight w:val="green"/>
            </w:rPr>
          </w:pPr>
        </w:p>
      </w:tc>
      <w:tc>
        <w:tcPr>
          <w:tcW w:w="2801" w:type="dxa"/>
          <w:tcBorders>
            <w:top w:val="single" w:sz="4" w:space="0" w:color="FFFFFF"/>
            <w:left w:val="single" w:sz="4" w:space="0" w:color="FFFFFF"/>
            <w:bottom w:val="single" w:sz="4" w:space="0" w:color="003366"/>
            <w:right w:val="single" w:sz="4" w:space="0" w:color="FFFFFF"/>
          </w:tcBorders>
          <w:vAlign w:val="center"/>
        </w:tcPr>
        <w:p w:rsidR="003843F3" w:rsidRDefault="003843F3" w:rsidP="00AE771F">
          <w:pPr>
            <w:pStyle w:val="Zpat"/>
            <w:spacing w:before="0" w:after="0" w:line="240" w:lineRule="auto"/>
            <w:ind w:left="-70" w:right="-431"/>
            <w:rPr>
              <w:b/>
              <w:bCs/>
              <w:color w:val="000080"/>
            </w:rPr>
          </w:pPr>
          <w:r>
            <w:t xml:space="preserve">  </w:t>
          </w:r>
          <w:r>
            <w:rPr>
              <w:noProof/>
              <w:lang w:eastAsia="cs-CZ"/>
            </w:rPr>
            <w:drawing>
              <wp:inline distT="0" distB="0" distL="0" distR="0" wp14:anchorId="593EBB82" wp14:editId="56AC60FD">
                <wp:extent cx="810895" cy="250190"/>
                <wp:effectExtent l="0" t="0" r="0" b="0"/>
                <wp:docPr id="79"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895" cy="250190"/>
                        </a:xfrm>
                        <a:prstGeom prst="rect">
                          <a:avLst/>
                        </a:prstGeom>
                        <a:noFill/>
                        <a:ln>
                          <a:noFill/>
                        </a:ln>
                      </pic:spPr>
                    </pic:pic>
                  </a:graphicData>
                </a:graphic>
              </wp:inline>
            </w:drawing>
          </w:r>
        </w:p>
      </w:tc>
    </w:tr>
  </w:tbl>
  <w:p w:rsidR="003843F3" w:rsidRPr="008F26D5" w:rsidRDefault="003843F3" w:rsidP="008F26D5">
    <w:pPr>
      <w:pStyle w:val="Zhlav"/>
      <w:spacing w:before="0" w:after="0" w:line="240" w:lineRule="auto"/>
      <w:rPr>
        <w:szCs w:val="20"/>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56" w:type="dxa"/>
      <w:tblInd w:w="70" w:type="dxa"/>
      <w:tblCellMar>
        <w:left w:w="70" w:type="dxa"/>
        <w:right w:w="70" w:type="dxa"/>
      </w:tblCellMar>
      <w:tblLook w:val="0000" w:firstRow="0" w:lastRow="0" w:firstColumn="0" w:lastColumn="0" w:noHBand="0" w:noVBand="0"/>
    </w:tblPr>
    <w:tblGrid>
      <w:gridCol w:w="7088"/>
      <w:gridCol w:w="425"/>
      <w:gridCol w:w="1843"/>
    </w:tblGrid>
    <w:tr w:rsidR="003843F3" w:rsidTr="00AE771F">
      <w:trPr>
        <w:cantSplit/>
        <w:trHeight w:hRule="exact" w:val="718"/>
      </w:trPr>
      <w:tc>
        <w:tcPr>
          <w:tcW w:w="7088" w:type="dxa"/>
          <w:tcBorders>
            <w:bottom w:val="single" w:sz="4" w:space="0" w:color="003366"/>
          </w:tcBorders>
        </w:tcPr>
        <w:p w:rsidR="003843F3" w:rsidRPr="00236186" w:rsidRDefault="003843F3" w:rsidP="00236186">
          <w:pPr>
            <w:pStyle w:val="Zpat"/>
            <w:spacing w:before="60" w:after="60" w:line="240" w:lineRule="auto"/>
            <w:ind w:left="-68"/>
            <w:jc w:val="left"/>
            <w:rPr>
              <w:b/>
              <w:bCs/>
              <w:color w:val="808080"/>
              <w:sz w:val="18"/>
              <w:szCs w:val="18"/>
            </w:rPr>
          </w:pPr>
          <w:r w:rsidRPr="00236186">
            <w:rPr>
              <w:b/>
              <w:bCs/>
              <w:color w:val="808080"/>
              <w:sz w:val="18"/>
              <w:szCs w:val="18"/>
            </w:rPr>
            <w:t xml:space="preserve">Modernizace trati Hradec Králové – Pardubice – Chrudim, </w:t>
          </w:r>
        </w:p>
        <w:p w:rsidR="003843F3" w:rsidRPr="00236186" w:rsidRDefault="003843F3" w:rsidP="00236186">
          <w:pPr>
            <w:pStyle w:val="Zpat"/>
            <w:spacing w:before="60" w:after="60" w:line="240" w:lineRule="auto"/>
            <w:ind w:left="-68"/>
            <w:jc w:val="left"/>
            <w:rPr>
              <w:b/>
              <w:bCs/>
              <w:color w:val="808080"/>
              <w:sz w:val="18"/>
              <w:szCs w:val="18"/>
            </w:rPr>
          </w:pPr>
          <w:r w:rsidRPr="00236186">
            <w:rPr>
              <w:b/>
              <w:bCs/>
              <w:color w:val="808080"/>
              <w:sz w:val="18"/>
              <w:szCs w:val="18"/>
            </w:rPr>
            <w:t>Studie proveditelnosti Hradec Králové – Pardubice</w:t>
          </w:r>
        </w:p>
        <w:p w:rsidR="003843F3" w:rsidRPr="008F26D5" w:rsidRDefault="003843F3" w:rsidP="008F26D5">
          <w:pPr>
            <w:pStyle w:val="Zpat"/>
            <w:ind w:left="-70"/>
            <w:jc w:val="left"/>
            <w:rPr>
              <w:b/>
              <w:bCs/>
              <w:color w:val="808080"/>
              <w:sz w:val="18"/>
            </w:rPr>
          </w:pPr>
          <w:r>
            <w:rPr>
              <w:b/>
              <w:bCs/>
              <w:color w:val="808080"/>
              <w:sz w:val="18"/>
            </w:rPr>
            <w:t>CBA</w:t>
          </w:r>
        </w:p>
        <w:p w:rsidR="003843F3" w:rsidRDefault="003843F3" w:rsidP="008F26D5">
          <w:pPr>
            <w:pStyle w:val="Zpat"/>
            <w:ind w:left="-70"/>
            <w:jc w:val="left"/>
            <w:rPr>
              <w:b/>
              <w:bCs/>
              <w:color w:val="808080"/>
              <w:sz w:val="18"/>
            </w:rPr>
          </w:pPr>
          <w:r w:rsidRPr="008F26D5">
            <w:rPr>
              <w:b/>
              <w:bCs/>
              <w:color w:val="808080"/>
              <w:sz w:val="18"/>
            </w:rPr>
            <w:t>Medlešická spojka</w:t>
          </w:r>
        </w:p>
      </w:tc>
      <w:tc>
        <w:tcPr>
          <w:tcW w:w="425" w:type="dxa"/>
          <w:tcBorders>
            <w:bottom w:val="single" w:sz="4" w:space="0" w:color="auto"/>
            <w:right w:val="single" w:sz="4" w:space="0" w:color="FFFFFF"/>
          </w:tcBorders>
        </w:tcPr>
        <w:p w:rsidR="003843F3" w:rsidRDefault="003843F3">
          <w:pPr>
            <w:pStyle w:val="Zpat"/>
            <w:rPr>
              <w:b/>
              <w:bCs/>
              <w:color w:val="000080"/>
              <w:highlight w:val="green"/>
            </w:rPr>
          </w:pPr>
        </w:p>
      </w:tc>
      <w:tc>
        <w:tcPr>
          <w:tcW w:w="1843" w:type="dxa"/>
          <w:tcBorders>
            <w:top w:val="single" w:sz="4" w:space="0" w:color="FFFFFF"/>
            <w:left w:val="single" w:sz="4" w:space="0" w:color="FFFFFF"/>
            <w:bottom w:val="single" w:sz="4" w:space="0" w:color="003366"/>
            <w:right w:val="single" w:sz="4" w:space="0" w:color="FFFFFF"/>
          </w:tcBorders>
          <w:vAlign w:val="center"/>
        </w:tcPr>
        <w:p w:rsidR="003843F3" w:rsidRDefault="003843F3" w:rsidP="00AE771F">
          <w:pPr>
            <w:pStyle w:val="Zpat"/>
            <w:spacing w:before="0" w:after="0" w:line="240" w:lineRule="auto"/>
            <w:ind w:left="-70" w:right="-431"/>
            <w:rPr>
              <w:b/>
              <w:bCs/>
              <w:color w:val="000080"/>
            </w:rPr>
          </w:pPr>
          <w:r>
            <w:t xml:space="preserve">  </w:t>
          </w:r>
          <w:r>
            <w:rPr>
              <w:noProof/>
              <w:lang w:eastAsia="cs-CZ"/>
            </w:rPr>
            <w:drawing>
              <wp:inline distT="0" distB="0" distL="0" distR="0" wp14:anchorId="7BCBC632" wp14:editId="537F7402">
                <wp:extent cx="810895" cy="250190"/>
                <wp:effectExtent l="0" t="0" r="0" b="0"/>
                <wp:docPr id="8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895" cy="250190"/>
                        </a:xfrm>
                        <a:prstGeom prst="rect">
                          <a:avLst/>
                        </a:prstGeom>
                        <a:noFill/>
                        <a:ln>
                          <a:noFill/>
                        </a:ln>
                      </pic:spPr>
                    </pic:pic>
                  </a:graphicData>
                </a:graphic>
              </wp:inline>
            </w:drawing>
          </w:r>
        </w:p>
      </w:tc>
    </w:tr>
  </w:tbl>
  <w:p w:rsidR="003843F3" w:rsidRPr="008F26D5" w:rsidRDefault="003843F3" w:rsidP="008F26D5">
    <w:pPr>
      <w:pStyle w:val="Zhlav"/>
      <w:spacing w:before="0" w:after="0" w:line="240" w:lineRule="auto"/>
      <w:rPr>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4FA4B648"/>
    <w:lvl w:ilvl="0">
      <w:start w:val="1"/>
      <w:numFmt w:val="decimal"/>
      <w:lvlText w:val="%1."/>
      <w:lvlJc w:val="left"/>
      <w:pPr>
        <w:tabs>
          <w:tab w:val="num" w:pos="1492"/>
        </w:tabs>
        <w:ind w:left="1492" w:hanging="360"/>
      </w:pPr>
    </w:lvl>
  </w:abstractNum>
  <w:abstractNum w:abstractNumId="1">
    <w:nsid w:val="FFFFFF7D"/>
    <w:multiLevelType w:val="singleLevel"/>
    <w:tmpl w:val="E2F67664"/>
    <w:lvl w:ilvl="0">
      <w:start w:val="1"/>
      <w:numFmt w:val="decimal"/>
      <w:lvlText w:val="%1."/>
      <w:lvlJc w:val="left"/>
      <w:pPr>
        <w:tabs>
          <w:tab w:val="num" w:pos="1209"/>
        </w:tabs>
        <w:ind w:left="1209" w:hanging="360"/>
      </w:pPr>
    </w:lvl>
  </w:abstractNum>
  <w:abstractNum w:abstractNumId="2">
    <w:nsid w:val="FFFFFF7E"/>
    <w:multiLevelType w:val="singleLevel"/>
    <w:tmpl w:val="66B0E258"/>
    <w:lvl w:ilvl="0">
      <w:start w:val="1"/>
      <w:numFmt w:val="decimal"/>
      <w:lvlText w:val="%1."/>
      <w:lvlJc w:val="left"/>
      <w:pPr>
        <w:tabs>
          <w:tab w:val="num" w:pos="926"/>
        </w:tabs>
        <w:ind w:left="926" w:hanging="360"/>
      </w:pPr>
    </w:lvl>
  </w:abstractNum>
  <w:abstractNum w:abstractNumId="3">
    <w:nsid w:val="FFFFFF7F"/>
    <w:multiLevelType w:val="singleLevel"/>
    <w:tmpl w:val="2F4E485C"/>
    <w:lvl w:ilvl="0">
      <w:start w:val="1"/>
      <w:numFmt w:val="decimal"/>
      <w:lvlText w:val="%1."/>
      <w:lvlJc w:val="left"/>
      <w:pPr>
        <w:tabs>
          <w:tab w:val="num" w:pos="643"/>
        </w:tabs>
        <w:ind w:left="643" w:hanging="360"/>
      </w:pPr>
    </w:lvl>
  </w:abstractNum>
  <w:abstractNum w:abstractNumId="4">
    <w:nsid w:val="FFFFFF88"/>
    <w:multiLevelType w:val="singleLevel"/>
    <w:tmpl w:val="284E809E"/>
    <w:lvl w:ilvl="0">
      <w:start w:val="1"/>
      <w:numFmt w:val="decimal"/>
      <w:lvlText w:val="%1."/>
      <w:lvlJc w:val="left"/>
      <w:pPr>
        <w:tabs>
          <w:tab w:val="num" w:pos="360"/>
        </w:tabs>
        <w:ind w:left="360" w:hanging="360"/>
      </w:pPr>
    </w:lvl>
  </w:abstractNum>
  <w:abstractNum w:abstractNumId="5">
    <w:nsid w:val="00000001"/>
    <w:multiLevelType w:val="multilevel"/>
    <w:tmpl w:val="50F8AF9E"/>
    <w:name w:val="Outline"/>
    <w:lvl w:ilvl="0">
      <w:start w:val="1"/>
      <w:numFmt w:val="decimal"/>
      <w:lvlText w:val="%1"/>
      <w:lvlJc w:val="left"/>
      <w:pPr>
        <w:tabs>
          <w:tab w:val="num" w:pos="705"/>
        </w:tabs>
      </w:pPr>
    </w:lvl>
    <w:lvl w:ilvl="1">
      <w:start w:val="1"/>
      <w:numFmt w:val="decimal"/>
      <w:lvlText w:val="%1.%2"/>
      <w:lvlJc w:val="left"/>
      <w:pPr>
        <w:tabs>
          <w:tab w:val="num" w:pos="705"/>
        </w:tabs>
      </w:pPr>
    </w:lvl>
    <w:lvl w:ilvl="2">
      <w:start w:val="1"/>
      <w:numFmt w:val="decimal"/>
      <w:lvlText w:val="%1.%2.%3"/>
      <w:lvlJc w:val="left"/>
      <w:pPr>
        <w:tabs>
          <w:tab w:val="num" w:pos="720"/>
        </w:tabs>
      </w:pPr>
    </w:lvl>
    <w:lvl w:ilvl="3">
      <w:start w:val="1"/>
      <w:numFmt w:val="decimal"/>
      <w:lvlText w:val="%1.%2.%3.%4"/>
      <w:lvlJc w:val="left"/>
      <w:pPr>
        <w:tabs>
          <w:tab w:val="num" w:pos="720"/>
        </w:tabs>
      </w:pPr>
    </w:lvl>
    <w:lvl w:ilvl="4">
      <w:start w:val="1"/>
      <w:numFmt w:val="decimal"/>
      <w:lvlText w:val="%1.%2.%3.%4.%5"/>
      <w:lvlJc w:val="left"/>
      <w:pPr>
        <w:tabs>
          <w:tab w:val="num" w:pos="1080"/>
        </w:tabs>
      </w:pPr>
    </w:lvl>
    <w:lvl w:ilvl="5">
      <w:start w:val="1"/>
      <w:numFmt w:val="decimal"/>
      <w:lvlText w:val="%1.%2.%3.%4.%5.%6"/>
      <w:lvlJc w:val="left"/>
      <w:pPr>
        <w:tabs>
          <w:tab w:val="num" w:pos="1080"/>
        </w:tabs>
      </w:pPr>
    </w:lvl>
    <w:lvl w:ilvl="6">
      <w:start w:val="1"/>
      <w:numFmt w:val="decimal"/>
      <w:lvlText w:val="%1.%2.%3.%4.%5.%6.%7"/>
      <w:lvlJc w:val="left"/>
      <w:pPr>
        <w:tabs>
          <w:tab w:val="num" w:pos="1440"/>
        </w:tabs>
      </w:pPr>
    </w:lvl>
    <w:lvl w:ilvl="7">
      <w:start w:val="1"/>
      <w:numFmt w:val="decimal"/>
      <w:lvlText w:val="%1.%2.%3.%4.%5.%6.%7.%8"/>
      <w:lvlJc w:val="left"/>
      <w:pPr>
        <w:tabs>
          <w:tab w:val="num" w:pos="1440"/>
        </w:tabs>
      </w:pPr>
    </w:lvl>
    <w:lvl w:ilvl="8">
      <w:start w:val="1"/>
      <w:numFmt w:val="decimal"/>
      <w:lvlText w:val="%1.%2.%3.%4.%5.%6.%7.%8.%9"/>
      <w:lvlJc w:val="left"/>
      <w:pPr>
        <w:tabs>
          <w:tab w:val="num" w:pos="1800"/>
        </w:tabs>
      </w:pPr>
    </w:lvl>
  </w:abstractNum>
  <w:abstractNum w:abstractNumId="6">
    <w:nsid w:val="00000002"/>
    <w:multiLevelType w:val="multilevel"/>
    <w:tmpl w:val="00000002"/>
    <w:name w:val="WW8Num16"/>
    <w:lvl w:ilvl="0">
      <w:start w:val="1"/>
      <w:numFmt w:val="bullet"/>
      <w:suff w:val="nothing"/>
      <w:lvlText w:val=""/>
      <w:lvlJc w:val="left"/>
      <w:pPr>
        <w:tabs>
          <w:tab w:val="num" w:pos="0"/>
        </w:tabs>
      </w:pPr>
      <w:rPr>
        <w:rFonts w:ascii="Symbol" w:hAnsi="Symbol"/>
      </w:rPr>
    </w:lvl>
    <w:lvl w:ilvl="1">
      <w:start w:val="4"/>
      <w:numFmt w:val="bullet"/>
      <w:suff w:val="nothing"/>
      <w:lvlText w:val="-"/>
      <w:lvlJc w:val="left"/>
      <w:pPr>
        <w:tabs>
          <w:tab w:val="num" w:pos="0"/>
        </w:tabs>
      </w:pPr>
      <w:rPr>
        <w:rFonts w:ascii="Times New Roman" w:hAnsi="Times New Roman"/>
      </w:rPr>
    </w:lvl>
    <w:lvl w:ilvl="2">
      <w:start w:val="1"/>
      <w:numFmt w:val="decimal"/>
      <w:suff w:val="nothing"/>
      <w:lvlText w:val="%3."/>
      <w:lvlJc w:val="left"/>
      <w:pPr>
        <w:tabs>
          <w:tab w:val="num" w:pos="0"/>
        </w:tabs>
      </w:pPr>
    </w:lvl>
    <w:lvl w:ilvl="3">
      <w:start w:val="1"/>
      <w:numFmt w:val="bullet"/>
      <w:suff w:val="nothing"/>
      <w:lvlText w:val=""/>
      <w:lvlJc w:val="left"/>
      <w:pPr>
        <w:tabs>
          <w:tab w:val="num" w:pos="0"/>
        </w:tabs>
      </w:pPr>
      <w:rPr>
        <w:rFonts w:ascii="Symbol" w:hAnsi="Symbol"/>
      </w:rPr>
    </w:lvl>
    <w:lvl w:ilvl="4">
      <w:start w:val="1"/>
      <w:numFmt w:val="bullet"/>
      <w:suff w:val="nothing"/>
      <w:lvlText w:val="o"/>
      <w:lvlJc w:val="left"/>
      <w:pPr>
        <w:tabs>
          <w:tab w:val="num" w:pos="0"/>
        </w:tabs>
      </w:pPr>
      <w:rPr>
        <w:rFonts w:ascii="Courier New" w:hAnsi="Courier New"/>
      </w:rPr>
    </w:lvl>
    <w:lvl w:ilvl="5">
      <w:start w:val="1"/>
      <w:numFmt w:val="bullet"/>
      <w:suff w:val="nothing"/>
      <w:lvlText w:val=""/>
      <w:lvlJc w:val="left"/>
      <w:pPr>
        <w:tabs>
          <w:tab w:val="num" w:pos="0"/>
        </w:tabs>
      </w:pPr>
      <w:rPr>
        <w:rFonts w:ascii="Wingdings" w:hAnsi="Wingdings"/>
      </w:rPr>
    </w:lvl>
    <w:lvl w:ilvl="6">
      <w:start w:val="1"/>
      <w:numFmt w:val="bullet"/>
      <w:suff w:val="nothing"/>
      <w:lvlText w:val=""/>
      <w:lvlJc w:val="left"/>
      <w:pPr>
        <w:tabs>
          <w:tab w:val="num" w:pos="0"/>
        </w:tabs>
      </w:pPr>
      <w:rPr>
        <w:rFonts w:ascii="Symbol" w:hAnsi="Symbol"/>
      </w:rPr>
    </w:lvl>
    <w:lvl w:ilvl="7">
      <w:start w:val="1"/>
      <w:numFmt w:val="bullet"/>
      <w:suff w:val="nothing"/>
      <w:lvlText w:val="o"/>
      <w:lvlJc w:val="left"/>
      <w:pPr>
        <w:tabs>
          <w:tab w:val="num" w:pos="0"/>
        </w:tabs>
      </w:pPr>
      <w:rPr>
        <w:rFonts w:ascii="Courier New" w:hAnsi="Courier New"/>
      </w:rPr>
    </w:lvl>
    <w:lvl w:ilvl="8">
      <w:start w:val="1"/>
      <w:numFmt w:val="bullet"/>
      <w:suff w:val="nothing"/>
      <w:lvlText w:val=""/>
      <w:lvlJc w:val="left"/>
      <w:pPr>
        <w:tabs>
          <w:tab w:val="num" w:pos="0"/>
        </w:tabs>
      </w:pPr>
      <w:rPr>
        <w:rFonts w:ascii="Wingdings" w:hAnsi="Wingdings"/>
      </w:rPr>
    </w:lvl>
  </w:abstractNum>
  <w:abstractNum w:abstractNumId="7">
    <w:nsid w:val="00000007"/>
    <w:multiLevelType w:val="multilevel"/>
    <w:tmpl w:val="00000007"/>
    <w:name w:val="WW8Num7"/>
    <w:lvl w:ilvl="0">
      <w:start w:val="1"/>
      <w:numFmt w:val="bullet"/>
      <w:suff w:val="nothing"/>
      <w:lvlText w:val=""/>
      <w:lvlJc w:val="left"/>
      <w:pPr>
        <w:tabs>
          <w:tab w:val="num" w:pos="0"/>
        </w:tabs>
      </w:pPr>
      <w:rPr>
        <w:rFonts w:ascii="Symbol" w:hAnsi="Symbol" w:cs="Times New Roman"/>
      </w:rPr>
    </w:lvl>
    <w:lvl w:ilvl="1">
      <w:start w:val="1"/>
      <w:numFmt w:val="bullet"/>
      <w:suff w:val="nothing"/>
      <w:lvlText w:val=""/>
      <w:lvlJc w:val="left"/>
      <w:pPr>
        <w:tabs>
          <w:tab w:val="num" w:pos="0"/>
        </w:tabs>
      </w:pPr>
      <w:rPr>
        <w:rFonts w:ascii="Symbol" w:hAnsi="Symbol" w:cs="Times New Roman"/>
      </w:rPr>
    </w:lvl>
    <w:lvl w:ilvl="2">
      <w:start w:val="1"/>
      <w:numFmt w:val="bullet"/>
      <w:suff w:val="nothing"/>
      <w:lvlText w:val=""/>
      <w:lvlJc w:val="left"/>
      <w:pPr>
        <w:tabs>
          <w:tab w:val="num" w:pos="0"/>
        </w:tabs>
      </w:pPr>
      <w:rPr>
        <w:rFonts w:ascii="Symbol" w:hAnsi="Symbol" w:cs="Times New Roman"/>
      </w:rPr>
    </w:lvl>
    <w:lvl w:ilvl="3">
      <w:start w:val="1"/>
      <w:numFmt w:val="bullet"/>
      <w:suff w:val="nothing"/>
      <w:lvlText w:val=""/>
      <w:lvlJc w:val="left"/>
      <w:pPr>
        <w:tabs>
          <w:tab w:val="num" w:pos="0"/>
        </w:tabs>
      </w:pPr>
      <w:rPr>
        <w:rFonts w:ascii="Symbol" w:hAnsi="Symbol" w:cs="Times New Roman"/>
      </w:rPr>
    </w:lvl>
    <w:lvl w:ilvl="4">
      <w:start w:val="1"/>
      <w:numFmt w:val="bullet"/>
      <w:suff w:val="nothing"/>
      <w:lvlText w:val=""/>
      <w:lvlJc w:val="left"/>
      <w:pPr>
        <w:tabs>
          <w:tab w:val="num" w:pos="0"/>
        </w:tabs>
      </w:pPr>
      <w:rPr>
        <w:rFonts w:ascii="Symbol" w:hAnsi="Symbol" w:cs="Times New Roman"/>
      </w:rPr>
    </w:lvl>
    <w:lvl w:ilvl="5">
      <w:start w:val="1"/>
      <w:numFmt w:val="bullet"/>
      <w:suff w:val="nothing"/>
      <w:lvlText w:val=""/>
      <w:lvlJc w:val="left"/>
      <w:pPr>
        <w:tabs>
          <w:tab w:val="num" w:pos="0"/>
        </w:tabs>
      </w:pPr>
      <w:rPr>
        <w:rFonts w:ascii="Symbol" w:hAnsi="Symbol" w:cs="Times New Roman"/>
      </w:rPr>
    </w:lvl>
    <w:lvl w:ilvl="6">
      <w:start w:val="1"/>
      <w:numFmt w:val="bullet"/>
      <w:suff w:val="nothing"/>
      <w:lvlText w:val=""/>
      <w:lvlJc w:val="left"/>
      <w:pPr>
        <w:tabs>
          <w:tab w:val="num" w:pos="0"/>
        </w:tabs>
      </w:pPr>
      <w:rPr>
        <w:rFonts w:ascii="Symbol" w:hAnsi="Symbol" w:cs="Times New Roman"/>
      </w:rPr>
    </w:lvl>
    <w:lvl w:ilvl="7">
      <w:start w:val="1"/>
      <w:numFmt w:val="bullet"/>
      <w:suff w:val="nothing"/>
      <w:lvlText w:val=""/>
      <w:lvlJc w:val="left"/>
      <w:pPr>
        <w:tabs>
          <w:tab w:val="num" w:pos="0"/>
        </w:tabs>
      </w:pPr>
      <w:rPr>
        <w:rFonts w:ascii="Symbol" w:hAnsi="Symbol" w:cs="Times New Roman"/>
      </w:rPr>
    </w:lvl>
    <w:lvl w:ilvl="8">
      <w:start w:val="1"/>
      <w:numFmt w:val="bullet"/>
      <w:suff w:val="nothing"/>
      <w:lvlText w:val=""/>
      <w:lvlJc w:val="left"/>
      <w:pPr>
        <w:tabs>
          <w:tab w:val="num" w:pos="0"/>
        </w:tabs>
      </w:pPr>
      <w:rPr>
        <w:rFonts w:ascii="Symbol" w:hAnsi="Symbol" w:cs="Times New Roman"/>
      </w:rPr>
    </w:lvl>
  </w:abstractNum>
  <w:abstractNum w:abstractNumId="8">
    <w:nsid w:val="01A36D05"/>
    <w:multiLevelType w:val="hybridMultilevel"/>
    <w:tmpl w:val="65A4D5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01F71BCE"/>
    <w:multiLevelType w:val="hybridMultilevel"/>
    <w:tmpl w:val="DB7EF3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02EB1801"/>
    <w:multiLevelType w:val="multilevel"/>
    <w:tmpl w:val="3C2E2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4C477DF"/>
    <w:multiLevelType w:val="hybridMultilevel"/>
    <w:tmpl w:val="5218EDC6"/>
    <w:lvl w:ilvl="0" w:tplc="CCD8372E">
      <w:numFmt w:val="bullet"/>
      <w:lvlText w:val="-"/>
      <w:lvlJc w:val="left"/>
      <w:pPr>
        <w:ind w:left="720" w:hanging="360"/>
      </w:pPr>
      <w:rPr>
        <w:rFonts w:ascii="Tahoma" w:eastAsia="Times New Roman" w:hAnsi="Tahoma" w:cs="Tahoma"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05AD6660"/>
    <w:multiLevelType w:val="hybridMultilevel"/>
    <w:tmpl w:val="553A2BC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
    <w:nsid w:val="05ED078C"/>
    <w:multiLevelType w:val="hybridMultilevel"/>
    <w:tmpl w:val="09C8C28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nsid w:val="083207E7"/>
    <w:multiLevelType w:val="hybridMultilevel"/>
    <w:tmpl w:val="BD3C5A5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nsid w:val="0B4635BF"/>
    <w:multiLevelType w:val="hybridMultilevel"/>
    <w:tmpl w:val="A4C253B8"/>
    <w:lvl w:ilvl="0" w:tplc="437433E0">
      <w:numFmt w:val="bullet"/>
      <w:lvlText w:val="-"/>
      <w:lvlJc w:val="left"/>
      <w:pPr>
        <w:ind w:left="720" w:hanging="360"/>
      </w:pPr>
      <w:rPr>
        <w:rFonts w:ascii="Tahoma" w:eastAsia="Times New Roman" w:hAnsi="Tahoma" w:cs="Tahoma"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0BEE5F3E"/>
    <w:multiLevelType w:val="hybridMultilevel"/>
    <w:tmpl w:val="4E209F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0C247A1B"/>
    <w:multiLevelType w:val="hybridMultilevel"/>
    <w:tmpl w:val="69FC4E28"/>
    <w:lvl w:ilvl="0" w:tplc="04050001">
      <w:start w:val="1"/>
      <w:numFmt w:val="bullet"/>
      <w:lvlText w:val=""/>
      <w:lvlJc w:val="left"/>
      <w:pPr>
        <w:ind w:left="910" w:hanging="360"/>
      </w:pPr>
      <w:rPr>
        <w:rFonts w:ascii="Symbol" w:hAnsi="Symbol" w:hint="default"/>
      </w:rPr>
    </w:lvl>
    <w:lvl w:ilvl="1" w:tplc="04050003" w:tentative="1">
      <w:start w:val="1"/>
      <w:numFmt w:val="bullet"/>
      <w:lvlText w:val="o"/>
      <w:lvlJc w:val="left"/>
      <w:pPr>
        <w:ind w:left="1630" w:hanging="360"/>
      </w:pPr>
      <w:rPr>
        <w:rFonts w:ascii="Courier New" w:hAnsi="Courier New" w:cs="Courier New" w:hint="default"/>
      </w:rPr>
    </w:lvl>
    <w:lvl w:ilvl="2" w:tplc="04050005" w:tentative="1">
      <w:start w:val="1"/>
      <w:numFmt w:val="bullet"/>
      <w:lvlText w:val=""/>
      <w:lvlJc w:val="left"/>
      <w:pPr>
        <w:ind w:left="2350" w:hanging="360"/>
      </w:pPr>
      <w:rPr>
        <w:rFonts w:ascii="Wingdings" w:hAnsi="Wingdings" w:hint="default"/>
      </w:rPr>
    </w:lvl>
    <w:lvl w:ilvl="3" w:tplc="04050001" w:tentative="1">
      <w:start w:val="1"/>
      <w:numFmt w:val="bullet"/>
      <w:lvlText w:val=""/>
      <w:lvlJc w:val="left"/>
      <w:pPr>
        <w:ind w:left="3070" w:hanging="360"/>
      </w:pPr>
      <w:rPr>
        <w:rFonts w:ascii="Symbol" w:hAnsi="Symbol" w:hint="default"/>
      </w:rPr>
    </w:lvl>
    <w:lvl w:ilvl="4" w:tplc="04050003" w:tentative="1">
      <w:start w:val="1"/>
      <w:numFmt w:val="bullet"/>
      <w:lvlText w:val="o"/>
      <w:lvlJc w:val="left"/>
      <w:pPr>
        <w:ind w:left="3790" w:hanging="360"/>
      </w:pPr>
      <w:rPr>
        <w:rFonts w:ascii="Courier New" w:hAnsi="Courier New" w:cs="Courier New" w:hint="default"/>
      </w:rPr>
    </w:lvl>
    <w:lvl w:ilvl="5" w:tplc="04050005" w:tentative="1">
      <w:start w:val="1"/>
      <w:numFmt w:val="bullet"/>
      <w:lvlText w:val=""/>
      <w:lvlJc w:val="left"/>
      <w:pPr>
        <w:ind w:left="4510" w:hanging="360"/>
      </w:pPr>
      <w:rPr>
        <w:rFonts w:ascii="Wingdings" w:hAnsi="Wingdings" w:hint="default"/>
      </w:rPr>
    </w:lvl>
    <w:lvl w:ilvl="6" w:tplc="04050001" w:tentative="1">
      <w:start w:val="1"/>
      <w:numFmt w:val="bullet"/>
      <w:lvlText w:val=""/>
      <w:lvlJc w:val="left"/>
      <w:pPr>
        <w:ind w:left="5230" w:hanging="360"/>
      </w:pPr>
      <w:rPr>
        <w:rFonts w:ascii="Symbol" w:hAnsi="Symbol" w:hint="default"/>
      </w:rPr>
    </w:lvl>
    <w:lvl w:ilvl="7" w:tplc="04050003" w:tentative="1">
      <w:start w:val="1"/>
      <w:numFmt w:val="bullet"/>
      <w:lvlText w:val="o"/>
      <w:lvlJc w:val="left"/>
      <w:pPr>
        <w:ind w:left="5950" w:hanging="360"/>
      </w:pPr>
      <w:rPr>
        <w:rFonts w:ascii="Courier New" w:hAnsi="Courier New" w:cs="Courier New" w:hint="default"/>
      </w:rPr>
    </w:lvl>
    <w:lvl w:ilvl="8" w:tplc="04050005" w:tentative="1">
      <w:start w:val="1"/>
      <w:numFmt w:val="bullet"/>
      <w:lvlText w:val=""/>
      <w:lvlJc w:val="left"/>
      <w:pPr>
        <w:ind w:left="6670" w:hanging="360"/>
      </w:pPr>
      <w:rPr>
        <w:rFonts w:ascii="Wingdings" w:hAnsi="Wingdings" w:hint="default"/>
      </w:rPr>
    </w:lvl>
  </w:abstractNum>
  <w:abstractNum w:abstractNumId="18">
    <w:nsid w:val="129A5C7E"/>
    <w:multiLevelType w:val="multilevel"/>
    <w:tmpl w:val="51E66FA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16852A21"/>
    <w:multiLevelType w:val="hybridMultilevel"/>
    <w:tmpl w:val="BD947806"/>
    <w:lvl w:ilvl="0" w:tplc="04090019">
      <w:start w:val="1"/>
      <w:numFmt w:val="lowerLetter"/>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186B7713"/>
    <w:multiLevelType w:val="hybridMultilevel"/>
    <w:tmpl w:val="721E421E"/>
    <w:lvl w:ilvl="0" w:tplc="04050017">
      <w:start w:val="1"/>
      <w:numFmt w:val="lowerLetter"/>
      <w:lvlText w:val="%1)"/>
      <w:lvlJc w:val="left"/>
      <w:pPr>
        <w:ind w:left="720" w:hanging="360"/>
      </w:pPr>
      <w:rPr>
        <w:rFonts w:hint="default"/>
      </w:rPr>
    </w:lvl>
    <w:lvl w:ilvl="1" w:tplc="04050001">
      <w:start w:val="1"/>
      <w:numFmt w:val="bullet"/>
      <w:lvlText w:val=""/>
      <w:lvlJc w:val="left"/>
      <w:pPr>
        <w:ind w:left="1440" w:hanging="360"/>
      </w:pPr>
      <w:rPr>
        <w:rFonts w:ascii="Symbol" w:hAnsi="Symbol" w:hint="default"/>
      </w:rPr>
    </w:lvl>
    <w:lvl w:ilvl="2" w:tplc="04050001">
      <w:start w:val="1"/>
      <w:numFmt w:val="bullet"/>
      <w:lvlText w:val=""/>
      <w:lvlJc w:val="left"/>
      <w:pPr>
        <w:ind w:left="2160" w:hanging="180"/>
      </w:pPr>
      <w:rPr>
        <w:rFonts w:ascii="Symbol" w:hAnsi="Symbol" w:hint="default"/>
      </w:r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19A5782D"/>
    <w:multiLevelType w:val="hybridMultilevel"/>
    <w:tmpl w:val="B094C90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nsid w:val="27FD3D64"/>
    <w:multiLevelType w:val="hybridMultilevel"/>
    <w:tmpl w:val="E49CAF68"/>
    <w:lvl w:ilvl="0" w:tplc="04050001">
      <w:start w:val="1"/>
      <w:numFmt w:val="bullet"/>
      <w:lvlText w:val=""/>
      <w:lvlJc w:val="left"/>
      <w:pPr>
        <w:ind w:left="788" w:hanging="360"/>
      </w:pPr>
      <w:rPr>
        <w:rFonts w:ascii="Symbol" w:hAnsi="Symbol" w:hint="default"/>
      </w:rPr>
    </w:lvl>
    <w:lvl w:ilvl="1" w:tplc="04050003">
      <w:start w:val="1"/>
      <w:numFmt w:val="bullet"/>
      <w:lvlText w:val="o"/>
      <w:lvlJc w:val="left"/>
      <w:pPr>
        <w:ind w:left="1508" w:hanging="360"/>
      </w:pPr>
      <w:rPr>
        <w:rFonts w:ascii="Courier New" w:hAnsi="Courier New" w:cs="Courier New" w:hint="default"/>
      </w:rPr>
    </w:lvl>
    <w:lvl w:ilvl="2" w:tplc="04050005" w:tentative="1">
      <w:start w:val="1"/>
      <w:numFmt w:val="bullet"/>
      <w:lvlText w:val=""/>
      <w:lvlJc w:val="left"/>
      <w:pPr>
        <w:ind w:left="2228" w:hanging="360"/>
      </w:pPr>
      <w:rPr>
        <w:rFonts w:ascii="Wingdings" w:hAnsi="Wingdings" w:hint="default"/>
      </w:rPr>
    </w:lvl>
    <w:lvl w:ilvl="3" w:tplc="04050001" w:tentative="1">
      <w:start w:val="1"/>
      <w:numFmt w:val="bullet"/>
      <w:lvlText w:val=""/>
      <w:lvlJc w:val="left"/>
      <w:pPr>
        <w:ind w:left="2948" w:hanging="360"/>
      </w:pPr>
      <w:rPr>
        <w:rFonts w:ascii="Symbol" w:hAnsi="Symbol" w:hint="default"/>
      </w:rPr>
    </w:lvl>
    <w:lvl w:ilvl="4" w:tplc="04050003" w:tentative="1">
      <w:start w:val="1"/>
      <w:numFmt w:val="bullet"/>
      <w:lvlText w:val="o"/>
      <w:lvlJc w:val="left"/>
      <w:pPr>
        <w:ind w:left="3668" w:hanging="360"/>
      </w:pPr>
      <w:rPr>
        <w:rFonts w:ascii="Courier New" w:hAnsi="Courier New" w:cs="Courier New" w:hint="default"/>
      </w:rPr>
    </w:lvl>
    <w:lvl w:ilvl="5" w:tplc="04050005" w:tentative="1">
      <w:start w:val="1"/>
      <w:numFmt w:val="bullet"/>
      <w:lvlText w:val=""/>
      <w:lvlJc w:val="left"/>
      <w:pPr>
        <w:ind w:left="4388" w:hanging="360"/>
      </w:pPr>
      <w:rPr>
        <w:rFonts w:ascii="Wingdings" w:hAnsi="Wingdings" w:hint="default"/>
      </w:rPr>
    </w:lvl>
    <w:lvl w:ilvl="6" w:tplc="04050001" w:tentative="1">
      <w:start w:val="1"/>
      <w:numFmt w:val="bullet"/>
      <w:lvlText w:val=""/>
      <w:lvlJc w:val="left"/>
      <w:pPr>
        <w:ind w:left="5108" w:hanging="360"/>
      </w:pPr>
      <w:rPr>
        <w:rFonts w:ascii="Symbol" w:hAnsi="Symbol" w:hint="default"/>
      </w:rPr>
    </w:lvl>
    <w:lvl w:ilvl="7" w:tplc="04050003" w:tentative="1">
      <w:start w:val="1"/>
      <w:numFmt w:val="bullet"/>
      <w:lvlText w:val="o"/>
      <w:lvlJc w:val="left"/>
      <w:pPr>
        <w:ind w:left="5828" w:hanging="360"/>
      </w:pPr>
      <w:rPr>
        <w:rFonts w:ascii="Courier New" w:hAnsi="Courier New" w:cs="Courier New" w:hint="default"/>
      </w:rPr>
    </w:lvl>
    <w:lvl w:ilvl="8" w:tplc="04050005" w:tentative="1">
      <w:start w:val="1"/>
      <w:numFmt w:val="bullet"/>
      <w:lvlText w:val=""/>
      <w:lvlJc w:val="left"/>
      <w:pPr>
        <w:ind w:left="6548" w:hanging="360"/>
      </w:pPr>
      <w:rPr>
        <w:rFonts w:ascii="Wingdings" w:hAnsi="Wingdings" w:hint="default"/>
      </w:rPr>
    </w:lvl>
  </w:abstractNum>
  <w:abstractNum w:abstractNumId="23">
    <w:nsid w:val="2BDC3FAD"/>
    <w:multiLevelType w:val="hybridMultilevel"/>
    <w:tmpl w:val="FE442C38"/>
    <w:lvl w:ilvl="0" w:tplc="04050001">
      <w:start w:val="1"/>
      <w:numFmt w:val="bullet"/>
      <w:lvlText w:val=""/>
      <w:lvlJc w:val="left"/>
      <w:pPr>
        <w:ind w:left="786"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nsid w:val="2F200C86"/>
    <w:multiLevelType w:val="hybridMultilevel"/>
    <w:tmpl w:val="0AACC3A0"/>
    <w:lvl w:ilvl="0" w:tplc="D45ED7B6">
      <w:start w:val="1"/>
      <w:numFmt w:val="lowerLetter"/>
      <w:lvlText w:val="%1)"/>
      <w:lvlJc w:val="left"/>
      <w:pPr>
        <w:ind w:left="1065" w:hanging="705"/>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nsid w:val="2FCD13E6"/>
    <w:multiLevelType w:val="hybridMultilevel"/>
    <w:tmpl w:val="32A8D76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nsid w:val="328562F2"/>
    <w:multiLevelType w:val="hybridMultilevel"/>
    <w:tmpl w:val="C5E2F7EE"/>
    <w:lvl w:ilvl="0" w:tplc="F51857C6">
      <w:start w:val="1"/>
      <w:numFmt w:val="lowerLetter"/>
      <w:lvlText w:val="%1)"/>
      <w:lvlJc w:val="left"/>
      <w:pPr>
        <w:ind w:left="480" w:hanging="360"/>
      </w:pPr>
      <w:rPr>
        <w:rFonts w:hint="default"/>
      </w:rPr>
    </w:lvl>
    <w:lvl w:ilvl="1" w:tplc="04050019" w:tentative="1">
      <w:start w:val="1"/>
      <w:numFmt w:val="lowerLetter"/>
      <w:lvlText w:val="%2."/>
      <w:lvlJc w:val="left"/>
      <w:pPr>
        <w:ind w:left="1200" w:hanging="360"/>
      </w:pPr>
    </w:lvl>
    <w:lvl w:ilvl="2" w:tplc="0405001B" w:tentative="1">
      <w:start w:val="1"/>
      <w:numFmt w:val="lowerRoman"/>
      <w:lvlText w:val="%3."/>
      <w:lvlJc w:val="right"/>
      <w:pPr>
        <w:ind w:left="1920" w:hanging="180"/>
      </w:pPr>
    </w:lvl>
    <w:lvl w:ilvl="3" w:tplc="0405000F" w:tentative="1">
      <w:start w:val="1"/>
      <w:numFmt w:val="decimal"/>
      <w:lvlText w:val="%4."/>
      <w:lvlJc w:val="left"/>
      <w:pPr>
        <w:ind w:left="2640" w:hanging="360"/>
      </w:pPr>
    </w:lvl>
    <w:lvl w:ilvl="4" w:tplc="04050019" w:tentative="1">
      <w:start w:val="1"/>
      <w:numFmt w:val="lowerLetter"/>
      <w:lvlText w:val="%5."/>
      <w:lvlJc w:val="left"/>
      <w:pPr>
        <w:ind w:left="3360" w:hanging="360"/>
      </w:pPr>
    </w:lvl>
    <w:lvl w:ilvl="5" w:tplc="0405001B" w:tentative="1">
      <w:start w:val="1"/>
      <w:numFmt w:val="lowerRoman"/>
      <w:lvlText w:val="%6."/>
      <w:lvlJc w:val="right"/>
      <w:pPr>
        <w:ind w:left="4080" w:hanging="180"/>
      </w:pPr>
    </w:lvl>
    <w:lvl w:ilvl="6" w:tplc="0405000F" w:tentative="1">
      <w:start w:val="1"/>
      <w:numFmt w:val="decimal"/>
      <w:lvlText w:val="%7."/>
      <w:lvlJc w:val="left"/>
      <w:pPr>
        <w:ind w:left="4800" w:hanging="360"/>
      </w:pPr>
    </w:lvl>
    <w:lvl w:ilvl="7" w:tplc="04050019" w:tentative="1">
      <w:start w:val="1"/>
      <w:numFmt w:val="lowerLetter"/>
      <w:lvlText w:val="%8."/>
      <w:lvlJc w:val="left"/>
      <w:pPr>
        <w:ind w:left="5520" w:hanging="360"/>
      </w:pPr>
    </w:lvl>
    <w:lvl w:ilvl="8" w:tplc="0405001B" w:tentative="1">
      <w:start w:val="1"/>
      <w:numFmt w:val="lowerRoman"/>
      <w:lvlText w:val="%9."/>
      <w:lvlJc w:val="right"/>
      <w:pPr>
        <w:ind w:left="6240" w:hanging="180"/>
      </w:pPr>
    </w:lvl>
  </w:abstractNum>
  <w:abstractNum w:abstractNumId="27">
    <w:nsid w:val="358B6172"/>
    <w:multiLevelType w:val="hybridMultilevel"/>
    <w:tmpl w:val="2F205E5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nsid w:val="362C621C"/>
    <w:multiLevelType w:val="hybridMultilevel"/>
    <w:tmpl w:val="4E2A1AC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nsid w:val="36D67950"/>
    <w:multiLevelType w:val="hybridMultilevel"/>
    <w:tmpl w:val="330CD76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nsid w:val="3C55567F"/>
    <w:multiLevelType w:val="hybridMultilevel"/>
    <w:tmpl w:val="27FE9C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nsid w:val="3D1B7F34"/>
    <w:multiLevelType w:val="hybridMultilevel"/>
    <w:tmpl w:val="8C2AA4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nsid w:val="3EBE518C"/>
    <w:multiLevelType w:val="multilevel"/>
    <w:tmpl w:val="521A35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11C1598"/>
    <w:multiLevelType w:val="hybridMultilevel"/>
    <w:tmpl w:val="38743E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nsid w:val="4C923666"/>
    <w:multiLevelType w:val="hybridMultilevel"/>
    <w:tmpl w:val="5B38C8BC"/>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5">
    <w:nsid w:val="4DFA392F"/>
    <w:multiLevelType w:val="hybridMultilevel"/>
    <w:tmpl w:val="10F290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nsid w:val="4F374361"/>
    <w:multiLevelType w:val="multilevel"/>
    <w:tmpl w:val="E786B8F8"/>
    <w:lvl w:ilvl="0">
      <w:start w:val="1"/>
      <w:numFmt w:val="decimal"/>
      <w:pStyle w:val="Nadpis1"/>
      <w:lvlText w:val="%1"/>
      <w:lvlJc w:val="left"/>
      <w:pPr>
        <w:tabs>
          <w:tab w:val="num" w:pos="716"/>
        </w:tabs>
        <w:ind w:left="716" w:hanging="432"/>
      </w:pPr>
    </w:lvl>
    <w:lvl w:ilvl="1">
      <w:start w:val="1"/>
      <w:numFmt w:val="decimal"/>
      <w:pStyle w:val="Nadpis2"/>
      <w:lvlText w:val="%1.%2"/>
      <w:lvlJc w:val="left"/>
      <w:pPr>
        <w:tabs>
          <w:tab w:val="num" w:pos="5963"/>
        </w:tabs>
        <w:ind w:left="5963" w:hanging="576"/>
      </w:pPr>
    </w:lvl>
    <w:lvl w:ilvl="2">
      <w:start w:val="1"/>
      <w:numFmt w:val="decimal"/>
      <w:pStyle w:val="Nadpis3"/>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Nadpis6"/>
      <w:lvlText w:val="%1.%2.%3.%4.%5.%6"/>
      <w:lvlJc w:val="left"/>
      <w:pPr>
        <w:tabs>
          <w:tab w:val="num" w:pos="1152"/>
        </w:tabs>
        <w:ind w:left="1152" w:hanging="1152"/>
      </w:pPr>
    </w:lvl>
    <w:lvl w:ilvl="6">
      <w:start w:val="1"/>
      <w:numFmt w:val="decimal"/>
      <w:pStyle w:val="Nadpis7"/>
      <w:lvlText w:val="%1.%2.%3.%4.%5.%6.%7"/>
      <w:lvlJc w:val="left"/>
      <w:pPr>
        <w:tabs>
          <w:tab w:val="num" w:pos="1296"/>
        </w:tabs>
        <w:ind w:left="1296" w:hanging="1296"/>
      </w:pPr>
    </w:lvl>
    <w:lvl w:ilvl="7">
      <w:start w:val="1"/>
      <w:numFmt w:val="decimal"/>
      <w:pStyle w:val="Nadpis8"/>
      <w:lvlText w:val="%1.%2.%3.%4.%5.%6.%7.%8"/>
      <w:lvlJc w:val="left"/>
      <w:pPr>
        <w:tabs>
          <w:tab w:val="num" w:pos="1440"/>
        </w:tabs>
        <w:ind w:left="1440" w:hanging="1440"/>
      </w:pPr>
    </w:lvl>
    <w:lvl w:ilvl="8">
      <w:start w:val="1"/>
      <w:numFmt w:val="decimal"/>
      <w:pStyle w:val="Nadpis9"/>
      <w:lvlText w:val="%1.%2.%3.%4.%5.%6.%7.%8.%9"/>
      <w:lvlJc w:val="left"/>
      <w:pPr>
        <w:tabs>
          <w:tab w:val="num" w:pos="1584"/>
        </w:tabs>
        <w:ind w:left="1584" w:hanging="1584"/>
      </w:pPr>
    </w:lvl>
  </w:abstractNum>
  <w:abstractNum w:abstractNumId="37">
    <w:nsid w:val="50910D2E"/>
    <w:multiLevelType w:val="multilevel"/>
    <w:tmpl w:val="AA448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0A33464"/>
    <w:multiLevelType w:val="multilevel"/>
    <w:tmpl w:val="65F4D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51A439E6"/>
    <w:multiLevelType w:val="hybridMultilevel"/>
    <w:tmpl w:val="EDC2C15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0">
    <w:nsid w:val="536A466E"/>
    <w:multiLevelType w:val="hybridMultilevel"/>
    <w:tmpl w:val="FC3297BA"/>
    <w:lvl w:ilvl="0" w:tplc="0405000F">
      <w:start w:val="1"/>
      <w:numFmt w:val="decimal"/>
      <w:lvlText w:val="%1."/>
      <w:lvlJc w:val="left"/>
      <w:pPr>
        <w:tabs>
          <w:tab w:val="num" w:pos="720"/>
        </w:tabs>
        <w:ind w:left="720" w:hanging="360"/>
      </w:pPr>
      <w:rPr>
        <w:rFonts w:hint="default"/>
      </w:rPr>
    </w:lvl>
    <w:lvl w:ilvl="1" w:tplc="22FCA730">
      <w:start w:val="1"/>
      <w:numFmt w:val="bullet"/>
      <w:lvlText w:val="-"/>
      <w:lvlJc w:val="left"/>
      <w:pPr>
        <w:tabs>
          <w:tab w:val="num" w:pos="1440"/>
        </w:tabs>
        <w:ind w:left="1440" w:hanging="360"/>
      </w:pPr>
      <w:rPr>
        <w:rFonts w:ascii="Arial" w:eastAsia="Calibri" w:hAnsi="Arial" w:cs="Aria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1">
    <w:nsid w:val="53D31DAB"/>
    <w:multiLevelType w:val="hybridMultilevel"/>
    <w:tmpl w:val="B53C4D08"/>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2">
    <w:nsid w:val="54B02773"/>
    <w:multiLevelType w:val="hybridMultilevel"/>
    <w:tmpl w:val="57DE6AD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nsid w:val="55C64523"/>
    <w:multiLevelType w:val="hybridMultilevel"/>
    <w:tmpl w:val="4BA44B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nsid w:val="58E63DC2"/>
    <w:multiLevelType w:val="hybridMultilevel"/>
    <w:tmpl w:val="E7AEB1C4"/>
    <w:lvl w:ilvl="0" w:tplc="08090001">
      <w:start w:val="1"/>
      <w:numFmt w:val="bullet"/>
      <w:lvlText w:val=""/>
      <w:lvlJc w:val="left"/>
      <w:pPr>
        <w:tabs>
          <w:tab w:val="num" w:pos="2148"/>
        </w:tabs>
        <w:ind w:left="2148" w:hanging="360"/>
      </w:pPr>
      <w:rPr>
        <w:rFonts w:ascii="Symbol" w:hAnsi="Symbol" w:hint="default"/>
      </w:rPr>
    </w:lvl>
    <w:lvl w:ilvl="1" w:tplc="08090003">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45">
    <w:nsid w:val="5AC16993"/>
    <w:multiLevelType w:val="hybridMultilevel"/>
    <w:tmpl w:val="178A8E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nsid w:val="64F84D88"/>
    <w:multiLevelType w:val="hybridMultilevel"/>
    <w:tmpl w:val="07E42526"/>
    <w:lvl w:ilvl="0" w:tplc="E4CE42C6">
      <w:start w:val="1"/>
      <w:numFmt w:val="decimal"/>
      <w:lvlText w:val="%1."/>
      <w:lvlJc w:val="left"/>
      <w:pPr>
        <w:ind w:left="840" w:hanging="360"/>
      </w:pPr>
      <w:rPr>
        <w:rFonts w:hint="default"/>
      </w:rPr>
    </w:lvl>
    <w:lvl w:ilvl="1" w:tplc="04050019" w:tentative="1">
      <w:start w:val="1"/>
      <w:numFmt w:val="lowerLetter"/>
      <w:lvlText w:val="%2."/>
      <w:lvlJc w:val="left"/>
      <w:pPr>
        <w:ind w:left="1560" w:hanging="360"/>
      </w:pPr>
    </w:lvl>
    <w:lvl w:ilvl="2" w:tplc="0405001B" w:tentative="1">
      <w:start w:val="1"/>
      <w:numFmt w:val="lowerRoman"/>
      <w:lvlText w:val="%3."/>
      <w:lvlJc w:val="right"/>
      <w:pPr>
        <w:ind w:left="2280" w:hanging="180"/>
      </w:pPr>
    </w:lvl>
    <w:lvl w:ilvl="3" w:tplc="0405000F" w:tentative="1">
      <w:start w:val="1"/>
      <w:numFmt w:val="decimal"/>
      <w:lvlText w:val="%4."/>
      <w:lvlJc w:val="left"/>
      <w:pPr>
        <w:ind w:left="3000" w:hanging="360"/>
      </w:pPr>
    </w:lvl>
    <w:lvl w:ilvl="4" w:tplc="04050019" w:tentative="1">
      <w:start w:val="1"/>
      <w:numFmt w:val="lowerLetter"/>
      <w:lvlText w:val="%5."/>
      <w:lvlJc w:val="left"/>
      <w:pPr>
        <w:ind w:left="3720" w:hanging="360"/>
      </w:pPr>
    </w:lvl>
    <w:lvl w:ilvl="5" w:tplc="0405001B" w:tentative="1">
      <w:start w:val="1"/>
      <w:numFmt w:val="lowerRoman"/>
      <w:lvlText w:val="%6."/>
      <w:lvlJc w:val="right"/>
      <w:pPr>
        <w:ind w:left="4440" w:hanging="180"/>
      </w:pPr>
    </w:lvl>
    <w:lvl w:ilvl="6" w:tplc="0405000F" w:tentative="1">
      <w:start w:val="1"/>
      <w:numFmt w:val="decimal"/>
      <w:lvlText w:val="%7."/>
      <w:lvlJc w:val="left"/>
      <w:pPr>
        <w:ind w:left="5160" w:hanging="360"/>
      </w:pPr>
    </w:lvl>
    <w:lvl w:ilvl="7" w:tplc="04050019" w:tentative="1">
      <w:start w:val="1"/>
      <w:numFmt w:val="lowerLetter"/>
      <w:lvlText w:val="%8."/>
      <w:lvlJc w:val="left"/>
      <w:pPr>
        <w:ind w:left="5880" w:hanging="360"/>
      </w:pPr>
    </w:lvl>
    <w:lvl w:ilvl="8" w:tplc="0405001B" w:tentative="1">
      <w:start w:val="1"/>
      <w:numFmt w:val="lowerRoman"/>
      <w:lvlText w:val="%9."/>
      <w:lvlJc w:val="right"/>
      <w:pPr>
        <w:ind w:left="6600" w:hanging="180"/>
      </w:pPr>
    </w:lvl>
  </w:abstractNum>
  <w:abstractNum w:abstractNumId="47">
    <w:nsid w:val="68386ADC"/>
    <w:multiLevelType w:val="hybridMultilevel"/>
    <w:tmpl w:val="8FBCBF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nsid w:val="68D15924"/>
    <w:multiLevelType w:val="hybridMultilevel"/>
    <w:tmpl w:val="F94098F8"/>
    <w:lvl w:ilvl="0" w:tplc="B4E2B78C">
      <w:start w:val="1"/>
      <w:numFmt w:val="bullet"/>
      <w:lvlText w:val="-"/>
      <w:lvlJc w:val="left"/>
      <w:pPr>
        <w:ind w:left="720" w:hanging="360"/>
      </w:pPr>
      <w:rPr>
        <w:rFonts w:ascii="Arial" w:eastAsia="Calibr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nsid w:val="69702D38"/>
    <w:multiLevelType w:val="multilevel"/>
    <w:tmpl w:val="D842F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69B0631B"/>
    <w:multiLevelType w:val="hybridMultilevel"/>
    <w:tmpl w:val="CCCC4B42"/>
    <w:lvl w:ilvl="0" w:tplc="F7E6D65A">
      <w:start w:val="1"/>
      <w:numFmt w:val="lowerLetter"/>
      <w:lvlText w:val="%1)"/>
      <w:lvlJc w:val="left"/>
      <w:pPr>
        <w:ind w:left="480" w:hanging="360"/>
      </w:pPr>
      <w:rPr>
        <w:rFonts w:hint="default"/>
      </w:rPr>
    </w:lvl>
    <w:lvl w:ilvl="1" w:tplc="04050019" w:tentative="1">
      <w:start w:val="1"/>
      <w:numFmt w:val="lowerLetter"/>
      <w:lvlText w:val="%2."/>
      <w:lvlJc w:val="left"/>
      <w:pPr>
        <w:ind w:left="1200" w:hanging="360"/>
      </w:pPr>
    </w:lvl>
    <w:lvl w:ilvl="2" w:tplc="0405001B" w:tentative="1">
      <w:start w:val="1"/>
      <w:numFmt w:val="lowerRoman"/>
      <w:lvlText w:val="%3."/>
      <w:lvlJc w:val="right"/>
      <w:pPr>
        <w:ind w:left="1920" w:hanging="180"/>
      </w:pPr>
    </w:lvl>
    <w:lvl w:ilvl="3" w:tplc="0405000F" w:tentative="1">
      <w:start w:val="1"/>
      <w:numFmt w:val="decimal"/>
      <w:lvlText w:val="%4."/>
      <w:lvlJc w:val="left"/>
      <w:pPr>
        <w:ind w:left="2640" w:hanging="360"/>
      </w:pPr>
    </w:lvl>
    <w:lvl w:ilvl="4" w:tplc="04050019" w:tentative="1">
      <w:start w:val="1"/>
      <w:numFmt w:val="lowerLetter"/>
      <w:lvlText w:val="%5."/>
      <w:lvlJc w:val="left"/>
      <w:pPr>
        <w:ind w:left="3360" w:hanging="360"/>
      </w:pPr>
    </w:lvl>
    <w:lvl w:ilvl="5" w:tplc="0405001B" w:tentative="1">
      <w:start w:val="1"/>
      <w:numFmt w:val="lowerRoman"/>
      <w:lvlText w:val="%6."/>
      <w:lvlJc w:val="right"/>
      <w:pPr>
        <w:ind w:left="4080" w:hanging="180"/>
      </w:pPr>
    </w:lvl>
    <w:lvl w:ilvl="6" w:tplc="0405000F" w:tentative="1">
      <w:start w:val="1"/>
      <w:numFmt w:val="decimal"/>
      <w:lvlText w:val="%7."/>
      <w:lvlJc w:val="left"/>
      <w:pPr>
        <w:ind w:left="4800" w:hanging="360"/>
      </w:pPr>
    </w:lvl>
    <w:lvl w:ilvl="7" w:tplc="04050019" w:tentative="1">
      <w:start w:val="1"/>
      <w:numFmt w:val="lowerLetter"/>
      <w:lvlText w:val="%8."/>
      <w:lvlJc w:val="left"/>
      <w:pPr>
        <w:ind w:left="5520" w:hanging="360"/>
      </w:pPr>
    </w:lvl>
    <w:lvl w:ilvl="8" w:tplc="0405001B" w:tentative="1">
      <w:start w:val="1"/>
      <w:numFmt w:val="lowerRoman"/>
      <w:lvlText w:val="%9."/>
      <w:lvlJc w:val="right"/>
      <w:pPr>
        <w:ind w:left="6240" w:hanging="180"/>
      </w:pPr>
    </w:lvl>
  </w:abstractNum>
  <w:abstractNum w:abstractNumId="51">
    <w:nsid w:val="6AC601AE"/>
    <w:multiLevelType w:val="hybridMultilevel"/>
    <w:tmpl w:val="134000AE"/>
    <w:lvl w:ilvl="0" w:tplc="5CD49C00">
      <w:start w:val="1"/>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nsid w:val="6B282F9C"/>
    <w:multiLevelType w:val="hybridMultilevel"/>
    <w:tmpl w:val="8A72B724"/>
    <w:lvl w:ilvl="0" w:tplc="BA9806D6">
      <w:start w:val="1"/>
      <w:numFmt w:val="decimal"/>
      <w:lvlText w:val="%1."/>
      <w:lvlJc w:val="left"/>
      <w:pPr>
        <w:ind w:left="360" w:hanging="360"/>
      </w:pPr>
      <w:rPr>
        <w:b/>
        <w:i w:val="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3">
    <w:nsid w:val="6B445EAD"/>
    <w:multiLevelType w:val="hybridMultilevel"/>
    <w:tmpl w:val="CB88A6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nsid w:val="6C9F5DD8"/>
    <w:multiLevelType w:val="hybridMultilevel"/>
    <w:tmpl w:val="DBE229F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nsid w:val="6F52597B"/>
    <w:multiLevelType w:val="hybridMultilevel"/>
    <w:tmpl w:val="3BC677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nsid w:val="711170FD"/>
    <w:multiLevelType w:val="hybridMultilevel"/>
    <w:tmpl w:val="EC949E4A"/>
    <w:lvl w:ilvl="0" w:tplc="20BAC60C">
      <w:start w:val="1"/>
      <w:numFmt w:val="bullet"/>
      <w:pStyle w:val="seznamsodrazkami"/>
      <w:lvlText w:val=""/>
      <w:lvlJc w:val="left"/>
      <w:pPr>
        <w:tabs>
          <w:tab w:val="num" w:pos="1287"/>
        </w:tabs>
        <w:ind w:left="1287" w:hanging="360"/>
      </w:pPr>
      <w:rPr>
        <w:rFonts w:ascii="Symbol" w:hAnsi="Symbol" w:hint="default"/>
      </w:rPr>
    </w:lvl>
    <w:lvl w:ilvl="1" w:tplc="04050003">
      <w:start w:val="1"/>
      <w:numFmt w:val="bullet"/>
      <w:lvlText w:val="o"/>
      <w:lvlJc w:val="left"/>
      <w:pPr>
        <w:tabs>
          <w:tab w:val="num" w:pos="2007"/>
        </w:tabs>
        <w:ind w:left="2007" w:hanging="360"/>
      </w:pPr>
      <w:rPr>
        <w:rFonts w:ascii="Courier New" w:hAnsi="Courier New" w:hint="default"/>
      </w:rPr>
    </w:lvl>
    <w:lvl w:ilvl="2" w:tplc="04050005" w:tentative="1">
      <w:start w:val="1"/>
      <w:numFmt w:val="bullet"/>
      <w:lvlText w:val=""/>
      <w:lvlJc w:val="left"/>
      <w:pPr>
        <w:tabs>
          <w:tab w:val="num" w:pos="2727"/>
        </w:tabs>
        <w:ind w:left="2727" w:hanging="360"/>
      </w:pPr>
      <w:rPr>
        <w:rFonts w:ascii="Wingdings" w:hAnsi="Wingdings" w:hint="default"/>
      </w:rPr>
    </w:lvl>
    <w:lvl w:ilvl="3" w:tplc="04050001" w:tentative="1">
      <w:start w:val="1"/>
      <w:numFmt w:val="bullet"/>
      <w:lvlText w:val=""/>
      <w:lvlJc w:val="left"/>
      <w:pPr>
        <w:tabs>
          <w:tab w:val="num" w:pos="3447"/>
        </w:tabs>
        <w:ind w:left="3447" w:hanging="360"/>
      </w:pPr>
      <w:rPr>
        <w:rFonts w:ascii="Symbol" w:hAnsi="Symbol" w:hint="default"/>
      </w:rPr>
    </w:lvl>
    <w:lvl w:ilvl="4" w:tplc="04050003" w:tentative="1">
      <w:start w:val="1"/>
      <w:numFmt w:val="bullet"/>
      <w:lvlText w:val="o"/>
      <w:lvlJc w:val="left"/>
      <w:pPr>
        <w:tabs>
          <w:tab w:val="num" w:pos="4167"/>
        </w:tabs>
        <w:ind w:left="4167" w:hanging="360"/>
      </w:pPr>
      <w:rPr>
        <w:rFonts w:ascii="Courier New" w:hAnsi="Courier New" w:hint="default"/>
      </w:rPr>
    </w:lvl>
    <w:lvl w:ilvl="5" w:tplc="04050005" w:tentative="1">
      <w:start w:val="1"/>
      <w:numFmt w:val="bullet"/>
      <w:lvlText w:val=""/>
      <w:lvlJc w:val="left"/>
      <w:pPr>
        <w:tabs>
          <w:tab w:val="num" w:pos="4887"/>
        </w:tabs>
        <w:ind w:left="4887" w:hanging="360"/>
      </w:pPr>
      <w:rPr>
        <w:rFonts w:ascii="Wingdings" w:hAnsi="Wingdings" w:hint="default"/>
      </w:rPr>
    </w:lvl>
    <w:lvl w:ilvl="6" w:tplc="04050001" w:tentative="1">
      <w:start w:val="1"/>
      <w:numFmt w:val="bullet"/>
      <w:lvlText w:val=""/>
      <w:lvlJc w:val="left"/>
      <w:pPr>
        <w:tabs>
          <w:tab w:val="num" w:pos="5607"/>
        </w:tabs>
        <w:ind w:left="5607" w:hanging="360"/>
      </w:pPr>
      <w:rPr>
        <w:rFonts w:ascii="Symbol" w:hAnsi="Symbol" w:hint="default"/>
      </w:rPr>
    </w:lvl>
    <w:lvl w:ilvl="7" w:tplc="04050003" w:tentative="1">
      <w:start w:val="1"/>
      <w:numFmt w:val="bullet"/>
      <w:lvlText w:val="o"/>
      <w:lvlJc w:val="left"/>
      <w:pPr>
        <w:tabs>
          <w:tab w:val="num" w:pos="6327"/>
        </w:tabs>
        <w:ind w:left="6327" w:hanging="360"/>
      </w:pPr>
      <w:rPr>
        <w:rFonts w:ascii="Courier New" w:hAnsi="Courier New" w:hint="default"/>
      </w:rPr>
    </w:lvl>
    <w:lvl w:ilvl="8" w:tplc="04050005" w:tentative="1">
      <w:start w:val="1"/>
      <w:numFmt w:val="bullet"/>
      <w:lvlText w:val=""/>
      <w:lvlJc w:val="left"/>
      <w:pPr>
        <w:tabs>
          <w:tab w:val="num" w:pos="7047"/>
        </w:tabs>
        <w:ind w:left="7047" w:hanging="360"/>
      </w:pPr>
      <w:rPr>
        <w:rFonts w:ascii="Wingdings" w:hAnsi="Wingdings" w:hint="default"/>
      </w:rPr>
    </w:lvl>
  </w:abstractNum>
  <w:abstractNum w:abstractNumId="57">
    <w:nsid w:val="725F096A"/>
    <w:multiLevelType w:val="hybridMultilevel"/>
    <w:tmpl w:val="C41E5B2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nsid w:val="73A300C6"/>
    <w:multiLevelType w:val="hybridMultilevel"/>
    <w:tmpl w:val="AE547E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nsid w:val="74595DE5"/>
    <w:multiLevelType w:val="hybridMultilevel"/>
    <w:tmpl w:val="CADE5330"/>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0">
    <w:nsid w:val="7964368B"/>
    <w:multiLevelType w:val="hybridMultilevel"/>
    <w:tmpl w:val="6D7820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nsid w:val="7A0F6939"/>
    <w:multiLevelType w:val="hybridMultilevel"/>
    <w:tmpl w:val="8B9C65BE"/>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2">
    <w:nsid w:val="7A8043DE"/>
    <w:multiLevelType w:val="hybridMultilevel"/>
    <w:tmpl w:val="B128B89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nsid w:val="7B6364FC"/>
    <w:multiLevelType w:val="hybridMultilevel"/>
    <w:tmpl w:val="A21CA7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6"/>
  </w:num>
  <w:num w:numId="2">
    <w:abstractNumId w:val="56"/>
  </w:num>
  <w:num w:numId="3">
    <w:abstractNumId w:val="35"/>
  </w:num>
  <w:num w:numId="4">
    <w:abstractNumId w:val="39"/>
  </w:num>
  <w:num w:numId="5">
    <w:abstractNumId w:val="59"/>
  </w:num>
  <w:num w:numId="6">
    <w:abstractNumId w:val="8"/>
  </w:num>
  <w:num w:numId="7">
    <w:abstractNumId w:val="12"/>
  </w:num>
  <w:num w:numId="8">
    <w:abstractNumId w:val="55"/>
  </w:num>
  <w:num w:numId="9">
    <w:abstractNumId w:val="23"/>
  </w:num>
  <w:num w:numId="10">
    <w:abstractNumId w:val="62"/>
  </w:num>
  <w:num w:numId="11">
    <w:abstractNumId w:val="61"/>
  </w:num>
  <w:num w:numId="12">
    <w:abstractNumId w:val="27"/>
  </w:num>
  <w:num w:numId="13">
    <w:abstractNumId w:val="31"/>
  </w:num>
  <w:num w:numId="14">
    <w:abstractNumId w:val="47"/>
  </w:num>
  <w:num w:numId="15">
    <w:abstractNumId w:val="43"/>
  </w:num>
  <w:num w:numId="16">
    <w:abstractNumId w:val="58"/>
  </w:num>
  <w:num w:numId="17">
    <w:abstractNumId w:val="9"/>
  </w:num>
  <w:num w:numId="18">
    <w:abstractNumId w:val="42"/>
  </w:num>
  <w:num w:numId="19">
    <w:abstractNumId w:val="60"/>
  </w:num>
  <w:num w:numId="20">
    <w:abstractNumId w:val="21"/>
  </w:num>
  <w:num w:numId="21">
    <w:abstractNumId w:val="28"/>
  </w:num>
  <w:num w:numId="22">
    <w:abstractNumId w:val="53"/>
  </w:num>
  <w:num w:numId="23">
    <w:abstractNumId w:val="19"/>
  </w:num>
  <w:num w:numId="24">
    <w:abstractNumId w:val="44"/>
  </w:num>
  <w:num w:numId="25">
    <w:abstractNumId w:val="14"/>
  </w:num>
  <w:num w:numId="26">
    <w:abstractNumId w:val="41"/>
  </w:num>
  <w:num w:numId="27">
    <w:abstractNumId w:val="16"/>
  </w:num>
  <w:num w:numId="28">
    <w:abstractNumId w:val="30"/>
  </w:num>
  <w:num w:numId="29">
    <w:abstractNumId w:val="24"/>
  </w:num>
  <w:num w:numId="30">
    <w:abstractNumId w:val="20"/>
  </w:num>
  <w:num w:numId="31">
    <w:abstractNumId w:val="26"/>
  </w:num>
  <w:num w:numId="32">
    <w:abstractNumId w:val="50"/>
  </w:num>
  <w:num w:numId="33">
    <w:abstractNumId w:val="46"/>
  </w:num>
  <w:num w:numId="34">
    <w:abstractNumId w:val="22"/>
  </w:num>
  <w:num w:numId="35">
    <w:abstractNumId w:val="33"/>
  </w:num>
  <w:num w:numId="36">
    <w:abstractNumId w:val="57"/>
  </w:num>
  <w:num w:numId="37">
    <w:abstractNumId w:val="17"/>
  </w:num>
  <w:num w:numId="38">
    <w:abstractNumId w:val="54"/>
  </w:num>
  <w:num w:numId="39">
    <w:abstractNumId w:val="29"/>
  </w:num>
  <w:num w:numId="40">
    <w:abstractNumId w:val="11"/>
  </w:num>
  <w:num w:numId="41">
    <w:abstractNumId w:val="15"/>
  </w:num>
  <w:num w:numId="42">
    <w:abstractNumId w:val="63"/>
  </w:num>
  <w:num w:numId="43">
    <w:abstractNumId w:val="13"/>
  </w:num>
  <w:num w:numId="44">
    <w:abstractNumId w:val="52"/>
  </w:num>
  <w:num w:numId="45">
    <w:abstractNumId w:val="45"/>
  </w:num>
  <w:num w:numId="46">
    <w:abstractNumId w:val="38"/>
  </w:num>
  <w:num w:numId="47">
    <w:abstractNumId w:val="49"/>
  </w:num>
  <w:num w:numId="48">
    <w:abstractNumId w:val="32"/>
  </w:num>
  <w:num w:numId="49">
    <w:abstractNumId w:val="37"/>
  </w:num>
  <w:num w:numId="50">
    <w:abstractNumId w:val="10"/>
  </w:num>
  <w:num w:numId="51">
    <w:abstractNumId w:val="34"/>
  </w:num>
  <w:num w:numId="52">
    <w:abstractNumId w:val="40"/>
  </w:num>
  <w:num w:numId="53">
    <w:abstractNumId w:val="48"/>
  </w:num>
  <w:num w:numId="54">
    <w:abstractNumId w:val="51"/>
  </w:num>
  <w:num w:numId="55">
    <w:abstractNumId w:val="25"/>
  </w:num>
  <w:num w:numId="56">
    <w:abstractNumId w:val="18"/>
  </w:num>
  <w:num w:numId="5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4"/>
  </w:num>
  <w:num w:numId="77">
    <w:abstractNumId w:val="3"/>
  </w:num>
  <w:num w:numId="78">
    <w:abstractNumId w:val="2"/>
  </w:num>
  <w:num w:numId="79">
    <w:abstractNumId w:val="1"/>
  </w:num>
  <w:num w:numId="80">
    <w:abstractNumId w:val="0"/>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hideSpellingErrors/>
  <w:activeWritingStyle w:appName="MSWord" w:lang="en-US" w:vendorID="64" w:dllVersion="131077" w:nlCheck="1" w:checkStyle="1"/>
  <w:activeWritingStyle w:appName="MSWord" w:lang="en-US" w:vendorID="64" w:dllVersion="131078" w:nlCheck="1" w:checkStyle="1"/>
  <w:activeWritingStyle w:appName="MSWord" w:lang="de-DE" w:vendorID="64" w:dllVersion="131078" w:nlCheck="1" w:checkStyle="1"/>
  <w:activeWritingStyle w:appName="MSWord" w:lang="en-GB" w:vendorID="64" w:dllVersion="131078" w:nlCheck="1" w:checkStyle="1"/>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drawingGridHorizontalSpacing w:val="100"/>
  <w:drawingGridVerticalSpacing w:val="0"/>
  <w:displayHorizontalDrawingGridEvery w:val="0"/>
  <w:displayVerticalDrawingGridEvery w:val="0"/>
  <w:noPunctuationKerning/>
  <w:characterSpacingControl w:val="doNotCompress"/>
  <w:hdrShapeDefaults>
    <o:shapedefaults v:ext="edit" spidmax="4097"/>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1232"/>
    <w:rsid w:val="00000C62"/>
    <w:rsid w:val="00001316"/>
    <w:rsid w:val="00001364"/>
    <w:rsid w:val="00002057"/>
    <w:rsid w:val="00002754"/>
    <w:rsid w:val="00002A54"/>
    <w:rsid w:val="000040D9"/>
    <w:rsid w:val="0000420E"/>
    <w:rsid w:val="00004A37"/>
    <w:rsid w:val="000053B8"/>
    <w:rsid w:val="00006758"/>
    <w:rsid w:val="000108F8"/>
    <w:rsid w:val="00012996"/>
    <w:rsid w:val="00015077"/>
    <w:rsid w:val="00015495"/>
    <w:rsid w:val="00017651"/>
    <w:rsid w:val="00017C8D"/>
    <w:rsid w:val="00020387"/>
    <w:rsid w:val="00022AD0"/>
    <w:rsid w:val="0002643E"/>
    <w:rsid w:val="00030248"/>
    <w:rsid w:val="00030266"/>
    <w:rsid w:val="00031785"/>
    <w:rsid w:val="000330E1"/>
    <w:rsid w:val="00033B81"/>
    <w:rsid w:val="0003413B"/>
    <w:rsid w:val="0003652D"/>
    <w:rsid w:val="00036C77"/>
    <w:rsid w:val="00040C67"/>
    <w:rsid w:val="00041E98"/>
    <w:rsid w:val="0004310A"/>
    <w:rsid w:val="000432C7"/>
    <w:rsid w:val="0004435F"/>
    <w:rsid w:val="00044B00"/>
    <w:rsid w:val="00046245"/>
    <w:rsid w:val="00046DCC"/>
    <w:rsid w:val="00047BEF"/>
    <w:rsid w:val="00050C44"/>
    <w:rsid w:val="00051418"/>
    <w:rsid w:val="00053E68"/>
    <w:rsid w:val="0005532E"/>
    <w:rsid w:val="000579C3"/>
    <w:rsid w:val="0006303D"/>
    <w:rsid w:val="00063161"/>
    <w:rsid w:val="00063186"/>
    <w:rsid w:val="000632CD"/>
    <w:rsid w:val="00064B42"/>
    <w:rsid w:val="00064C10"/>
    <w:rsid w:val="00064FA8"/>
    <w:rsid w:val="00065398"/>
    <w:rsid w:val="000662ED"/>
    <w:rsid w:val="00067DD5"/>
    <w:rsid w:val="000716CC"/>
    <w:rsid w:val="00073804"/>
    <w:rsid w:val="00075F33"/>
    <w:rsid w:val="000770BB"/>
    <w:rsid w:val="0008135E"/>
    <w:rsid w:val="00081B77"/>
    <w:rsid w:val="0008570F"/>
    <w:rsid w:val="00085A31"/>
    <w:rsid w:val="00086835"/>
    <w:rsid w:val="00087472"/>
    <w:rsid w:val="00090C9B"/>
    <w:rsid w:val="000918FC"/>
    <w:rsid w:val="00092586"/>
    <w:rsid w:val="0009293A"/>
    <w:rsid w:val="00092F1A"/>
    <w:rsid w:val="00093FA1"/>
    <w:rsid w:val="0009430D"/>
    <w:rsid w:val="00096442"/>
    <w:rsid w:val="00096931"/>
    <w:rsid w:val="000A0975"/>
    <w:rsid w:val="000A1D96"/>
    <w:rsid w:val="000A235F"/>
    <w:rsid w:val="000A2EA0"/>
    <w:rsid w:val="000A2FEA"/>
    <w:rsid w:val="000A363A"/>
    <w:rsid w:val="000A5151"/>
    <w:rsid w:val="000A7F57"/>
    <w:rsid w:val="000B064D"/>
    <w:rsid w:val="000B07A4"/>
    <w:rsid w:val="000B3CA7"/>
    <w:rsid w:val="000B4236"/>
    <w:rsid w:val="000B5BA0"/>
    <w:rsid w:val="000B72EF"/>
    <w:rsid w:val="000C1938"/>
    <w:rsid w:val="000C2F5B"/>
    <w:rsid w:val="000C5893"/>
    <w:rsid w:val="000C6778"/>
    <w:rsid w:val="000D07EB"/>
    <w:rsid w:val="000D255E"/>
    <w:rsid w:val="000D3451"/>
    <w:rsid w:val="000D5163"/>
    <w:rsid w:val="000D52AE"/>
    <w:rsid w:val="000D5B9B"/>
    <w:rsid w:val="000D62F1"/>
    <w:rsid w:val="000E0633"/>
    <w:rsid w:val="000E10E4"/>
    <w:rsid w:val="000E1AA8"/>
    <w:rsid w:val="000E1EB9"/>
    <w:rsid w:val="000E2B8A"/>
    <w:rsid w:val="000E2C9C"/>
    <w:rsid w:val="000E34DE"/>
    <w:rsid w:val="000E4664"/>
    <w:rsid w:val="000E79AE"/>
    <w:rsid w:val="000E7EF4"/>
    <w:rsid w:val="000F0A95"/>
    <w:rsid w:val="000F14CE"/>
    <w:rsid w:val="000F3670"/>
    <w:rsid w:val="000F485C"/>
    <w:rsid w:val="000F7198"/>
    <w:rsid w:val="000F7D1A"/>
    <w:rsid w:val="001013AE"/>
    <w:rsid w:val="00101A33"/>
    <w:rsid w:val="00104708"/>
    <w:rsid w:val="00105391"/>
    <w:rsid w:val="0010588D"/>
    <w:rsid w:val="001075CA"/>
    <w:rsid w:val="00110730"/>
    <w:rsid w:val="00113D5A"/>
    <w:rsid w:val="0011588B"/>
    <w:rsid w:val="00115C21"/>
    <w:rsid w:val="0011654E"/>
    <w:rsid w:val="001168D6"/>
    <w:rsid w:val="001176E7"/>
    <w:rsid w:val="0012020B"/>
    <w:rsid w:val="001223AE"/>
    <w:rsid w:val="00123AB3"/>
    <w:rsid w:val="00124A7A"/>
    <w:rsid w:val="00124DCE"/>
    <w:rsid w:val="00133081"/>
    <w:rsid w:val="00134082"/>
    <w:rsid w:val="00134158"/>
    <w:rsid w:val="00134C16"/>
    <w:rsid w:val="001376C4"/>
    <w:rsid w:val="0014029C"/>
    <w:rsid w:val="00140314"/>
    <w:rsid w:val="00145DDF"/>
    <w:rsid w:val="001460F4"/>
    <w:rsid w:val="00147AB7"/>
    <w:rsid w:val="00150C0D"/>
    <w:rsid w:val="00150FFD"/>
    <w:rsid w:val="001514AF"/>
    <w:rsid w:val="001514BF"/>
    <w:rsid w:val="00151888"/>
    <w:rsid w:val="00155950"/>
    <w:rsid w:val="00155FB6"/>
    <w:rsid w:val="001571B3"/>
    <w:rsid w:val="001619D8"/>
    <w:rsid w:val="001619E7"/>
    <w:rsid w:val="0016498E"/>
    <w:rsid w:val="0016511C"/>
    <w:rsid w:val="001700F4"/>
    <w:rsid w:val="00170C65"/>
    <w:rsid w:val="00172095"/>
    <w:rsid w:val="00172B22"/>
    <w:rsid w:val="00172E9E"/>
    <w:rsid w:val="00173EFE"/>
    <w:rsid w:val="001766C7"/>
    <w:rsid w:val="001771D4"/>
    <w:rsid w:val="00180730"/>
    <w:rsid w:val="00181983"/>
    <w:rsid w:val="00182580"/>
    <w:rsid w:val="00183691"/>
    <w:rsid w:val="00184DD8"/>
    <w:rsid w:val="00186B25"/>
    <w:rsid w:val="00187220"/>
    <w:rsid w:val="00191241"/>
    <w:rsid w:val="00191255"/>
    <w:rsid w:val="0019224F"/>
    <w:rsid w:val="0019277D"/>
    <w:rsid w:val="001950E6"/>
    <w:rsid w:val="001951C8"/>
    <w:rsid w:val="00196378"/>
    <w:rsid w:val="001A02BE"/>
    <w:rsid w:val="001A154E"/>
    <w:rsid w:val="001A1CA6"/>
    <w:rsid w:val="001A2ACD"/>
    <w:rsid w:val="001A2DE2"/>
    <w:rsid w:val="001A382A"/>
    <w:rsid w:val="001A454B"/>
    <w:rsid w:val="001A4939"/>
    <w:rsid w:val="001A58D9"/>
    <w:rsid w:val="001A7F7A"/>
    <w:rsid w:val="001B0ED3"/>
    <w:rsid w:val="001B1D95"/>
    <w:rsid w:val="001B4D85"/>
    <w:rsid w:val="001B5D92"/>
    <w:rsid w:val="001B6048"/>
    <w:rsid w:val="001C3940"/>
    <w:rsid w:val="001C50D3"/>
    <w:rsid w:val="001C52F2"/>
    <w:rsid w:val="001C7D96"/>
    <w:rsid w:val="001D3E30"/>
    <w:rsid w:val="001D3F59"/>
    <w:rsid w:val="001D4491"/>
    <w:rsid w:val="001D57DF"/>
    <w:rsid w:val="001D5C45"/>
    <w:rsid w:val="001E0BFC"/>
    <w:rsid w:val="001E1232"/>
    <w:rsid w:val="001E1BB7"/>
    <w:rsid w:val="001E2D7E"/>
    <w:rsid w:val="001E30EC"/>
    <w:rsid w:val="001E37A8"/>
    <w:rsid w:val="001E67C2"/>
    <w:rsid w:val="001E7932"/>
    <w:rsid w:val="001F1143"/>
    <w:rsid w:val="001F1D17"/>
    <w:rsid w:val="001F221A"/>
    <w:rsid w:val="001F342B"/>
    <w:rsid w:val="001F3795"/>
    <w:rsid w:val="001F7856"/>
    <w:rsid w:val="001F7995"/>
    <w:rsid w:val="0020296B"/>
    <w:rsid w:val="002032DF"/>
    <w:rsid w:val="002041DF"/>
    <w:rsid w:val="002045D2"/>
    <w:rsid w:val="00205CB5"/>
    <w:rsid w:val="00205D8A"/>
    <w:rsid w:val="002079D6"/>
    <w:rsid w:val="002122D7"/>
    <w:rsid w:val="00212F42"/>
    <w:rsid w:val="00213192"/>
    <w:rsid w:val="00213B86"/>
    <w:rsid w:val="002142B2"/>
    <w:rsid w:val="002158AF"/>
    <w:rsid w:val="00221AFC"/>
    <w:rsid w:val="0022375E"/>
    <w:rsid w:val="00223E13"/>
    <w:rsid w:val="00225B27"/>
    <w:rsid w:val="0022641B"/>
    <w:rsid w:val="00226DD1"/>
    <w:rsid w:val="00227C8F"/>
    <w:rsid w:val="00231F66"/>
    <w:rsid w:val="002340FD"/>
    <w:rsid w:val="00236186"/>
    <w:rsid w:val="00236822"/>
    <w:rsid w:val="00236A90"/>
    <w:rsid w:val="002374BF"/>
    <w:rsid w:val="002401E6"/>
    <w:rsid w:val="00240488"/>
    <w:rsid w:val="00241258"/>
    <w:rsid w:val="0024305E"/>
    <w:rsid w:val="00243644"/>
    <w:rsid w:val="0024398B"/>
    <w:rsid w:val="00244159"/>
    <w:rsid w:val="002451F1"/>
    <w:rsid w:val="002511BC"/>
    <w:rsid w:val="00251964"/>
    <w:rsid w:val="00251B77"/>
    <w:rsid w:val="00253611"/>
    <w:rsid w:val="00253651"/>
    <w:rsid w:val="00255D75"/>
    <w:rsid w:val="00256C51"/>
    <w:rsid w:val="00256F26"/>
    <w:rsid w:val="002611C4"/>
    <w:rsid w:val="00261B08"/>
    <w:rsid w:val="00263800"/>
    <w:rsid w:val="002644DF"/>
    <w:rsid w:val="00264C5C"/>
    <w:rsid w:val="002654C6"/>
    <w:rsid w:val="00267ACB"/>
    <w:rsid w:val="0027050E"/>
    <w:rsid w:val="00272E2A"/>
    <w:rsid w:val="00274C61"/>
    <w:rsid w:val="00275245"/>
    <w:rsid w:val="002770AC"/>
    <w:rsid w:val="0027789A"/>
    <w:rsid w:val="002804C0"/>
    <w:rsid w:val="00280D27"/>
    <w:rsid w:val="002810E6"/>
    <w:rsid w:val="00281DCF"/>
    <w:rsid w:val="00282E98"/>
    <w:rsid w:val="00283B32"/>
    <w:rsid w:val="00283CBF"/>
    <w:rsid w:val="002858F6"/>
    <w:rsid w:val="00286F85"/>
    <w:rsid w:val="00287F24"/>
    <w:rsid w:val="00293942"/>
    <w:rsid w:val="002951E0"/>
    <w:rsid w:val="002951E9"/>
    <w:rsid w:val="00295435"/>
    <w:rsid w:val="00295848"/>
    <w:rsid w:val="00295AFE"/>
    <w:rsid w:val="002A0E3A"/>
    <w:rsid w:val="002A2152"/>
    <w:rsid w:val="002A4128"/>
    <w:rsid w:val="002A731E"/>
    <w:rsid w:val="002B0094"/>
    <w:rsid w:val="002B025C"/>
    <w:rsid w:val="002B074D"/>
    <w:rsid w:val="002B1E66"/>
    <w:rsid w:val="002B2313"/>
    <w:rsid w:val="002B3B5B"/>
    <w:rsid w:val="002B6A38"/>
    <w:rsid w:val="002B6EA9"/>
    <w:rsid w:val="002B75C0"/>
    <w:rsid w:val="002C0122"/>
    <w:rsid w:val="002C16FF"/>
    <w:rsid w:val="002C2746"/>
    <w:rsid w:val="002C2C26"/>
    <w:rsid w:val="002C3427"/>
    <w:rsid w:val="002C3DFF"/>
    <w:rsid w:val="002C5044"/>
    <w:rsid w:val="002C6FC5"/>
    <w:rsid w:val="002D03C7"/>
    <w:rsid w:val="002D219F"/>
    <w:rsid w:val="002D383D"/>
    <w:rsid w:val="002D41AF"/>
    <w:rsid w:val="002D4988"/>
    <w:rsid w:val="002D4D4D"/>
    <w:rsid w:val="002D51F5"/>
    <w:rsid w:val="002D5418"/>
    <w:rsid w:val="002D6F41"/>
    <w:rsid w:val="002D73B2"/>
    <w:rsid w:val="002E036E"/>
    <w:rsid w:val="002E09A3"/>
    <w:rsid w:val="002E0ADB"/>
    <w:rsid w:val="002E1750"/>
    <w:rsid w:val="002E1C06"/>
    <w:rsid w:val="002E1CD4"/>
    <w:rsid w:val="002E3738"/>
    <w:rsid w:val="002E5756"/>
    <w:rsid w:val="002E6A66"/>
    <w:rsid w:val="002E720E"/>
    <w:rsid w:val="002F2103"/>
    <w:rsid w:val="002F3F64"/>
    <w:rsid w:val="00301332"/>
    <w:rsid w:val="003034CC"/>
    <w:rsid w:val="00306D05"/>
    <w:rsid w:val="00311098"/>
    <w:rsid w:val="00311433"/>
    <w:rsid w:val="00311A4C"/>
    <w:rsid w:val="00311FA5"/>
    <w:rsid w:val="003135A0"/>
    <w:rsid w:val="0031447F"/>
    <w:rsid w:val="00314EB6"/>
    <w:rsid w:val="00315A86"/>
    <w:rsid w:val="00315D6A"/>
    <w:rsid w:val="00316549"/>
    <w:rsid w:val="003166CC"/>
    <w:rsid w:val="00316C04"/>
    <w:rsid w:val="00317581"/>
    <w:rsid w:val="00320C76"/>
    <w:rsid w:val="00321F3C"/>
    <w:rsid w:val="00322625"/>
    <w:rsid w:val="003245FF"/>
    <w:rsid w:val="0032570E"/>
    <w:rsid w:val="00326178"/>
    <w:rsid w:val="003267F4"/>
    <w:rsid w:val="00327368"/>
    <w:rsid w:val="00327BE1"/>
    <w:rsid w:val="00332593"/>
    <w:rsid w:val="00333E51"/>
    <w:rsid w:val="00334250"/>
    <w:rsid w:val="00334BAD"/>
    <w:rsid w:val="0033535F"/>
    <w:rsid w:val="00340E23"/>
    <w:rsid w:val="0034123A"/>
    <w:rsid w:val="00342C5D"/>
    <w:rsid w:val="00344534"/>
    <w:rsid w:val="00344E5A"/>
    <w:rsid w:val="00345542"/>
    <w:rsid w:val="0034591F"/>
    <w:rsid w:val="00345FA2"/>
    <w:rsid w:val="00350F9B"/>
    <w:rsid w:val="00356754"/>
    <w:rsid w:val="00356BA9"/>
    <w:rsid w:val="003622F1"/>
    <w:rsid w:val="003652AF"/>
    <w:rsid w:val="003670C9"/>
    <w:rsid w:val="00367C48"/>
    <w:rsid w:val="00371891"/>
    <w:rsid w:val="00371F8C"/>
    <w:rsid w:val="00372D57"/>
    <w:rsid w:val="00373CE6"/>
    <w:rsid w:val="00375767"/>
    <w:rsid w:val="00376ECE"/>
    <w:rsid w:val="00377828"/>
    <w:rsid w:val="0037798D"/>
    <w:rsid w:val="003843F3"/>
    <w:rsid w:val="00384E5B"/>
    <w:rsid w:val="00386F21"/>
    <w:rsid w:val="00391762"/>
    <w:rsid w:val="003927FA"/>
    <w:rsid w:val="0039293C"/>
    <w:rsid w:val="00394556"/>
    <w:rsid w:val="00396117"/>
    <w:rsid w:val="0039661D"/>
    <w:rsid w:val="003A1CA8"/>
    <w:rsid w:val="003A4ED1"/>
    <w:rsid w:val="003A5D22"/>
    <w:rsid w:val="003A73AD"/>
    <w:rsid w:val="003B0C23"/>
    <w:rsid w:val="003B2A4C"/>
    <w:rsid w:val="003B3235"/>
    <w:rsid w:val="003B3B32"/>
    <w:rsid w:val="003B45EA"/>
    <w:rsid w:val="003B5006"/>
    <w:rsid w:val="003C368A"/>
    <w:rsid w:val="003C4A74"/>
    <w:rsid w:val="003C7198"/>
    <w:rsid w:val="003C7877"/>
    <w:rsid w:val="003D013A"/>
    <w:rsid w:val="003D3F72"/>
    <w:rsid w:val="003D4517"/>
    <w:rsid w:val="003D67AE"/>
    <w:rsid w:val="003E0279"/>
    <w:rsid w:val="003E0B71"/>
    <w:rsid w:val="003E0BDC"/>
    <w:rsid w:val="003E0E20"/>
    <w:rsid w:val="003E3567"/>
    <w:rsid w:val="003E596D"/>
    <w:rsid w:val="003E7C3D"/>
    <w:rsid w:val="003E7E86"/>
    <w:rsid w:val="003F0063"/>
    <w:rsid w:val="003F1C55"/>
    <w:rsid w:val="003F1F8B"/>
    <w:rsid w:val="003F29DF"/>
    <w:rsid w:val="003F3F9C"/>
    <w:rsid w:val="003F5FB4"/>
    <w:rsid w:val="004003A4"/>
    <w:rsid w:val="00400833"/>
    <w:rsid w:val="00402A60"/>
    <w:rsid w:val="00403733"/>
    <w:rsid w:val="00405637"/>
    <w:rsid w:val="00407388"/>
    <w:rsid w:val="0041026F"/>
    <w:rsid w:val="00410534"/>
    <w:rsid w:val="0041186A"/>
    <w:rsid w:val="004122C0"/>
    <w:rsid w:val="00412D07"/>
    <w:rsid w:val="00413E15"/>
    <w:rsid w:val="004157C1"/>
    <w:rsid w:val="00416675"/>
    <w:rsid w:val="00420B49"/>
    <w:rsid w:val="00422620"/>
    <w:rsid w:val="0042567F"/>
    <w:rsid w:val="00425B22"/>
    <w:rsid w:val="0042667C"/>
    <w:rsid w:val="00426813"/>
    <w:rsid w:val="00431677"/>
    <w:rsid w:val="00432086"/>
    <w:rsid w:val="00432131"/>
    <w:rsid w:val="00432495"/>
    <w:rsid w:val="00433CE5"/>
    <w:rsid w:val="00434004"/>
    <w:rsid w:val="0043409C"/>
    <w:rsid w:val="00435F23"/>
    <w:rsid w:val="004427D7"/>
    <w:rsid w:val="0044296D"/>
    <w:rsid w:val="00443588"/>
    <w:rsid w:val="00444850"/>
    <w:rsid w:val="00444A32"/>
    <w:rsid w:val="00444F5D"/>
    <w:rsid w:val="004461FB"/>
    <w:rsid w:val="0045025C"/>
    <w:rsid w:val="00450D37"/>
    <w:rsid w:val="00450DD4"/>
    <w:rsid w:val="00450EED"/>
    <w:rsid w:val="0045441E"/>
    <w:rsid w:val="00455B8F"/>
    <w:rsid w:val="00456DCB"/>
    <w:rsid w:val="00457BD5"/>
    <w:rsid w:val="00457DAB"/>
    <w:rsid w:val="00460160"/>
    <w:rsid w:val="00462FC4"/>
    <w:rsid w:val="00463A64"/>
    <w:rsid w:val="00464B69"/>
    <w:rsid w:val="0046690D"/>
    <w:rsid w:val="00466C71"/>
    <w:rsid w:val="00466D19"/>
    <w:rsid w:val="0046796C"/>
    <w:rsid w:val="004710D4"/>
    <w:rsid w:val="0047151E"/>
    <w:rsid w:val="0047243F"/>
    <w:rsid w:val="00473072"/>
    <w:rsid w:val="00473CE9"/>
    <w:rsid w:val="00480B1E"/>
    <w:rsid w:val="00481D4E"/>
    <w:rsid w:val="00483817"/>
    <w:rsid w:val="0048415B"/>
    <w:rsid w:val="004866AE"/>
    <w:rsid w:val="00486AB2"/>
    <w:rsid w:val="00490463"/>
    <w:rsid w:val="004912B3"/>
    <w:rsid w:val="00491AA9"/>
    <w:rsid w:val="00495C99"/>
    <w:rsid w:val="00495E2A"/>
    <w:rsid w:val="004A25D0"/>
    <w:rsid w:val="004A4D10"/>
    <w:rsid w:val="004A6A5D"/>
    <w:rsid w:val="004A6F25"/>
    <w:rsid w:val="004A7B67"/>
    <w:rsid w:val="004B024E"/>
    <w:rsid w:val="004B0344"/>
    <w:rsid w:val="004B0C1A"/>
    <w:rsid w:val="004B10FF"/>
    <w:rsid w:val="004B2EF9"/>
    <w:rsid w:val="004B3B41"/>
    <w:rsid w:val="004B54E9"/>
    <w:rsid w:val="004B61C4"/>
    <w:rsid w:val="004B6BA6"/>
    <w:rsid w:val="004B76FE"/>
    <w:rsid w:val="004C40F7"/>
    <w:rsid w:val="004C432E"/>
    <w:rsid w:val="004C481D"/>
    <w:rsid w:val="004C7326"/>
    <w:rsid w:val="004D049D"/>
    <w:rsid w:val="004D186B"/>
    <w:rsid w:val="004D1B52"/>
    <w:rsid w:val="004D2EA7"/>
    <w:rsid w:val="004D35C5"/>
    <w:rsid w:val="004D3AED"/>
    <w:rsid w:val="004D5BE1"/>
    <w:rsid w:val="004D6051"/>
    <w:rsid w:val="004D62EA"/>
    <w:rsid w:val="004D6F13"/>
    <w:rsid w:val="004E1DB3"/>
    <w:rsid w:val="004E4D1F"/>
    <w:rsid w:val="004E6BA9"/>
    <w:rsid w:val="004F1E57"/>
    <w:rsid w:val="004F5CBC"/>
    <w:rsid w:val="004F649E"/>
    <w:rsid w:val="004F661E"/>
    <w:rsid w:val="004F78DD"/>
    <w:rsid w:val="00501698"/>
    <w:rsid w:val="0050179A"/>
    <w:rsid w:val="00501992"/>
    <w:rsid w:val="00504C42"/>
    <w:rsid w:val="0050654F"/>
    <w:rsid w:val="00506B22"/>
    <w:rsid w:val="00510A11"/>
    <w:rsid w:val="00512223"/>
    <w:rsid w:val="005135D9"/>
    <w:rsid w:val="00513D3C"/>
    <w:rsid w:val="005143FE"/>
    <w:rsid w:val="00514406"/>
    <w:rsid w:val="00520D43"/>
    <w:rsid w:val="005210BE"/>
    <w:rsid w:val="00523E8E"/>
    <w:rsid w:val="005252E5"/>
    <w:rsid w:val="00527580"/>
    <w:rsid w:val="005302B5"/>
    <w:rsid w:val="005312AB"/>
    <w:rsid w:val="00531EF7"/>
    <w:rsid w:val="0053239B"/>
    <w:rsid w:val="005354A4"/>
    <w:rsid w:val="00536894"/>
    <w:rsid w:val="0053746F"/>
    <w:rsid w:val="005374E5"/>
    <w:rsid w:val="005374EB"/>
    <w:rsid w:val="00540E2F"/>
    <w:rsid w:val="00540FF0"/>
    <w:rsid w:val="00541A4F"/>
    <w:rsid w:val="00541C5B"/>
    <w:rsid w:val="0054359F"/>
    <w:rsid w:val="00543934"/>
    <w:rsid w:val="00544227"/>
    <w:rsid w:val="00544544"/>
    <w:rsid w:val="005448C3"/>
    <w:rsid w:val="00544960"/>
    <w:rsid w:val="00551762"/>
    <w:rsid w:val="00551B53"/>
    <w:rsid w:val="00553415"/>
    <w:rsid w:val="00554E92"/>
    <w:rsid w:val="005550B4"/>
    <w:rsid w:val="00556E9B"/>
    <w:rsid w:val="005606C1"/>
    <w:rsid w:val="005622EB"/>
    <w:rsid w:val="0056272C"/>
    <w:rsid w:val="00563C49"/>
    <w:rsid w:val="00566769"/>
    <w:rsid w:val="00571239"/>
    <w:rsid w:val="005716FE"/>
    <w:rsid w:val="00571D31"/>
    <w:rsid w:val="00572333"/>
    <w:rsid w:val="005725F0"/>
    <w:rsid w:val="005745D1"/>
    <w:rsid w:val="00575786"/>
    <w:rsid w:val="00580152"/>
    <w:rsid w:val="005817DB"/>
    <w:rsid w:val="00583985"/>
    <w:rsid w:val="0058445C"/>
    <w:rsid w:val="005851BE"/>
    <w:rsid w:val="00592CF1"/>
    <w:rsid w:val="00594EA0"/>
    <w:rsid w:val="0059633F"/>
    <w:rsid w:val="005967A1"/>
    <w:rsid w:val="0059693F"/>
    <w:rsid w:val="00597DBA"/>
    <w:rsid w:val="00597F6B"/>
    <w:rsid w:val="005A0965"/>
    <w:rsid w:val="005A187A"/>
    <w:rsid w:val="005A1B33"/>
    <w:rsid w:val="005A38C5"/>
    <w:rsid w:val="005B118F"/>
    <w:rsid w:val="005B146B"/>
    <w:rsid w:val="005B3B7C"/>
    <w:rsid w:val="005B4460"/>
    <w:rsid w:val="005B7019"/>
    <w:rsid w:val="005C32BA"/>
    <w:rsid w:val="005C502A"/>
    <w:rsid w:val="005C791C"/>
    <w:rsid w:val="005D1F1E"/>
    <w:rsid w:val="005D2836"/>
    <w:rsid w:val="005D32E5"/>
    <w:rsid w:val="005D5D7D"/>
    <w:rsid w:val="005D7F87"/>
    <w:rsid w:val="005E0389"/>
    <w:rsid w:val="005E37F7"/>
    <w:rsid w:val="005E46F3"/>
    <w:rsid w:val="005E4A74"/>
    <w:rsid w:val="005E4AC1"/>
    <w:rsid w:val="005E519E"/>
    <w:rsid w:val="005E51FD"/>
    <w:rsid w:val="005E6DEE"/>
    <w:rsid w:val="005F1316"/>
    <w:rsid w:val="005F1913"/>
    <w:rsid w:val="005F2159"/>
    <w:rsid w:val="005F2E39"/>
    <w:rsid w:val="005F3955"/>
    <w:rsid w:val="005F4050"/>
    <w:rsid w:val="006012C1"/>
    <w:rsid w:val="00601E77"/>
    <w:rsid w:val="0061084F"/>
    <w:rsid w:val="00611141"/>
    <w:rsid w:val="0061186D"/>
    <w:rsid w:val="0061264D"/>
    <w:rsid w:val="00612957"/>
    <w:rsid w:val="0061341E"/>
    <w:rsid w:val="00615FB6"/>
    <w:rsid w:val="00616A36"/>
    <w:rsid w:val="0062017B"/>
    <w:rsid w:val="00620A25"/>
    <w:rsid w:val="006226CF"/>
    <w:rsid w:val="0062376F"/>
    <w:rsid w:val="00625669"/>
    <w:rsid w:val="0062662A"/>
    <w:rsid w:val="0062677D"/>
    <w:rsid w:val="0062681E"/>
    <w:rsid w:val="00630606"/>
    <w:rsid w:val="00630DBD"/>
    <w:rsid w:val="0063151A"/>
    <w:rsid w:val="00631EAB"/>
    <w:rsid w:val="00637E16"/>
    <w:rsid w:val="006400F8"/>
    <w:rsid w:val="006411F3"/>
    <w:rsid w:val="00641C1E"/>
    <w:rsid w:val="00641C83"/>
    <w:rsid w:val="00647039"/>
    <w:rsid w:val="00650E5E"/>
    <w:rsid w:val="0065692C"/>
    <w:rsid w:val="00657233"/>
    <w:rsid w:val="00660393"/>
    <w:rsid w:val="00660B5F"/>
    <w:rsid w:val="00661239"/>
    <w:rsid w:val="00661BE7"/>
    <w:rsid w:val="006629C7"/>
    <w:rsid w:val="00665108"/>
    <w:rsid w:val="00667C65"/>
    <w:rsid w:val="00670FE8"/>
    <w:rsid w:val="006712FA"/>
    <w:rsid w:val="00674384"/>
    <w:rsid w:val="00674C0C"/>
    <w:rsid w:val="00680407"/>
    <w:rsid w:val="006819BA"/>
    <w:rsid w:val="006833A2"/>
    <w:rsid w:val="00684B44"/>
    <w:rsid w:val="00684D27"/>
    <w:rsid w:val="006853BC"/>
    <w:rsid w:val="00686DCE"/>
    <w:rsid w:val="00694716"/>
    <w:rsid w:val="0069615D"/>
    <w:rsid w:val="006972B9"/>
    <w:rsid w:val="006A012F"/>
    <w:rsid w:val="006A0D46"/>
    <w:rsid w:val="006A39AE"/>
    <w:rsid w:val="006A4A35"/>
    <w:rsid w:val="006A637B"/>
    <w:rsid w:val="006A77BD"/>
    <w:rsid w:val="006B08CB"/>
    <w:rsid w:val="006B08F2"/>
    <w:rsid w:val="006B1C53"/>
    <w:rsid w:val="006B1CCA"/>
    <w:rsid w:val="006B3925"/>
    <w:rsid w:val="006B5310"/>
    <w:rsid w:val="006B659B"/>
    <w:rsid w:val="006B7552"/>
    <w:rsid w:val="006B7B5C"/>
    <w:rsid w:val="006C2203"/>
    <w:rsid w:val="006C549F"/>
    <w:rsid w:val="006C565C"/>
    <w:rsid w:val="006C74C6"/>
    <w:rsid w:val="006C7E34"/>
    <w:rsid w:val="006D00EF"/>
    <w:rsid w:val="006D219D"/>
    <w:rsid w:val="006D2A11"/>
    <w:rsid w:val="006D2F9C"/>
    <w:rsid w:val="006D3C8B"/>
    <w:rsid w:val="006D3EE1"/>
    <w:rsid w:val="006D5A2A"/>
    <w:rsid w:val="006D6C82"/>
    <w:rsid w:val="006E0259"/>
    <w:rsid w:val="006E2D7E"/>
    <w:rsid w:val="006E2F23"/>
    <w:rsid w:val="006E4A56"/>
    <w:rsid w:val="006E61CA"/>
    <w:rsid w:val="006E77FE"/>
    <w:rsid w:val="006E7D0A"/>
    <w:rsid w:val="006F0A5C"/>
    <w:rsid w:val="006F12DD"/>
    <w:rsid w:val="006F13AA"/>
    <w:rsid w:val="006F35B9"/>
    <w:rsid w:val="006F58CE"/>
    <w:rsid w:val="00705371"/>
    <w:rsid w:val="007053DE"/>
    <w:rsid w:val="007059EB"/>
    <w:rsid w:val="007073CD"/>
    <w:rsid w:val="00710A43"/>
    <w:rsid w:val="00711D85"/>
    <w:rsid w:val="00713806"/>
    <w:rsid w:val="00714409"/>
    <w:rsid w:val="00714AAA"/>
    <w:rsid w:val="0071740F"/>
    <w:rsid w:val="00720653"/>
    <w:rsid w:val="007237B8"/>
    <w:rsid w:val="00724CC8"/>
    <w:rsid w:val="0072543A"/>
    <w:rsid w:val="00725854"/>
    <w:rsid w:val="00725A6D"/>
    <w:rsid w:val="00725F60"/>
    <w:rsid w:val="00730CF2"/>
    <w:rsid w:val="00731A0D"/>
    <w:rsid w:val="00732184"/>
    <w:rsid w:val="00732A40"/>
    <w:rsid w:val="00733EF6"/>
    <w:rsid w:val="00735EF6"/>
    <w:rsid w:val="00736008"/>
    <w:rsid w:val="007360CE"/>
    <w:rsid w:val="00736727"/>
    <w:rsid w:val="007371FE"/>
    <w:rsid w:val="00740495"/>
    <w:rsid w:val="00741FDE"/>
    <w:rsid w:val="007423DE"/>
    <w:rsid w:val="00743BED"/>
    <w:rsid w:val="007461B0"/>
    <w:rsid w:val="00746B63"/>
    <w:rsid w:val="007476C8"/>
    <w:rsid w:val="00747ACC"/>
    <w:rsid w:val="00750435"/>
    <w:rsid w:val="00752377"/>
    <w:rsid w:val="007531BA"/>
    <w:rsid w:val="00754294"/>
    <w:rsid w:val="007542AA"/>
    <w:rsid w:val="007573B1"/>
    <w:rsid w:val="007613DD"/>
    <w:rsid w:val="00763BCE"/>
    <w:rsid w:val="007640A1"/>
    <w:rsid w:val="0076483C"/>
    <w:rsid w:val="00764FFD"/>
    <w:rsid w:val="00766655"/>
    <w:rsid w:val="00773165"/>
    <w:rsid w:val="007738AB"/>
    <w:rsid w:val="007742C0"/>
    <w:rsid w:val="00774A6C"/>
    <w:rsid w:val="00774E34"/>
    <w:rsid w:val="007757B0"/>
    <w:rsid w:val="007759FB"/>
    <w:rsid w:val="00775B88"/>
    <w:rsid w:val="00780317"/>
    <w:rsid w:val="007813BD"/>
    <w:rsid w:val="007814AC"/>
    <w:rsid w:val="007833C3"/>
    <w:rsid w:val="00786427"/>
    <w:rsid w:val="00787127"/>
    <w:rsid w:val="00792498"/>
    <w:rsid w:val="0079292B"/>
    <w:rsid w:val="00796829"/>
    <w:rsid w:val="00797E6F"/>
    <w:rsid w:val="007A3D48"/>
    <w:rsid w:val="007A3DFC"/>
    <w:rsid w:val="007A46CE"/>
    <w:rsid w:val="007A48DE"/>
    <w:rsid w:val="007A5A64"/>
    <w:rsid w:val="007A6A2C"/>
    <w:rsid w:val="007A7779"/>
    <w:rsid w:val="007B057F"/>
    <w:rsid w:val="007B1029"/>
    <w:rsid w:val="007B7223"/>
    <w:rsid w:val="007C26BE"/>
    <w:rsid w:val="007C4612"/>
    <w:rsid w:val="007C651E"/>
    <w:rsid w:val="007C66CA"/>
    <w:rsid w:val="007C7222"/>
    <w:rsid w:val="007D0192"/>
    <w:rsid w:val="007D0F0F"/>
    <w:rsid w:val="007D29CB"/>
    <w:rsid w:val="007D31A6"/>
    <w:rsid w:val="007D5F54"/>
    <w:rsid w:val="007D6B90"/>
    <w:rsid w:val="007E1249"/>
    <w:rsid w:val="007E4051"/>
    <w:rsid w:val="007E461C"/>
    <w:rsid w:val="007E4870"/>
    <w:rsid w:val="007E55CC"/>
    <w:rsid w:val="007E6682"/>
    <w:rsid w:val="007E6A13"/>
    <w:rsid w:val="007E7048"/>
    <w:rsid w:val="007F27A3"/>
    <w:rsid w:val="007F2DA5"/>
    <w:rsid w:val="007F2F5E"/>
    <w:rsid w:val="007F502D"/>
    <w:rsid w:val="00800989"/>
    <w:rsid w:val="008009E9"/>
    <w:rsid w:val="008028DB"/>
    <w:rsid w:val="00804582"/>
    <w:rsid w:val="00806980"/>
    <w:rsid w:val="0080703E"/>
    <w:rsid w:val="0081136C"/>
    <w:rsid w:val="0081323C"/>
    <w:rsid w:val="00814D53"/>
    <w:rsid w:val="00815ABF"/>
    <w:rsid w:val="00815CB6"/>
    <w:rsid w:val="008166C7"/>
    <w:rsid w:val="00817DFC"/>
    <w:rsid w:val="008208EF"/>
    <w:rsid w:val="00820BA1"/>
    <w:rsid w:val="0082572E"/>
    <w:rsid w:val="0082658E"/>
    <w:rsid w:val="00827B6B"/>
    <w:rsid w:val="00827C7C"/>
    <w:rsid w:val="00827F14"/>
    <w:rsid w:val="008323BC"/>
    <w:rsid w:val="00833273"/>
    <w:rsid w:val="00833584"/>
    <w:rsid w:val="00833A84"/>
    <w:rsid w:val="00834276"/>
    <w:rsid w:val="008418D2"/>
    <w:rsid w:val="00841D70"/>
    <w:rsid w:val="008450FB"/>
    <w:rsid w:val="0085360E"/>
    <w:rsid w:val="008567FF"/>
    <w:rsid w:val="008569E0"/>
    <w:rsid w:val="00860136"/>
    <w:rsid w:val="00860332"/>
    <w:rsid w:val="00860485"/>
    <w:rsid w:val="00860DE1"/>
    <w:rsid w:val="00864A18"/>
    <w:rsid w:val="00867E54"/>
    <w:rsid w:val="0087015F"/>
    <w:rsid w:val="008715E2"/>
    <w:rsid w:val="00871973"/>
    <w:rsid w:val="00872231"/>
    <w:rsid w:val="008726B5"/>
    <w:rsid w:val="0087332F"/>
    <w:rsid w:val="00873466"/>
    <w:rsid w:val="008736FF"/>
    <w:rsid w:val="00873EBA"/>
    <w:rsid w:val="0087415A"/>
    <w:rsid w:val="00875ABD"/>
    <w:rsid w:val="008761E1"/>
    <w:rsid w:val="00876368"/>
    <w:rsid w:val="0087677B"/>
    <w:rsid w:val="00880451"/>
    <w:rsid w:val="00881744"/>
    <w:rsid w:val="008817F0"/>
    <w:rsid w:val="00881B1D"/>
    <w:rsid w:val="00883728"/>
    <w:rsid w:val="00884469"/>
    <w:rsid w:val="008867FD"/>
    <w:rsid w:val="00886895"/>
    <w:rsid w:val="00886C57"/>
    <w:rsid w:val="00887E61"/>
    <w:rsid w:val="008901EE"/>
    <w:rsid w:val="008910D7"/>
    <w:rsid w:val="008917DD"/>
    <w:rsid w:val="0089407E"/>
    <w:rsid w:val="008A02A6"/>
    <w:rsid w:val="008A0846"/>
    <w:rsid w:val="008A0C45"/>
    <w:rsid w:val="008A1C7F"/>
    <w:rsid w:val="008A4204"/>
    <w:rsid w:val="008A4E04"/>
    <w:rsid w:val="008A63BF"/>
    <w:rsid w:val="008B0DF8"/>
    <w:rsid w:val="008B1E4F"/>
    <w:rsid w:val="008B247E"/>
    <w:rsid w:val="008B2A57"/>
    <w:rsid w:val="008B3D06"/>
    <w:rsid w:val="008B40B8"/>
    <w:rsid w:val="008B42D0"/>
    <w:rsid w:val="008B42F7"/>
    <w:rsid w:val="008B7459"/>
    <w:rsid w:val="008C26C8"/>
    <w:rsid w:val="008C43E4"/>
    <w:rsid w:val="008C57A5"/>
    <w:rsid w:val="008C619F"/>
    <w:rsid w:val="008C653C"/>
    <w:rsid w:val="008C757D"/>
    <w:rsid w:val="008C77E7"/>
    <w:rsid w:val="008D03A7"/>
    <w:rsid w:val="008D0871"/>
    <w:rsid w:val="008D0A72"/>
    <w:rsid w:val="008D0DBF"/>
    <w:rsid w:val="008D161B"/>
    <w:rsid w:val="008D2EE8"/>
    <w:rsid w:val="008D539D"/>
    <w:rsid w:val="008D5F0F"/>
    <w:rsid w:val="008D6EC0"/>
    <w:rsid w:val="008E0975"/>
    <w:rsid w:val="008E146D"/>
    <w:rsid w:val="008E1A77"/>
    <w:rsid w:val="008E5597"/>
    <w:rsid w:val="008E65C6"/>
    <w:rsid w:val="008E7AB8"/>
    <w:rsid w:val="008E7BE4"/>
    <w:rsid w:val="008F0DC5"/>
    <w:rsid w:val="008F26D5"/>
    <w:rsid w:val="008F2823"/>
    <w:rsid w:val="008F3F97"/>
    <w:rsid w:val="008F5E00"/>
    <w:rsid w:val="008F73DA"/>
    <w:rsid w:val="0090117B"/>
    <w:rsid w:val="009015B3"/>
    <w:rsid w:val="0090180C"/>
    <w:rsid w:val="00901ED5"/>
    <w:rsid w:val="00903F05"/>
    <w:rsid w:val="009064EF"/>
    <w:rsid w:val="00911FF1"/>
    <w:rsid w:val="00912779"/>
    <w:rsid w:val="00914769"/>
    <w:rsid w:val="009170CE"/>
    <w:rsid w:val="009206FF"/>
    <w:rsid w:val="00921992"/>
    <w:rsid w:val="00925AF8"/>
    <w:rsid w:val="0092626A"/>
    <w:rsid w:val="00930685"/>
    <w:rsid w:val="00933F01"/>
    <w:rsid w:val="00934D1D"/>
    <w:rsid w:val="00935177"/>
    <w:rsid w:val="00935679"/>
    <w:rsid w:val="00936D79"/>
    <w:rsid w:val="00940019"/>
    <w:rsid w:val="009408FD"/>
    <w:rsid w:val="00940AE8"/>
    <w:rsid w:val="00942ED0"/>
    <w:rsid w:val="009436F2"/>
    <w:rsid w:val="00944AF2"/>
    <w:rsid w:val="0095162B"/>
    <w:rsid w:val="00953E7E"/>
    <w:rsid w:val="00954408"/>
    <w:rsid w:val="00954735"/>
    <w:rsid w:val="009549BB"/>
    <w:rsid w:val="00956D87"/>
    <w:rsid w:val="00960A95"/>
    <w:rsid w:val="00962103"/>
    <w:rsid w:val="0096216E"/>
    <w:rsid w:val="00962230"/>
    <w:rsid w:val="00964BCE"/>
    <w:rsid w:val="00964DE1"/>
    <w:rsid w:val="00967E29"/>
    <w:rsid w:val="00971524"/>
    <w:rsid w:val="00971F33"/>
    <w:rsid w:val="00972F7A"/>
    <w:rsid w:val="009748BD"/>
    <w:rsid w:val="00974AE4"/>
    <w:rsid w:val="00976E46"/>
    <w:rsid w:val="00980C7F"/>
    <w:rsid w:val="0098173F"/>
    <w:rsid w:val="009837CC"/>
    <w:rsid w:val="00983968"/>
    <w:rsid w:val="009839A1"/>
    <w:rsid w:val="0098457F"/>
    <w:rsid w:val="009850A5"/>
    <w:rsid w:val="009854A9"/>
    <w:rsid w:val="009855A1"/>
    <w:rsid w:val="00990580"/>
    <w:rsid w:val="00991199"/>
    <w:rsid w:val="00991BB5"/>
    <w:rsid w:val="00992223"/>
    <w:rsid w:val="00995344"/>
    <w:rsid w:val="009962E0"/>
    <w:rsid w:val="00997860"/>
    <w:rsid w:val="009A28F4"/>
    <w:rsid w:val="009A392D"/>
    <w:rsid w:val="009A3A68"/>
    <w:rsid w:val="009A3C45"/>
    <w:rsid w:val="009A5378"/>
    <w:rsid w:val="009A672B"/>
    <w:rsid w:val="009A6F77"/>
    <w:rsid w:val="009B17CE"/>
    <w:rsid w:val="009B2E67"/>
    <w:rsid w:val="009B3372"/>
    <w:rsid w:val="009C07A3"/>
    <w:rsid w:val="009C1ACB"/>
    <w:rsid w:val="009C225F"/>
    <w:rsid w:val="009C3A91"/>
    <w:rsid w:val="009C4478"/>
    <w:rsid w:val="009C4923"/>
    <w:rsid w:val="009C5C68"/>
    <w:rsid w:val="009C79CA"/>
    <w:rsid w:val="009C7F1C"/>
    <w:rsid w:val="009D1044"/>
    <w:rsid w:val="009D1EC7"/>
    <w:rsid w:val="009D1FAE"/>
    <w:rsid w:val="009D291C"/>
    <w:rsid w:val="009D3727"/>
    <w:rsid w:val="009D6C64"/>
    <w:rsid w:val="009D7328"/>
    <w:rsid w:val="009E270E"/>
    <w:rsid w:val="009E3917"/>
    <w:rsid w:val="009E470A"/>
    <w:rsid w:val="009E4E12"/>
    <w:rsid w:val="009F038E"/>
    <w:rsid w:val="009F04B3"/>
    <w:rsid w:val="009F055B"/>
    <w:rsid w:val="009F22FC"/>
    <w:rsid w:val="009F3239"/>
    <w:rsid w:val="009F5096"/>
    <w:rsid w:val="009F716E"/>
    <w:rsid w:val="00A00FCD"/>
    <w:rsid w:val="00A01A96"/>
    <w:rsid w:val="00A03BEF"/>
    <w:rsid w:val="00A0403D"/>
    <w:rsid w:val="00A0422E"/>
    <w:rsid w:val="00A04251"/>
    <w:rsid w:val="00A04FD3"/>
    <w:rsid w:val="00A05197"/>
    <w:rsid w:val="00A05C1B"/>
    <w:rsid w:val="00A05C38"/>
    <w:rsid w:val="00A06CC3"/>
    <w:rsid w:val="00A073FE"/>
    <w:rsid w:val="00A100EA"/>
    <w:rsid w:val="00A117DC"/>
    <w:rsid w:val="00A225B3"/>
    <w:rsid w:val="00A26538"/>
    <w:rsid w:val="00A30B93"/>
    <w:rsid w:val="00A32F62"/>
    <w:rsid w:val="00A4658C"/>
    <w:rsid w:val="00A4677E"/>
    <w:rsid w:val="00A50480"/>
    <w:rsid w:val="00A52C35"/>
    <w:rsid w:val="00A53212"/>
    <w:rsid w:val="00A55F6A"/>
    <w:rsid w:val="00A5720A"/>
    <w:rsid w:val="00A618EB"/>
    <w:rsid w:val="00A61B8E"/>
    <w:rsid w:val="00A64DC1"/>
    <w:rsid w:val="00A657DB"/>
    <w:rsid w:val="00A66686"/>
    <w:rsid w:val="00A6718E"/>
    <w:rsid w:val="00A7042B"/>
    <w:rsid w:val="00A704D9"/>
    <w:rsid w:val="00A71347"/>
    <w:rsid w:val="00A72B8E"/>
    <w:rsid w:val="00A763A0"/>
    <w:rsid w:val="00A7699C"/>
    <w:rsid w:val="00A77770"/>
    <w:rsid w:val="00A80FFC"/>
    <w:rsid w:val="00A8210D"/>
    <w:rsid w:val="00A825A7"/>
    <w:rsid w:val="00A83BAF"/>
    <w:rsid w:val="00A84F0B"/>
    <w:rsid w:val="00A901D2"/>
    <w:rsid w:val="00A90989"/>
    <w:rsid w:val="00A90C1D"/>
    <w:rsid w:val="00A92A95"/>
    <w:rsid w:val="00A92BD9"/>
    <w:rsid w:val="00A92DA7"/>
    <w:rsid w:val="00A93C5C"/>
    <w:rsid w:val="00A93D6F"/>
    <w:rsid w:val="00A94109"/>
    <w:rsid w:val="00A94555"/>
    <w:rsid w:val="00A975B5"/>
    <w:rsid w:val="00A97FF8"/>
    <w:rsid w:val="00AA208E"/>
    <w:rsid w:val="00AA3283"/>
    <w:rsid w:val="00AA37FC"/>
    <w:rsid w:val="00AA42E1"/>
    <w:rsid w:val="00AA483E"/>
    <w:rsid w:val="00AA5CC7"/>
    <w:rsid w:val="00AA701E"/>
    <w:rsid w:val="00AB025A"/>
    <w:rsid w:val="00AB0AF6"/>
    <w:rsid w:val="00AB0C21"/>
    <w:rsid w:val="00AB32A4"/>
    <w:rsid w:val="00AB41BD"/>
    <w:rsid w:val="00AB494A"/>
    <w:rsid w:val="00AB4C40"/>
    <w:rsid w:val="00AB6965"/>
    <w:rsid w:val="00AB74E8"/>
    <w:rsid w:val="00AC0166"/>
    <w:rsid w:val="00AC09A9"/>
    <w:rsid w:val="00AC155C"/>
    <w:rsid w:val="00AC1953"/>
    <w:rsid w:val="00AC2AFD"/>
    <w:rsid w:val="00AC4EC3"/>
    <w:rsid w:val="00AC5CDF"/>
    <w:rsid w:val="00AC645B"/>
    <w:rsid w:val="00AC6F70"/>
    <w:rsid w:val="00AC7A1A"/>
    <w:rsid w:val="00AD0DB4"/>
    <w:rsid w:val="00AD185A"/>
    <w:rsid w:val="00AD305D"/>
    <w:rsid w:val="00AD5137"/>
    <w:rsid w:val="00AD725F"/>
    <w:rsid w:val="00AE035B"/>
    <w:rsid w:val="00AE05C0"/>
    <w:rsid w:val="00AE16FD"/>
    <w:rsid w:val="00AE3018"/>
    <w:rsid w:val="00AE43AB"/>
    <w:rsid w:val="00AE43EF"/>
    <w:rsid w:val="00AE7092"/>
    <w:rsid w:val="00AE771F"/>
    <w:rsid w:val="00AF1D92"/>
    <w:rsid w:val="00AF2377"/>
    <w:rsid w:val="00AF3802"/>
    <w:rsid w:val="00AF5425"/>
    <w:rsid w:val="00B00555"/>
    <w:rsid w:val="00B0245A"/>
    <w:rsid w:val="00B03FBC"/>
    <w:rsid w:val="00B04400"/>
    <w:rsid w:val="00B04F25"/>
    <w:rsid w:val="00B05834"/>
    <w:rsid w:val="00B064EE"/>
    <w:rsid w:val="00B06619"/>
    <w:rsid w:val="00B07466"/>
    <w:rsid w:val="00B117DF"/>
    <w:rsid w:val="00B11F55"/>
    <w:rsid w:val="00B125CF"/>
    <w:rsid w:val="00B14818"/>
    <w:rsid w:val="00B14ABF"/>
    <w:rsid w:val="00B15E6B"/>
    <w:rsid w:val="00B233F2"/>
    <w:rsid w:val="00B25FDD"/>
    <w:rsid w:val="00B2603C"/>
    <w:rsid w:val="00B265EB"/>
    <w:rsid w:val="00B27E5B"/>
    <w:rsid w:val="00B31A8F"/>
    <w:rsid w:val="00B3270E"/>
    <w:rsid w:val="00B34443"/>
    <w:rsid w:val="00B3501C"/>
    <w:rsid w:val="00B353D5"/>
    <w:rsid w:val="00B36DD6"/>
    <w:rsid w:val="00B408A1"/>
    <w:rsid w:val="00B40A0A"/>
    <w:rsid w:val="00B40EC3"/>
    <w:rsid w:val="00B46602"/>
    <w:rsid w:val="00B51BE1"/>
    <w:rsid w:val="00B52A13"/>
    <w:rsid w:val="00B5461D"/>
    <w:rsid w:val="00B55341"/>
    <w:rsid w:val="00B55A3D"/>
    <w:rsid w:val="00B56D88"/>
    <w:rsid w:val="00B62EA3"/>
    <w:rsid w:val="00B664EA"/>
    <w:rsid w:val="00B700CA"/>
    <w:rsid w:val="00B72657"/>
    <w:rsid w:val="00B73F44"/>
    <w:rsid w:val="00B74838"/>
    <w:rsid w:val="00B759FE"/>
    <w:rsid w:val="00B76D28"/>
    <w:rsid w:val="00B81EFD"/>
    <w:rsid w:val="00B82A07"/>
    <w:rsid w:val="00B8432C"/>
    <w:rsid w:val="00B87DDA"/>
    <w:rsid w:val="00B91065"/>
    <w:rsid w:val="00B92DDD"/>
    <w:rsid w:val="00B942F7"/>
    <w:rsid w:val="00B943BA"/>
    <w:rsid w:val="00B95BFD"/>
    <w:rsid w:val="00B9709B"/>
    <w:rsid w:val="00BA0EAA"/>
    <w:rsid w:val="00BA1004"/>
    <w:rsid w:val="00BA216F"/>
    <w:rsid w:val="00BA21F7"/>
    <w:rsid w:val="00BA51DC"/>
    <w:rsid w:val="00BA51F6"/>
    <w:rsid w:val="00BA6A28"/>
    <w:rsid w:val="00BA7980"/>
    <w:rsid w:val="00BB1E47"/>
    <w:rsid w:val="00BB4872"/>
    <w:rsid w:val="00BB56C2"/>
    <w:rsid w:val="00BC0CBC"/>
    <w:rsid w:val="00BC49BB"/>
    <w:rsid w:val="00BC78DA"/>
    <w:rsid w:val="00BC7FB8"/>
    <w:rsid w:val="00BD2330"/>
    <w:rsid w:val="00BD2A93"/>
    <w:rsid w:val="00BD4745"/>
    <w:rsid w:val="00BD68DF"/>
    <w:rsid w:val="00BD6F43"/>
    <w:rsid w:val="00BD70C0"/>
    <w:rsid w:val="00BD7BDB"/>
    <w:rsid w:val="00BE01FC"/>
    <w:rsid w:val="00BE1919"/>
    <w:rsid w:val="00BE1C7E"/>
    <w:rsid w:val="00BE3112"/>
    <w:rsid w:val="00BE3FB1"/>
    <w:rsid w:val="00BE551F"/>
    <w:rsid w:val="00BE6F96"/>
    <w:rsid w:val="00BE77C4"/>
    <w:rsid w:val="00BF0C2A"/>
    <w:rsid w:val="00BF16E8"/>
    <w:rsid w:val="00BF376F"/>
    <w:rsid w:val="00BF3781"/>
    <w:rsid w:val="00BF56B0"/>
    <w:rsid w:val="00BF5EEE"/>
    <w:rsid w:val="00C013EE"/>
    <w:rsid w:val="00C02DCD"/>
    <w:rsid w:val="00C1101A"/>
    <w:rsid w:val="00C15742"/>
    <w:rsid w:val="00C15F3D"/>
    <w:rsid w:val="00C217A4"/>
    <w:rsid w:val="00C24305"/>
    <w:rsid w:val="00C254ED"/>
    <w:rsid w:val="00C25E9A"/>
    <w:rsid w:val="00C34F09"/>
    <w:rsid w:val="00C35B82"/>
    <w:rsid w:val="00C3736B"/>
    <w:rsid w:val="00C37620"/>
    <w:rsid w:val="00C40552"/>
    <w:rsid w:val="00C407D3"/>
    <w:rsid w:val="00C40C5D"/>
    <w:rsid w:val="00C41A79"/>
    <w:rsid w:val="00C4629A"/>
    <w:rsid w:val="00C47CE2"/>
    <w:rsid w:val="00C5314E"/>
    <w:rsid w:val="00C54648"/>
    <w:rsid w:val="00C551B4"/>
    <w:rsid w:val="00C571BB"/>
    <w:rsid w:val="00C577C6"/>
    <w:rsid w:val="00C605F7"/>
    <w:rsid w:val="00C610BE"/>
    <w:rsid w:val="00C61DE6"/>
    <w:rsid w:val="00C64E1A"/>
    <w:rsid w:val="00C65088"/>
    <w:rsid w:val="00C65DA3"/>
    <w:rsid w:val="00C66E3F"/>
    <w:rsid w:val="00C673CF"/>
    <w:rsid w:val="00C67868"/>
    <w:rsid w:val="00C7050F"/>
    <w:rsid w:val="00C7057F"/>
    <w:rsid w:val="00C72366"/>
    <w:rsid w:val="00C75225"/>
    <w:rsid w:val="00C7770C"/>
    <w:rsid w:val="00C84748"/>
    <w:rsid w:val="00C85ACF"/>
    <w:rsid w:val="00C8700A"/>
    <w:rsid w:val="00C90180"/>
    <w:rsid w:val="00C9028E"/>
    <w:rsid w:val="00CA0564"/>
    <w:rsid w:val="00CA34D8"/>
    <w:rsid w:val="00CA3A01"/>
    <w:rsid w:val="00CA41B4"/>
    <w:rsid w:val="00CA4918"/>
    <w:rsid w:val="00CA6331"/>
    <w:rsid w:val="00CA7149"/>
    <w:rsid w:val="00CB1782"/>
    <w:rsid w:val="00CB1CF1"/>
    <w:rsid w:val="00CB1D88"/>
    <w:rsid w:val="00CB1F22"/>
    <w:rsid w:val="00CB20D0"/>
    <w:rsid w:val="00CB4644"/>
    <w:rsid w:val="00CB4AB1"/>
    <w:rsid w:val="00CB6C6D"/>
    <w:rsid w:val="00CB732A"/>
    <w:rsid w:val="00CB7F87"/>
    <w:rsid w:val="00CC071C"/>
    <w:rsid w:val="00CC1C02"/>
    <w:rsid w:val="00CC29AD"/>
    <w:rsid w:val="00CC3B94"/>
    <w:rsid w:val="00CC63DE"/>
    <w:rsid w:val="00CD010E"/>
    <w:rsid w:val="00CD2D14"/>
    <w:rsid w:val="00CD7C8D"/>
    <w:rsid w:val="00CE24F0"/>
    <w:rsid w:val="00CE4AD9"/>
    <w:rsid w:val="00CE61E7"/>
    <w:rsid w:val="00CF1C23"/>
    <w:rsid w:val="00CF2B54"/>
    <w:rsid w:val="00CF2C39"/>
    <w:rsid w:val="00CF2E45"/>
    <w:rsid w:val="00CF369C"/>
    <w:rsid w:val="00CF585B"/>
    <w:rsid w:val="00D006BF"/>
    <w:rsid w:val="00D019B1"/>
    <w:rsid w:val="00D01BC8"/>
    <w:rsid w:val="00D030B0"/>
    <w:rsid w:val="00D0511B"/>
    <w:rsid w:val="00D069A1"/>
    <w:rsid w:val="00D100B4"/>
    <w:rsid w:val="00D12984"/>
    <w:rsid w:val="00D13C26"/>
    <w:rsid w:val="00D13EB6"/>
    <w:rsid w:val="00D13FB3"/>
    <w:rsid w:val="00D1425F"/>
    <w:rsid w:val="00D204B7"/>
    <w:rsid w:val="00D20804"/>
    <w:rsid w:val="00D20948"/>
    <w:rsid w:val="00D20F1E"/>
    <w:rsid w:val="00D224C0"/>
    <w:rsid w:val="00D22A12"/>
    <w:rsid w:val="00D236BE"/>
    <w:rsid w:val="00D243C0"/>
    <w:rsid w:val="00D25018"/>
    <w:rsid w:val="00D275C9"/>
    <w:rsid w:val="00D302D2"/>
    <w:rsid w:val="00D32117"/>
    <w:rsid w:val="00D327F4"/>
    <w:rsid w:val="00D33683"/>
    <w:rsid w:val="00D349DB"/>
    <w:rsid w:val="00D35BA3"/>
    <w:rsid w:val="00D367C8"/>
    <w:rsid w:val="00D37F7B"/>
    <w:rsid w:val="00D4137B"/>
    <w:rsid w:val="00D42852"/>
    <w:rsid w:val="00D42C06"/>
    <w:rsid w:val="00D445C4"/>
    <w:rsid w:val="00D5061B"/>
    <w:rsid w:val="00D52040"/>
    <w:rsid w:val="00D528CA"/>
    <w:rsid w:val="00D52E22"/>
    <w:rsid w:val="00D540F8"/>
    <w:rsid w:val="00D544FE"/>
    <w:rsid w:val="00D549DA"/>
    <w:rsid w:val="00D55FE8"/>
    <w:rsid w:val="00D61130"/>
    <w:rsid w:val="00D61656"/>
    <w:rsid w:val="00D6380F"/>
    <w:rsid w:val="00D66A2B"/>
    <w:rsid w:val="00D672CA"/>
    <w:rsid w:val="00D7005E"/>
    <w:rsid w:val="00D73FA2"/>
    <w:rsid w:val="00D750BD"/>
    <w:rsid w:val="00D75137"/>
    <w:rsid w:val="00D7525F"/>
    <w:rsid w:val="00D81766"/>
    <w:rsid w:val="00D8333D"/>
    <w:rsid w:val="00D8360F"/>
    <w:rsid w:val="00D83798"/>
    <w:rsid w:val="00D84BEC"/>
    <w:rsid w:val="00D85160"/>
    <w:rsid w:val="00D852DF"/>
    <w:rsid w:val="00D85AAB"/>
    <w:rsid w:val="00D86AE6"/>
    <w:rsid w:val="00D8769E"/>
    <w:rsid w:val="00D87829"/>
    <w:rsid w:val="00D8785B"/>
    <w:rsid w:val="00D920D3"/>
    <w:rsid w:val="00D92957"/>
    <w:rsid w:val="00D939C9"/>
    <w:rsid w:val="00D941E9"/>
    <w:rsid w:val="00D957F8"/>
    <w:rsid w:val="00D95970"/>
    <w:rsid w:val="00DA0038"/>
    <w:rsid w:val="00DA188F"/>
    <w:rsid w:val="00DA2A33"/>
    <w:rsid w:val="00DA30E4"/>
    <w:rsid w:val="00DA36CF"/>
    <w:rsid w:val="00DA4D3B"/>
    <w:rsid w:val="00DA580F"/>
    <w:rsid w:val="00DA6F09"/>
    <w:rsid w:val="00DB084C"/>
    <w:rsid w:val="00DB1CCA"/>
    <w:rsid w:val="00DB290B"/>
    <w:rsid w:val="00DB2A6B"/>
    <w:rsid w:val="00DB2E06"/>
    <w:rsid w:val="00DB60CF"/>
    <w:rsid w:val="00DB678B"/>
    <w:rsid w:val="00DB6D10"/>
    <w:rsid w:val="00DC3AD4"/>
    <w:rsid w:val="00DC492E"/>
    <w:rsid w:val="00DC5E72"/>
    <w:rsid w:val="00DC61E4"/>
    <w:rsid w:val="00DC6D46"/>
    <w:rsid w:val="00DD099B"/>
    <w:rsid w:val="00DD1F08"/>
    <w:rsid w:val="00DD54CE"/>
    <w:rsid w:val="00DD5825"/>
    <w:rsid w:val="00DD6CA1"/>
    <w:rsid w:val="00DE106B"/>
    <w:rsid w:val="00DE36B2"/>
    <w:rsid w:val="00DE6FDB"/>
    <w:rsid w:val="00DE78C1"/>
    <w:rsid w:val="00DE78F7"/>
    <w:rsid w:val="00DF1CC1"/>
    <w:rsid w:val="00DF28BB"/>
    <w:rsid w:val="00DF4920"/>
    <w:rsid w:val="00DF6966"/>
    <w:rsid w:val="00DF6C96"/>
    <w:rsid w:val="00DF6FB8"/>
    <w:rsid w:val="00DF70F9"/>
    <w:rsid w:val="00DF75C4"/>
    <w:rsid w:val="00DF76E0"/>
    <w:rsid w:val="00DF7847"/>
    <w:rsid w:val="00E01AD3"/>
    <w:rsid w:val="00E042A6"/>
    <w:rsid w:val="00E06BCA"/>
    <w:rsid w:val="00E07AE6"/>
    <w:rsid w:val="00E112E6"/>
    <w:rsid w:val="00E15631"/>
    <w:rsid w:val="00E15697"/>
    <w:rsid w:val="00E179E2"/>
    <w:rsid w:val="00E17D91"/>
    <w:rsid w:val="00E17E67"/>
    <w:rsid w:val="00E21601"/>
    <w:rsid w:val="00E22F92"/>
    <w:rsid w:val="00E23336"/>
    <w:rsid w:val="00E24A84"/>
    <w:rsid w:val="00E24C3D"/>
    <w:rsid w:val="00E25A88"/>
    <w:rsid w:val="00E30110"/>
    <w:rsid w:val="00E305CC"/>
    <w:rsid w:val="00E30A03"/>
    <w:rsid w:val="00E30D1D"/>
    <w:rsid w:val="00E32708"/>
    <w:rsid w:val="00E32751"/>
    <w:rsid w:val="00E32CE3"/>
    <w:rsid w:val="00E33009"/>
    <w:rsid w:val="00E351C8"/>
    <w:rsid w:val="00E3660B"/>
    <w:rsid w:val="00E372D1"/>
    <w:rsid w:val="00E4210A"/>
    <w:rsid w:val="00E42FF9"/>
    <w:rsid w:val="00E4373A"/>
    <w:rsid w:val="00E43AAA"/>
    <w:rsid w:val="00E44213"/>
    <w:rsid w:val="00E456AE"/>
    <w:rsid w:val="00E46435"/>
    <w:rsid w:val="00E514ED"/>
    <w:rsid w:val="00E523AB"/>
    <w:rsid w:val="00E55799"/>
    <w:rsid w:val="00E611ED"/>
    <w:rsid w:val="00E6353A"/>
    <w:rsid w:val="00E644D7"/>
    <w:rsid w:val="00E6560E"/>
    <w:rsid w:val="00E65CA9"/>
    <w:rsid w:val="00E66E75"/>
    <w:rsid w:val="00E6746C"/>
    <w:rsid w:val="00E67C13"/>
    <w:rsid w:val="00E70954"/>
    <w:rsid w:val="00E71652"/>
    <w:rsid w:val="00E7181E"/>
    <w:rsid w:val="00E71C25"/>
    <w:rsid w:val="00E72138"/>
    <w:rsid w:val="00E72967"/>
    <w:rsid w:val="00E758F0"/>
    <w:rsid w:val="00E816C7"/>
    <w:rsid w:val="00E839AA"/>
    <w:rsid w:val="00E845D6"/>
    <w:rsid w:val="00E84F21"/>
    <w:rsid w:val="00E85547"/>
    <w:rsid w:val="00E8710E"/>
    <w:rsid w:val="00E91A35"/>
    <w:rsid w:val="00E91D73"/>
    <w:rsid w:val="00E92B29"/>
    <w:rsid w:val="00E9462B"/>
    <w:rsid w:val="00E94A97"/>
    <w:rsid w:val="00E94AF4"/>
    <w:rsid w:val="00E96CBB"/>
    <w:rsid w:val="00E974DF"/>
    <w:rsid w:val="00EA344F"/>
    <w:rsid w:val="00EA3FD7"/>
    <w:rsid w:val="00EA4872"/>
    <w:rsid w:val="00EA59A5"/>
    <w:rsid w:val="00EA6B60"/>
    <w:rsid w:val="00EA7109"/>
    <w:rsid w:val="00EA71B7"/>
    <w:rsid w:val="00EA7DB4"/>
    <w:rsid w:val="00EB24DA"/>
    <w:rsid w:val="00EB411A"/>
    <w:rsid w:val="00EB5065"/>
    <w:rsid w:val="00EB65FD"/>
    <w:rsid w:val="00EC03F9"/>
    <w:rsid w:val="00EC146E"/>
    <w:rsid w:val="00EC670C"/>
    <w:rsid w:val="00EC7F42"/>
    <w:rsid w:val="00ED038D"/>
    <w:rsid w:val="00ED18BC"/>
    <w:rsid w:val="00ED2F97"/>
    <w:rsid w:val="00ED34F8"/>
    <w:rsid w:val="00ED38B5"/>
    <w:rsid w:val="00ED57BE"/>
    <w:rsid w:val="00ED582C"/>
    <w:rsid w:val="00EE1C74"/>
    <w:rsid w:val="00EE51E0"/>
    <w:rsid w:val="00EF04CB"/>
    <w:rsid w:val="00EF1183"/>
    <w:rsid w:val="00EF1A0F"/>
    <w:rsid w:val="00EF3CA2"/>
    <w:rsid w:val="00EF430C"/>
    <w:rsid w:val="00EF7738"/>
    <w:rsid w:val="00EF79A5"/>
    <w:rsid w:val="00F02CAB"/>
    <w:rsid w:val="00F0419C"/>
    <w:rsid w:val="00F066D4"/>
    <w:rsid w:val="00F1001A"/>
    <w:rsid w:val="00F118F9"/>
    <w:rsid w:val="00F12413"/>
    <w:rsid w:val="00F126F1"/>
    <w:rsid w:val="00F14B7A"/>
    <w:rsid w:val="00F16183"/>
    <w:rsid w:val="00F161A2"/>
    <w:rsid w:val="00F1708A"/>
    <w:rsid w:val="00F178BA"/>
    <w:rsid w:val="00F17CE4"/>
    <w:rsid w:val="00F2087F"/>
    <w:rsid w:val="00F212DA"/>
    <w:rsid w:val="00F212ED"/>
    <w:rsid w:val="00F2196D"/>
    <w:rsid w:val="00F23596"/>
    <w:rsid w:val="00F23E9D"/>
    <w:rsid w:val="00F257D1"/>
    <w:rsid w:val="00F26C33"/>
    <w:rsid w:val="00F2758C"/>
    <w:rsid w:val="00F27651"/>
    <w:rsid w:val="00F27AA6"/>
    <w:rsid w:val="00F30AD0"/>
    <w:rsid w:val="00F312A1"/>
    <w:rsid w:val="00F3160A"/>
    <w:rsid w:val="00F3255B"/>
    <w:rsid w:val="00F34125"/>
    <w:rsid w:val="00F34228"/>
    <w:rsid w:val="00F351F4"/>
    <w:rsid w:val="00F367EF"/>
    <w:rsid w:val="00F445BA"/>
    <w:rsid w:val="00F45998"/>
    <w:rsid w:val="00F46C43"/>
    <w:rsid w:val="00F517A6"/>
    <w:rsid w:val="00F5261A"/>
    <w:rsid w:val="00F5279A"/>
    <w:rsid w:val="00F52896"/>
    <w:rsid w:val="00F54092"/>
    <w:rsid w:val="00F54463"/>
    <w:rsid w:val="00F57FE0"/>
    <w:rsid w:val="00F609A3"/>
    <w:rsid w:val="00F60DCF"/>
    <w:rsid w:val="00F6316C"/>
    <w:rsid w:val="00F631EC"/>
    <w:rsid w:val="00F640C0"/>
    <w:rsid w:val="00F649A1"/>
    <w:rsid w:val="00F65508"/>
    <w:rsid w:val="00F65EC3"/>
    <w:rsid w:val="00F67BD9"/>
    <w:rsid w:val="00F708AC"/>
    <w:rsid w:val="00F70C02"/>
    <w:rsid w:val="00F71135"/>
    <w:rsid w:val="00F71F32"/>
    <w:rsid w:val="00F74289"/>
    <w:rsid w:val="00F7599B"/>
    <w:rsid w:val="00F7739F"/>
    <w:rsid w:val="00F77C5C"/>
    <w:rsid w:val="00F824C8"/>
    <w:rsid w:val="00F84643"/>
    <w:rsid w:val="00F85C79"/>
    <w:rsid w:val="00F85CD4"/>
    <w:rsid w:val="00F864A2"/>
    <w:rsid w:val="00F871CF"/>
    <w:rsid w:val="00F87478"/>
    <w:rsid w:val="00F8791A"/>
    <w:rsid w:val="00F9023E"/>
    <w:rsid w:val="00F92EB5"/>
    <w:rsid w:val="00F93D93"/>
    <w:rsid w:val="00F93F13"/>
    <w:rsid w:val="00F94E47"/>
    <w:rsid w:val="00F9632C"/>
    <w:rsid w:val="00FA3C73"/>
    <w:rsid w:val="00FA3FC5"/>
    <w:rsid w:val="00FA6D0E"/>
    <w:rsid w:val="00FA6FF5"/>
    <w:rsid w:val="00FB2425"/>
    <w:rsid w:val="00FB2585"/>
    <w:rsid w:val="00FB4380"/>
    <w:rsid w:val="00FB489B"/>
    <w:rsid w:val="00FB4A60"/>
    <w:rsid w:val="00FC047C"/>
    <w:rsid w:val="00FC050C"/>
    <w:rsid w:val="00FC1012"/>
    <w:rsid w:val="00FC1552"/>
    <w:rsid w:val="00FC1A4E"/>
    <w:rsid w:val="00FC4EAE"/>
    <w:rsid w:val="00FC5B95"/>
    <w:rsid w:val="00FC6C4F"/>
    <w:rsid w:val="00FC6DFF"/>
    <w:rsid w:val="00FC7E4F"/>
    <w:rsid w:val="00FD46F7"/>
    <w:rsid w:val="00FD4818"/>
    <w:rsid w:val="00FD5DF3"/>
    <w:rsid w:val="00FD63AB"/>
    <w:rsid w:val="00FD70B4"/>
    <w:rsid w:val="00FE1176"/>
    <w:rsid w:val="00FE1625"/>
    <w:rsid w:val="00FE1A3A"/>
    <w:rsid w:val="00FE228D"/>
    <w:rsid w:val="00FE257E"/>
    <w:rsid w:val="00FE4338"/>
    <w:rsid w:val="00FE46D9"/>
    <w:rsid w:val="00FE4C31"/>
    <w:rsid w:val="00FE5BEA"/>
    <w:rsid w:val="00FE6F15"/>
    <w:rsid w:val="00FF1565"/>
    <w:rsid w:val="00FF21CB"/>
    <w:rsid w:val="00FF4A82"/>
    <w:rsid w:val="00FF5936"/>
    <w:rsid w:val="00FF5F5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semiHidden="0" w:uiPriority="0" w:unhideWhenUsed="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4F661E"/>
    <w:pPr>
      <w:suppressAutoHyphens/>
      <w:spacing w:before="160" w:after="160" w:line="288" w:lineRule="auto"/>
      <w:jc w:val="both"/>
    </w:pPr>
    <w:rPr>
      <w:rFonts w:ascii="Tahoma" w:hAnsi="Tahoma"/>
      <w:szCs w:val="24"/>
      <w:lang w:eastAsia="ar-SA"/>
    </w:rPr>
  </w:style>
  <w:style w:type="paragraph" w:styleId="Nadpis1">
    <w:name w:val="heading 1"/>
    <w:aliases w:val="adpis 1,kapitola,Nadpis 1 kk"/>
    <w:basedOn w:val="Normln"/>
    <w:next w:val="Normln"/>
    <w:qFormat/>
    <w:rsid w:val="00D81766"/>
    <w:pPr>
      <w:keepNext/>
      <w:pageBreakBefore/>
      <w:numPr>
        <w:numId w:val="1"/>
      </w:numPr>
      <w:tabs>
        <w:tab w:val="left" w:pos="902"/>
      </w:tabs>
      <w:spacing w:before="0" w:after="320"/>
      <w:jc w:val="left"/>
      <w:outlineLvl w:val="0"/>
    </w:pPr>
    <w:rPr>
      <w:b/>
      <w:bCs/>
      <w:caps/>
      <w:sz w:val="32"/>
    </w:rPr>
  </w:style>
  <w:style w:type="paragraph" w:styleId="Nadpis2">
    <w:name w:val="heading 2"/>
    <w:aliases w:val="Nadpis_2,Heading 2,adpis 2,Nadpis 2 kk"/>
    <w:basedOn w:val="Normln"/>
    <w:next w:val="Normln"/>
    <w:qFormat/>
    <w:rsid w:val="00D81766"/>
    <w:pPr>
      <w:keepNext/>
      <w:numPr>
        <w:ilvl w:val="1"/>
        <w:numId w:val="1"/>
      </w:numPr>
      <w:tabs>
        <w:tab w:val="clear" w:pos="5963"/>
        <w:tab w:val="num" w:pos="576"/>
        <w:tab w:val="left" w:pos="902"/>
      </w:tabs>
      <w:spacing w:before="360" w:after="120"/>
      <w:ind w:left="576"/>
      <w:jc w:val="left"/>
      <w:outlineLvl w:val="1"/>
    </w:pPr>
    <w:rPr>
      <w:rFonts w:cs="Arial"/>
      <w:b/>
      <w:bCs/>
      <w:iCs/>
      <w:sz w:val="28"/>
      <w:szCs w:val="28"/>
    </w:rPr>
  </w:style>
  <w:style w:type="paragraph" w:styleId="Nadpis3">
    <w:name w:val="heading 3"/>
    <w:basedOn w:val="Normln"/>
    <w:next w:val="Normln"/>
    <w:link w:val="Nadpis3Char"/>
    <w:qFormat/>
    <w:rsid w:val="00377828"/>
    <w:pPr>
      <w:keepNext/>
      <w:numPr>
        <w:ilvl w:val="2"/>
        <w:numId w:val="1"/>
      </w:numPr>
      <w:tabs>
        <w:tab w:val="clear" w:pos="720"/>
        <w:tab w:val="left" w:pos="851"/>
        <w:tab w:val="num" w:pos="8234"/>
      </w:tabs>
      <w:spacing w:before="280" w:after="120"/>
      <w:ind w:left="8234"/>
      <w:jc w:val="left"/>
      <w:outlineLvl w:val="2"/>
    </w:pPr>
    <w:rPr>
      <w:b/>
      <w:bCs/>
      <w:sz w:val="24"/>
    </w:rPr>
  </w:style>
  <w:style w:type="paragraph" w:styleId="Nadpis4">
    <w:name w:val="heading 4"/>
    <w:basedOn w:val="Normln"/>
    <w:next w:val="Normln"/>
    <w:qFormat/>
    <w:rsid w:val="00D81766"/>
    <w:pPr>
      <w:keepNext/>
      <w:tabs>
        <w:tab w:val="left" w:pos="900"/>
      </w:tabs>
      <w:spacing w:before="120" w:after="120"/>
      <w:outlineLvl w:val="3"/>
    </w:pPr>
    <w:rPr>
      <w:bCs/>
      <w:szCs w:val="28"/>
      <w:u w:val="single"/>
    </w:rPr>
  </w:style>
  <w:style w:type="paragraph" w:styleId="Nadpis5">
    <w:name w:val="heading 5"/>
    <w:aliases w:val="Tabulka"/>
    <w:basedOn w:val="Normln"/>
    <w:next w:val="Normln"/>
    <w:link w:val="Nadpis5Char"/>
    <w:qFormat/>
    <w:rsid w:val="00D81766"/>
    <w:pPr>
      <w:keepNext/>
      <w:spacing w:before="0" w:after="0"/>
      <w:outlineLvl w:val="4"/>
    </w:pPr>
    <w:rPr>
      <w:b/>
      <w:bCs/>
    </w:rPr>
  </w:style>
  <w:style w:type="paragraph" w:styleId="Nadpis6">
    <w:name w:val="heading 6"/>
    <w:basedOn w:val="Normln"/>
    <w:next w:val="Normln"/>
    <w:qFormat/>
    <w:rsid w:val="00D81766"/>
    <w:pPr>
      <w:keepNext/>
      <w:numPr>
        <w:ilvl w:val="5"/>
        <w:numId w:val="1"/>
      </w:numPr>
      <w:outlineLvl w:val="5"/>
    </w:pPr>
    <w:rPr>
      <w:b/>
      <w:bCs/>
      <w:u w:val="single"/>
    </w:rPr>
  </w:style>
  <w:style w:type="paragraph" w:styleId="Nadpis7">
    <w:name w:val="heading 7"/>
    <w:basedOn w:val="Normln"/>
    <w:next w:val="Normln"/>
    <w:qFormat/>
    <w:rsid w:val="00D81766"/>
    <w:pPr>
      <w:keepNext/>
      <w:numPr>
        <w:ilvl w:val="6"/>
        <w:numId w:val="1"/>
      </w:numPr>
      <w:outlineLvl w:val="6"/>
    </w:pPr>
    <w:rPr>
      <w:b/>
      <w:bCs/>
      <w:i/>
      <w:iCs/>
    </w:rPr>
  </w:style>
  <w:style w:type="paragraph" w:styleId="Nadpis8">
    <w:name w:val="heading 8"/>
    <w:basedOn w:val="Normln"/>
    <w:next w:val="Normln"/>
    <w:qFormat/>
    <w:rsid w:val="00D81766"/>
    <w:pPr>
      <w:keepNext/>
      <w:numPr>
        <w:ilvl w:val="7"/>
        <w:numId w:val="1"/>
      </w:numPr>
      <w:spacing w:before="0" w:after="0"/>
      <w:outlineLvl w:val="7"/>
    </w:pPr>
    <w:rPr>
      <w:b/>
      <w:bCs/>
      <w:sz w:val="32"/>
    </w:rPr>
  </w:style>
  <w:style w:type="paragraph" w:styleId="Nadpis9">
    <w:name w:val="heading 9"/>
    <w:basedOn w:val="Normln"/>
    <w:next w:val="Normln"/>
    <w:qFormat/>
    <w:rsid w:val="00D81766"/>
    <w:pPr>
      <w:keepNext/>
      <w:numPr>
        <w:ilvl w:val="8"/>
        <w:numId w:val="1"/>
      </w:numPr>
      <w:jc w:val="center"/>
      <w:outlineLvl w:val="8"/>
    </w:pPr>
    <w:rPr>
      <w:i/>
      <w:iCs/>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155950"/>
    <w:pPr>
      <w:tabs>
        <w:tab w:val="left" w:pos="720"/>
        <w:tab w:val="right" w:pos="9343"/>
      </w:tabs>
      <w:spacing w:line="240" w:lineRule="auto"/>
      <w:ind w:left="221"/>
    </w:pPr>
  </w:style>
  <w:style w:type="paragraph" w:styleId="Obsah3">
    <w:name w:val="toc 3"/>
    <w:basedOn w:val="Normln"/>
    <w:next w:val="Normln"/>
    <w:autoRedefine/>
    <w:semiHidden/>
    <w:rsid w:val="00D81766"/>
    <w:pPr>
      <w:ind w:left="440"/>
    </w:pPr>
  </w:style>
  <w:style w:type="paragraph" w:styleId="Seznamobrzk">
    <w:name w:val="table of figures"/>
    <w:basedOn w:val="Normln"/>
    <w:next w:val="Normln"/>
    <w:uiPriority w:val="99"/>
    <w:rsid w:val="00514406"/>
    <w:pPr>
      <w:ind w:left="442" w:hanging="442"/>
    </w:pPr>
  </w:style>
  <w:style w:type="paragraph" w:customStyle="1" w:styleId="seznamsodrazkami">
    <w:name w:val="seznam s odrazkami"/>
    <w:basedOn w:val="Normln"/>
    <w:rsid w:val="00D81766"/>
    <w:pPr>
      <w:numPr>
        <w:numId w:val="2"/>
      </w:numPr>
      <w:ind w:left="709" w:hanging="284"/>
    </w:pPr>
  </w:style>
  <w:style w:type="paragraph" w:styleId="Titulek">
    <w:name w:val="caption"/>
    <w:basedOn w:val="Normln"/>
    <w:next w:val="Normln"/>
    <w:qFormat/>
    <w:rsid w:val="00416675"/>
    <w:pPr>
      <w:tabs>
        <w:tab w:val="left" w:pos="993"/>
      </w:tabs>
      <w:suppressAutoHyphens w:val="0"/>
      <w:spacing w:before="40" w:after="40" w:line="264" w:lineRule="auto"/>
      <w:ind w:left="992" w:hanging="992"/>
    </w:pPr>
    <w:rPr>
      <w:b/>
      <w:sz w:val="18"/>
      <w:szCs w:val="20"/>
      <w:lang w:val="de-DE" w:eastAsia="de-DE"/>
    </w:rPr>
  </w:style>
  <w:style w:type="character" w:styleId="Hypertextovodkaz">
    <w:name w:val="Hyperlink"/>
    <w:uiPriority w:val="99"/>
    <w:rsid w:val="00CF2E45"/>
    <w:rPr>
      <w:noProof/>
      <w:color w:val="0000FF"/>
      <w:u w:val="single"/>
    </w:rPr>
  </w:style>
  <w:style w:type="paragraph" w:styleId="Obsah1">
    <w:name w:val="toc 1"/>
    <w:basedOn w:val="Normln"/>
    <w:next w:val="Normln"/>
    <w:uiPriority w:val="39"/>
    <w:rsid w:val="00D81766"/>
    <w:pPr>
      <w:spacing w:before="240" w:after="240"/>
      <w:jc w:val="left"/>
    </w:pPr>
    <w:rPr>
      <w:b/>
      <w:bCs/>
      <w:caps/>
      <w:szCs w:val="26"/>
    </w:rPr>
  </w:style>
  <w:style w:type="paragraph" w:styleId="Zhlav">
    <w:name w:val="header"/>
    <w:basedOn w:val="Normln"/>
    <w:semiHidden/>
    <w:rsid w:val="00D81766"/>
    <w:pPr>
      <w:tabs>
        <w:tab w:val="center" w:pos="4536"/>
        <w:tab w:val="right" w:pos="9072"/>
      </w:tabs>
    </w:pPr>
  </w:style>
  <w:style w:type="paragraph" w:styleId="Zpat">
    <w:name w:val="footer"/>
    <w:basedOn w:val="Normln"/>
    <w:semiHidden/>
    <w:rsid w:val="00D81766"/>
    <w:pPr>
      <w:tabs>
        <w:tab w:val="center" w:pos="4536"/>
        <w:tab w:val="right" w:pos="9072"/>
      </w:tabs>
    </w:pPr>
  </w:style>
  <w:style w:type="paragraph" w:styleId="Obsah5">
    <w:name w:val="toc 5"/>
    <w:basedOn w:val="Normln"/>
    <w:next w:val="Normln"/>
    <w:autoRedefine/>
    <w:semiHidden/>
    <w:rsid w:val="00D81766"/>
    <w:pPr>
      <w:suppressAutoHyphens w:val="0"/>
      <w:spacing w:before="120" w:after="120"/>
      <w:jc w:val="center"/>
    </w:pPr>
    <w:rPr>
      <w:b/>
      <w:bCs/>
      <w:lang w:eastAsia="cs-CZ"/>
    </w:rPr>
  </w:style>
  <w:style w:type="character" w:styleId="slostrnky">
    <w:name w:val="page number"/>
    <w:basedOn w:val="Standardnpsmoodstavce"/>
    <w:semiHidden/>
    <w:rsid w:val="00D81766"/>
  </w:style>
  <w:style w:type="character" w:styleId="Odkaznakoment">
    <w:name w:val="annotation reference"/>
    <w:semiHidden/>
    <w:rsid w:val="00D81766"/>
    <w:rPr>
      <w:sz w:val="16"/>
      <w:szCs w:val="16"/>
    </w:rPr>
  </w:style>
  <w:style w:type="paragraph" w:styleId="Textkomente">
    <w:name w:val="annotation text"/>
    <w:basedOn w:val="Normln"/>
    <w:link w:val="TextkomenteChar"/>
    <w:semiHidden/>
    <w:rsid w:val="00D81766"/>
    <w:rPr>
      <w:szCs w:val="20"/>
    </w:rPr>
  </w:style>
  <w:style w:type="paragraph" w:styleId="Zkladntext">
    <w:name w:val="Body Text"/>
    <w:basedOn w:val="Normln"/>
    <w:semiHidden/>
    <w:rsid w:val="00D81766"/>
    <w:rPr>
      <w:b/>
      <w:bCs/>
    </w:rPr>
  </w:style>
  <w:style w:type="paragraph" w:styleId="Obsah4">
    <w:name w:val="toc 4"/>
    <w:basedOn w:val="Normln"/>
    <w:next w:val="Normln"/>
    <w:autoRedefine/>
    <w:semiHidden/>
    <w:rsid w:val="00D81766"/>
    <w:pPr>
      <w:suppressAutoHyphens w:val="0"/>
      <w:spacing w:before="120" w:after="120"/>
      <w:ind w:left="720"/>
      <w:jc w:val="center"/>
    </w:pPr>
    <w:rPr>
      <w:rFonts w:ascii="Arial" w:hAnsi="Arial"/>
      <w:lang w:eastAsia="cs-CZ"/>
    </w:rPr>
  </w:style>
  <w:style w:type="paragraph" w:styleId="Textpoznpodarou">
    <w:name w:val="footnote text"/>
    <w:basedOn w:val="Normln"/>
    <w:semiHidden/>
    <w:rsid w:val="00D81766"/>
    <w:rPr>
      <w:szCs w:val="20"/>
    </w:rPr>
  </w:style>
  <w:style w:type="character" w:styleId="Znakapoznpodarou">
    <w:name w:val="footnote reference"/>
    <w:semiHidden/>
    <w:rsid w:val="00D81766"/>
    <w:rPr>
      <w:vertAlign w:val="superscript"/>
    </w:rPr>
  </w:style>
  <w:style w:type="paragraph" w:customStyle="1" w:styleId="SeznamvtabulkchSWOT">
    <w:name w:val="Seznam v tabulkách (SWOT)"/>
    <w:basedOn w:val="seznamsodrazkami"/>
    <w:rsid w:val="00D81766"/>
    <w:pPr>
      <w:spacing w:before="80" w:after="80"/>
      <w:ind w:left="1287" w:hanging="360"/>
      <w:jc w:val="left"/>
    </w:pPr>
    <w:rPr>
      <w:szCs w:val="20"/>
    </w:rPr>
  </w:style>
  <w:style w:type="character" w:styleId="Sledovanodkaz">
    <w:name w:val="FollowedHyperlink"/>
    <w:semiHidden/>
    <w:rsid w:val="00D81766"/>
    <w:rPr>
      <w:color w:val="800080"/>
      <w:u w:val="single"/>
    </w:rPr>
  </w:style>
  <w:style w:type="paragraph" w:styleId="Zkladntext2">
    <w:name w:val="Body Text 2"/>
    <w:basedOn w:val="Normln"/>
    <w:semiHidden/>
    <w:rsid w:val="00D81766"/>
    <w:rPr>
      <w:color w:val="FF0000"/>
    </w:rPr>
  </w:style>
  <w:style w:type="paragraph" w:styleId="Obsah9">
    <w:name w:val="toc 9"/>
    <w:basedOn w:val="Normln"/>
    <w:next w:val="Normln"/>
    <w:autoRedefine/>
    <w:semiHidden/>
    <w:rsid w:val="00D81766"/>
    <w:pPr>
      <w:suppressAutoHyphens w:val="0"/>
      <w:spacing w:before="0" w:after="0" w:line="240" w:lineRule="auto"/>
      <w:ind w:left="1920"/>
      <w:jc w:val="left"/>
    </w:pPr>
    <w:rPr>
      <w:rFonts w:ascii="Times New Roman" w:hAnsi="Times New Roman"/>
      <w:sz w:val="24"/>
      <w:lang w:eastAsia="cs-CZ"/>
    </w:rPr>
  </w:style>
  <w:style w:type="paragraph" w:customStyle="1" w:styleId="font5">
    <w:name w:val="font5"/>
    <w:basedOn w:val="Normln"/>
    <w:rsid w:val="00D81766"/>
    <w:pPr>
      <w:suppressAutoHyphens w:val="0"/>
      <w:spacing w:before="100" w:beforeAutospacing="1" w:after="100" w:afterAutospacing="1" w:line="240" w:lineRule="auto"/>
      <w:jc w:val="left"/>
    </w:pPr>
    <w:rPr>
      <w:rFonts w:eastAsia="Arial Unicode MS" w:cs="Tahoma"/>
      <w:color w:val="000000"/>
      <w:sz w:val="16"/>
      <w:szCs w:val="16"/>
      <w:lang w:eastAsia="cs-CZ"/>
    </w:rPr>
  </w:style>
  <w:style w:type="paragraph" w:customStyle="1" w:styleId="font6">
    <w:name w:val="font6"/>
    <w:basedOn w:val="Normln"/>
    <w:rsid w:val="00D81766"/>
    <w:pPr>
      <w:suppressAutoHyphens w:val="0"/>
      <w:spacing w:before="100" w:beforeAutospacing="1" w:after="100" w:afterAutospacing="1" w:line="240" w:lineRule="auto"/>
      <w:jc w:val="left"/>
    </w:pPr>
    <w:rPr>
      <w:rFonts w:eastAsia="Arial Unicode MS" w:cs="Tahoma"/>
      <w:b/>
      <w:bCs/>
      <w:color w:val="000000"/>
      <w:sz w:val="16"/>
      <w:szCs w:val="16"/>
      <w:lang w:eastAsia="cs-CZ"/>
    </w:rPr>
  </w:style>
  <w:style w:type="paragraph" w:customStyle="1" w:styleId="xl27">
    <w:name w:val="xl27"/>
    <w:basedOn w:val="Normln"/>
    <w:rsid w:val="00D81766"/>
    <w:pPr>
      <w:suppressAutoHyphens w:val="0"/>
      <w:spacing w:before="100" w:beforeAutospacing="1" w:after="100" w:afterAutospacing="1" w:line="240" w:lineRule="auto"/>
      <w:jc w:val="center"/>
    </w:pPr>
    <w:rPr>
      <w:rFonts w:ascii="Arial Unicode MS" w:eastAsia="Arial Unicode MS" w:hAnsi="Arial Unicode MS" w:cs="Arial Unicode MS"/>
      <w:sz w:val="24"/>
      <w:lang w:eastAsia="cs-CZ"/>
    </w:rPr>
  </w:style>
  <w:style w:type="paragraph" w:customStyle="1" w:styleId="xl28">
    <w:name w:val="xl28"/>
    <w:basedOn w:val="Normln"/>
    <w:rsid w:val="00D81766"/>
    <w:pPr>
      <w:pBdr>
        <w:top w:val="single" w:sz="4" w:space="0" w:color="auto"/>
        <w:left w:val="single" w:sz="4" w:space="0" w:color="auto"/>
        <w:bottom w:val="single" w:sz="4" w:space="0" w:color="auto"/>
      </w:pBdr>
      <w:suppressAutoHyphens w:val="0"/>
      <w:spacing w:before="100" w:beforeAutospacing="1" w:after="100" w:afterAutospacing="1" w:line="240" w:lineRule="auto"/>
      <w:jc w:val="center"/>
    </w:pPr>
    <w:rPr>
      <w:rFonts w:ascii="Arial Unicode MS" w:eastAsia="Arial Unicode MS" w:hAnsi="Arial Unicode MS" w:cs="Arial Unicode MS"/>
      <w:sz w:val="24"/>
      <w:lang w:eastAsia="cs-CZ"/>
    </w:rPr>
  </w:style>
  <w:style w:type="paragraph" w:customStyle="1" w:styleId="xl29">
    <w:name w:val="xl29"/>
    <w:basedOn w:val="Normln"/>
    <w:rsid w:val="00D81766"/>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line="240" w:lineRule="auto"/>
      <w:jc w:val="center"/>
    </w:pPr>
    <w:rPr>
      <w:rFonts w:ascii="Arial Unicode MS" w:eastAsia="Arial Unicode MS" w:hAnsi="Arial Unicode MS" w:cs="Arial Unicode MS"/>
      <w:sz w:val="24"/>
      <w:lang w:eastAsia="cs-CZ"/>
    </w:rPr>
  </w:style>
  <w:style w:type="paragraph" w:customStyle="1" w:styleId="Tabulkovtext">
    <w:name w:val="Tabulkový text"/>
    <w:basedOn w:val="Normln"/>
    <w:rsid w:val="00D81766"/>
    <w:pPr>
      <w:spacing w:before="20" w:after="20" w:line="264" w:lineRule="auto"/>
    </w:pPr>
    <w:rPr>
      <w:sz w:val="18"/>
    </w:rPr>
  </w:style>
  <w:style w:type="paragraph" w:styleId="Rejstk1">
    <w:name w:val="index 1"/>
    <w:basedOn w:val="Normln"/>
    <w:next w:val="Normln"/>
    <w:autoRedefine/>
    <w:semiHidden/>
    <w:rsid w:val="00D81766"/>
    <w:pPr>
      <w:ind w:left="200" w:hanging="200"/>
    </w:pPr>
  </w:style>
  <w:style w:type="paragraph" w:styleId="Rejstk2">
    <w:name w:val="index 2"/>
    <w:basedOn w:val="Normln"/>
    <w:next w:val="Normln"/>
    <w:autoRedefine/>
    <w:semiHidden/>
    <w:rsid w:val="00D81766"/>
    <w:pPr>
      <w:ind w:left="400" w:hanging="200"/>
    </w:pPr>
  </w:style>
  <w:style w:type="paragraph" w:styleId="Rejstk3">
    <w:name w:val="index 3"/>
    <w:basedOn w:val="Normln"/>
    <w:next w:val="Normln"/>
    <w:autoRedefine/>
    <w:semiHidden/>
    <w:rsid w:val="00D81766"/>
    <w:pPr>
      <w:ind w:left="600" w:hanging="200"/>
    </w:pPr>
  </w:style>
  <w:style w:type="paragraph" w:styleId="Rejstk4">
    <w:name w:val="index 4"/>
    <w:basedOn w:val="Normln"/>
    <w:next w:val="Normln"/>
    <w:autoRedefine/>
    <w:semiHidden/>
    <w:rsid w:val="00D81766"/>
    <w:pPr>
      <w:ind w:left="800" w:hanging="200"/>
    </w:pPr>
  </w:style>
  <w:style w:type="paragraph" w:styleId="Rejstk5">
    <w:name w:val="index 5"/>
    <w:basedOn w:val="Normln"/>
    <w:next w:val="Normln"/>
    <w:autoRedefine/>
    <w:semiHidden/>
    <w:rsid w:val="00D81766"/>
    <w:pPr>
      <w:ind w:left="1000" w:hanging="200"/>
    </w:pPr>
  </w:style>
  <w:style w:type="paragraph" w:styleId="Rejstk6">
    <w:name w:val="index 6"/>
    <w:basedOn w:val="Normln"/>
    <w:next w:val="Normln"/>
    <w:autoRedefine/>
    <w:semiHidden/>
    <w:rsid w:val="00D81766"/>
    <w:pPr>
      <w:ind w:left="1200" w:hanging="200"/>
    </w:pPr>
  </w:style>
  <w:style w:type="paragraph" w:styleId="Rejstk7">
    <w:name w:val="index 7"/>
    <w:basedOn w:val="Normln"/>
    <w:next w:val="Normln"/>
    <w:autoRedefine/>
    <w:semiHidden/>
    <w:rsid w:val="00D81766"/>
    <w:pPr>
      <w:ind w:left="1400" w:hanging="200"/>
    </w:pPr>
  </w:style>
  <w:style w:type="paragraph" w:styleId="Rejstk8">
    <w:name w:val="index 8"/>
    <w:basedOn w:val="Normln"/>
    <w:next w:val="Normln"/>
    <w:autoRedefine/>
    <w:semiHidden/>
    <w:rsid w:val="00D81766"/>
    <w:pPr>
      <w:ind w:left="1600" w:hanging="200"/>
    </w:pPr>
  </w:style>
  <w:style w:type="paragraph" w:styleId="Rejstk9">
    <w:name w:val="index 9"/>
    <w:basedOn w:val="Normln"/>
    <w:next w:val="Normln"/>
    <w:autoRedefine/>
    <w:semiHidden/>
    <w:rsid w:val="00D81766"/>
    <w:pPr>
      <w:ind w:left="1800" w:hanging="200"/>
    </w:pPr>
  </w:style>
  <w:style w:type="paragraph" w:styleId="Hlavikarejstku">
    <w:name w:val="index heading"/>
    <w:basedOn w:val="Normln"/>
    <w:next w:val="Rejstk1"/>
    <w:semiHidden/>
    <w:rsid w:val="00D81766"/>
  </w:style>
  <w:style w:type="paragraph" w:styleId="Obsah6">
    <w:name w:val="toc 6"/>
    <w:basedOn w:val="Normln"/>
    <w:next w:val="Normln"/>
    <w:autoRedefine/>
    <w:semiHidden/>
    <w:rsid w:val="00D81766"/>
    <w:pPr>
      <w:ind w:left="1000"/>
    </w:pPr>
  </w:style>
  <w:style w:type="paragraph" w:styleId="Obsah7">
    <w:name w:val="toc 7"/>
    <w:basedOn w:val="Normln"/>
    <w:next w:val="Normln"/>
    <w:autoRedefine/>
    <w:semiHidden/>
    <w:rsid w:val="00D81766"/>
    <w:pPr>
      <w:ind w:left="1200"/>
    </w:pPr>
  </w:style>
  <w:style w:type="paragraph" w:styleId="Obsah8">
    <w:name w:val="toc 8"/>
    <w:basedOn w:val="Normln"/>
    <w:next w:val="Normln"/>
    <w:autoRedefine/>
    <w:semiHidden/>
    <w:rsid w:val="00D81766"/>
    <w:pPr>
      <w:ind w:left="1400"/>
    </w:pPr>
  </w:style>
  <w:style w:type="paragraph" w:customStyle="1" w:styleId="Rejstk">
    <w:name w:val="Rejstřík"/>
    <w:basedOn w:val="Normln"/>
    <w:rsid w:val="00D81766"/>
    <w:pPr>
      <w:suppressLineNumbers/>
      <w:spacing w:before="120" w:after="120"/>
    </w:pPr>
    <w:rPr>
      <w:rFonts w:ascii="Arial" w:hAnsi="Arial" w:cs="Arial"/>
      <w:sz w:val="22"/>
      <w:szCs w:val="22"/>
    </w:rPr>
  </w:style>
  <w:style w:type="paragraph" w:customStyle="1" w:styleId="t">
    <w:name w:val="t"/>
    <w:basedOn w:val="Normln"/>
    <w:rsid w:val="00D81766"/>
    <w:pPr>
      <w:spacing w:before="280" w:after="280"/>
      <w:jc w:val="left"/>
    </w:pPr>
    <w:rPr>
      <w:rFonts w:cs="Tahoma"/>
      <w:szCs w:val="20"/>
    </w:rPr>
  </w:style>
  <w:style w:type="paragraph" w:customStyle="1" w:styleId="xl31">
    <w:name w:val="xl31"/>
    <w:basedOn w:val="Normln"/>
    <w:rsid w:val="00D81766"/>
    <w:pPr>
      <w:suppressAutoHyphens w:val="0"/>
      <w:spacing w:before="100" w:beforeAutospacing="1" w:after="100" w:afterAutospacing="1" w:line="240" w:lineRule="auto"/>
      <w:jc w:val="left"/>
    </w:pPr>
    <w:rPr>
      <w:rFonts w:ascii="Arial" w:eastAsia="Arial Unicode MS" w:hAnsi="Arial" w:cs="Arial"/>
      <w:b/>
      <w:bCs/>
      <w:sz w:val="24"/>
      <w:lang w:eastAsia="cs-CZ"/>
    </w:rPr>
  </w:style>
  <w:style w:type="paragraph" w:customStyle="1" w:styleId="xl24">
    <w:name w:val="xl24"/>
    <w:basedOn w:val="Normln"/>
    <w:rsid w:val="00D81766"/>
    <w:pPr>
      <w:pBdr>
        <w:left w:val="single" w:sz="4" w:space="0" w:color="auto"/>
      </w:pBdr>
      <w:suppressAutoHyphens w:val="0"/>
      <w:spacing w:before="100" w:beforeAutospacing="1" w:after="100" w:afterAutospacing="1" w:line="240" w:lineRule="auto"/>
      <w:jc w:val="left"/>
    </w:pPr>
    <w:rPr>
      <w:rFonts w:ascii="Arial Unicode MS" w:eastAsia="Arial Unicode MS" w:hAnsi="Arial Unicode MS" w:cs="Arial Unicode MS"/>
      <w:sz w:val="24"/>
      <w:lang w:eastAsia="cs-CZ"/>
    </w:rPr>
  </w:style>
  <w:style w:type="paragraph" w:customStyle="1" w:styleId="xl25">
    <w:name w:val="xl25"/>
    <w:basedOn w:val="Normln"/>
    <w:rsid w:val="00D81766"/>
    <w:pPr>
      <w:suppressAutoHyphens w:val="0"/>
      <w:spacing w:before="100" w:beforeAutospacing="1" w:after="100" w:afterAutospacing="1" w:line="240" w:lineRule="auto"/>
      <w:jc w:val="left"/>
    </w:pPr>
    <w:rPr>
      <w:rFonts w:ascii="Arial Unicode MS" w:eastAsia="Arial Unicode MS" w:hAnsi="Arial Unicode MS" w:cs="Arial Unicode MS"/>
      <w:sz w:val="24"/>
      <w:lang w:eastAsia="cs-CZ"/>
    </w:rPr>
  </w:style>
  <w:style w:type="paragraph" w:customStyle="1" w:styleId="xl26">
    <w:name w:val="xl26"/>
    <w:basedOn w:val="Normln"/>
    <w:rsid w:val="00D81766"/>
    <w:pPr>
      <w:pBdr>
        <w:right w:val="single" w:sz="4" w:space="0" w:color="auto"/>
      </w:pBdr>
      <w:suppressAutoHyphens w:val="0"/>
      <w:spacing w:before="100" w:beforeAutospacing="1" w:after="100" w:afterAutospacing="1" w:line="240" w:lineRule="auto"/>
      <w:jc w:val="left"/>
    </w:pPr>
    <w:rPr>
      <w:rFonts w:ascii="Arial Unicode MS" w:eastAsia="Arial Unicode MS" w:hAnsi="Arial Unicode MS" w:cs="Arial Unicode MS"/>
      <w:sz w:val="24"/>
      <w:lang w:eastAsia="cs-CZ"/>
    </w:rPr>
  </w:style>
  <w:style w:type="paragraph" w:customStyle="1" w:styleId="text-beznyodstavec">
    <w:name w:val="text-bezny_odstavec"/>
    <w:basedOn w:val="Normln"/>
    <w:rsid w:val="006A0D46"/>
    <w:pPr>
      <w:suppressAutoHyphens w:val="0"/>
      <w:spacing w:before="100" w:after="100" w:line="312" w:lineRule="auto"/>
    </w:pPr>
    <w:rPr>
      <w:rFonts w:ascii="Arial" w:hAnsi="Arial"/>
      <w:sz w:val="22"/>
      <w:lang w:eastAsia="cs-CZ"/>
    </w:rPr>
  </w:style>
  <w:style w:type="paragraph" w:customStyle="1" w:styleId="titulek-tabulka">
    <w:name w:val="titulek-tabulka"/>
    <w:basedOn w:val="Titulek"/>
    <w:next w:val="Normln"/>
    <w:rsid w:val="006A0D46"/>
    <w:pPr>
      <w:keepNext/>
      <w:tabs>
        <w:tab w:val="clear" w:pos="993"/>
      </w:tabs>
      <w:spacing w:before="120" w:after="120" w:line="240" w:lineRule="auto"/>
      <w:ind w:left="0" w:firstLine="0"/>
      <w:jc w:val="center"/>
    </w:pPr>
    <w:rPr>
      <w:rFonts w:ascii="Arial" w:hAnsi="Arial"/>
      <w:b w:val="0"/>
      <w:bCs/>
      <w:sz w:val="22"/>
      <w:lang w:val="cs-CZ" w:eastAsia="cs-CZ"/>
    </w:rPr>
  </w:style>
  <w:style w:type="table" w:styleId="Mkatabulky">
    <w:name w:val="Table Grid"/>
    <w:basedOn w:val="Normlntabulka"/>
    <w:uiPriority w:val="59"/>
    <w:rsid w:val="00205D8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Odstavecseseznamem">
    <w:name w:val="List Paragraph"/>
    <w:basedOn w:val="Normln"/>
    <w:uiPriority w:val="34"/>
    <w:qFormat/>
    <w:rsid w:val="00E17D91"/>
    <w:pPr>
      <w:ind w:left="708"/>
    </w:pPr>
  </w:style>
  <w:style w:type="paragraph" w:styleId="Bezmezer">
    <w:name w:val="No Spacing"/>
    <w:uiPriority w:val="1"/>
    <w:qFormat/>
    <w:rsid w:val="00F12413"/>
    <w:pPr>
      <w:suppressAutoHyphens/>
      <w:jc w:val="both"/>
    </w:pPr>
    <w:rPr>
      <w:rFonts w:ascii="Tahoma" w:hAnsi="Tahoma"/>
      <w:szCs w:val="24"/>
      <w:lang w:eastAsia="ar-SA"/>
    </w:rPr>
  </w:style>
  <w:style w:type="paragraph" w:customStyle="1" w:styleId="Formul08">
    <w:name w:val="Formulář 08"/>
    <w:basedOn w:val="Normln"/>
    <w:link w:val="Formul08Char"/>
    <w:qFormat/>
    <w:rsid w:val="00147AB7"/>
    <w:pPr>
      <w:widowControl w:val="0"/>
      <w:suppressAutoHyphens w:val="0"/>
      <w:spacing w:before="0" w:after="0" w:line="240" w:lineRule="auto"/>
      <w:jc w:val="left"/>
    </w:pPr>
    <w:rPr>
      <w:rFonts w:ascii="Arial" w:eastAsia="Calibri" w:hAnsi="Arial"/>
      <w:noProof/>
      <w:color w:val="000000"/>
      <w:sz w:val="17"/>
      <w:szCs w:val="22"/>
      <w:lang w:eastAsia="en-US"/>
    </w:rPr>
  </w:style>
  <w:style w:type="paragraph" w:customStyle="1" w:styleId="Text">
    <w:name w:val="Text"/>
    <w:basedOn w:val="Normln"/>
    <w:link w:val="TextChar"/>
    <w:qFormat/>
    <w:rsid w:val="00147AB7"/>
    <w:pPr>
      <w:suppressAutoHyphens w:val="0"/>
      <w:spacing w:before="0" w:after="120" w:line="240" w:lineRule="auto"/>
    </w:pPr>
    <w:rPr>
      <w:rFonts w:ascii="Arial" w:hAnsi="Arial"/>
      <w:noProof/>
      <w:szCs w:val="22"/>
    </w:rPr>
  </w:style>
  <w:style w:type="character" w:customStyle="1" w:styleId="Formul08Char">
    <w:name w:val="Formulář 08 Char"/>
    <w:link w:val="Formul08"/>
    <w:rsid w:val="00147AB7"/>
    <w:rPr>
      <w:rFonts w:ascii="Arial" w:eastAsia="Calibri" w:hAnsi="Arial"/>
      <w:noProof/>
      <w:color w:val="000000"/>
      <w:sz w:val="17"/>
      <w:szCs w:val="22"/>
      <w:lang w:eastAsia="en-US"/>
    </w:rPr>
  </w:style>
  <w:style w:type="character" w:customStyle="1" w:styleId="TextChar">
    <w:name w:val="Text Char"/>
    <w:link w:val="Text"/>
    <w:rsid w:val="00147AB7"/>
    <w:rPr>
      <w:rFonts w:ascii="Arial" w:eastAsia="Times New Roman" w:hAnsi="Arial" w:cs="Times New Roman"/>
      <w:noProof/>
      <w:szCs w:val="22"/>
    </w:rPr>
  </w:style>
  <w:style w:type="paragraph" w:customStyle="1" w:styleId="Formul10">
    <w:name w:val="Formulář 10"/>
    <w:basedOn w:val="Normln"/>
    <w:link w:val="Formul10Char"/>
    <w:qFormat/>
    <w:rsid w:val="00147AB7"/>
    <w:pPr>
      <w:widowControl w:val="0"/>
      <w:suppressAutoHyphens w:val="0"/>
      <w:spacing w:before="0" w:after="0" w:line="240" w:lineRule="auto"/>
      <w:jc w:val="left"/>
    </w:pPr>
    <w:rPr>
      <w:rFonts w:ascii="Arial" w:hAnsi="Arial"/>
      <w:noProof/>
      <w:color w:val="000000"/>
      <w:szCs w:val="22"/>
    </w:rPr>
  </w:style>
  <w:style w:type="character" w:customStyle="1" w:styleId="Formul10Char">
    <w:name w:val="Formulář 10 Char"/>
    <w:link w:val="Formul10"/>
    <w:rsid w:val="00147AB7"/>
    <w:rPr>
      <w:rFonts w:ascii="Arial" w:eastAsia="Times New Roman" w:hAnsi="Arial" w:cs="Times New Roman"/>
      <w:noProof/>
      <w:color w:val="000000"/>
      <w:szCs w:val="22"/>
    </w:rPr>
  </w:style>
  <w:style w:type="paragraph" w:styleId="Textbubliny">
    <w:name w:val="Balloon Text"/>
    <w:basedOn w:val="Normln"/>
    <w:link w:val="TextbublinyChar"/>
    <w:uiPriority w:val="99"/>
    <w:semiHidden/>
    <w:unhideWhenUsed/>
    <w:rsid w:val="00147AB7"/>
    <w:pPr>
      <w:spacing w:before="0" w:after="0" w:line="240" w:lineRule="auto"/>
    </w:pPr>
    <w:rPr>
      <w:sz w:val="16"/>
      <w:szCs w:val="16"/>
    </w:rPr>
  </w:style>
  <w:style w:type="character" w:customStyle="1" w:styleId="TextbublinyChar">
    <w:name w:val="Text bubliny Char"/>
    <w:link w:val="Textbubliny"/>
    <w:uiPriority w:val="99"/>
    <w:semiHidden/>
    <w:rsid w:val="00147AB7"/>
    <w:rPr>
      <w:rFonts w:ascii="Tahoma" w:hAnsi="Tahoma" w:cs="Tahoma"/>
      <w:sz w:val="16"/>
      <w:szCs w:val="16"/>
      <w:lang w:eastAsia="ar-SA"/>
    </w:rPr>
  </w:style>
  <w:style w:type="paragraph" w:styleId="Normlnweb">
    <w:name w:val="Normal (Web)"/>
    <w:basedOn w:val="Normln"/>
    <w:uiPriority w:val="99"/>
    <w:rsid w:val="00422620"/>
    <w:pPr>
      <w:suppressAutoHyphens w:val="0"/>
      <w:spacing w:before="0" w:after="0" w:line="240" w:lineRule="auto"/>
      <w:jc w:val="left"/>
    </w:pPr>
    <w:rPr>
      <w:rFonts w:ascii="Times New Roman" w:hAnsi="Times New Roman"/>
      <w:sz w:val="24"/>
      <w:lang w:val="en-GB" w:eastAsia="en-GB"/>
    </w:rPr>
  </w:style>
  <w:style w:type="paragraph" w:customStyle="1" w:styleId="Para1">
    <w:name w:val="Para1"/>
    <w:basedOn w:val="Normln"/>
    <w:rsid w:val="00D4137B"/>
    <w:pPr>
      <w:tabs>
        <w:tab w:val="left" w:pos="1134"/>
        <w:tab w:val="left" w:pos="1418"/>
      </w:tabs>
      <w:suppressAutoHyphens w:val="0"/>
      <w:spacing w:before="240" w:after="0" w:line="240" w:lineRule="auto"/>
      <w:ind w:left="1418" w:hanging="1418"/>
      <w:jc w:val="left"/>
    </w:pPr>
    <w:rPr>
      <w:rFonts w:ascii="Arial" w:hAnsi="Arial"/>
      <w:szCs w:val="20"/>
      <w:lang w:val="en-GB" w:eastAsia="en-US"/>
    </w:rPr>
  </w:style>
  <w:style w:type="character" w:customStyle="1" w:styleId="TextkomenteChar">
    <w:name w:val="Text komentáře Char"/>
    <w:link w:val="Textkomente"/>
    <w:semiHidden/>
    <w:rsid w:val="00D4137B"/>
    <w:rPr>
      <w:rFonts w:ascii="Tahoma" w:hAnsi="Tahoma"/>
      <w:lang w:eastAsia="ar-SA"/>
    </w:rPr>
  </w:style>
  <w:style w:type="character" w:customStyle="1" w:styleId="lat">
    <w:name w:val="lat"/>
    <w:basedOn w:val="Standardnpsmoodstavce"/>
    <w:rsid w:val="0022641B"/>
  </w:style>
  <w:style w:type="paragraph" w:customStyle="1" w:styleId="Style1">
    <w:name w:val="Style1"/>
    <w:basedOn w:val="Normln"/>
    <w:autoRedefine/>
    <w:rsid w:val="00B117DF"/>
    <w:pPr>
      <w:suppressAutoHyphens w:val="0"/>
      <w:spacing w:before="0" w:after="0" w:line="240" w:lineRule="auto"/>
    </w:pPr>
    <w:rPr>
      <w:rFonts w:ascii="Times New Roman" w:hAnsi="Times New Roman"/>
      <w:b/>
      <w:bCs/>
      <w:lang w:eastAsia="cs-CZ"/>
    </w:rPr>
  </w:style>
  <w:style w:type="character" w:customStyle="1" w:styleId="Nadpis5Char">
    <w:name w:val="Nadpis 5 Char"/>
    <w:aliases w:val="Tabulka Char"/>
    <w:link w:val="Nadpis5"/>
    <w:rsid w:val="00B87DDA"/>
    <w:rPr>
      <w:rFonts w:ascii="Tahoma" w:hAnsi="Tahoma"/>
      <w:b/>
      <w:bCs/>
      <w:szCs w:val="24"/>
      <w:lang w:eastAsia="ar-SA"/>
    </w:rPr>
  </w:style>
  <w:style w:type="paragraph" w:styleId="Nzev">
    <w:name w:val="Title"/>
    <w:basedOn w:val="Normln"/>
    <w:next w:val="Normln"/>
    <w:link w:val="NzevChar"/>
    <w:uiPriority w:val="10"/>
    <w:qFormat/>
    <w:rsid w:val="0072543A"/>
    <w:pPr>
      <w:spacing w:before="240" w:after="60"/>
      <w:jc w:val="center"/>
      <w:outlineLvl w:val="0"/>
    </w:pPr>
    <w:rPr>
      <w:rFonts w:ascii="Cambria" w:hAnsi="Cambria"/>
      <w:b/>
      <w:bCs/>
      <w:kern w:val="28"/>
      <w:sz w:val="32"/>
      <w:szCs w:val="32"/>
    </w:rPr>
  </w:style>
  <w:style w:type="character" w:customStyle="1" w:styleId="NzevChar">
    <w:name w:val="Název Char"/>
    <w:link w:val="Nzev"/>
    <w:uiPriority w:val="10"/>
    <w:rsid w:val="0072543A"/>
    <w:rPr>
      <w:rFonts w:ascii="Cambria" w:eastAsia="Times New Roman" w:hAnsi="Cambria" w:cs="Times New Roman"/>
      <w:b/>
      <w:bCs/>
      <w:kern w:val="28"/>
      <w:sz w:val="32"/>
      <w:szCs w:val="32"/>
      <w:lang w:eastAsia="ar-SA"/>
    </w:rPr>
  </w:style>
  <w:style w:type="character" w:customStyle="1" w:styleId="Nadpis3Char">
    <w:name w:val="Nadpis 3 Char"/>
    <w:link w:val="Nadpis3"/>
    <w:rsid w:val="004F661E"/>
    <w:rPr>
      <w:rFonts w:ascii="Tahoma" w:hAnsi="Tahoma"/>
      <w:b/>
      <w:bCs/>
      <w:sz w:val="24"/>
      <w:szCs w:val="24"/>
      <w:lang w:eastAsia="ar-SA"/>
    </w:rPr>
  </w:style>
  <w:style w:type="paragraph" w:customStyle="1" w:styleId="Odstavecseseznamem1">
    <w:name w:val="Odstavec se seznamem1"/>
    <w:basedOn w:val="Normln"/>
    <w:qFormat/>
    <w:rsid w:val="0050179A"/>
    <w:pPr>
      <w:suppressAutoHyphens w:val="0"/>
      <w:spacing w:before="0" w:after="200" w:line="276" w:lineRule="auto"/>
      <w:ind w:left="708"/>
      <w:jc w:val="left"/>
    </w:pPr>
    <w:rPr>
      <w:rFonts w:ascii="Calibri" w:hAnsi="Calibri"/>
      <w:sz w:val="22"/>
      <w:szCs w:val="22"/>
      <w:lang w:val="en-GB" w:eastAsia="en-US"/>
    </w:rPr>
  </w:style>
  <w:style w:type="paragraph" w:customStyle="1" w:styleId="Vc">
    <w:name w:val="Věc"/>
    <w:basedOn w:val="Normln"/>
    <w:next w:val="Normln"/>
    <w:qFormat/>
    <w:rsid w:val="00F708AC"/>
    <w:pPr>
      <w:suppressAutoHyphens w:val="0"/>
      <w:spacing w:before="0" w:after="480" w:line="240" w:lineRule="auto"/>
    </w:pPr>
    <w:rPr>
      <w:rFonts w:ascii="Arial" w:eastAsia="Calibri" w:hAnsi="Arial"/>
      <w:b/>
      <w:szCs w:val="20"/>
      <w:lang w:eastAsia="en-US"/>
    </w:rPr>
  </w:style>
  <w:style w:type="paragraph" w:styleId="Pedmtkomente">
    <w:name w:val="annotation subject"/>
    <w:basedOn w:val="Textkomente"/>
    <w:next w:val="Textkomente"/>
    <w:link w:val="PedmtkomenteChar"/>
    <w:uiPriority w:val="99"/>
    <w:semiHidden/>
    <w:unhideWhenUsed/>
    <w:rsid w:val="00327368"/>
    <w:pPr>
      <w:spacing w:line="240" w:lineRule="auto"/>
    </w:pPr>
    <w:rPr>
      <w:b/>
      <w:bCs/>
    </w:rPr>
  </w:style>
  <w:style w:type="character" w:customStyle="1" w:styleId="PedmtkomenteChar">
    <w:name w:val="Předmět komentáře Char"/>
    <w:basedOn w:val="TextkomenteChar"/>
    <w:link w:val="Pedmtkomente"/>
    <w:uiPriority w:val="99"/>
    <w:semiHidden/>
    <w:rsid w:val="00327368"/>
    <w:rPr>
      <w:rFonts w:ascii="Tahoma" w:hAnsi="Tahoma"/>
      <w:b/>
      <w:bCs/>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semiHidden="0" w:uiPriority="0" w:unhideWhenUsed="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4F661E"/>
    <w:pPr>
      <w:suppressAutoHyphens/>
      <w:spacing w:before="160" w:after="160" w:line="288" w:lineRule="auto"/>
      <w:jc w:val="both"/>
    </w:pPr>
    <w:rPr>
      <w:rFonts w:ascii="Tahoma" w:hAnsi="Tahoma"/>
      <w:szCs w:val="24"/>
      <w:lang w:eastAsia="ar-SA"/>
    </w:rPr>
  </w:style>
  <w:style w:type="paragraph" w:styleId="Nadpis1">
    <w:name w:val="heading 1"/>
    <w:aliases w:val="adpis 1,kapitola,Nadpis 1 kk"/>
    <w:basedOn w:val="Normln"/>
    <w:next w:val="Normln"/>
    <w:qFormat/>
    <w:rsid w:val="00D81766"/>
    <w:pPr>
      <w:keepNext/>
      <w:pageBreakBefore/>
      <w:numPr>
        <w:numId w:val="1"/>
      </w:numPr>
      <w:tabs>
        <w:tab w:val="left" w:pos="902"/>
      </w:tabs>
      <w:spacing w:before="0" w:after="320"/>
      <w:jc w:val="left"/>
      <w:outlineLvl w:val="0"/>
    </w:pPr>
    <w:rPr>
      <w:b/>
      <w:bCs/>
      <w:caps/>
      <w:sz w:val="32"/>
    </w:rPr>
  </w:style>
  <w:style w:type="paragraph" w:styleId="Nadpis2">
    <w:name w:val="heading 2"/>
    <w:aliases w:val="Nadpis_2,Heading 2,adpis 2,Nadpis 2 kk"/>
    <w:basedOn w:val="Normln"/>
    <w:next w:val="Normln"/>
    <w:qFormat/>
    <w:rsid w:val="00D81766"/>
    <w:pPr>
      <w:keepNext/>
      <w:numPr>
        <w:ilvl w:val="1"/>
        <w:numId w:val="1"/>
      </w:numPr>
      <w:tabs>
        <w:tab w:val="clear" w:pos="5963"/>
        <w:tab w:val="num" w:pos="576"/>
        <w:tab w:val="left" w:pos="902"/>
      </w:tabs>
      <w:spacing w:before="360" w:after="120"/>
      <w:ind w:left="576"/>
      <w:jc w:val="left"/>
      <w:outlineLvl w:val="1"/>
    </w:pPr>
    <w:rPr>
      <w:rFonts w:cs="Arial"/>
      <w:b/>
      <w:bCs/>
      <w:iCs/>
      <w:sz w:val="28"/>
      <w:szCs w:val="28"/>
    </w:rPr>
  </w:style>
  <w:style w:type="paragraph" w:styleId="Nadpis3">
    <w:name w:val="heading 3"/>
    <w:basedOn w:val="Normln"/>
    <w:next w:val="Normln"/>
    <w:link w:val="Nadpis3Char"/>
    <w:qFormat/>
    <w:rsid w:val="00377828"/>
    <w:pPr>
      <w:keepNext/>
      <w:numPr>
        <w:ilvl w:val="2"/>
        <w:numId w:val="1"/>
      </w:numPr>
      <w:tabs>
        <w:tab w:val="clear" w:pos="720"/>
        <w:tab w:val="left" w:pos="851"/>
        <w:tab w:val="num" w:pos="8234"/>
      </w:tabs>
      <w:spacing w:before="280" w:after="120"/>
      <w:ind w:left="8234"/>
      <w:jc w:val="left"/>
      <w:outlineLvl w:val="2"/>
    </w:pPr>
    <w:rPr>
      <w:b/>
      <w:bCs/>
      <w:sz w:val="24"/>
    </w:rPr>
  </w:style>
  <w:style w:type="paragraph" w:styleId="Nadpis4">
    <w:name w:val="heading 4"/>
    <w:basedOn w:val="Normln"/>
    <w:next w:val="Normln"/>
    <w:qFormat/>
    <w:rsid w:val="00D81766"/>
    <w:pPr>
      <w:keepNext/>
      <w:tabs>
        <w:tab w:val="left" w:pos="900"/>
      </w:tabs>
      <w:spacing w:before="120" w:after="120"/>
      <w:outlineLvl w:val="3"/>
    </w:pPr>
    <w:rPr>
      <w:bCs/>
      <w:szCs w:val="28"/>
      <w:u w:val="single"/>
    </w:rPr>
  </w:style>
  <w:style w:type="paragraph" w:styleId="Nadpis5">
    <w:name w:val="heading 5"/>
    <w:aliases w:val="Tabulka"/>
    <w:basedOn w:val="Normln"/>
    <w:next w:val="Normln"/>
    <w:link w:val="Nadpis5Char"/>
    <w:qFormat/>
    <w:rsid w:val="00D81766"/>
    <w:pPr>
      <w:keepNext/>
      <w:spacing w:before="0" w:after="0"/>
      <w:outlineLvl w:val="4"/>
    </w:pPr>
    <w:rPr>
      <w:b/>
      <w:bCs/>
    </w:rPr>
  </w:style>
  <w:style w:type="paragraph" w:styleId="Nadpis6">
    <w:name w:val="heading 6"/>
    <w:basedOn w:val="Normln"/>
    <w:next w:val="Normln"/>
    <w:qFormat/>
    <w:rsid w:val="00D81766"/>
    <w:pPr>
      <w:keepNext/>
      <w:numPr>
        <w:ilvl w:val="5"/>
        <w:numId w:val="1"/>
      </w:numPr>
      <w:outlineLvl w:val="5"/>
    </w:pPr>
    <w:rPr>
      <w:b/>
      <w:bCs/>
      <w:u w:val="single"/>
    </w:rPr>
  </w:style>
  <w:style w:type="paragraph" w:styleId="Nadpis7">
    <w:name w:val="heading 7"/>
    <w:basedOn w:val="Normln"/>
    <w:next w:val="Normln"/>
    <w:qFormat/>
    <w:rsid w:val="00D81766"/>
    <w:pPr>
      <w:keepNext/>
      <w:numPr>
        <w:ilvl w:val="6"/>
        <w:numId w:val="1"/>
      </w:numPr>
      <w:outlineLvl w:val="6"/>
    </w:pPr>
    <w:rPr>
      <w:b/>
      <w:bCs/>
      <w:i/>
      <w:iCs/>
    </w:rPr>
  </w:style>
  <w:style w:type="paragraph" w:styleId="Nadpis8">
    <w:name w:val="heading 8"/>
    <w:basedOn w:val="Normln"/>
    <w:next w:val="Normln"/>
    <w:qFormat/>
    <w:rsid w:val="00D81766"/>
    <w:pPr>
      <w:keepNext/>
      <w:numPr>
        <w:ilvl w:val="7"/>
        <w:numId w:val="1"/>
      </w:numPr>
      <w:spacing w:before="0" w:after="0"/>
      <w:outlineLvl w:val="7"/>
    </w:pPr>
    <w:rPr>
      <w:b/>
      <w:bCs/>
      <w:sz w:val="32"/>
    </w:rPr>
  </w:style>
  <w:style w:type="paragraph" w:styleId="Nadpis9">
    <w:name w:val="heading 9"/>
    <w:basedOn w:val="Normln"/>
    <w:next w:val="Normln"/>
    <w:qFormat/>
    <w:rsid w:val="00D81766"/>
    <w:pPr>
      <w:keepNext/>
      <w:numPr>
        <w:ilvl w:val="8"/>
        <w:numId w:val="1"/>
      </w:numPr>
      <w:jc w:val="center"/>
      <w:outlineLvl w:val="8"/>
    </w:pPr>
    <w:rPr>
      <w:i/>
      <w:iCs/>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155950"/>
    <w:pPr>
      <w:tabs>
        <w:tab w:val="left" w:pos="720"/>
        <w:tab w:val="right" w:pos="9343"/>
      </w:tabs>
      <w:spacing w:line="240" w:lineRule="auto"/>
      <w:ind w:left="221"/>
    </w:pPr>
  </w:style>
  <w:style w:type="paragraph" w:styleId="Obsah3">
    <w:name w:val="toc 3"/>
    <w:basedOn w:val="Normln"/>
    <w:next w:val="Normln"/>
    <w:autoRedefine/>
    <w:semiHidden/>
    <w:rsid w:val="00D81766"/>
    <w:pPr>
      <w:ind w:left="440"/>
    </w:pPr>
  </w:style>
  <w:style w:type="paragraph" w:styleId="Seznamobrzk">
    <w:name w:val="table of figures"/>
    <w:basedOn w:val="Normln"/>
    <w:next w:val="Normln"/>
    <w:uiPriority w:val="99"/>
    <w:rsid w:val="00514406"/>
    <w:pPr>
      <w:ind w:left="442" w:hanging="442"/>
    </w:pPr>
  </w:style>
  <w:style w:type="paragraph" w:customStyle="1" w:styleId="seznamsodrazkami">
    <w:name w:val="seznam s odrazkami"/>
    <w:basedOn w:val="Normln"/>
    <w:rsid w:val="00D81766"/>
    <w:pPr>
      <w:numPr>
        <w:numId w:val="2"/>
      </w:numPr>
      <w:ind w:left="709" w:hanging="284"/>
    </w:pPr>
  </w:style>
  <w:style w:type="paragraph" w:styleId="Titulek">
    <w:name w:val="caption"/>
    <w:basedOn w:val="Normln"/>
    <w:next w:val="Normln"/>
    <w:qFormat/>
    <w:rsid w:val="00416675"/>
    <w:pPr>
      <w:tabs>
        <w:tab w:val="left" w:pos="993"/>
      </w:tabs>
      <w:suppressAutoHyphens w:val="0"/>
      <w:spacing w:before="40" w:after="40" w:line="264" w:lineRule="auto"/>
      <w:ind w:left="992" w:hanging="992"/>
    </w:pPr>
    <w:rPr>
      <w:b/>
      <w:sz w:val="18"/>
      <w:szCs w:val="20"/>
      <w:lang w:val="de-DE" w:eastAsia="de-DE"/>
    </w:rPr>
  </w:style>
  <w:style w:type="character" w:styleId="Hypertextovodkaz">
    <w:name w:val="Hyperlink"/>
    <w:uiPriority w:val="99"/>
    <w:rsid w:val="00CF2E45"/>
    <w:rPr>
      <w:noProof/>
      <w:color w:val="0000FF"/>
      <w:u w:val="single"/>
    </w:rPr>
  </w:style>
  <w:style w:type="paragraph" w:styleId="Obsah1">
    <w:name w:val="toc 1"/>
    <w:basedOn w:val="Normln"/>
    <w:next w:val="Normln"/>
    <w:uiPriority w:val="39"/>
    <w:rsid w:val="00D81766"/>
    <w:pPr>
      <w:spacing w:before="240" w:after="240"/>
      <w:jc w:val="left"/>
    </w:pPr>
    <w:rPr>
      <w:b/>
      <w:bCs/>
      <w:caps/>
      <w:szCs w:val="26"/>
    </w:rPr>
  </w:style>
  <w:style w:type="paragraph" w:styleId="Zhlav">
    <w:name w:val="header"/>
    <w:basedOn w:val="Normln"/>
    <w:semiHidden/>
    <w:rsid w:val="00D81766"/>
    <w:pPr>
      <w:tabs>
        <w:tab w:val="center" w:pos="4536"/>
        <w:tab w:val="right" w:pos="9072"/>
      </w:tabs>
    </w:pPr>
  </w:style>
  <w:style w:type="paragraph" w:styleId="Zpat">
    <w:name w:val="footer"/>
    <w:basedOn w:val="Normln"/>
    <w:semiHidden/>
    <w:rsid w:val="00D81766"/>
    <w:pPr>
      <w:tabs>
        <w:tab w:val="center" w:pos="4536"/>
        <w:tab w:val="right" w:pos="9072"/>
      </w:tabs>
    </w:pPr>
  </w:style>
  <w:style w:type="paragraph" w:styleId="Obsah5">
    <w:name w:val="toc 5"/>
    <w:basedOn w:val="Normln"/>
    <w:next w:val="Normln"/>
    <w:autoRedefine/>
    <w:semiHidden/>
    <w:rsid w:val="00D81766"/>
    <w:pPr>
      <w:suppressAutoHyphens w:val="0"/>
      <w:spacing w:before="120" w:after="120"/>
      <w:jc w:val="center"/>
    </w:pPr>
    <w:rPr>
      <w:b/>
      <w:bCs/>
      <w:lang w:eastAsia="cs-CZ"/>
    </w:rPr>
  </w:style>
  <w:style w:type="character" w:styleId="slostrnky">
    <w:name w:val="page number"/>
    <w:basedOn w:val="Standardnpsmoodstavce"/>
    <w:semiHidden/>
    <w:rsid w:val="00D81766"/>
  </w:style>
  <w:style w:type="character" w:styleId="Odkaznakoment">
    <w:name w:val="annotation reference"/>
    <w:semiHidden/>
    <w:rsid w:val="00D81766"/>
    <w:rPr>
      <w:sz w:val="16"/>
      <w:szCs w:val="16"/>
    </w:rPr>
  </w:style>
  <w:style w:type="paragraph" w:styleId="Textkomente">
    <w:name w:val="annotation text"/>
    <w:basedOn w:val="Normln"/>
    <w:link w:val="TextkomenteChar"/>
    <w:semiHidden/>
    <w:rsid w:val="00D81766"/>
    <w:rPr>
      <w:szCs w:val="20"/>
    </w:rPr>
  </w:style>
  <w:style w:type="paragraph" w:styleId="Zkladntext">
    <w:name w:val="Body Text"/>
    <w:basedOn w:val="Normln"/>
    <w:semiHidden/>
    <w:rsid w:val="00D81766"/>
    <w:rPr>
      <w:b/>
      <w:bCs/>
    </w:rPr>
  </w:style>
  <w:style w:type="paragraph" w:styleId="Obsah4">
    <w:name w:val="toc 4"/>
    <w:basedOn w:val="Normln"/>
    <w:next w:val="Normln"/>
    <w:autoRedefine/>
    <w:semiHidden/>
    <w:rsid w:val="00D81766"/>
    <w:pPr>
      <w:suppressAutoHyphens w:val="0"/>
      <w:spacing w:before="120" w:after="120"/>
      <w:ind w:left="720"/>
      <w:jc w:val="center"/>
    </w:pPr>
    <w:rPr>
      <w:rFonts w:ascii="Arial" w:hAnsi="Arial"/>
      <w:lang w:eastAsia="cs-CZ"/>
    </w:rPr>
  </w:style>
  <w:style w:type="paragraph" w:styleId="Textpoznpodarou">
    <w:name w:val="footnote text"/>
    <w:basedOn w:val="Normln"/>
    <w:semiHidden/>
    <w:rsid w:val="00D81766"/>
    <w:rPr>
      <w:szCs w:val="20"/>
    </w:rPr>
  </w:style>
  <w:style w:type="character" w:styleId="Znakapoznpodarou">
    <w:name w:val="footnote reference"/>
    <w:semiHidden/>
    <w:rsid w:val="00D81766"/>
    <w:rPr>
      <w:vertAlign w:val="superscript"/>
    </w:rPr>
  </w:style>
  <w:style w:type="paragraph" w:customStyle="1" w:styleId="SeznamvtabulkchSWOT">
    <w:name w:val="Seznam v tabulkách (SWOT)"/>
    <w:basedOn w:val="seznamsodrazkami"/>
    <w:rsid w:val="00D81766"/>
    <w:pPr>
      <w:spacing w:before="80" w:after="80"/>
      <w:ind w:left="1287" w:hanging="360"/>
      <w:jc w:val="left"/>
    </w:pPr>
    <w:rPr>
      <w:szCs w:val="20"/>
    </w:rPr>
  </w:style>
  <w:style w:type="character" w:styleId="Sledovanodkaz">
    <w:name w:val="FollowedHyperlink"/>
    <w:semiHidden/>
    <w:rsid w:val="00D81766"/>
    <w:rPr>
      <w:color w:val="800080"/>
      <w:u w:val="single"/>
    </w:rPr>
  </w:style>
  <w:style w:type="paragraph" w:styleId="Zkladntext2">
    <w:name w:val="Body Text 2"/>
    <w:basedOn w:val="Normln"/>
    <w:semiHidden/>
    <w:rsid w:val="00D81766"/>
    <w:rPr>
      <w:color w:val="FF0000"/>
    </w:rPr>
  </w:style>
  <w:style w:type="paragraph" w:styleId="Obsah9">
    <w:name w:val="toc 9"/>
    <w:basedOn w:val="Normln"/>
    <w:next w:val="Normln"/>
    <w:autoRedefine/>
    <w:semiHidden/>
    <w:rsid w:val="00D81766"/>
    <w:pPr>
      <w:suppressAutoHyphens w:val="0"/>
      <w:spacing w:before="0" w:after="0" w:line="240" w:lineRule="auto"/>
      <w:ind w:left="1920"/>
      <w:jc w:val="left"/>
    </w:pPr>
    <w:rPr>
      <w:rFonts w:ascii="Times New Roman" w:hAnsi="Times New Roman"/>
      <w:sz w:val="24"/>
      <w:lang w:eastAsia="cs-CZ"/>
    </w:rPr>
  </w:style>
  <w:style w:type="paragraph" w:customStyle="1" w:styleId="font5">
    <w:name w:val="font5"/>
    <w:basedOn w:val="Normln"/>
    <w:rsid w:val="00D81766"/>
    <w:pPr>
      <w:suppressAutoHyphens w:val="0"/>
      <w:spacing w:before="100" w:beforeAutospacing="1" w:after="100" w:afterAutospacing="1" w:line="240" w:lineRule="auto"/>
      <w:jc w:val="left"/>
    </w:pPr>
    <w:rPr>
      <w:rFonts w:eastAsia="Arial Unicode MS" w:cs="Tahoma"/>
      <w:color w:val="000000"/>
      <w:sz w:val="16"/>
      <w:szCs w:val="16"/>
      <w:lang w:eastAsia="cs-CZ"/>
    </w:rPr>
  </w:style>
  <w:style w:type="paragraph" w:customStyle="1" w:styleId="font6">
    <w:name w:val="font6"/>
    <w:basedOn w:val="Normln"/>
    <w:rsid w:val="00D81766"/>
    <w:pPr>
      <w:suppressAutoHyphens w:val="0"/>
      <w:spacing w:before="100" w:beforeAutospacing="1" w:after="100" w:afterAutospacing="1" w:line="240" w:lineRule="auto"/>
      <w:jc w:val="left"/>
    </w:pPr>
    <w:rPr>
      <w:rFonts w:eastAsia="Arial Unicode MS" w:cs="Tahoma"/>
      <w:b/>
      <w:bCs/>
      <w:color w:val="000000"/>
      <w:sz w:val="16"/>
      <w:szCs w:val="16"/>
      <w:lang w:eastAsia="cs-CZ"/>
    </w:rPr>
  </w:style>
  <w:style w:type="paragraph" w:customStyle="1" w:styleId="xl27">
    <w:name w:val="xl27"/>
    <w:basedOn w:val="Normln"/>
    <w:rsid w:val="00D81766"/>
    <w:pPr>
      <w:suppressAutoHyphens w:val="0"/>
      <w:spacing w:before="100" w:beforeAutospacing="1" w:after="100" w:afterAutospacing="1" w:line="240" w:lineRule="auto"/>
      <w:jc w:val="center"/>
    </w:pPr>
    <w:rPr>
      <w:rFonts w:ascii="Arial Unicode MS" w:eastAsia="Arial Unicode MS" w:hAnsi="Arial Unicode MS" w:cs="Arial Unicode MS"/>
      <w:sz w:val="24"/>
      <w:lang w:eastAsia="cs-CZ"/>
    </w:rPr>
  </w:style>
  <w:style w:type="paragraph" w:customStyle="1" w:styleId="xl28">
    <w:name w:val="xl28"/>
    <w:basedOn w:val="Normln"/>
    <w:rsid w:val="00D81766"/>
    <w:pPr>
      <w:pBdr>
        <w:top w:val="single" w:sz="4" w:space="0" w:color="auto"/>
        <w:left w:val="single" w:sz="4" w:space="0" w:color="auto"/>
        <w:bottom w:val="single" w:sz="4" w:space="0" w:color="auto"/>
      </w:pBdr>
      <w:suppressAutoHyphens w:val="0"/>
      <w:spacing w:before="100" w:beforeAutospacing="1" w:after="100" w:afterAutospacing="1" w:line="240" w:lineRule="auto"/>
      <w:jc w:val="center"/>
    </w:pPr>
    <w:rPr>
      <w:rFonts w:ascii="Arial Unicode MS" w:eastAsia="Arial Unicode MS" w:hAnsi="Arial Unicode MS" w:cs="Arial Unicode MS"/>
      <w:sz w:val="24"/>
      <w:lang w:eastAsia="cs-CZ"/>
    </w:rPr>
  </w:style>
  <w:style w:type="paragraph" w:customStyle="1" w:styleId="xl29">
    <w:name w:val="xl29"/>
    <w:basedOn w:val="Normln"/>
    <w:rsid w:val="00D81766"/>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line="240" w:lineRule="auto"/>
      <w:jc w:val="center"/>
    </w:pPr>
    <w:rPr>
      <w:rFonts w:ascii="Arial Unicode MS" w:eastAsia="Arial Unicode MS" w:hAnsi="Arial Unicode MS" w:cs="Arial Unicode MS"/>
      <w:sz w:val="24"/>
      <w:lang w:eastAsia="cs-CZ"/>
    </w:rPr>
  </w:style>
  <w:style w:type="paragraph" w:customStyle="1" w:styleId="Tabulkovtext">
    <w:name w:val="Tabulkový text"/>
    <w:basedOn w:val="Normln"/>
    <w:rsid w:val="00D81766"/>
    <w:pPr>
      <w:spacing w:before="20" w:after="20" w:line="264" w:lineRule="auto"/>
    </w:pPr>
    <w:rPr>
      <w:sz w:val="18"/>
    </w:rPr>
  </w:style>
  <w:style w:type="paragraph" w:styleId="Rejstk1">
    <w:name w:val="index 1"/>
    <w:basedOn w:val="Normln"/>
    <w:next w:val="Normln"/>
    <w:autoRedefine/>
    <w:semiHidden/>
    <w:rsid w:val="00D81766"/>
    <w:pPr>
      <w:ind w:left="200" w:hanging="200"/>
    </w:pPr>
  </w:style>
  <w:style w:type="paragraph" w:styleId="Rejstk2">
    <w:name w:val="index 2"/>
    <w:basedOn w:val="Normln"/>
    <w:next w:val="Normln"/>
    <w:autoRedefine/>
    <w:semiHidden/>
    <w:rsid w:val="00D81766"/>
    <w:pPr>
      <w:ind w:left="400" w:hanging="200"/>
    </w:pPr>
  </w:style>
  <w:style w:type="paragraph" w:styleId="Rejstk3">
    <w:name w:val="index 3"/>
    <w:basedOn w:val="Normln"/>
    <w:next w:val="Normln"/>
    <w:autoRedefine/>
    <w:semiHidden/>
    <w:rsid w:val="00D81766"/>
    <w:pPr>
      <w:ind w:left="600" w:hanging="200"/>
    </w:pPr>
  </w:style>
  <w:style w:type="paragraph" w:styleId="Rejstk4">
    <w:name w:val="index 4"/>
    <w:basedOn w:val="Normln"/>
    <w:next w:val="Normln"/>
    <w:autoRedefine/>
    <w:semiHidden/>
    <w:rsid w:val="00D81766"/>
    <w:pPr>
      <w:ind w:left="800" w:hanging="200"/>
    </w:pPr>
  </w:style>
  <w:style w:type="paragraph" w:styleId="Rejstk5">
    <w:name w:val="index 5"/>
    <w:basedOn w:val="Normln"/>
    <w:next w:val="Normln"/>
    <w:autoRedefine/>
    <w:semiHidden/>
    <w:rsid w:val="00D81766"/>
    <w:pPr>
      <w:ind w:left="1000" w:hanging="200"/>
    </w:pPr>
  </w:style>
  <w:style w:type="paragraph" w:styleId="Rejstk6">
    <w:name w:val="index 6"/>
    <w:basedOn w:val="Normln"/>
    <w:next w:val="Normln"/>
    <w:autoRedefine/>
    <w:semiHidden/>
    <w:rsid w:val="00D81766"/>
    <w:pPr>
      <w:ind w:left="1200" w:hanging="200"/>
    </w:pPr>
  </w:style>
  <w:style w:type="paragraph" w:styleId="Rejstk7">
    <w:name w:val="index 7"/>
    <w:basedOn w:val="Normln"/>
    <w:next w:val="Normln"/>
    <w:autoRedefine/>
    <w:semiHidden/>
    <w:rsid w:val="00D81766"/>
    <w:pPr>
      <w:ind w:left="1400" w:hanging="200"/>
    </w:pPr>
  </w:style>
  <w:style w:type="paragraph" w:styleId="Rejstk8">
    <w:name w:val="index 8"/>
    <w:basedOn w:val="Normln"/>
    <w:next w:val="Normln"/>
    <w:autoRedefine/>
    <w:semiHidden/>
    <w:rsid w:val="00D81766"/>
    <w:pPr>
      <w:ind w:left="1600" w:hanging="200"/>
    </w:pPr>
  </w:style>
  <w:style w:type="paragraph" w:styleId="Rejstk9">
    <w:name w:val="index 9"/>
    <w:basedOn w:val="Normln"/>
    <w:next w:val="Normln"/>
    <w:autoRedefine/>
    <w:semiHidden/>
    <w:rsid w:val="00D81766"/>
    <w:pPr>
      <w:ind w:left="1800" w:hanging="200"/>
    </w:pPr>
  </w:style>
  <w:style w:type="paragraph" w:styleId="Hlavikarejstku">
    <w:name w:val="index heading"/>
    <w:basedOn w:val="Normln"/>
    <w:next w:val="Rejstk1"/>
    <w:semiHidden/>
    <w:rsid w:val="00D81766"/>
  </w:style>
  <w:style w:type="paragraph" w:styleId="Obsah6">
    <w:name w:val="toc 6"/>
    <w:basedOn w:val="Normln"/>
    <w:next w:val="Normln"/>
    <w:autoRedefine/>
    <w:semiHidden/>
    <w:rsid w:val="00D81766"/>
    <w:pPr>
      <w:ind w:left="1000"/>
    </w:pPr>
  </w:style>
  <w:style w:type="paragraph" w:styleId="Obsah7">
    <w:name w:val="toc 7"/>
    <w:basedOn w:val="Normln"/>
    <w:next w:val="Normln"/>
    <w:autoRedefine/>
    <w:semiHidden/>
    <w:rsid w:val="00D81766"/>
    <w:pPr>
      <w:ind w:left="1200"/>
    </w:pPr>
  </w:style>
  <w:style w:type="paragraph" w:styleId="Obsah8">
    <w:name w:val="toc 8"/>
    <w:basedOn w:val="Normln"/>
    <w:next w:val="Normln"/>
    <w:autoRedefine/>
    <w:semiHidden/>
    <w:rsid w:val="00D81766"/>
    <w:pPr>
      <w:ind w:left="1400"/>
    </w:pPr>
  </w:style>
  <w:style w:type="paragraph" w:customStyle="1" w:styleId="Rejstk">
    <w:name w:val="Rejstřík"/>
    <w:basedOn w:val="Normln"/>
    <w:rsid w:val="00D81766"/>
    <w:pPr>
      <w:suppressLineNumbers/>
      <w:spacing w:before="120" w:after="120"/>
    </w:pPr>
    <w:rPr>
      <w:rFonts w:ascii="Arial" w:hAnsi="Arial" w:cs="Arial"/>
      <w:sz w:val="22"/>
      <w:szCs w:val="22"/>
    </w:rPr>
  </w:style>
  <w:style w:type="paragraph" w:customStyle="1" w:styleId="t">
    <w:name w:val="t"/>
    <w:basedOn w:val="Normln"/>
    <w:rsid w:val="00D81766"/>
    <w:pPr>
      <w:spacing w:before="280" w:after="280"/>
      <w:jc w:val="left"/>
    </w:pPr>
    <w:rPr>
      <w:rFonts w:cs="Tahoma"/>
      <w:szCs w:val="20"/>
    </w:rPr>
  </w:style>
  <w:style w:type="paragraph" w:customStyle="1" w:styleId="xl31">
    <w:name w:val="xl31"/>
    <w:basedOn w:val="Normln"/>
    <w:rsid w:val="00D81766"/>
    <w:pPr>
      <w:suppressAutoHyphens w:val="0"/>
      <w:spacing w:before="100" w:beforeAutospacing="1" w:after="100" w:afterAutospacing="1" w:line="240" w:lineRule="auto"/>
      <w:jc w:val="left"/>
    </w:pPr>
    <w:rPr>
      <w:rFonts w:ascii="Arial" w:eastAsia="Arial Unicode MS" w:hAnsi="Arial" w:cs="Arial"/>
      <w:b/>
      <w:bCs/>
      <w:sz w:val="24"/>
      <w:lang w:eastAsia="cs-CZ"/>
    </w:rPr>
  </w:style>
  <w:style w:type="paragraph" w:customStyle="1" w:styleId="xl24">
    <w:name w:val="xl24"/>
    <w:basedOn w:val="Normln"/>
    <w:rsid w:val="00D81766"/>
    <w:pPr>
      <w:pBdr>
        <w:left w:val="single" w:sz="4" w:space="0" w:color="auto"/>
      </w:pBdr>
      <w:suppressAutoHyphens w:val="0"/>
      <w:spacing w:before="100" w:beforeAutospacing="1" w:after="100" w:afterAutospacing="1" w:line="240" w:lineRule="auto"/>
      <w:jc w:val="left"/>
    </w:pPr>
    <w:rPr>
      <w:rFonts w:ascii="Arial Unicode MS" w:eastAsia="Arial Unicode MS" w:hAnsi="Arial Unicode MS" w:cs="Arial Unicode MS"/>
      <w:sz w:val="24"/>
      <w:lang w:eastAsia="cs-CZ"/>
    </w:rPr>
  </w:style>
  <w:style w:type="paragraph" w:customStyle="1" w:styleId="xl25">
    <w:name w:val="xl25"/>
    <w:basedOn w:val="Normln"/>
    <w:rsid w:val="00D81766"/>
    <w:pPr>
      <w:suppressAutoHyphens w:val="0"/>
      <w:spacing w:before="100" w:beforeAutospacing="1" w:after="100" w:afterAutospacing="1" w:line="240" w:lineRule="auto"/>
      <w:jc w:val="left"/>
    </w:pPr>
    <w:rPr>
      <w:rFonts w:ascii="Arial Unicode MS" w:eastAsia="Arial Unicode MS" w:hAnsi="Arial Unicode MS" w:cs="Arial Unicode MS"/>
      <w:sz w:val="24"/>
      <w:lang w:eastAsia="cs-CZ"/>
    </w:rPr>
  </w:style>
  <w:style w:type="paragraph" w:customStyle="1" w:styleId="xl26">
    <w:name w:val="xl26"/>
    <w:basedOn w:val="Normln"/>
    <w:rsid w:val="00D81766"/>
    <w:pPr>
      <w:pBdr>
        <w:right w:val="single" w:sz="4" w:space="0" w:color="auto"/>
      </w:pBdr>
      <w:suppressAutoHyphens w:val="0"/>
      <w:spacing w:before="100" w:beforeAutospacing="1" w:after="100" w:afterAutospacing="1" w:line="240" w:lineRule="auto"/>
      <w:jc w:val="left"/>
    </w:pPr>
    <w:rPr>
      <w:rFonts w:ascii="Arial Unicode MS" w:eastAsia="Arial Unicode MS" w:hAnsi="Arial Unicode MS" w:cs="Arial Unicode MS"/>
      <w:sz w:val="24"/>
      <w:lang w:eastAsia="cs-CZ"/>
    </w:rPr>
  </w:style>
  <w:style w:type="paragraph" w:customStyle="1" w:styleId="text-beznyodstavec">
    <w:name w:val="text-bezny_odstavec"/>
    <w:basedOn w:val="Normln"/>
    <w:rsid w:val="006A0D46"/>
    <w:pPr>
      <w:suppressAutoHyphens w:val="0"/>
      <w:spacing w:before="100" w:after="100" w:line="312" w:lineRule="auto"/>
    </w:pPr>
    <w:rPr>
      <w:rFonts w:ascii="Arial" w:hAnsi="Arial"/>
      <w:sz w:val="22"/>
      <w:lang w:eastAsia="cs-CZ"/>
    </w:rPr>
  </w:style>
  <w:style w:type="paragraph" w:customStyle="1" w:styleId="titulek-tabulka">
    <w:name w:val="titulek-tabulka"/>
    <w:basedOn w:val="Titulek"/>
    <w:next w:val="Normln"/>
    <w:rsid w:val="006A0D46"/>
    <w:pPr>
      <w:keepNext/>
      <w:tabs>
        <w:tab w:val="clear" w:pos="993"/>
      </w:tabs>
      <w:spacing w:before="120" w:after="120" w:line="240" w:lineRule="auto"/>
      <w:ind w:left="0" w:firstLine="0"/>
      <w:jc w:val="center"/>
    </w:pPr>
    <w:rPr>
      <w:rFonts w:ascii="Arial" w:hAnsi="Arial"/>
      <w:b w:val="0"/>
      <w:bCs/>
      <w:sz w:val="22"/>
      <w:lang w:val="cs-CZ" w:eastAsia="cs-CZ"/>
    </w:rPr>
  </w:style>
  <w:style w:type="table" w:styleId="Mkatabulky">
    <w:name w:val="Table Grid"/>
    <w:basedOn w:val="Normlntabulka"/>
    <w:uiPriority w:val="59"/>
    <w:rsid w:val="00205D8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Odstavecseseznamem">
    <w:name w:val="List Paragraph"/>
    <w:basedOn w:val="Normln"/>
    <w:uiPriority w:val="34"/>
    <w:qFormat/>
    <w:rsid w:val="00E17D91"/>
    <w:pPr>
      <w:ind w:left="708"/>
    </w:pPr>
  </w:style>
  <w:style w:type="paragraph" w:styleId="Bezmezer">
    <w:name w:val="No Spacing"/>
    <w:uiPriority w:val="1"/>
    <w:qFormat/>
    <w:rsid w:val="00F12413"/>
    <w:pPr>
      <w:suppressAutoHyphens/>
      <w:jc w:val="both"/>
    </w:pPr>
    <w:rPr>
      <w:rFonts w:ascii="Tahoma" w:hAnsi="Tahoma"/>
      <w:szCs w:val="24"/>
      <w:lang w:eastAsia="ar-SA"/>
    </w:rPr>
  </w:style>
  <w:style w:type="paragraph" w:customStyle="1" w:styleId="Formul08">
    <w:name w:val="Formulář 08"/>
    <w:basedOn w:val="Normln"/>
    <w:link w:val="Formul08Char"/>
    <w:qFormat/>
    <w:rsid w:val="00147AB7"/>
    <w:pPr>
      <w:widowControl w:val="0"/>
      <w:suppressAutoHyphens w:val="0"/>
      <w:spacing w:before="0" w:after="0" w:line="240" w:lineRule="auto"/>
      <w:jc w:val="left"/>
    </w:pPr>
    <w:rPr>
      <w:rFonts w:ascii="Arial" w:eastAsia="Calibri" w:hAnsi="Arial"/>
      <w:noProof/>
      <w:color w:val="000000"/>
      <w:sz w:val="17"/>
      <w:szCs w:val="22"/>
      <w:lang w:eastAsia="en-US"/>
    </w:rPr>
  </w:style>
  <w:style w:type="paragraph" w:customStyle="1" w:styleId="Text">
    <w:name w:val="Text"/>
    <w:basedOn w:val="Normln"/>
    <w:link w:val="TextChar"/>
    <w:qFormat/>
    <w:rsid w:val="00147AB7"/>
    <w:pPr>
      <w:suppressAutoHyphens w:val="0"/>
      <w:spacing w:before="0" w:after="120" w:line="240" w:lineRule="auto"/>
    </w:pPr>
    <w:rPr>
      <w:rFonts w:ascii="Arial" w:hAnsi="Arial"/>
      <w:noProof/>
      <w:szCs w:val="22"/>
    </w:rPr>
  </w:style>
  <w:style w:type="character" w:customStyle="1" w:styleId="Formul08Char">
    <w:name w:val="Formulář 08 Char"/>
    <w:link w:val="Formul08"/>
    <w:rsid w:val="00147AB7"/>
    <w:rPr>
      <w:rFonts w:ascii="Arial" w:eastAsia="Calibri" w:hAnsi="Arial"/>
      <w:noProof/>
      <w:color w:val="000000"/>
      <w:sz w:val="17"/>
      <w:szCs w:val="22"/>
      <w:lang w:eastAsia="en-US"/>
    </w:rPr>
  </w:style>
  <w:style w:type="character" w:customStyle="1" w:styleId="TextChar">
    <w:name w:val="Text Char"/>
    <w:link w:val="Text"/>
    <w:rsid w:val="00147AB7"/>
    <w:rPr>
      <w:rFonts w:ascii="Arial" w:eastAsia="Times New Roman" w:hAnsi="Arial" w:cs="Times New Roman"/>
      <w:noProof/>
      <w:szCs w:val="22"/>
    </w:rPr>
  </w:style>
  <w:style w:type="paragraph" w:customStyle="1" w:styleId="Formul10">
    <w:name w:val="Formulář 10"/>
    <w:basedOn w:val="Normln"/>
    <w:link w:val="Formul10Char"/>
    <w:qFormat/>
    <w:rsid w:val="00147AB7"/>
    <w:pPr>
      <w:widowControl w:val="0"/>
      <w:suppressAutoHyphens w:val="0"/>
      <w:spacing w:before="0" w:after="0" w:line="240" w:lineRule="auto"/>
      <w:jc w:val="left"/>
    </w:pPr>
    <w:rPr>
      <w:rFonts w:ascii="Arial" w:hAnsi="Arial"/>
      <w:noProof/>
      <w:color w:val="000000"/>
      <w:szCs w:val="22"/>
    </w:rPr>
  </w:style>
  <w:style w:type="character" w:customStyle="1" w:styleId="Formul10Char">
    <w:name w:val="Formulář 10 Char"/>
    <w:link w:val="Formul10"/>
    <w:rsid w:val="00147AB7"/>
    <w:rPr>
      <w:rFonts w:ascii="Arial" w:eastAsia="Times New Roman" w:hAnsi="Arial" w:cs="Times New Roman"/>
      <w:noProof/>
      <w:color w:val="000000"/>
      <w:szCs w:val="22"/>
    </w:rPr>
  </w:style>
  <w:style w:type="paragraph" w:styleId="Textbubliny">
    <w:name w:val="Balloon Text"/>
    <w:basedOn w:val="Normln"/>
    <w:link w:val="TextbublinyChar"/>
    <w:uiPriority w:val="99"/>
    <w:semiHidden/>
    <w:unhideWhenUsed/>
    <w:rsid w:val="00147AB7"/>
    <w:pPr>
      <w:spacing w:before="0" w:after="0" w:line="240" w:lineRule="auto"/>
    </w:pPr>
    <w:rPr>
      <w:sz w:val="16"/>
      <w:szCs w:val="16"/>
    </w:rPr>
  </w:style>
  <w:style w:type="character" w:customStyle="1" w:styleId="TextbublinyChar">
    <w:name w:val="Text bubliny Char"/>
    <w:link w:val="Textbubliny"/>
    <w:uiPriority w:val="99"/>
    <w:semiHidden/>
    <w:rsid w:val="00147AB7"/>
    <w:rPr>
      <w:rFonts w:ascii="Tahoma" w:hAnsi="Tahoma" w:cs="Tahoma"/>
      <w:sz w:val="16"/>
      <w:szCs w:val="16"/>
      <w:lang w:eastAsia="ar-SA"/>
    </w:rPr>
  </w:style>
  <w:style w:type="paragraph" w:styleId="Normlnweb">
    <w:name w:val="Normal (Web)"/>
    <w:basedOn w:val="Normln"/>
    <w:uiPriority w:val="99"/>
    <w:rsid w:val="00422620"/>
    <w:pPr>
      <w:suppressAutoHyphens w:val="0"/>
      <w:spacing w:before="0" w:after="0" w:line="240" w:lineRule="auto"/>
      <w:jc w:val="left"/>
    </w:pPr>
    <w:rPr>
      <w:rFonts w:ascii="Times New Roman" w:hAnsi="Times New Roman"/>
      <w:sz w:val="24"/>
      <w:lang w:val="en-GB" w:eastAsia="en-GB"/>
    </w:rPr>
  </w:style>
  <w:style w:type="paragraph" w:customStyle="1" w:styleId="Para1">
    <w:name w:val="Para1"/>
    <w:basedOn w:val="Normln"/>
    <w:rsid w:val="00D4137B"/>
    <w:pPr>
      <w:tabs>
        <w:tab w:val="left" w:pos="1134"/>
        <w:tab w:val="left" w:pos="1418"/>
      </w:tabs>
      <w:suppressAutoHyphens w:val="0"/>
      <w:spacing w:before="240" w:after="0" w:line="240" w:lineRule="auto"/>
      <w:ind w:left="1418" w:hanging="1418"/>
      <w:jc w:val="left"/>
    </w:pPr>
    <w:rPr>
      <w:rFonts w:ascii="Arial" w:hAnsi="Arial"/>
      <w:szCs w:val="20"/>
      <w:lang w:val="en-GB" w:eastAsia="en-US"/>
    </w:rPr>
  </w:style>
  <w:style w:type="character" w:customStyle="1" w:styleId="TextkomenteChar">
    <w:name w:val="Text komentáře Char"/>
    <w:link w:val="Textkomente"/>
    <w:semiHidden/>
    <w:rsid w:val="00D4137B"/>
    <w:rPr>
      <w:rFonts w:ascii="Tahoma" w:hAnsi="Tahoma"/>
      <w:lang w:eastAsia="ar-SA"/>
    </w:rPr>
  </w:style>
  <w:style w:type="character" w:customStyle="1" w:styleId="lat">
    <w:name w:val="lat"/>
    <w:basedOn w:val="Standardnpsmoodstavce"/>
    <w:rsid w:val="0022641B"/>
  </w:style>
  <w:style w:type="paragraph" w:customStyle="1" w:styleId="Style1">
    <w:name w:val="Style1"/>
    <w:basedOn w:val="Normln"/>
    <w:autoRedefine/>
    <w:rsid w:val="00B117DF"/>
    <w:pPr>
      <w:suppressAutoHyphens w:val="0"/>
      <w:spacing w:before="0" w:after="0" w:line="240" w:lineRule="auto"/>
    </w:pPr>
    <w:rPr>
      <w:rFonts w:ascii="Times New Roman" w:hAnsi="Times New Roman"/>
      <w:b/>
      <w:bCs/>
      <w:lang w:eastAsia="cs-CZ"/>
    </w:rPr>
  </w:style>
  <w:style w:type="character" w:customStyle="1" w:styleId="Nadpis5Char">
    <w:name w:val="Nadpis 5 Char"/>
    <w:aliases w:val="Tabulka Char"/>
    <w:link w:val="Nadpis5"/>
    <w:rsid w:val="00B87DDA"/>
    <w:rPr>
      <w:rFonts w:ascii="Tahoma" w:hAnsi="Tahoma"/>
      <w:b/>
      <w:bCs/>
      <w:szCs w:val="24"/>
      <w:lang w:eastAsia="ar-SA"/>
    </w:rPr>
  </w:style>
  <w:style w:type="paragraph" w:styleId="Nzev">
    <w:name w:val="Title"/>
    <w:basedOn w:val="Normln"/>
    <w:next w:val="Normln"/>
    <w:link w:val="NzevChar"/>
    <w:uiPriority w:val="10"/>
    <w:qFormat/>
    <w:rsid w:val="0072543A"/>
    <w:pPr>
      <w:spacing w:before="240" w:after="60"/>
      <w:jc w:val="center"/>
      <w:outlineLvl w:val="0"/>
    </w:pPr>
    <w:rPr>
      <w:rFonts w:ascii="Cambria" w:hAnsi="Cambria"/>
      <w:b/>
      <w:bCs/>
      <w:kern w:val="28"/>
      <w:sz w:val="32"/>
      <w:szCs w:val="32"/>
    </w:rPr>
  </w:style>
  <w:style w:type="character" w:customStyle="1" w:styleId="NzevChar">
    <w:name w:val="Název Char"/>
    <w:link w:val="Nzev"/>
    <w:uiPriority w:val="10"/>
    <w:rsid w:val="0072543A"/>
    <w:rPr>
      <w:rFonts w:ascii="Cambria" w:eastAsia="Times New Roman" w:hAnsi="Cambria" w:cs="Times New Roman"/>
      <w:b/>
      <w:bCs/>
      <w:kern w:val="28"/>
      <w:sz w:val="32"/>
      <w:szCs w:val="32"/>
      <w:lang w:eastAsia="ar-SA"/>
    </w:rPr>
  </w:style>
  <w:style w:type="character" w:customStyle="1" w:styleId="Nadpis3Char">
    <w:name w:val="Nadpis 3 Char"/>
    <w:link w:val="Nadpis3"/>
    <w:rsid w:val="004F661E"/>
    <w:rPr>
      <w:rFonts w:ascii="Tahoma" w:hAnsi="Tahoma"/>
      <w:b/>
      <w:bCs/>
      <w:sz w:val="24"/>
      <w:szCs w:val="24"/>
      <w:lang w:eastAsia="ar-SA"/>
    </w:rPr>
  </w:style>
  <w:style w:type="paragraph" w:customStyle="1" w:styleId="Odstavecseseznamem1">
    <w:name w:val="Odstavec se seznamem1"/>
    <w:basedOn w:val="Normln"/>
    <w:qFormat/>
    <w:rsid w:val="0050179A"/>
    <w:pPr>
      <w:suppressAutoHyphens w:val="0"/>
      <w:spacing w:before="0" w:after="200" w:line="276" w:lineRule="auto"/>
      <w:ind w:left="708"/>
      <w:jc w:val="left"/>
    </w:pPr>
    <w:rPr>
      <w:rFonts w:ascii="Calibri" w:hAnsi="Calibri"/>
      <w:sz w:val="22"/>
      <w:szCs w:val="22"/>
      <w:lang w:val="en-GB" w:eastAsia="en-US"/>
    </w:rPr>
  </w:style>
  <w:style w:type="paragraph" w:customStyle="1" w:styleId="Vc">
    <w:name w:val="Věc"/>
    <w:basedOn w:val="Normln"/>
    <w:next w:val="Normln"/>
    <w:qFormat/>
    <w:rsid w:val="00F708AC"/>
    <w:pPr>
      <w:suppressAutoHyphens w:val="0"/>
      <w:spacing w:before="0" w:after="480" w:line="240" w:lineRule="auto"/>
    </w:pPr>
    <w:rPr>
      <w:rFonts w:ascii="Arial" w:eastAsia="Calibri" w:hAnsi="Arial"/>
      <w:b/>
      <w:szCs w:val="20"/>
      <w:lang w:eastAsia="en-US"/>
    </w:rPr>
  </w:style>
  <w:style w:type="paragraph" w:styleId="Pedmtkomente">
    <w:name w:val="annotation subject"/>
    <w:basedOn w:val="Textkomente"/>
    <w:next w:val="Textkomente"/>
    <w:link w:val="PedmtkomenteChar"/>
    <w:uiPriority w:val="99"/>
    <w:semiHidden/>
    <w:unhideWhenUsed/>
    <w:rsid w:val="00327368"/>
    <w:pPr>
      <w:spacing w:line="240" w:lineRule="auto"/>
    </w:pPr>
    <w:rPr>
      <w:b/>
      <w:bCs/>
    </w:rPr>
  </w:style>
  <w:style w:type="character" w:customStyle="1" w:styleId="PedmtkomenteChar">
    <w:name w:val="Předmět komentáře Char"/>
    <w:basedOn w:val="TextkomenteChar"/>
    <w:link w:val="Pedmtkomente"/>
    <w:uiPriority w:val="99"/>
    <w:semiHidden/>
    <w:rsid w:val="00327368"/>
    <w:rPr>
      <w:rFonts w:ascii="Tahoma" w:hAnsi="Tahoma"/>
      <w:b/>
      <w:bCs/>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505383">
      <w:bodyDiv w:val="1"/>
      <w:marLeft w:val="0"/>
      <w:marRight w:val="0"/>
      <w:marTop w:val="0"/>
      <w:marBottom w:val="0"/>
      <w:divBdr>
        <w:top w:val="none" w:sz="0" w:space="0" w:color="auto"/>
        <w:left w:val="none" w:sz="0" w:space="0" w:color="auto"/>
        <w:bottom w:val="none" w:sz="0" w:space="0" w:color="auto"/>
        <w:right w:val="none" w:sz="0" w:space="0" w:color="auto"/>
      </w:divBdr>
    </w:div>
    <w:div w:id="123351012">
      <w:bodyDiv w:val="1"/>
      <w:marLeft w:val="0"/>
      <w:marRight w:val="0"/>
      <w:marTop w:val="0"/>
      <w:marBottom w:val="0"/>
      <w:divBdr>
        <w:top w:val="none" w:sz="0" w:space="0" w:color="auto"/>
        <w:left w:val="none" w:sz="0" w:space="0" w:color="auto"/>
        <w:bottom w:val="none" w:sz="0" w:space="0" w:color="auto"/>
        <w:right w:val="none" w:sz="0" w:space="0" w:color="auto"/>
      </w:divBdr>
    </w:div>
    <w:div w:id="366755593">
      <w:bodyDiv w:val="1"/>
      <w:marLeft w:val="0"/>
      <w:marRight w:val="0"/>
      <w:marTop w:val="0"/>
      <w:marBottom w:val="0"/>
      <w:divBdr>
        <w:top w:val="none" w:sz="0" w:space="0" w:color="auto"/>
        <w:left w:val="none" w:sz="0" w:space="0" w:color="auto"/>
        <w:bottom w:val="none" w:sz="0" w:space="0" w:color="auto"/>
        <w:right w:val="none" w:sz="0" w:space="0" w:color="auto"/>
      </w:divBdr>
    </w:div>
    <w:div w:id="632708980">
      <w:bodyDiv w:val="1"/>
      <w:marLeft w:val="0"/>
      <w:marRight w:val="0"/>
      <w:marTop w:val="0"/>
      <w:marBottom w:val="0"/>
      <w:divBdr>
        <w:top w:val="none" w:sz="0" w:space="0" w:color="auto"/>
        <w:left w:val="none" w:sz="0" w:space="0" w:color="auto"/>
        <w:bottom w:val="none" w:sz="0" w:space="0" w:color="auto"/>
        <w:right w:val="none" w:sz="0" w:space="0" w:color="auto"/>
      </w:divBdr>
    </w:div>
    <w:div w:id="1016420742">
      <w:bodyDiv w:val="1"/>
      <w:marLeft w:val="0"/>
      <w:marRight w:val="0"/>
      <w:marTop w:val="0"/>
      <w:marBottom w:val="0"/>
      <w:divBdr>
        <w:top w:val="none" w:sz="0" w:space="0" w:color="auto"/>
        <w:left w:val="none" w:sz="0" w:space="0" w:color="auto"/>
        <w:bottom w:val="none" w:sz="0" w:space="0" w:color="auto"/>
        <w:right w:val="none" w:sz="0" w:space="0" w:color="auto"/>
      </w:divBdr>
    </w:div>
    <w:div w:id="1078985606">
      <w:bodyDiv w:val="1"/>
      <w:marLeft w:val="0"/>
      <w:marRight w:val="0"/>
      <w:marTop w:val="0"/>
      <w:marBottom w:val="0"/>
      <w:divBdr>
        <w:top w:val="none" w:sz="0" w:space="0" w:color="auto"/>
        <w:left w:val="none" w:sz="0" w:space="0" w:color="auto"/>
        <w:bottom w:val="none" w:sz="0" w:space="0" w:color="auto"/>
        <w:right w:val="none" w:sz="0" w:space="0" w:color="auto"/>
      </w:divBdr>
    </w:div>
    <w:div w:id="1245412346">
      <w:bodyDiv w:val="1"/>
      <w:marLeft w:val="0"/>
      <w:marRight w:val="0"/>
      <w:marTop w:val="0"/>
      <w:marBottom w:val="0"/>
      <w:divBdr>
        <w:top w:val="none" w:sz="0" w:space="0" w:color="auto"/>
        <w:left w:val="none" w:sz="0" w:space="0" w:color="auto"/>
        <w:bottom w:val="none" w:sz="0" w:space="0" w:color="auto"/>
        <w:right w:val="none" w:sz="0" w:space="0" w:color="auto"/>
      </w:divBdr>
    </w:div>
    <w:div w:id="1569920912">
      <w:bodyDiv w:val="1"/>
      <w:marLeft w:val="0"/>
      <w:marRight w:val="0"/>
      <w:marTop w:val="0"/>
      <w:marBottom w:val="0"/>
      <w:divBdr>
        <w:top w:val="none" w:sz="0" w:space="0" w:color="auto"/>
        <w:left w:val="none" w:sz="0" w:space="0" w:color="auto"/>
        <w:bottom w:val="none" w:sz="0" w:space="0" w:color="auto"/>
        <w:right w:val="none" w:sz="0" w:space="0" w:color="auto"/>
      </w:divBdr>
    </w:div>
    <w:div w:id="1587152277">
      <w:bodyDiv w:val="1"/>
      <w:marLeft w:val="0"/>
      <w:marRight w:val="0"/>
      <w:marTop w:val="0"/>
      <w:marBottom w:val="0"/>
      <w:divBdr>
        <w:top w:val="none" w:sz="0" w:space="0" w:color="auto"/>
        <w:left w:val="none" w:sz="0" w:space="0" w:color="auto"/>
        <w:bottom w:val="none" w:sz="0" w:space="0" w:color="auto"/>
        <w:right w:val="none" w:sz="0" w:space="0" w:color="auto"/>
      </w:divBdr>
    </w:div>
    <w:div w:id="1728064853">
      <w:bodyDiv w:val="1"/>
      <w:marLeft w:val="0"/>
      <w:marRight w:val="0"/>
      <w:marTop w:val="0"/>
      <w:marBottom w:val="0"/>
      <w:divBdr>
        <w:top w:val="none" w:sz="0" w:space="0" w:color="auto"/>
        <w:left w:val="none" w:sz="0" w:space="0" w:color="auto"/>
        <w:bottom w:val="none" w:sz="0" w:space="0" w:color="auto"/>
        <w:right w:val="none" w:sz="0" w:space="0" w:color="auto"/>
      </w:divBdr>
    </w:div>
    <w:div w:id="1757897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117" Type="http://schemas.openxmlformats.org/officeDocument/2006/relationships/hyperlink" Target="http://cs.wikipedia" TargetMode="External"/><Relationship Id="rId21" Type="http://schemas.openxmlformats.org/officeDocument/2006/relationships/oleObject" Target="embeddings/oleObject2.bin"/><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oleObject" Target="embeddings/oleObject4.bin"/><Relationship Id="rId68" Type="http://schemas.openxmlformats.org/officeDocument/2006/relationships/oleObject" Target="embeddings/oleObject6.bin"/><Relationship Id="rId84" Type="http://schemas.openxmlformats.org/officeDocument/2006/relationships/image" Target="media/image54.png"/><Relationship Id="rId89" Type="http://schemas.openxmlformats.org/officeDocument/2006/relationships/oleObject" Target="embeddings/oleObject11.bin"/><Relationship Id="rId112" Type="http://schemas.openxmlformats.org/officeDocument/2006/relationships/image" Target="media/image71.jpeg"/><Relationship Id="rId133" Type="http://schemas.openxmlformats.org/officeDocument/2006/relationships/image" Target="media/image86.emf"/><Relationship Id="rId138" Type="http://schemas.openxmlformats.org/officeDocument/2006/relationships/image" Target="media/image91.jpeg"/><Relationship Id="rId16" Type="http://schemas.openxmlformats.org/officeDocument/2006/relationships/header" Target="header1.xml"/><Relationship Id="rId107" Type="http://schemas.openxmlformats.org/officeDocument/2006/relationships/footer" Target="footer12.xml"/><Relationship Id="rId11" Type="http://schemas.openxmlformats.org/officeDocument/2006/relationships/image" Target="media/image3.jpeg"/><Relationship Id="rId32" Type="http://schemas.openxmlformats.org/officeDocument/2006/relationships/header" Target="header3.xml"/><Relationship Id="rId37" Type="http://schemas.openxmlformats.org/officeDocument/2006/relationships/image" Target="media/image17.png"/><Relationship Id="rId53" Type="http://schemas.openxmlformats.org/officeDocument/2006/relationships/footer" Target="footer9.xml"/><Relationship Id="rId58" Type="http://schemas.openxmlformats.org/officeDocument/2006/relationships/image" Target="media/image34.png"/><Relationship Id="rId74" Type="http://schemas.openxmlformats.org/officeDocument/2006/relationships/image" Target="media/image45.jpeg"/><Relationship Id="rId79" Type="http://schemas.openxmlformats.org/officeDocument/2006/relationships/image" Target="media/image50.png"/><Relationship Id="rId102" Type="http://schemas.openxmlformats.org/officeDocument/2006/relationships/image" Target="media/image66.png"/><Relationship Id="rId123" Type="http://schemas.openxmlformats.org/officeDocument/2006/relationships/image" Target="media/image76.jpeg"/><Relationship Id="rId128" Type="http://schemas.openxmlformats.org/officeDocument/2006/relationships/image" Target="media/image81.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7.png"/><Relationship Id="rId95" Type="http://schemas.openxmlformats.org/officeDocument/2006/relationships/image" Target="media/image60.jpeg"/><Relationship Id="rId22" Type="http://schemas.openxmlformats.org/officeDocument/2006/relationships/image" Target="media/image10.png"/><Relationship Id="rId27" Type="http://schemas.openxmlformats.org/officeDocument/2006/relationships/footer" Target="footer5.xml"/><Relationship Id="rId43" Type="http://schemas.openxmlformats.org/officeDocument/2006/relationships/image" Target="media/image23.png"/><Relationship Id="rId48" Type="http://schemas.openxmlformats.org/officeDocument/2006/relationships/header" Target="header5.xml"/><Relationship Id="rId64" Type="http://schemas.openxmlformats.org/officeDocument/2006/relationships/image" Target="media/image38.png"/><Relationship Id="rId69" Type="http://schemas.openxmlformats.org/officeDocument/2006/relationships/image" Target="media/image41.jpeg"/><Relationship Id="rId113" Type="http://schemas.openxmlformats.org/officeDocument/2006/relationships/header" Target="header7.xml"/><Relationship Id="rId118" Type="http://schemas.openxmlformats.org/officeDocument/2006/relationships/hyperlink" Target="http://www.mapy" TargetMode="External"/><Relationship Id="rId134" Type="http://schemas.openxmlformats.org/officeDocument/2006/relationships/image" Target="media/image87.emf"/><Relationship Id="rId139" Type="http://schemas.openxmlformats.org/officeDocument/2006/relationships/image" Target="media/image92.emf"/><Relationship Id="rId80" Type="http://schemas.openxmlformats.org/officeDocument/2006/relationships/image" Target="media/image51.png"/><Relationship Id="rId85" Type="http://schemas.openxmlformats.org/officeDocument/2006/relationships/oleObject" Target="embeddings/oleObject9.bin"/><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2.xml"/><Relationship Id="rId25" Type="http://schemas.openxmlformats.org/officeDocument/2006/relationships/footer" Target="footer4.xml"/><Relationship Id="rId33" Type="http://schemas.openxmlformats.org/officeDocument/2006/relationships/footer" Target="footer6.xml"/><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hyperlink" Target="http://prednadrazi.pardubice.eu" TargetMode="External"/><Relationship Id="rId67" Type="http://schemas.openxmlformats.org/officeDocument/2006/relationships/image" Target="media/image40.png"/><Relationship Id="rId103" Type="http://schemas.openxmlformats.org/officeDocument/2006/relationships/footer" Target="footer10.xml"/><Relationship Id="rId108" Type="http://schemas.openxmlformats.org/officeDocument/2006/relationships/header" Target="header6.xml"/><Relationship Id="rId116" Type="http://schemas.openxmlformats.org/officeDocument/2006/relationships/footer" Target="footer15.xml"/><Relationship Id="rId124" Type="http://schemas.openxmlformats.org/officeDocument/2006/relationships/image" Target="media/image77.jpeg"/><Relationship Id="rId129" Type="http://schemas.openxmlformats.org/officeDocument/2006/relationships/image" Target="media/image82.emf"/><Relationship Id="rId137" Type="http://schemas.openxmlformats.org/officeDocument/2006/relationships/image" Target="media/image90.emf"/><Relationship Id="rId20" Type="http://schemas.openxmlformats.org/officeDocument/2006/relationships/image" Target="media/image9.wmf"/><Relationship Id="rId41" Type="http://schemas.openxmlformats.org/officeDocument/2006/relationships/image" Target="media/image21.png"/><Relationship Id="rId54" Type="http://schemas.openxmlformats.org/officeDocument/2006/relationships/oleObject" Target="embeddings/oleObject3.bin"/><Relationship Id="rId62" Type="http://schemas.openxmlformats.org/officeDocument/2006/relationships/image" Target="media/image37.png"/><Relationship Id="rId70" Type="http://schemas.openxmlformats.org/officeDocument/2006/relationships/oleObject" Target="embeddings/oleObject7.bin"/><Relationship Id="rId75" Type="http://schemas.openxmlformats.org/officeDocument/2006/relationships/image" Target="media/image46.png"/><Relationship Id="rId83" Type="http://schemas.openxmlformats.org/officeDocument/2006/relationships/oleObject" Target="embeddings/oleObject8.bin"/><Relationship Id="rId88" Type="http://schemas.openxmlformats.org/officeDocument/2006/relationships/image" Target="media/image56.png"/><Relationship Id="rId91" Type="http://schemas.openxmlformats.org/officeDocument/2006/relationships/oleObject" Target="embeddings/oleObject12.bin"/><Relationship Id="rId96" Type="http://schemas.openxmlformats.org/officeDocument/2006/relationships/image" Target="media/image61.jpeg"/><Relationship Id="rId111" Type="http://schemas.openxmlformats.org/officeDocument/2006/relationships/image" Target="media/image70.emf"/><Relationship Id="rId132" Type="http://schemas.openxmlformats.org/officeDocument/2006/relationships/image" Target="media/image85.emf"/><Relationship Id="rId140" Type="http://schemas.openxmlformats.org/officeDocument/2006/relationships/image" Target="media/image93.png"/><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prednadrazi.pardubice.eu/index.html" TargetMode="External"/><Relationship Id="rId23" Type="http://schemas.openxmlformats.org/officeDocument/2006/relationships/footer" Target="footer3.xm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footer" Target="footer8.xml"/><Relationship Id="rId57" Type="http://schemas.openxmlformats.org/officeDocument/2006/relationships/image" Target="media/image33.png"/><Relationship Id="rId106" Type="http://schemas.openxmlformats.org/officeDocument/2006/relationships/footer" Target="footer11.xml"/><Relationship Id="rId114" Type="http://schemas.openxmlformats.org/officeDocument/2006/relationships/footer" Target="footer14.xml"/><Relationship Id="rId119" Type="http://schemas.openxmlformats.org/officeDocument/2006/relationships/footer" Target="footer16.xml"/><Relationship Id="rId127" Type="http://schemas.openxmlformats.org/officeDocument/2006/relationships/image" Target="media/image80.emf"/><Relationship Id="rId10" Type="http://schemas.openxmlformats.org/officeDocument/2006/relationships/image" Target="media/image2.jpeg"/><Relationship Id="rId31" Type="http://schemas.openxmlformats.org/officeDocument/2006/relationships/image" Target="media/image15.png"/><Relationship Id="rId44" Type="http://schemas.openxmlformats.org/officeDocument/2006/relationships/image" Target="media/image24.png"/><Relationship Id="rId52" Type="http://schemas.openxmlformats.org/officeDocument/2006/relationships/image" Target="media/image30.wmf"/><Relationship Id="rId60" Type="http://schemas.openxmlformats.org/officeDocument/2006/relationships/image" Target="media/image35.png"/><Relationship Id="rId65" Type="http://schemas.openxmlformats.org/officeDocument/2006/relationships/oleObject" Target="embeddings/oleObject5.bin"/><Relationship Id="rId73" Type="http://schemas.openxmlformats.org/officeDocument/2006/relationships/image" Target="media/image44.jpeg"/><Relationship Id="rId78" Type="http://schemas.openxmlformats.org/officeDocument/2006/relationships/image" Target="media/image49.png"/><Relationship Id="rId81" Type="http://schemas.openxmlformats.org/officeDocument/2006/relationships/image" Target="media/image52.jpeg"/><Relationship Id="rId86" Type="http://schemas.openxmlformats.org/officeDocument/2006/relationships/image" Target="media/image55.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oleObject" Target="embeddings/oleObject14.bin"/><Relationship Id="rId122" Type="http://schemas.openxmlformats.org/officeDocument/2006/relationships/image" Target="media/image75.emf"/><Relationship Id="rId130" Type="http://schemas.openxmlformats.org/officeDocument/2006/relationships/image" Target="media/image83.emf"/><Relationship Id="rId135" Type="http://schemas.openxmlformats.org/officeDocument/2006/relationships/image" Target="media/image88.png"/><Relationship Id="rId143" Type="http://schemas.openxmlformats.org/officeDocument/2006/relationships/footer" Target="footer18.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19.png"/><Relationship Id="rId109" Type="http://schemas.openxmlformats.org/officeDocument/2006/relationships/footer" Target="footer13.xml"/><Relationship Id="rId34" Type="http://schemas.openxmlformats.org/officeDocument/2006/relationships/header" Target="header4.xml"/><Relationship Id="rId50" Type="http://schemas.openxmlformats.org/officeDocument/2006/relationships/image" Target="media/image28.wmf"/><Relationship Id="rId55" Type="http://schemas.openxmlformats.org/officeDocument/2006/relationships/image" Target="media/image31.png"/><Relationship Id="rId76" Type="http://schemas.openxmlformats.org/officeDocument/2006/relationships/image" Target="media/image47.png"/><Relationship Id="rId97" Type="http://schemas.openxmlformats.org/officeDocument/2006/relationships/image" Target="media/image62.png"/><Relationship Id="rId104" Type="http://schemas.openxmlformats.org/officeDocument/2006/relationships/image" Target="media/image67.jpeg"/><Relationship Id="rId120" Type="http://schemas.openxmlformats.org/officeDocument/2006/relationships/image" Target="media/image73.emf"/><Relationship Id="rId125" Type="http://schemas.openxmlformats.org/officeDocument/2006/relationships/image" Target="media/image78.emf"/><Relationship Id="rId141"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42.png"/><Relationship Id="rId92" Type="http://schemas.openxmlformats.org/officeDocument/2006/relationships/oleObject" Target="embeddings/oleObject13.bin"/><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11.png"/><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39.png"/><Relationship Id="rId87" Type="http://schemas.openxmlformats.org/officeDocument/2006/relationships/oleObject" Target="embeddings/oleObject10.bin"/><Relationship Id="rId110" Type="http://schemas.openxmlformats.org/officeDocument/2006/relationships/image" Target="media/image69.jpeg"/><Relationship Id="rId115" Type="http://schemas.openxmlformats.org/officeDocument/2006/relationships/image" Target="media/image72.png"/><Relationship Id="rId131" Type="http://schemas.openxmlformats.org/officeDocument/2006/relationships/image" Target="media/image84.emf"/><Relationship Id="rId136" Type="http://schemas.openxmlformats.org/officeDocument/2006/relationships/image" Target="media/image89.png"/><Relationship Id="rId61" Type="http://schemas.openxmlformats.org/officeDocument/2006/relationships/image" Target="media/image36.jpeg"/><Relationship Id="rId82" Type="http://schemas.openxmlformats.org/officeDocument/2006/relationships/image" Target="media/image53.png"/><Relationship Id="rId19" Type="http://schemas.openxmlformats.org/officeDocument/2006/relationships/oleObject" Target="embeddings/oleObject1.bin"/><Relationship Id="rId14" Type="http://schemas.openxmlformats.org/officeDocument/2006/relationships/image" Target="media/image5.png"/><Relationship Id="rId30" Type="http://schemas.openxmlformats.org/officeDocument/2006/relationships/image" Target="media/image14.png"/><Relationship Id="rId35" Type="http://schemas.openxmlformats.org/officeDocument/2006/relationships/footer" Target="footer7.xml"/><Relationship Id="rId56" Type="http://schemas.openxmlformats.org/officeDocument/2006/relationships/image" Target="media/image32.png"/><Relationship Id="rId77" Type="http://schemas.openxmlformats.org/officeDocument/2006/relationships/image" Target="media/image48.png"/><Relationship Id="rId100" Type="http://schemas.openxmlformats.org/officeDocument/2006/relationships/image" Target="media/image65.png"/><Relationship Id="rId105" Type="http://schemas.openxmlformats.org/officeDocument/2006/relationships/image" Target="media/image68.jpeg"/><Relationship Id="rId126" Type="http://schemas.openxmlformats.org/officeDocument/2006/relationships/image" Target="media/image79.emf"/><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43.jpe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74.emf"/><Relationship Id="rId142" Type="http://schemas.openxmlformats.org/officeDocument/2006/relationships/footer" Target="footer17.xml"/></Relationships>
</file>

<file path=word/_rels/footer10.xml.rels><?xml version="1.0" encoding="UTF-8" standalone="yes"?>
<Relationships xmlns="http://schemas.openxmlformats.org/package/2006/relationships"><Relationship Id="rId1" Type="http://schemas.openxmlformats.org/officeDocument/2006/relationships/image" Target="media/image7.emf"/></Relationships>
</file>

<file path=word/_rels/footer11.xml.rels><?xml version="1.0" encoding="UTF-8" standalone="yes"?>
<Relationships xmlns="http://schemas.openxmlformats.org/package/2006/relationships"><Relationship Id="rId1" Type="http://schemas.openxmlformats.org/officeDocument/2006/relationships/image" Target="media/image7.emf"/></Relationships>
</file>

<file path=word/_rels/footer12.xml.rels><?xml version="1.0" encoding="UTF-8" standalone="yes"?>
<Relationships xmlns="http://schemas.openxmlformats.org/package/2006/relationships"><Relationship Id="rId1" Type="http://schemas.openxmlformats.org/officeDocument/2006/relationships/image" Target="media/image7.emf"/></Relationships>
</file>

<file path=word/_rels/footer13.xml.rels><?xml version="1.0" encoding="UTF-8" standalone="yes"?>
<Relationships xmlns="http://schemas.openxmlformats.org/package/2006/relationships"><Relationship Id="rId1" Type="http://schemas.openxmlformats.org/officeDocument/2006/relationships/image" Target="media/image7.emf"/></Relationships>
</file>

<file path=word/_rels/footer14.xml.rels><?xml version="1.0" encoding="UTF-8" standalone="yes"?>
<Relationships xmlns="http://schemas.openxmlformats.org/package/2006/relationships"><Relationship Id="rId1" Type="http://schemas.openxmlformats.org/officeDocument/2006/relationships/image" Target="media/image7.emf"/></Relationships>
</file>

<file path=word/_rels/footer15.xml.rels><?xml version="1.0" encoding="UTF-8" standalone="yes"?>
<Relationships xmlns="http://schemas.openxmlformats.org/package/2006/relationships"><Relationship Id="rId1" Type="http://schemas.openxmlformats.org/officeDocument/2006/relationships/image" Target="media/image7.emf"/></Relationships>
</file>

<file path=word/_rels/footer16.xml.rels><?xml version="1.0" encoding="UTF-8" standalone="yes"?>
<Relationships xmlns="http://schemas.openxmlformats.org/package/2006/relationships"><Relationship Id="rId1" Type="http://schemas.openxmlformats.org/officeDocument/2006/relationships/image" Target="media/image7.emf"/></Relationships>
</file>

<file path=word/_rels/footer17.xml.rels><?xml version="1.0" encoding="UTF-8" standalone="yes"?>
<Relationships xmlns="http://schemas.openxmlformats.org/package/2006/relationships"><Relationship Id="rId1" Type="http://schemas.openxmlformats.org/officeDocument/2006/relationships/image" Target="media/image7.emf"/></Relationships>
</file>

<file path=word/_rels/footer18.xml.rels><?xml version="1.0" encoding="UTF-8" standalone="yes"?>
<Relationships xmlns="http://schemas.openxmlformats.org/package/2006/relationships"><Relationship Id="rId1" Type="http://schemas.openxmlformats.org/officeDocument/2006/relationships/image" Target="media/image7.emf"/></Relationships>
</file>

<file path=word/_rels/footer2.xml.rels><?xml version="1.0" encoding="UTF-8" standalone="yes"?>
<Relationships xmlns="http://schemas.openxmlformats.org/package/2006/relationships"><Relationship Id="rId1" Type="http://schemas.openxmlformats.org/officeDocument/2006/relationships/image" Target="media/image7.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7.emf"/></Relationships>
</file>

<file path=word/_rels/footer5.xml.rels><?xml version="1.0" encoding="UTF-8" standalone="yes"?>
<Relationships xmlns="http://schemas.openxmlformats.org/package/2006/relationships"><Relationship Id="rId1" Type="http://schemas.openxmlformats.org/officeDocument/2006/relationships/image" Target="media/image7.emf"/></Relationships>
</file>

<file path=word/_rels/footer6.xml.rels><?xml version="1.0" encoding="UTF-8" standalone="yes"?>
<Relationships xmlns="http://schemas.openxmlformats.org/package/2006/relationships"><Relationship Id="rId1" Type="http://schemas.openxmlformats.org/officeDocument/2006/relationships/image" Target="media/image7.emf"/></Relationships>
</file>

<file path=word/_rels/footer7.xml.rels><?xml version="1.0" encoding="UTF-8" standalone="yes"?>
<Relationships xmlns="http://schemas.openxmlformats.org/package/2006/relationships"><Relationship Id="rId1" Type="http://schemas.openxmlformats.org/officeDocument/2006/relationships/image" Target="media/image7.emf"/></Relationships>
</file>

<file path=word/_rels/footer8.xml.rels><?xml version="1.0" encoding="UTF-8" standalone="yes"?>
<Relationships xmlns="http://schemas.openxmlformats.org/package/2006/relationships"><Relationship Id="rId1" Type="http://schemas.openxmlformats.org/officeDocument/2006/relationships/image" Target="media/image7.emf"/></Relationships>
</file>

<file path=word/_rels/footer9.xml.rels><?xml version="1.0" encoding="UTF-8" standalone="yes"?>
<Relationships xmlns="http://schemas.openxmlformats.org/package/2006/relationships"><Relationship Id="rId1" Type="http://schemas.openxmlformats.org/officeDocument/2006/relationships/image" Target="media/image7.emf"/></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_rels/header4.xml.rels><?xml version="1.0" encoding="UTF-8" standalone="yes"?>
<Relationships xmlns="http://schemas.openxmlformats.org/package/2006/relationships"><Relationship Id="rId1" Type="http://schemas.openxmlformats.org/officeDocument/2006/relationships/image" Target="media/image6.png"/></Relationships>
</file>

<file path=word/_rels/header5.xml.rels><?xml version="1.0" encoding="UTF-8" standalone="yes"?>
<Relationships xmlns="http://schemas.openxmlformats.org/package/2006/relationships"><Relationship Id="rId1" Type="http://schemas.openxmlformats.org/officeDocument/2006/relationships/image" Target="media/image6.png"/></Relationships>
</file>

<file path=word/_rels/header6.xml.rels><?xml version="1.0" encoding="UTF-8" standalone="yes"?>
<Relationships xmlns="http://schemas.openxmlformats.org/package/2006/relationships"><Relationship Id="rId1" Type="http://schemas.openxmlformats.org/officeDocument/2006/relationships/image" Target="media/image6.png"/></Relationships>
</file>

<file path=word/_rels/header7.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ladislav.walla\Data%20aplikac&#237;\Microsoft\&#352;ablony\LW-studie.dot"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A0FF9F-FF1F-4740-B25F-544AE511D2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LW-studie</Template>
  <TotalTime>139</TotalTime>
  <Pages>207</Pages>
  <Words>62419</Words>
  <Characters>347050</Characters>
  <Application>Microsoft Office Word</Application>
  <DocSecurity>0</DocSecurity>
  <Lines>12853</Lines>
  <Paragraphs>9099</Paragraphs>
  <ScaleCrop>false</ScaleCrop>
  <HeadingPairs>
    <vt:vector size="2" baseType="variant">
      <vt:variant>
        <vt:lpstr>Název</vt:lpstr>
      </vt:variant>
      <vt:variant>
        <vt:i4>1</vt:i4>
      </vt:variant>
    </vt:vector>
  </HeadingPairs>
  <TitlesOfParts>
    <vt:vector size="1" baseType="lpstr">
      <vt:lpstr/>
    </vt:vector>
  </TitlesOfParts>
  <Company>SUDOP PRAHA a.s.</Company>
  <LinksUpToDate>false</LinksUpToDate>
  <CharactersWithSpaces>400370</CharactersWithSpaces>
  <SharedDoc>false</SharedDoc>
  <HLinks>
    <vt:vector size="1218" baseType="variant">
      <vt:variant>
        <vt:i4>1638472</vt:i4>
      </vt:variant>
      <vt:variant>
        <vt:i4>2235</vt:i4>
      </vt:variant>
      <vt:variant>
        <vt:i4>0</vt:i4>
      </vt:variant>
      <vt:variant>
        <vt:i4>5</vt:i4>
      </vt:variant>
      <vt:variant>
        <vt:lpwstr>http://www.mapy/</vt:lpwstr>
      </vt:variant>
      <vt:variant>
        <vt:lpwstr/>
      </vt:variant>
      <vt:variant>
        <vt:i4>4522003</vt:i4>
      </vt:variant>
      <vt:variant>
        <vt:i4>2232</vt:i4>
      </vt:variant>
      <vt:variant>
        <vt:i4>0</vt:i4>
      </vt:variant>
      <vt:variant>
        <vt:i4>5</vt:i4>
      </vt:variant>
      <vt:variant>
        <vt:lpwstr>http://cs.wikipedia/</vt:lpwstr>
      </vt:variant>
      <vt:variant>
        <vt:lpwstr/>
      </vt:variant>
      <vt:variant>
        <vt:i4>851975</vt:i4>
      </vt:variant>
      <vt:variant>
        <vt:i4>1701</vt:i4>
      </vt:variant>
      <vt:variant>
        <vt:i4>0</vt:i4>
      </vt:variant>
      <vt:variant>
        <vt:i4>5</vt:i4>
      </vt:variant>
      <vt:variant>
        <vt:lpwstr>http://prednadrazi.pardubice.eu/</vt:lpwstr>
      </vt:variant>
      <vt:variant>
        <vt:lpwstr/>
      </vt:variant>
      <vt:variant>
        <vt:i4>3145847</vt:i4>
      </vt:variant>
      <vt:variant>
        <vt:i4>1206</vt:i4>
      </vt:variant>
      <vt:variant>
        <vt:i4>0</vt:i4>
      </vt:variant>
      <vt:variant>
        <vt:i4>5</vt:i4>
      </vt:variant>
      <vt:variant>
        <vt:lpwstr>http://prednadrazi.pardubice.eu/index.html</vt:lpwstr>
      </vt:variant>
      <vt:variant>
        <vt:lpwstr/>
      </vt:variant>
      <vt:variant>
        <vt:i4>2031669</vt:i4>
      </vt:variant>
      <vt:variant>
        <vt:i4>1196</vt:i4>
      </vt:variant>
      <vt:variant>
        <vt:i4>0</vt:i4>
      </vt:variant>
      <vt:variant>
        <vt:i4>5</vt:i4>
      </vt:variant>
      <vt:variant>
        <vt:lpwstr/>
      </vt:variant>
      <vt:variant>
        <vt:lpwstr>_Toc363741181</vt:lpwstr>
      </vt:variant>
      <vt:variant>
        <vt:i4>2031669</vt:i4>
      </vt:variant>
      <vt:variant>
        <vt:i4>1190</vt:i4>
      </vt:variant>
      <vt:variant>
        <vt:i4>0</vt:i4>
      </vt:variant>
      <vt:variant>
        <vt:i4>5</vt:i4>
      </vt:variant>
      <vt:variant>
        <vt:lpwstr/>
      </vt:variant>
      <vt:variant>
        <vt:lpwstr>_Toc363741180</vt:lpwstr>
      </vt:variant>
      <vt:variant>
        <vt:i4>1048629</vt:i4>
      </vt:variant>
      <vt:variant>
        <vt:i4>1184</vt:i4>
      </vt:variant>
      <vt:variant>
        <vt:i4>0</vt:i4>
      </vt:variant>
      <vt:variant>
        <vt:i4>5</vt:i4>
      </vt:variant>
      <vt:variant>
        <vt:lpwstr/>
      </vt:variant>
      <vt:variant>
        <vt:lpwstr>_Toc363741179</vt:lpwstr>
      </vt:variant>
      <vt:variant>
        <vt:i4>1048629</vt:i4>
      </vt:variant>
      <vt:variant>
        <vt:i4>1178</vt:i4>
      </vt:variant>
      <vt:variant>
        <vt:i4>0</vt:i4>
      </vt:variant>
      <vt:variant>
        <vt:i4>5</vt:i4>
      </vt:variant>
      <vt:variant>
        <vt:lpwstr/>
      </vt:variant>
      <vt:variant>
        <vt:lpwstr>_Toc363741178</vt:lpwstr>
      </vt:variant>
      <vt:variant>
        <vt:i4>1048629</vt:i4>
      </vt:variant>
      <vt:variant>
        <vt:i4>1172</vt:i4>
      </vt:variant>
      <vt:variant>
        <vt:i4>0</vt:i4>
      </vt:variant>
      <vt:variant>
        <vt:i4>5</vt:i4>
      </vt:variant>
      <vt:variant>
        <vt:lpwstr/>
      </vt:variant>
      <vt:variant>
        <vt:lpwstr>_Toc363741177</vt:lpwstr>
      </vt:variant>
      <vt:variant>
        <vt:i4>1048629</vt:i4>
      </vt:variant>
      <vt:variant>
        <vt:i4>1166</vt:i4>
      </vt:variant>
      <vt:variant>
        <vt:i4>0</vt:i4>
      </vt:variant>
      <vt:variant>
        <vt:i4>5</vt:i4>
      </vt:variant>
      <vt:variant>
        <vt:lpwstr/>
      </vt:variant>
      <vt:variant>
        <vt:lpwstr>_Toc363741176</vt:lpwstr>
      </vt:variant>
      <vt:variant>
        <vt:i4>1048629</vt:i4>
      </vt:variant>
      <vt:variant>
        <vt:i4>1160</vt:i4>
      </vt:variant>
      <vt:variant>
        <vt:i4>0</vt:i4>
      </vt:variant>
      <vt:variant>
        <vt:i4>5</vt:i4>
      </vt:variant>
      <vt:variant>
        <vt:lpwstr/>
      </vt:variant>
      <vt:variant>
        <vt:lpwstr>_Toc363741175</vt:lpwstr>
      </vt:variant>
      <vt:variant>
        <vt:i4>1048629</vt:i4>
      </vt:variant>
      <vt:variant>
        <vt:i4>1154</vt:i4>
      </vt:variant>
      <vt:variant>
        <vt:i4>0</vt:i4>
      </vt:variant>
      <vt:variant>
        <vt:i4>5</vt:i4>
      </vt:variant>
      <vt:variant>
        <vt:lpwstr/>
      </vt:variant>
      <vt:variant>
        <vt:lpwstr>_Toc363741174</vt:lpwstr>
      </vt:variant>
      <vt:variant>
        <vt:i4>1048629</vt:i4>
      </vt:variant>
      <vt:variant>
        <vt:i4>1148</vt:i4>
      </vt:variant>
      <vt:variant>
        <vt:i4>0</vt:i4>
      </vt:variant>
      <vt:variant>
        <vt:i4>5</vt:i4>
      </vt:variant>
      <vt:variant>
        <vt:lpwstr/>
      </vt:variant>
      <vt:variant>
        <vt:lpwstr>_Toc363741173</vt:lpwstr>
      </vt:variant>
      <vt:variant>
        <vt:i4>1048629</vt:i4>
      </vt:variant>
      <vt:variant>
        <vt:i4>1142</vt:i4>
      </vt:variant>
      <vt:variant>
        <vt:i4>0</vt:i4>
      </vt:variant>
      <vt:variant>
        <vt:i4>5</vt:i4>
      </vt:variant>
      <vt:variant>
        <vt:lpwstr/>
      </vt:variant>
      <vt:variant>
        <vt:lpwstr>_Toc363741172</vt:lpwstr>
      </vt:variant>
      <vt:variant>
        <vt:i4>1048629</vt:i4>
      </vt:variant>
      <vt:variant>
        <vt:i4>1136</vt:i4>
      </vt:variant>
      <vt:variant>
        <vt:i4>0</vt:i4>
      </vt:variant>
      <vt:variant>
        <vt:i4>5</vt:i4>
      </vt:variant>
      <vt:variant>
        <vt:lpwstr/>
      </vt:variant>
      <vt:variant>
        <vt:lpwstr>_Toc363741171</vt:lpwstr>
      </vt:variant>
      <vt:variant>
        <vt:i4>1048629</vt:i4>
      </vt:variant>
      <vt:variant>
        <vt:i4>1130</vt:i4>
      </vt:variant>
      <vt:variant>
        <vt:i4>0</vt:i4>
      </vt:variant>
      <vt:variant>
        <vt:i4>5</vt:i4>
      </vt:variant>
      <vt:variant>
        <vt:lpwstr/>
      </vt:variant>
      <vt:variant>
        <vt:lpwstr>_Toc363741170</vt:lpwstr>
      </vt:variant>
      <vt:variant>
        <vt:i4>1114165</vt:i4>
      </vt:variant>
      <vt:variant>
        <vt:i4>1124</vt:i4>
      </vt:variant>
      <vt:variant>
        <vt:i4>0</vt:i4>
      </vt:variant>
      <vt:variant>
        <vt:i4>5</vt:i4>
      </vt:variant>
      <vt:variant>
        <vt:lpwstr/>
      </vt:variant>
      <vt:variant>
        <vt:lpwstr>_Toc363741169</vt:lpwstr>
      </vt:variant>
      <vt:variant>
        <vt:i4>1114165</vt:i4>
      </vt:variant>
      <vt:variant>
        <vt:i4>1118</vt:i4>
      </vt:variant>
      <vt:variant>
        <vt:i4>0</vt:i4>
      </vt:variant>
      <vt:variant>
        <vt:i4>5</vt:i4>
      </vt:variant>
      <vt:variant>
        <vt:lpwstr/>
      </vt:variant>
      <vt:variant>
        <vt:lpwstr>_Toc363741168</vt:lpwstr>
      </vt:variant>
      <vt:variant>
        <vt:i4>1114165</vt:i4>
      </vt:variant>
      <vt:variant>
        <vt:i4>1112</vt:i4>
      </vt:variant>
      <vt:variant>
        <vt:i4>0</vt:i4>
      </vt:variant>
      <vt:variant>
        <vt:i4>5</vt:i4>
      </vt:variant>
      <vt:variant>
        <vt:lpwstr/>
      </vt:variant>
      <vt:variant>
        <vt:lpwstr>_Toc363741167</vt:lpwstr>
      </vt:variant>
      <vt:variant>
        <vt:i4>1114165</vt:i4>
      </vt:variant>
      <vt:variant>
        <vt:i4>1106</vt:i4>
      </vt:variant>
      <vt:variant>
        <vt:i4>0</vt:i4>
      </vt:variant>
      <vt:variant>
        <vt:i4>5</vt:i4>
      </vt:variant>
      <vt:variant>
        <vt:lpwstr/>
      </vt:variant>
      <vt:variant>
        <vt:lpwstr>_Toc363741166</vt:lpwstr>
      </vt:variant>
      <vt:variant>
        <vt:i4>1114165</vt:i4>
      </vt:variant>
      <vt:variant>
        <vt:i4>1100</vt:i4>
      </vt:variant>
      <vt:variant>
        <vt:i4>0</vt:i4>
      </vt:variant>
      <vt:variant>
        <vt:i4>5</vt:i4>
      </vt:variant>
      <vt:variant>
        <vt:lpwstr/>
      </vt:variant>
      <vt:variant>
        <vt:lpwstr>_Toc363741165</vt:lpwstr>
      </vt:variant>
      <vt:variant>
        <vt:i4>1114165</vt:i4>
      </vt:variant>
      <vt:variant>
        <vt:i4>1094</vt:i4>
      </vt:variant>
      <vt:variant>
        <vt:i4>0</vt:i4>
      </vt:variant>
      <vt:variant>
        <vt:i4>5</vt:i4>
      </vt:variant>
      <vt:variant>
        <vt:lpwstr/>
      </vt:variant>
      <vt:variant>
        <vt:lpwstr>_Toc363741164</vt:lpwstr>
      </vt:variant>
      <vt:variant>
        <vt:i4>1114165</vt:i4>
      </vt:variant>
      <vt:variant>
        <vt:i4>1088</vt:i4>
      </vt:variant>
      <vt:variant>
        <vt:i4>0</vt:i4>
      </vt:variant>
      <vt:variant>
        <vt:i4>5</vt:i4>
      </vt:variant>
      <vt:variant>
        <vt:lpwstr/>
      </vt:variant>
      <vt:variant>
        <vt:lpwstr>_Toc363741163</vt:lpwstr>
      </vt:variant>
      <vt:variant>
        <vt:i4>1114165</vt:i4>
      </vt:variant>
      <vt:variant>
        <vt:i4>1082</vt:i4>
      </vt:variant>
      <vt:variant>
        <vt:i4>0</vt:i4>
      </vt:variant>
      <vt:variant>
        <vt:i4>5</vt:i4>
      </vt:variant>
      <vt:variant>
        <vt:lpwstr/>
      </vt:variant>
      <vt:variant>
        <vt:lpwstr>_Toc363741162</vt:lpwstr>
      </vt:variant>
      <vt:variant>
        <vt:i4>1114165</vt:i4>
      </vt:variant>
      <vt:variant>
        <vt:i4>1076</vt:i4>
      </vt:variant>
      <vt:variant>
        <vt:i4>0</vt:i4>
      </vt:variant>
      <vt:variant>
        <vt:i4>5</vt:i4>
      </vt:variant>
      <vt:variant>
        <vt:lpwstr/>
      </vt:variant>
      <vt:variant>
        <vt:lpwstr>_Toc363741161</vt:lpwstr>
      </vt:variant>
      <vt:variant>
        <vt:i4>1114165</vt:i4>
      </vt:variant>
      <vt:variant>
        <vt:i4>1070</vt:i4>
      </vt:variant>
      <vt:variant>
        <vt:i4>0</vt:i4>
      </vt:variant>
      <vt:variant>
        <vt:i4>5</vt:i4>
      </vt:variant>
      <vt:variant>
        <vt:lpwstr/>
      </vt:variant>
      <vt:variant>
        <vt:lpwstr>_Toc363741160</vt:lpwstr>
      </vt:variant>
      <vt:variant>
        <vt:i4>1179701</vt:i4>
      </vt:variant>
      <vt:variant>
        <vt:i4>1064</vt:i4>
      </vt:variant>
      <vt:variant>
        <vt:i4>0</vt:i4>
      </vt:variant>
      <vt:variant>
        <vt:i4>5</vt:i4>
      </vt:variant>
      <vt:variant>
        <vt:lpwstr/>
      </vt:variant>
      <vt:variant>
        <vt:lpwstr>_Toc363741159</vt:lpwstr>
      </vt:variant>
      <vt:variant>
        <vt:i4>1179701</vt:i4>
      </vt:variant>
      <vt:variant>
        <vt:i4>1058</vt:i4>
      </vt:variant>
      <vt:variant>
        <vt:i4>0</vt:i4>
      </vt:variant>
      <vt:variant>
        <vt:i4>5</vt:i4>
      </vt:variant>
      <vt:variant>
        <vt:lpwstr/>
      </vt:variant>
      <vt:variant>
        <vt:lpwstr>_Toc363741158</vt:lpwstr>
      </vt:variant>
      <vt:variant>
        <vt:i4>1179701</vt:i4>
      </vt:variant>
      <vt:variant>
        <vt:i4>1052</vt:i4>
      </vt:variant>
      <vt:variant>
        <vt:i4>0</vt:i4>
      </vt:variant>
      <vt:variant>
        <vt:i4>5</vt:i4>
      </vt:variant>
      <vt:variant>
        <vt:lpwstr/>
      </vt:variant>
      <vt:variant>
        <vt:lpwstr>_Toc363741157</vt:lpwstr>
      </vt:variant>
      <vt:variant>
        <vt:i4>1179701</vt:i4>
      </vt:variant>
      <vt:variant>
        <vt:i4>1046</vt:i4>
      </vt:variant>
      <vt:variant>
        <vt:i4>0</vt:i4>
      </vt:variant>
      <vt:variant>
        <vt:i4>5</vt:i4>
      </vt:variant>
      <vt:variant>
        <vt:lpwstr/>
      </vt:variant>
      <vt:variant>
        <vt:lpwstr>_Toc363741156</vt:lpwstr>
      </vt:variant>
      <vt:variant>
        <vt:i4>1179701</vt:i4>
      </vt:variant>
      <vt:variant>
        <vt:i4>1040</vt:i4>
      </vt:variant>
      <vt:variant>
        <vt:i4>0</vt:i4>
      </vt:variant>
      <vt:variant>
        <vt:i4>5</vt:i4>
      </vt:variant>
      <vt:variant>
        <vt:lpwstr/>
      </vt:variant>
      <vt:variant>
        <vt:lpwstr>_Toc363741155</vt:lpwstr>
      </vt:variant>
      <vt:variant>
        <vt:i4>1179701</vt:i4>
      </vt:variant>
      <vt:variant>
        <vt:i4>1034</vt:i4>
      </vt:variant>
      <vt:variant>
        <vt:i4>0</vt:i4>
      </vt:variant>
      <vt:variant>
        <vt:i4>5</vt:i4>
      </vt:variant>
      <vt:variant>
        <vt:lpwstr/>
      </vt:variant>
      <vt:variant>
        <vt:lpwstr>_Toc363741154</vt:lpwstr>
      </vt:variant>
      <vt:variant>
        <vt:i4>1179701</vt:i4>
      </vt:variant>
      <vt:variant>
        <vt:i4>1028</vt:i4>
      </vt:variant>
      <vt:variant>
        <vt:i4>0</vt:i4>
      </vt:variant>
      <vt:variant>
        <vt:i4>5</vt:i4>
      </vt:variant>
      <vt:variant>
        <vt:lpwstr/>
      </vt:variant>
      <vt:variant>
        <vt:lpwstr>_Toc363741153</vt:lpwstr>
      </vt:variant>
      <vt:variant>
        <vt:i4>1179701</vt:i4>
      </vt:variant>
      <vt:variant>
        <vt:i4>1022</vt:i4>
      </vt:variant>
      <vt:variant>
        <vt:i4>0</vt:i4>
      </vt:variant>
      <vt:variant>
        <vt:i4>5</vt:i4>
      </vt:variant>
      <vt:variant>
        <vt:lpwstr/>
      </vt:variant>
      <vt:variant>
        <vt:lpwstr>_Toc363741152</vt:lpwstr>
      </vt:variant>
      <vt:variant>
        <vt:i4>1179701</vt:i4>
      </vt:variant>
      <vt:variant>
        <vt:i4>1016</vt:i4>
      </vt:variant>
      <vt:variant>
        <vt:i4>0</vt:i4>
      </vt:variant>
      <vt:variant>
        <vt:i4>5</vt:i4>
      </vt:variant>
      <vt:variant>
        <vt:lpwstr/>
      </vt:variant>
      <vt:variant>
        <vt:lpwstr>_Toc363741151</vt:lpwstr>
      </vt:variant>
      <vt:variant>
        <vt:i4>1179701</vt:i4>
      </vt:variant>
      <vt:variant>
        <vt:i4>1010</vt:i4>
      </vt:variant>
      <vt:variant>
        <vt:i4>0</vt:i4>
      </vt:variant>
      <vt:variant>
        <vt:i4>5</vt:i4>
      </vt:variant>
      <vt:variant>
        <vt:lpwstr/>
      </vt:variant>
      <vt:variant>
        <vt:lpwstr>_Toc363741150</vt:lpwstr>
      </vt:variant>
      <vt:variant>
        <vt:i4>1245237</vt:i4>
      </vt:variant>
      <vt:variant>
        <vt:i4>1004</vt:i4>
      </vt:variant>
      <vt:variant>
        <vt:i4>0</vt:i4>
      </vt:variant>
      <vt:variant>
        <vt:i4>5</vt:i4>
      </vt:variant>
      <vt:variant>
        <vt:lpwstr/>
      </vt:variant>
      <vt:variant>
        <vt:lpwstr>_Toc363741149</vt:lpwstr>
      </vt:variant>
      <vt:variant>
        <vt:i4>1245237</vt:i4>
      </vt:variant>
      <vt:variant>
        <vt:i4>998</vt:i4>
      </vt:variant>
      <vt:variant>
        <vt:i4>0</vt:i4>
      </vt:variant>
      <vt:variant>
        <vt:i4>5</vt:i4>
      </vt:variant>
      <vt:variant>
        <vt:lpwstr/>
      </vt:variant>
      <vt:variant>
        <vt:lpwstr>_Toc363741148</vt:lpwstr>
      </vt:variant>
      <vt:variant>
        <vt:i4>1245237</vt:i4>
      </vt:variant>
      <vt:variant>
        <vt:i4>992</vt:i4>
      </vt:variant>
      <vt:variant>
        <vt:i4>0</vt:i4>
      </vt:variant>
      <vt:variant>
        <vt:i4>5</vt:i4>
      </vt:variant>
      <vt:variant>
        <vt:lpwstr/>
      </vt:variant>
      <vt:variant>
        <vt:lpwstr>_Toc363741147</vt:lpwstr>
      </vt:variant>
      <vt:variant>
        <vt:i4>1245237</vt:i4>
      </vt:variant>
      <vt:variant>
        <vt:i4>986</vt:i4>
      </vt:variant>
      <vt:variant>
        <vt:i4>0</vt:i4>
      </vt:variant>
      <vt:variant>
        <vt:i4>5</vt:i4>
      </vt:variant>
      <vt:variant>
        <vt:lpwstr/>
      </vt:variant>
      <vt:variant>
        <vt:lpwstr>_Toc363741146</vt:lpwstr>
      </vt:variant>
      <vt:variant>
        <vt:i4>1245237</vt:i4>
      </vt:variant>
      <vt:variant>
        <vt:i4>980</vt:i4>
      </vt:variant>
      <vt:variant>
        <vt:i4>0</vt:i4>
      </vt:variant>
      <vt:variant>
        <vt:i4>5</vt:i4>
      </vt:variant>
      <vt:variant>
        <vt:lpwstr/>
      </vt:variant>
      <vt:variant>
        <vt:lpwstr>_Toc363741145</vt:lpwstr>
      </vt:variant>
      <vt:variant>
        <vt:i4>1245237</vt:i4>
      </vt:variant>
      <vt:variant>
        <vt:i4>974</vt:i4>
      </vt:variant>
      <vt:variant>
        <vt:i4>0</vt:i4>
      </vt:variant>
      <vt:variant>
        <vt:i4>5</vt:i4>
      </vt:variant>
      <vt:variant>
        <vt:lpwstr/>
      </vt:variant>
      <vt:variant>
        <vt:lpwstr>_Toc363741144</vt:lpwstr>
      </vt:variant>
      <vt:variant>
        <vt:i4>1245237</vt:i4>
      </vt:variant>
      <vt:variant>
        <vt:i4>968</vt:i4>
      </vt:variant>
      <vt:variant>
        <vt:i4>0</vt:i4>
      </vt:variant>
      <vt:variant>
        <vt:i4>5</vt:i4>
      </vt:variant>
      <vt:variant>
        <vt:lpwstr/>
      </vt:variant>
      <vt:variant>
        <vt:lpwstr>_Toc363741143</vt:lpwstr>
      </vt:variant>
      <vt:variant>
        <vt:i4>1245237</vt:i4>
      </vt:variant>
      <vt:variant>
        <vt:i4>962</vt:i4>
      </vt:variant>
      <vt:variant>
        <vt:i4>0</vt:i4>
      </vt:variant>
      <vt:variant>
        <vt:i4>5</vt:i4>
      </vt:variant>
      <vt:variant>
        <vt:lpwstr/>
      </vt:variant>
      <vt:variant>
        <vt:lpwstr>_Toc363741142</vt:lpwstr>
      </vt:variant>
      <vt:variant>
        <vt:i4>1245237</vt:i4>
      </vt:variant>
      <vt:variant>
        <vt:i4>956</vt:i4>
      </vt:variant>
      <vt:variant>
        <vt:i4>0</vt:i4>
      </vt:variant>
      <vt:variant>
        <vt:i4>5</vt:i4>
      </vt:variant>
      <vt:variant>
        <vt:lpwstr/>
      </vt:variant>
      <vt:variant>
        <vt:lpwstr>_Toc363741141</vt:lpwstr>
      </vt:variant>
      <vt:variant>
        <vt:i4>1245237</vt:i4>
      </vt:variant>
      <vt:variant>
        <vt:i4>950</vt:i4>
      </vt:variant>
      <vt:variant>
        <vt:i4>0</vt:i4>
      </vt:variant>
      <vt:variant>
        <vt:i4>5</vt:i4>
      </vt:variant>
      <vt:variant>
        <vt:lpwstr/>
      </vt:variant>
      <vt:variant>
        <vt:lpwstr>_Toc363741140</vt:lpwstr>
      </vt:variant>
      <vt:variant>
        <vt:i4>1310773</vt:i4>
      </vt:variant>
      <vt:variant>
        <vt:i4>944</vt:i4>
      </vt:variant>
      <vt:variant>
        <vt:i4>0</vt:i4>
      </vt:variant>
      <vt:variant>
        <vt:i4>5</vt:i4>
      </vt:variant>
      <vt:variant>
        <vt:lpwstr/>
      </vt:variant>
      <vt:variant>
        <vt:lpwstr>_Toc363741139</vt:lpwstr>
      </vt:variant>
      <vt:variant>
        <vt:i4>1310773</vt:i4>
      </vt:variant>
      <vt:variant>
        <vt:i4>938</vt:i4>
      </vt:variant>
      <vt:variant>
        <vt:i4>0</vt:i4>
      </vt:variant>
      <vt:variant>
        <vt:i4>5</vt:i4>
      </vt:variant>
      <vt:variant>
        <vt:lpwstr/>
      </vt:variant>
      <vt:variant>
        <vt:lpwstr>_Toc363741138</vt:lpwstr>
      </vt:variant>
      <vt:variant>
        <vt:i4>1310773</vt:i4>
      </vt:variant>
      <vt:variant>
        <vt:i4>932</vt:i4>
      </vt:variant>
      <vt:variant>
        <vt:i4>0</vt:i4>
      </vt:variant>
      <vt:variant>
        <vt:i4>5</vt:i4>
      </vt:variant>
      <vt:variant>
        <vt:lpwstr/>
      </vt:variant>
      <vt:variant>
        <vt:lpwstr>_Toc363741137</vt:lpwstr>
      </vt:variant>
      <vt:variant>
        <vt:i4>1310773</vt:i4>
      </vt:variant>
      <vt:variant>
        <vt:i4>926</vt:i4>
      </vt:variant>
      <vt:variant>
        <vt:i4>0</vt:i4>
      </vt:variant>
      <vt:variant>
        <vt:i4>5</vt:i4>
      </vt:variant>
      <vt:variant>
        <vt:lpwstr/>
      </vt:variant>
      <vt:variant>
        <vt:lpwstr>_Toc363741136</vt:lpwstr>
      </vt:variant>
      <vt:variant>
        <vt:i4>1310773</vt:i4>
      </vt:variant>
      <vt:variant>
        <vt:i4>920</vt:i4>
      </vt:variant>
      <vt:variant>
        <vt:i4>0</vt:i4>
      </vt:variant>
      <vt:variant>
        <vt:i4>5</vt:i4>
      </vt:variant>
      <vt:variant>
        <vt:lpwstr/>
      </vt:variant>
      <vt:variant>
        <vt:lpwstr>_Toc363741135</vt:lpwstr>
      </vt:variant>
      <vt:variant>
        <vt:i4>1310773</vt:i4>
      </vt:variant>
      <vt:variant>
        <vt:i4>914</vt:i4>
      </vt:variant>
      <vt:variant>
        <vt:i4>0</vt:i4>
      </vt:variant>
      <vt:variant>
        <vt:i4>5</vt:i4>
      </vt:variant>
      <vt:variant>
        <vt:lpwstr/>
      </vt:variant>
      <vt:variant>
        <vt:lpwstr>_Toc363741134</vt:lpwstr>
      </vt:variant>
      <vt:variant>
        <vt:i4>1310773</vt:i4>
      </vt:variant>
      <vt:variant>
        <vt:i4>908</vt:i4>
      </vt:variant>
      <vt:variant>
        <vt:i4>0</vt:i4>
      </vt:variant>
      <vt:variant>
        <vt:i4>5</vt:i4>
      </vt:variant>
      <vt:variant>
        <vt:lpwstr/>
      </vt:variant>
      <vt:variant>
        <vt:lpwstr>_Toc363741133</vt:lpwstr>
      </vt:variant>
      <vt:variant>
        <vt:i4>1310773</vt:i4>
      </vt:variant>
      <vt:variant>
        <vt:i4>902</vt:i4>
      </vt:variant>
      <vt:variant>
        <vt:i4>0</vt:i4>
      </vt:variant>
      <vt:variant>
        <vt:i4>5</vt:i4>
      </vt:variant>
      <vt:variant>
        <vt:lpwstr/>
      </vt:variant>
      <vt:variant>
        <vt:lpwstr>_Toc363741132</vt:lpwstr>
      </vt:variant>
      <vt:variant>
        <vt:i4>1310773</vt:i4>
      </vt:variant>
      <vt:variant>
        <vt:i4>896</vt:i4>
      </vt:variant>
      <vt:variant>
        <vt:i4>0</vt:i4>
      </vt:variant>
      <vt:variant>
        <vt:i4>5</vt:i4>
      </vt:variant>
      <vt:variant>
        <vt:lpwstr/>
      </vt:variant>
      <vt:variant>
        <vt:lpwstr>_Toc363741131</vt:lpwstr>
      </vt:variant>
      <vt:variant>
        <vt:i4>1310773</vt:i4>
      </vt:variant>
      <vt:variant>
        <vt:i4>890</vt:i4>
      </vt:variant>
      <vt:variant>
        <vt:i4>0</vt:i4>
      </vt:variant>
      <vt:variant>
        <vt:i4>5</vt:i4>
      </vt:variant>
      <vt:variant>
        <vt:lpwstr/>
      </vt:variant>
      <vt:variant>
        <vt:lpwstr>_Toc363741130</vt:lpwstr>
      </vt:variant>
      <vt:variant>
        <vt:i4>1376309</vt:i4>
      </vt:variant>
      <vt:variant>
        <vt:i4>884</vt:i4>
      </vt:variant>
      <vt:variant>
        <vt:i4>0</vt:i4>
      </vt:variant>
      <vt:variant>
        <vt:i4>5</vt:i4>
      </vt:variant>
      <vt:variant>
        <vt:lpwstr/>
      </vt:variant>
      <vt:variant>
        <vt:lpwstr>_Toc363741129</vt:lpwstr>
      </vt:variant>
      <vt:variant>
        <vt:i4>1376309</vt:i4>
      </vt:variant>
      <vt:variant>
        <vt:i4>878</vt:i4>
      </vt:variant>
      <vt:variant>
        <vt:i4>0</vt:i4>
      </vt:variant>
      <vt:variant>
        <vt:i4>5</vt:i4>
      </vt:variant>
      <vt:variant>
        <vt:lpwstr/>
      </vt:variant>
      <vt:variant>
        <vt:lpwstr>_Toc363741128</vt:lpwstr>
      </vt:variant>
      <vt:variant>
        <vt:i4>1376309</vt:i4>
      </vt:variant>
      <vt:variant>
        <vt:i4>872</vt:i4>
      </vt:variant>
      <vt:variant>
        <vt:i4>0</vt:i4>
      </vt:variant>
      <vt:variant>
        <vt:i4>5</vt:i4>
      </vt:variant>
      <vt:variant>
        <vt:lpwstr/>
      </vt:variant>
      <vt:variant>
        <vt:lpwstr>_Toc363741127</vt:lpwstr>
      </vt:variant>
      <vt:variant>
        <vt:i4>1376309</vt:i4>
      </vt:variant>
      <vt:variant>
        <vt:i4>863</vt:i4>
      </vt:variant>
      <vt:variant>
        <vt:i4>0</vt:i4>
      </vt:variant>
      <vt:variant>
        <vt:i4>5</vt:i4>
      </vt:variant>
      <vt:variant>
        <vt:lpwstr/>
      </vt:variant>
      <vt:variant>
        <vt:lpwstr>_Toc363741126</vt:lpwstr>
      </vt:variant>
      <vt:variant>
        <vt:i4>1376309</vt:i4>
      </vt:variant>
      <vt:variant>
        <vt:i4>857</vt:i4>
      </vt:variant>
      <vt:variant>
        <vt:i4>0</vt:i4>
      </vt:variant>
      <vt:variant>
        <vt:i4>5</vt:i4>
      </vt:variant>
      <vt:variant>
        <vt:lpwstr/>
      </vt:variant>
      <vt:variant>
        <vt:lpwstr>_Toc363741125</vt:lpwstr>
      </vt:variant>
      <vt:variant>
        <vt:i4>1376309</vt:i4>
      </vt:variant>
      <vt:variant>
        <vt:i4>851</vt:i4>
      </vt:variant>
      <vt:variant>
        <vt:i4>0</vt:i4>
      </vt:variant>
      <vt:variant>
        <vt:i4>5</vt:i4>
      </vt:variant>
      <vt:variant>
        <vt:lpwstr/>
      </vt:variant>
      <vt:variant>
        <vt:lpwstr>_Toc363741124</vt:lpwstr>
      </vt:variant>
      <vt:variant>
        <vt:i4>1376309</vt:i4>
      </vt:variant>
      <vt:variant>
        <vt:i4>845</vt:i4>
      </vt:variant>
      <vt:variant>
        <vt:i4>0</vt:i4>
      </vt:variant>
      <vt:variant>
        <vt:i4>5</vt:i4>
      </vt:variant>
      <vt:variant>
        <vt:lpwstr/>
      </vt:variant>
      <vt:variant>
        <vt:lpwstr>_Toc363741123</vt:lpwstr>
      </vt:variant>
      <vt:variant>
        <vt:i4>1376309</vt:i4>
      </vt:variant>
      <vt:variant>
        <vt:i4>839</vt:i4>
      </vt:variant>
      <vt:variant>
        <vt:i4>0</vt:i4>
      </vt:variant>
      <vt:variant>
        <vt:i4>5</vt:i4>
      </vt:variant>
      <vt:variant>
        <vt:lpwstr/>
      </vt:variant>
      <vt:variant>
        <vt:lpwstr>_Toc363741122</vt:lpwstr>
      </vt:variant>
      <vt:variant>
        <vt:i4>1376309</vt:i4>
      </vt:variant>
      <vt:variant>
        <vt:i4>833</vt:i4>
      </vt:variant>
      <vt:variant>
        <vt:i4>0</vt:i4>
      </vt:variant>
      <vt:variant>
        <vt:i4>5</vt:i4>
      </vt:variant>
      <vt:variant>
        <vt:lpwstr/>
      </vt:variant>
      <vt:variant>
        <vt:lpwstr>_Toc363741121</vt:lpwstr>
      </vt:variant>
      <vt:variant>
        <vt:i4>1376309</vt:i4>
      </vt:variant>
      <vt:variant>
        <vt:i4>827</vt:i4>
      </vt:variant>
      <vt:variant>
        <vt:i4>0</vt:i4>
      </vt:variant>
      <vt:variant>
        <vt:i4>5</vt:i4>
      </vt:variant>
      <vt:variant>
        <vt:lpwstr/>
      </vt:variant>
      <vt:variant>
        <vt:lpwstr>_Toc363741120</vt:lpwstr>
      </vt:variant>
      <vt:variant>
        <vt:i4>1441845</vt:i4>
      </vt:variant>
      <vt:variant>
        <vt:i4>821</vt:i4>
      </vt:variant>
      <vt:variant>
        <vt:i4>0</vt:i4>
      </vt:variant>
      <vt:variant>
        <vt:i4>5</vt:i4>
      </vt:variant>
      <vt:variant>
        <vt:lpwstr/>
      </vt:variant>
      <vt:variant>
        <vt:lpwstr>_Toc363741119</vt:lpwstr>
      </vt:variant>
      <vt:variant>
        <vt:i4>1441845</vt:i4>
      </vt:variant>
      <vt:variant>
        <vt:i4>815</vt:i4>
      </vt:variant>
      <vt:variant>
        <vt:i4>0</vt:i4>
      </vt:variant>
      <vt:variant>
        <vt:i4>5</vt:i4>
      </vt:variant>
      <vt:variant>
        <vt:lpwstr/>
      </vt:variant>
      <vt:variant>
        <vt:lpwstr>_Toc363741118</vt:lpwstr>
      </vt:variant>
      <vt:variant>
        <vt:i4>1441845</vt:i4>
      </vt:variant>
      <vt:variant>
        <vt:i4>809</vt:i4>
      </vt:variant>
      <vt:variant>
        <vt:i4>0</vt:i4>
      </vt:variant>
      <vt:variant>
        <vt:i4>5</vt:i4>
      </vt:variant>
      <vt:variant>
        <vt:lpwstr/>
      </vt:variant>
      <vt:variant>
        <vt:lpwstr>_Toc363741117</vt:lpwstr>
      </vt:variant>
      <vt:variant>
        <vt:i4>1441845</vt:i4>
      </vt:variant>
      <vt:variant>
        <vt:i4>803</vt:i4>
      </vt:variant>
      <vt:variant>
        <vt:i4>0</vt:i4>
      </vt:variant>
      <vt:variant>
        <vt:i4>5</vt:i4>
      </vt:variant>
      <vt:variant>
        <vt:lpwstr/>
      </vt:variant>
      <vt:variant>
        <vt:lpwstr>_Toc363741116</vt:lpwstr>
      </vt:variant>
      <vt:variant>
        <vt:i4>1441845</vt:i4>
      </vt:variant>
      <vt:variant>
        <vt:i4>797</vt:i4>
      </vt:variant>
      <vt:variant>
        <vt:i4>0</vt:i4>
      </vt:variant>
      <vt:variant>
        <vt:i4>5</vt:i4>
      </vt:variant>
      <vt:variant>
        <vt:lpwstr/>
      </vt:variant>
      <vt:variant>
        <vt:lpwstr>_Toc363741115</vt:lpwstr>
      </vt:variant>
      <vt:variant>
        <vt:i4>1441845</vt:i4>
      </vt:variant>
      <vt:variant>
        <vt:i4>791</vt:i4>
      </vt:variant>
      <vt:variant>
        <vt:i4>0</vt:i4>
      </vt:variant>
      <vt:variant>
        <vt:i4>5</vt:i4>
      </vt:variant>
      <vt:variant>
        <vt:lpwstr/>
      </vt:variant>
      <vt:variant>
        <vt:lpwstr>_Toc363741114</vt:lpwstr>
      </vt:variant>
      <vt:variant>
        <vt:i4>1441845</vt:i4>
      </vt:variant>
      <vt:variant>
        <vt:i4>785</vt:i4>
      </vt:variant>
      <vt:variant>
        <vt:i4>0</vt:i4>
      </vt:variant>
      <vt:variant>
        <vt:i4>5</vt:i4>
      </vt:variant>
      <vt:variant>
        <vt:lpwstr/>
      </vt:variant>
      <vt:variant>
        <vt:lpwstr>_Toc363741113</vt:lpwstr>
      </vt:variant>
      <vt:variant>
        <vt:i4>1441845</vt:i4>
      </vt:variant>
      <vt:variant>
        <vt:i4>779</vt:i4>
      </vt:variant>
      <vt:variant>
        <vt:i4>0</vt:i4>
      </vt:variant>
      <vt:variant>
        <vt:i4>5</vt:i4>
      </vt:variant>
      <vt:variant>
        <vt:lpwstr/>
      </vt:variant>
      <vt:variant>
        <vt:lpwstr>_Toc363741112</vt:lpwstr>
      </vt:variant>
      <vt:variant>
        <vt:i4>1441845</vt:i4>
      </vt:variant>
      <vt:variant>
        <vt:i4>773</vt:i4>
      </vt:variant>
      <vt:variant>
        <vt:i4>0</vt:i4>
      </vt:variant>
      <vt:variant>
        <vt:i4>5</vt:i4>
      </vt:variant>
      <vt:variant>
        <vt:lpwstr/>
      </vt:variant>
      <vt:variant>
        <vt:lpwstr>_Toc363741111</vt:lpwstr>
      </vt:variant>
      <vt:variant>
        <vt:i4>1441845</vt:i4>
      </vt:variant>
      <vt:variant>
        <vt:i4>767</vt:i4>
      </vt:variant>
      <vt:variant>
        <vt:i4>0</vt:i4>
      </vt:variant>
      <vt:variant>
        <vt:i4>5</vt:i4>
      </vt:variant>
      <vt:variant>
        <vt:lpwstr/>
      </vt:variant>
      <vt:variant>
        <vt:lpwstr>_Toc363741110</vt:lpwstr>
      </vt:variant>
      <vt:variant>
        <vt:i4>1507381</vt:i4>
      </vt:variant>
      <vt:variant>
        <vt:i4>761</vt:i4>
      </vt:variant>
      <vt:variant>
        <vt:i4>0</vt:i4>
      </vt:variant>
      <vt:variant>
        <vt:i4>5</vt:i4>
      </vt:variant>
      <vt:variant>
        <vt:lpwstr/>
      </vt:variant>
      <vt:variant>
        <vt:lpwstr>_Toc363741109</vt:lpwstr>
      </vt:variant>
      <vt:variant>
        <vt:i4>1507381</vt:i4>
      </vt:variant>
      <vt:variant>
        <vt:i4>755</vt:i4>
      </vt:variant>
      <vt:variant>
        <vt:i4>0</vt:i4>
      </vt:variant>
      <vt:variant>
        <vt:i4>5</vt:i4>
      </vt:variant>
      <vt:variant>
        <vt:lpwstr/>
      </vt:variant>
      <vt:variant>
        <vt:lpwstr>_Toc363741108</vt:lpwstr>
      </vt:variant>
      <vt:variant>
        <vt:i4>1507381</vt:i4>
      </vt:variant>
      <vt:variant>
        <vt:i4>749</vt:i4>
      </vt:variant>
      <vt:variant>
        <vt:i4>0</vt:i4>
      </vt:variant>
      <vt:variant>
        <vt:i4>5</vt:i4>
      </vt:variant>
      <vt:variant>
        <vt:lpwstr/>
      </vt:variant>
      <vt:variant>
        <vt:lpwstr>_Toc363741107</vt:lpwstr>
      </vt:variant>
      <vt:variant>
        <vt:i4>1507381</vt:i4>
      </vt:variant>
      <vt:variant>
        <vt:i4>743</vt:i4>
      </vt:variant>
      <vt:variant>
        <vt:i4>0</vt:i4>
      </vt:variant>
      <vt:variant>
        <vt:i4>5</vt:i4>
      </vt:variant>
      <vt:variant>
        <vt:lpwstr/>
      </vt:variant>
      <vt:variant>
        <vt:lpwstr>_Toc363741106</vt:lpwstr>
      </vt:variant>
      <vt:variant>
        <vt:i4>1507381</vt:i4>
      </vt:variant>
      <vt:variant>
        <vt:i4>737</vt:i4>
      </vt:variant>
      <vt:variant>
        <vt:i4>0</vt:i4>
      </vt:variant>
      <vt:variant>
        <vt:i4>5</vt:i4>
      </vt:variant>
      <vt:variant>
        <vt:lpwstr/>
      </vt:variant>
      <vt:variant>
        <vt:lpwstr>_Toc363741105</vt:lpwstr>
      </vt:variant>
      <vt:variant>
        <vt:i4>1507381</vt:i4>
      </vt:variant>
      <vt:variant>
        <vt:i4>731</vt:i4>
      </vt:variant>
      <vt:variant>
        <vt:i4>0</vt:i4>
      </vt:variant>
      <vt:variant>
        <vt:i4>5</vt:i4>
      </vt:variant>
      <vt:variant>
        <vt:lpwstr/>
      </vt:variant>
      <vt:variant>
        <vt:lpwstr>_Toc363741104</vt:lpwstr>
      </vt:variant>
      <vt:variant>
        <vt:i4>1507381</vt:i4>
      </vt:variant>
      <vt:variant>
        <vt:i4>725</vt:i4>
      </vt:variant>
      <vt:variant>
        <vt:i4>0</vt:i4>
      </vt:variant>
      <vt:variant>
        <vt:i4>5</vt:i4>
      </vt:variant>
      <vt:variant>
        <vt:lpwstr/>
      </vt:variant>
      <vt:variant>
        <vt:lpwstr>_Toc363741103</vt:lpwstr>
      </vt:variant>
      <vt:variant>
        <vt:i4>1507381</vt:i4>
      </vt:variant>
      <vt:variant>
        <vt:i4>719</vt:i4>
      </vt:variant>
      <vt:variant>
        <vt:i4>0</vt:i4>
      </vt:variant>
      <vt:variant>
        <vt:i4>5</vt:i4>
      </vt:variant>
      <vt:variant>
        <vt:lpwstr/>
      </vt:variant>
      <vt:variant>
        <vt:lpwstr>_Toc363741102</vt:lpwstr>
      </vt:variant>
      <vt:variant>
        <vt:i4>1507381</vt:i4>
      </vt:variant>
      <vt:variant>
        <vt:i4>713</vt:i4>
      </vt:variant>
      <vt:variant>
        <vt:i4>0</vt:i4>
      </vt:variant>
      <vt:variant>
        <vt:i4>5</vt:i4>
      </vt:variant>
      <vt:variant>
        <vt:lpwstr/>
      </vt:variant>
      <vt:variant>
        <vt:lpwstr>_Toc363741101</vt:lpwstr>
      </vt:variant>
      <vt:variant>
        <vt:i4>1507381</vt:i4>
      </vt:variant>
      <vt:variant>
        <vt:i4>707</vt:i4>
      </vt:variant>
      <vt:variant>
        <vt:i4>0</vt:i4>
      </vt:variant>
      <vt:variant>
        <vt:i4>5</vt:i4>
      </vt:variant>
      <vt:variant>
        <vt:lpwstr/>
      </vt:variant>
      <vt:variant>
        <vt:lpwstr>_Toc363741100</vt:lpwstr>
      </vt:variant>
      <vt:variant>
        <vt:i4>1966132</vt:i4>
      </vt:variant>
      <vt:variant>
        <vt:i4>701</vt:i4>
      </vt:variant>
      <vt:variant>
        <vt:i4>0</vt:i4>
      </vt:variant>
      <vt:variant>
        <vt:i4>5</vt:i4>
      </vt:variant>
      <vt:variant>
        <vt:lpwstr/>
      </vt:variant>
      <vt:variant>
        <vt:lpwstr>_Toc363741099</vt:lpwstr>
      </vt:variant>
      <vt:variant>
        <vt:i4>1966132</vt:i4>
      </vt:variant>
      <vt:variant>
        <vt:i4>695</vt:i4>
      </vt:variant>
      <vt:variant>
        <vt:i4>0</vt:i4>
      </vt:variant>
      <vt:variant>
        <vt:i4>5</vt:i4>
      </vt:variant>
      <vt:variant>
        <vt:lpwstr/>
      </vt:variant>
      <vt:variant>
        <vt:lpwstr>_Toc363741098</vt:lpwstr>
      </vt:variant>
      <vt:variant>
        <vt:i4>1966132</vt:i4>
      </vt:variant>
      <vt:variant>
        <vt:i4>689</vt:i4>
      </vt:variant>
      <vt:variant>
        <vt:i4>0</vt:i4>
      </vt:variant>
      <vt:variant>
        <vt:i4>5</vt:i4>
      </vt:variant>
      <vt:variant>
        <vt:lpwstr/>
      </vt:variant>
      <vt:variant>
        <vt:lpwstr>_Toc363741097</vt:lpwstr>
      </vt:variant>
      <vt:variant>
        <vt:i4>1966132</vt:i4>
      </vt:variant>
      <vt:variant>
        <vt:i4>683</vt:i4>
      </vt:variant>
      <vt:variant>
        <vt:i4>0</vt:i4>
      </vt:variant>
      <vt:variant>
        <vt:i4>5</vt:i4>
      </vt:variant>
      <vt:variant>
        <vt:lpwstr/>
      </vt:variant>
      <vt:variant>
        <vt:lpwstr>_Toc363741096</vt:lpwstr>
      </vt:variant>
      <vt:variant>
        <vt:i4>1966132</vt:i4>
      </vt:variant>
      <vt:variant>
        <vt:i4>677</vt:i4>
      </vt:variant>
      <vt:variant>
        <vt:i4>0</vt:i4>
      </vt:variant>
      <vt:variant>
        <vt:i4>5</vt:i4>
      </vt:variant>
      <vt:variant>
        <vt:lpwstr/>
      </vt:variant>
      <vt:variant>
        <vt:lpwstr>_Toc363741095</vt:lpwstr>
      </vt:variant>
      <vt:variant>
        <vt:i4>1966132</vt:i4>
      </vt:variant>
      <vt:variant>
        <vt:i4>671</vt:i4>
      </vt:variant>
      <vt:variant>
        <vt:i4>0</vt:i4>
      </vt:variant>
      <vt:variant>
        <vt:i4>5</vt:i4>
      </vt:variant>
      <vt:variant>
        <vt:lpwstr/>
      </vt:variant>
      <vt:variant>
        <vt:lpwstr>_Toc363741094</vt:lpwstr>
      </vt:variant>
      <vt:variant>
        <vt:i4>1966132</vt:i4>
      </vt:variant>
      <vt:variant>
        <vt:i4>665</vt:i4>
      </vt:variant>
      <vt:variant>
        <vt:i4>0</vt:i4>
      </vt:variant>
      <vt:variant>
        <vt:i4>5</vt:i4>
      </vt:variant>
      <vt:variant>
        <vt:lpwstr/>
      </vt:variant>
      <vt:variant>
        <vt:lpwstr>_Toc363741093</vt:lpwstr>
      </vt:variant>
      <vt:variant>
        <vt:i4>1966132</vt:i4>
      </vt:variant>
      <vt:variant>
        <vt:i4>659</vt:i4>
      </vt:variant>
      <vt:variant>
        <vt:i4>0</vt:i4>
      </vt:variant>
      <vt:variant>
        <vt:i4>5</vt:i4>
      </vt:variant>
      <vt:variant>
        <vt:lpwstr/>
      </vt:variant>
      <vt:variant>
        <vt:lpwstr>_Toc363741092</vt:lpwstr>
      </vt:variant>
      <vt:variant>
        <vt:i4>1966132</vt:i4>
      </vt:variant>
      <vt:variant>
        <vt:i4>653</vt:i4>
      </vt:variant>
      <vt:variant>
        <vt:i4>0</vt:i4>
      </vt:variant>
      <vt:variant>
        <vt:i4>5</vt:i4>
      </vt:variant>
      <vt:variant>
        <vt:lpwstr/>
      </vt:variant>
      <vt:variant>
        <vt:lpwstr>_Toc363741091</vt:lpwstr>
      </vt:variant>
      <vt:variant>
        <vt:i4>1966132</vt:i4>
      </vt:variant>
      <vt:variant>
        <vt:i4>647</vt:i4>
      </vt:variant>
      <vt:variant>
        <vt:i4>0</vt:i4>
      </vt:variant>
      <vt:variant>
        <vt:i4>5</vt:i4>
      </vt:variant>
      <vt:variant>
        <vt:lpwstr/>
      </vt:variant>
      <vt:variant>
        <vt:lpwstr>_Toc363741090</vt:lpwstr>
      </vt:variant>
      <vt:variant>
        <vt:i4>2031668</vt:i4>
      </vt:variant>
      <vt:variant>
        <vt:i4>641</vt:i4>
      </vt:variant>
      <vt:variant>
        <vt:i4>0</vt:i4>
      </vt:variant>
      <vt:variant>
        <vt:i4>5</vt:i4>
      </vt:variant>
      <vt:variant>
        <vt:lpwstr/>
      </vt:variant>
      <vt:variant>
        <vt:lpwstr>_Toc363741089</vt:lpwstr>
      </vt:variant>
      <vt:variant>
        <vt:i4>2031668</vt:i4>
      </vt:variant>
      <vt:variant>
        <vt:i4>635</vt:i4>
      </vt:variant>
      <vt:variant>
        <vt:i4>0</vt:i4>
      </vt:variant>
      <vt:variant>
        <vt:i4>5</vt:i4>
      </vt:variant>
      <vt:variant>
        <vt:lpwstr/>
      </vt:variant>
      <vt:variant>
        <vt:lpwstr>_Toc363741088</vt:lpwstr>
      </vt:variant>
      <vt:variant>
        <vt:i4>2031668</vt:i4>
      </vt:variant>
      <vt:variant>
        <vt:i4>629</vt:i4>
      </vt:variant>
      <vt:variant>
        <vt:i4>0</vt:i4>
      </vt:variant>
      <vt:variant>
        <vt:i4>5</vt:i4>
      </vt:variant>
      <vt:variant>
        <vt:lpwstr/>
      </vt:variant>
      <vt:variant>
        <vt:lpwstr>_Toc363741087</vt:lpwstr>
      </vt:variant>
      <vt:variant>
        <vt:i4>2031668</vt:i4>
      </vt:variant>
      <vt:variant>
        <vt:i4>623</vt:i4>
      </vt:variant>
      <vt:variant>
        <vt:i4>0</vt:i4>
      </vt:variant>
      <vt:variant>
        <vt:i4>5</vt:i4>
      </vt:variant>
      <vt:variant>
        <vt:lpwstr/>
      </vt:variant>
      <vt:variant>
        <vt:lpwstr>_Toc363741086</vt:lpwstr>
      </vt:variant>
      <vt:variant>
        <vt:i4>2031668</vt:i4>
      </vt:variant>
      <vt:variant>
        <vt:i4>617</vt:i4>
      </vt:variant>
      <vt:variant>
        <vt:i4>0</vt:i4>
      </vt:variant>
      <vt:variant>
        <vt:i4>5</vt:i4>
      </vt:variant>
      <vt:variant>
        <vt:lpwstr/>
      </vt:variant>
      <vt:variant>
        <vt:lpwstr>_Toc363741085</vt:lpwstr>
      </vt:variant>
      <vt:variant>
        <vt:i4>2031668</vt:i4>
      </vt:variant>
      <vt:variant>
        <vt:i4>611</vt:i4>
      </vt:variant>
      <vt:variant>
        <vt:i4>0</vt:i4>
      </vt:variant>
      <vt:variant>
        <vt:i4>5</vt:i4>
      </vt:variant>
      <vt:variant>
        <vt:lpwstr/>
      </vt:variant>
      <vt:variant>
        <vt:lpwstr>_Toc363741084</vt:lpwstr>
      </vt:variant>
      <vt:variant>
        <vt:i4>2031668</vt:i4>
      </vt:variant>
      <vt:variant>
        <vt:i4>605</vt:i4>
      </vt:variant>
      <vt:variant>
        <vt:i4>0</vt:i4>
      </vt:variant>
      <vt:variant>
        <vt:i4>5</vt:i4>
      </vt:variant>
      <vt:variant>
        <vt:lpwstr/>
      </vt:variant>
      <vt:variant>
        <vt:lpwstr>_Toc363741083</vt:lpwstr>
      </vt:variant>
      <vt:variant>
        <vt:i4>2031668</vt:i4>
      </vt:variant>
      <vt:variant>
        <vt:i4>599</vt:i4>
      </vt:variant>
      <vt:variant>
        <vt:i4>0</vt:i4>
      </vt:variant>
      <vt:variant>
        <vt:i4>5</vt:i4>
      </vt:variant>
      <vt:variant>
        <vt:lpwstr/>
      </vt:variant>
      <vt:variant>
        <vt:lpwstr>_Toc363741082</vt:lpwstr>
      </vt:variant>
      <vt:variant>
        <vt:i4>2031668</vt:i4>
      </vt:variant>
      <vt:variant>
        <vt:i4>593</vt:i4>
      </vt:variant>
      <vt:variant>
        <vt:i4>0</vt:i4>
      </vt:variant>
      <vt:variant>
        <vt:i4>5</vt:i4>
      </vt:variant>
      <vt:variant>
        <vt:lpwstr/>
      </vt:variant>
      <vt:variant>
        <vt:lpwstr>_Toc363741081</vt:lpwstr>
      </vt:variant>
      <vt:variant>
        <vt:i4>2031668</vt:i4>
      </vt:variant>
      <vt:variant>
        <vt:i4>587</vt:i4>
      </vt:variant>
      <vt:variant>
        <vt:i4>0</vt:i4>
      </vt:variant>
      <vt:variant>
        <vt:i4>5</vt:i4>
      </vt:variant>
      <vt:variant>
        <vt:lpwstr/>
      </vt:variant>
      <vt:variant>
        <vt:lpwstr>_Toc363741080</vt:lpwstr>
      </vt:variant>
      <vt:variant>
        <vt:i4>1048628</vt:i4>
      </vt:variant>
      <vt:variant>
        <vt:i4>581</vt:i4>
      </vt:variant>
      <vt:variant>
        <vt:i4>0</vt:i4>
      </vt:variant>
      <vt:variant>
        <vt:i4>5</vt:i4>
      </vt:variant>
      <vt:variant>
        <vt:lpwstr/>
      </vt:variant>
      <vt:variant>
        <vt:lpwstr>_Toc363741079</vt:lpwstr>
      </vt:variant>
      <vt:variant>
        <vt:i4>1048628</vt:i4>
      </vt:variant>
      <vt:variant>
        <vt:i4>575</vt:i4>
      </vt:variant>
      <vt:variant>
        <vt:i4>0</vt:i4>
      </vt:variant>
      <vt:variant>
        <vt:i4>5</vt:i4>
      </vt:variant>
      <vt:variant>
        <vt:lpwstr/>
      </vt:variant>
      <vt:variant>
        <vt:lpwstr>_Toc363741078</vt:lpwstr>
      </vt:variant>
      <vt:variant>
        <vt:i4>1048628</vt:i4>
      </vt:variant>
      <vt:variant>
        <vt:i4>569</vt:i4>
      </vt:variant>
      <vt:variant>
        <vt:i4>0</vt:i4>
      </vt:variant>
      <vt:variant>
        <vt:i4>5</vt:i4>
      </vt:variant>
      <vt:variant>
        <vt:lpwstr/>
      </vt:variant>
      <vt:variant>
        <vt:lpwstr>_Toc363741077</vt:lpwstr>
      </vt:variant>
      <vt:variant>
        <vt:i4>1048628</vt:i4>
      </vt:variant>
      <vt:variant>
        <vt:i4>563</vt:i4>
      </vt:variant>
      <vt:variant>
        <vt:i4>0</vt:i4>
      </vt:variant>
      <vt:variant>
        <vt:i4>5</vt:i4>
      </vt:variant>
      <vt:variant>
        <vt:lpwstr/>
      </vt:variant>
      <vt:variant>
        <vt:lpwstr>_Toc363741076</vt:lpwstr>
      </vt:variant>
      <vt:variant>
        <vt:i4>1048628</vt:i4>
      </vt:variant>
      <vt:variant>
        <vt:i4>557</vt:i4>
      </vt:variant>
      <vt:variant>
        <vt:i4>0</vt:i4>
      </vt:variant>
      <vt:variant>
        <vt:i4>5</vt:i4>
      </vt:variant>
      <vt:variant>
        <vt:lpwstr/>
      </vt:variant>
      <vt:variant>
        <vt:lpwstr>_Toc363741075</vt:lpwstr>
      </vt:variant>
      <vt:variant>
        <vt:i4>1048628</vt:i4>
      </vt:variant>
      <vt:variant>
        <vt:i4>551</vt:i4>
      </vt:variant>
      <vt:variant>
        <vt:i4>0</vt:i4>
      </vt:variant>
      <vt:variant>
        <vt:i4>5</vt:i4>
      </vt:variant>
      <vt:variant>
        <vt:lpwstr/>
      </vt:variant>
      <vt:variant>
        <vt:lpwstr>_Toc363741074</vt:lpwstr>
      </vt:variant>
      <vt:variant>
        <vt:i4>1048628</vt:i4>
      </vt:variant>
      <vt:variant>
        <vt:i4>545</vt:i4>
      </vt:variant>
      <vt:variant>
        <vt:i4>0</vt:i4>
      </vt:variant>
      <vt:variant>
        <vt:i4>5</vt:i4>
      </vt:variant>
      <vt:variant>
        <vt:lpwstr/>
      </vt:variant>
      <vt:variant>
        <vt:lpwstr>_Toc363741073</vt:lpwstr>
      </vt:variant>
      <vt:variant>
        <vt:i4>1048628</vt:i4>
      </vt:variant>
      <vt:variant>
        <vt:i4>539</vt:i4>
      </vt:variant>
      <vt:variant>
        <vt:i4>0</vt:i4>
      </vt:variant>
      <vt:variant>
        <vt:i4>5</vt:i4>
      </vt:variant>
      <vt:variant>
        <vt:lpwstr/>
      </vt:variant>
      <vt:variant>
        <vt:lpwstr>_Toc363741072</vt:lpwstr>
      </vt:variant>
      <vt:variant>
        <vt:i4>1048628</vt:i4>
      </vt:variant>
      <vt:variant>
        <vt:i4>533</vt:i4>
      </vt:variant>
      <vt:variant>
        <vt:i4>0</vt:i4>
      </vt:variant>
      <vt:variant>
        <vt:i4>5</vt:i4>
      </vt:variant>
      <vt:variant>
        <vt:lpwstr/>
      </vt:variant>
      <vt:variant>
        <vt:lpwstr>_Toc363741071</vt:lpwstr>
      </vt:variant>
      <vt:variant>
        <vt:i4>1048628</vt:i4>
      </vt:variant>
      <vt:variant>
        <vt:i4>527</vt:i4>
      </vt:variant>
      <vt:variant>
        <vt:i4>0</vt:i4>
      </vt:variant>
      <vt:variant>
        <vt:i4>5</vt:i4>
      </vt:variant>
      <vt:variant>
        <vt:lpwstr/>
      </vt:variant>
      <vt:variant>
        <vt:lpwstr>_Toc363741070</vt:lpwstr>
      </vt:variant>
      <vt:variant>
        <vt:i4>1114164</vt:i4>
      </vt:variant>
      <vt:variant>
        <vt:i4>521</vt:i4>
      </vt:variant>
      <vt:variant>
        <vt:i4>0</vt:i4>
      </vt:variant>
      <vt:variant>
        <vt:i4>5</vt:i4>
      </vt:variant>
      <vt:variant>
        <vt:lpwstr/>
      </vt:variant>
      <vt:variant>
        <vt:lpwstr>_Toc363741069</vt:lpwstr>
      </vt:variant>
      <vt:variant>
        <vt:i4>1114164</vt:i4>
      </vt:variant>
      <vt:variant>
        <vt:i4>515</vt:i4>
      </vt:variant>
      <vt:variant>
        <vt:i4>0</vt:i4>
      </vt:variant>
      <vt:variant>
        <vt:i4>5</vt:i4>
      </vt:variant>
      <vt:variant>
        <vt:lpwstr/>
      </vt:variant>
      <vt:variant>
        <vt:lpwstr>_Toc363741068</vt:lpwstr>
      </vt:variant>
      <vt:variant>
        <vt:i4>1114164</vt:i4>
      </vt:variant>
      <vt:variant>
        <vt:i4>509</vt:i4>
      </vt:variant>
      <vt:variant>
        <vt:i4>0</vt:i4>
      </vt:variant>
      <vt:variant>
        <vt:i4>5</vt:i4>
      </vt:variant>
      <vt:variant>
        <vt:lpwstr/>
      </vt:variant>
      <vt:variant>
        <vt:lpwstr>_Toc363741067</vt:lpwstr>
      </vt:variant>
      <vt:variant>
        <vt:i4>1114164</vt:i4>
      </vt:variant>
      <vt:variant>
        <vt:i4>503</vt:i4>
      </vt:variant>
      <vt:variant>
        <vt:i4>0</vt:i4>
      </vt:variant>
      <vt:variant>
        <vt:i4>5</vt:i4>
      </vt:variant>
      <vt:variant>
        <vt:lpwstr/>
      </vt:variant>
      <vt:variant>
        <vt:lpwstr>_Toc363741066</vt:lpwstr>
      </vt:variant>
      <vt:variant>
        <vt:i4>1114164</vt:i4>
      </vt:variant>
      <vt:variant>
        <vt:i4>497</vt:i4>
      </vt:variant>
      <vt:variant>
        <vt:i4>0</vt:i4>
      </vt:variant>
      <vt:variant>
        <vt:i4>5</vt:i4>
      </vt:variant>
      <vt:variant>
        <vt:lpwstr/>
      </vt:variant>
      <vt:variant>
        <vt:lpwstr>_Toc363741065</vt:lpwstr>
      </vt:variant>
      <vt:variant>
        <vt:i4>1114164</vt:i4>
      </vt:variant>
      <vt:variant>
        <vt:i4>491</vt:i4>
      </vt:variant>
      <vt:variant>
        <vt:i4>0</vt:i4>
      </vt:variant>
      <vt:variant>
        <vt:i4>5</vt:i4>
      </vt:variant>
      <vt:variant>
        <vt:lpwstr/>
      </vt:variant>
      <vt:variant>
        <vt:lpwstr>_Toc363741064</vt:lpwstr>
      </vt:variant>
      <vt:variant>
        <vt:i4>1114164</vt:i4>
      </vt:variant>
      <vt:variant>
        <vt:i4>485</vt:i4>
      </vt:variant>
      <vt:variant>
        <vt:i4>0</vt:i4>
      </vt:variant>
      <vt:variant>
        <vt:i4>5</vt:i4>
      </vt:variant>
      <vt:variant>
        <vt:lpwstr/>
      </vt:variant>
      <vt:variant>
        <vt:lpwstr>_Toc363741063</vt:lpwstr>
      </vt:variant>
      <vt:variant>
        <vt:i4>1114164</vt:i4>
      </vt:variant>
      <vt:variant>
        <vt:i4>479</vt:i4>
      </vt:variant>
      <vt:variant>
        <vt:i4>0</vt:i4>
      </vt:variant>
      <vt:variant>
        <vt:i4>5</vt:i4>
      </vt:variant>
      <vt:variant>
        <vt:lpwstr/>
      </vt:variant>
      <vt:variant>
        <vt:lpwstr>_Toc363741062</vt:lpwstr>
      </vt:variant>
      <vt:variant>
        <vt:i4>1114164</vt:i4>
      </vt:variant>
      <vt:variant>
        <vt:i4>473</vt:i4>
      </vt:variant>
      <vt:variant>
        <vt:i4>0</vt:i4>
      </vt:variant>
      <vt:variant>
        <vt:i4>5</vt:i4>
      </vt:variant>
      <vt:variant>
        <vt:lpwstr/>
      </vt:variant>
      <vt:variant>
        <vt:lpwstr>_Toc363741061</vt:lpwstr>
      </vt:variant>
      <vt:variant>
        <vt:i4>1114164</vt:i4>
      </vt:variant>
      <vt:variant>
        <vt:i4>467</vt:i4>
      </vt:variant>
      <vt:variant>
        <vt:i4>0</vt:i4>
      </vt:variant>
      <vt:variant>
        <vt:i4>5</vt:i4>
      </vt:variant>
      <vt:variant>
        <vt:lpwstr/>
      </vt:variant>
      <vt:variant>
        <vt:lpwstr>_Toc363741060</vt:lpwstr>
      </vt:variant>
      <vt:variant>
        <vt:i4>1179700</vt:i4>
      </vt:variant>
      <vt:variant>
        <vt:i4>461</vt:i4>
      </vt:variant>
      <vt:variant>
        <vt:i4>0</vt:i4>
      </vt:variant>
      <vt:variant>
        <vt:i4>5</vt:i4>
      </vt:variant>
      <vt:variant>
        <vt:lpwstr/>
      </vt:variant>
      <vt:variant>
        <vt:lpwstr>_Toc363741059</vt:lpwstr>
      </vt:variant>
      <vt:variant>
        <vt:i4>1179700</vt:i4>
      </vt:variant>
      <vt:variant>
        <vt:i4>455</vt:i4>
      </vt:variant>
      <vt:variant>
        <vt:i4>0</vt:i4>
      </vt:variant>
      <vt:variant>
        <vt:i4>5</vt:i4>
      </vt:variant>
      <vt:variant>
        <vt:lpwstr/>
      </vt:variant>
      <vt:variant>
        <vt:lpwstr>_Toc363741058</vt:lpwstr>
      </vt:variant>
      <vt:variant>
        <vt:i4>1179700</vt:i4>
      </vt:variant>
      <vt:variant>
        <vt:i4>449</vt:i4>
      </vt:variant>
      <vt:variant>
        <vt:i4>0</vt:i4>
      </vt:variant>
      <vt:variant>
        <vt:i4>5</vt:i4>
      </vt:variant>
      <vt:variant>
        <vt:lpwstr/>
      </vt:variant>
      <vt:variant>
        <vt:lpwstr>_Toc363741057</vt:lpwstr>
      </vt:variant>
      <vt:variant>
        <vt:i4>1179700</vt:i4>
      </vt:variant>
      <vt:variant>
        <vt:i4>443</vt:i4>
      </vt:variant>
      <vt:variant>
        <vt:i4>0</vt:i4>
      </vt:variant>
      <vt:variant>
        <vt:i4>5</vt:i4>
      </vt:variant>
      <vt:variant>
        <vt:lpwstr/>
      </vt:variant>
      <vt:variant>
        <vt:lpwstr>_Toc363741056</vt:lpwstr>
      </vt:variant>
      <vt:variant>
        <vt:i4>1179700</vt:i4>
      </vt:variant>
      <vt:variant>
        <vt:i4>437</vt:i4>
      </vt:variant>
      <vt:variant>
        <vt:i4>0</vt:i4>
      </vt:variant>
      <vt:variant>
        <vt:i4>5</vt:i4>
      </vt:variant>
      <vt:variant>
        <vt:lpwstr/>
      </vt:variant>
      <vt:variant>
        <vt:lpwstr>_Toc363741055</vt:lpwstr>
      </vt:variant>
      <vt:variant>
        <vt:i4>1179700</vt:i4>
      </vt:variant>
      <vt:variant>
        <vt:i4>431</vt:i4>
      </vt:variant>
      <vt:variant>
        <vt:i4>0</vt:i4>
      </vt:variant>
      <vt:variant>
        <vt:i4>5</vt:i4>
      </vt:variant>
      <vt:variant>
        <vt:lpwstr/>
      </vt:variant>
      <vt:variant>
        <vt:lpwstr>_Toc363741054</vt:lpwstr>
      </vt:variant>
      <vt:variant>
        <vt:i4>1179700</vt:i4>
      </vt:variant>
      <vt:variant>
        <vt:i4>425</vt:i4>
      </vt:variant>
      <vt:variant>
        <vt:i4>0</vt:i4>
      </vt:variant>
      <vt:variant>
        <vt:i4>5</vt:i4>
      </vt:variant>
      <vt:variant>
        <vt:lpwstr/>
      </vt:variant>
      <vt:variant>
        <vt:lpwstr>_Toc363741053</vt:lpwstr>
      </vt:variant>
      <vt:variant>
        <vt:i4>1179700</vt:i4>
      </vt:variant>
      <vt:variant>
        <vt:i4>419</vt:i4>
      </vt:variant>
      <vt:variant>
        <vt:i4>0</vt:i4>
      </vt:variant>
      <vt:variant>
        <vt:i4>5</vt:i4>
      </vt:variant>
      <vt:variant>
        <vt:lpwstr/>
      </vt:variant>
      <vt:variant>
        <vt:lpwstr>_Toc363741052</vt:lpwstr>
      </vt:variant>
      <vt:variant>
        <vt:i4>1179700</vt:i4>
      </vt:variant>
      <vt:variant>
        <vt:i4>413</vt:i4>
      </vt:variant>
      <vt:variant>
        <vt:i4>0</vt:i4>
      </vt:variant>
      <vt:variant>
        <vt:i4>5</vt:i4>
      </vt:variant>
      <vt:variant>
        <vt:lpwstr/>
      </vt:variant>
      <vt:variant>
        <vt:lpwstr>_Toc363741051</vt:lpwstr>
      </vt:variant>
      <vt:variant>
        <vt:i4>1179700</vt:i4>
      </vt:variant>
      <vt:variant>
        <vt:i4>407</vt:i4>
      </vt:variant>
      <vt:variant>
        <vt:i4>0</vt:i4>
      </vt:variant>
      <vt:variant>
        <vt:i4>5</vt:i4>
      </vt:variant>
      <vt:variant>
        <vt:lpwstr/>
      </vt:variant>
      <vt:variant>
        <vt:lpwstr>_Toc363741050</vt:lpwstr>
      </vt:variant>
      <vt:variant>
        <vt:i4>1245236</vt:i4>
      </vt:variant>
      <vt:variant>
        <vt:i4>401</vt:i4>
      </vt:variant>
      <vt:variant>
        <vt:i4>0</vt:i4>
      </vt:variant>
      <vt:variant>
        <vt:i4>5</vt:i4>
      </vt:variant>
      <vt:variant>
        <vt:lpwstr/>
      </vt:variant>
      <vt:variant>
        <vt:lpwstr>_Toc363741049</vt:lpwstr>
      </vt:variant>
      <vt:variant>
        <vt:i4>1245236</vt:i4>
      </vt:variant>
      <vt:variant>
        <vt:i4>395</vt:i4>
      </vt:variant>
      <vt:variant>
        <vt:i4>0</vt:i4>
      </vt:variant>
      <vt:variant>
        <vt:i4>5</vt:i4>
      </vt:variant>
      <vt:variant>
        <vt:lpwstr/>
      </vt:variant>
      <vt:variant>
        <vt:lpwstr>_Toc363741048</vt:lpwstr>
      </vt:variant>
      <vt:variant>
        <vt:i4>1245236</vt:i4>
      </vt:variant>
      <vt:variant>
        <vt:i4>389</vt:i4>
      </vt:variant>
      <vt:variant>
        <vt:i4>0</vt:i4>
      </vt:variant>
      <vt:variant>
        <vt:i4>5</vt:i4>
      </vt:variant>
      <vt:variant>
        <vt:lpwstr/>
      </vt:variant>
      <vt:variant>
        <vt:lpwstr>_Toc363741047</vt:lpwstr>
      </vt:variant>
      <vt:variant>
        <vt:i4>1245236</vt:i4>
      </vt:variant>
      <vt:variant>
        <vt:i4>383</vt:i4>
      </vt:variant>
      <vt:variant>
        <vt:i4>0</vt:i4>
      </vt:variant>
      <vt:variant>
        <vt:i4>5</vt:i4>
      </vt:variant>
      <vt:variant>
        <vt:lpwstr/>
      </vt:variant>
      <vt:variant>
        <vt:lpwstr>_Toc363741046</vt:lpwstr>
      </vt:variant>
      <vt:variant>
        <vt:i4>1245236</vt:i4>
      </vt:variant>
      <vt:variant>
        <vt:i4>377</vt:i4>
      </vt:variant>
      <vt:variant>
        <vt:i4>0</vt:i4>
      </vt:variant>
      <vt:variant>
        <vt:i4>5</vt:i4>
      </vt:variant>
      <vt:variant>
        <vt:lpwstr/>
      </vt:variant>
      <vt:variant>
        <vt:lpwstr>_Toc363741045</vt:lpwstr>
      </vt:variant>
      <vt:variant>
        <vt:i4>1245236</vt:i4>
      </vt:variant>
      <vt:variant>
        <vt:i4>371</vt:i4>
      </vt:variant>
      <vt:variant>
        <vt:i4>0</vt:i4>
      </vt:variant>
      <vt:variant>
        <vt:i4>5</vt:i4>
      </vt:variant>
      <vt:variant>
        <vt:lpwstr/>
      </vt:variant>
      <vt:variant>
        <vt:lpwstr>_Toc363741044</vt:lpwstr>
      </vt:variant>
      <vt:variant>
        <vt:i4>1245236</vt:i4>
      </vt:variant>
      <vt:variant>
        <vt:i4>365</vt:i4>
      </vt:variant>
      <vt:variant>
        <vt:i4>0</vt:i4>
      </vt:variant>
      <vt:variant>
        <vt:i4>5</vt:i4>
      </vt:variant>
      <vt:variant>
        <vt:lpwstr/>
      </vt:variant>
      <vt:variant>
        <vt:lpwstr>_Toc363741043</vt:lpwstr>
      </vt:variant>
      <vt:variant>
        <vt:i4>1245236</vt:i4>
      </vt:variant>
      <vt:variant>
        <vt:i4>359</vt:i4>
      </vt:variant>
      <vt:variant>
        <vt:i4>0</vt:i4>
      </vt:variant>
      <vt:variant>
        <vt:i4>5</vt:i4>
      </vt:variant>
      <vt:variant>
        <vt:lpwstr/>
      </vt:variant>
      <vt:variant>
        <vt:lpwstr>_Toc363741042</vt:lpwstr>
      </vt:variant>
      <vt:variant>
        <vt:i4>1245236</vt:i4>
      </vt:variant>
      <vt:variant>
        <vt:i4>353</vt:i4>
      </vt:variant>
      <vt:variant>
        <vt:i4>0</vt:i4>
      </vt:variant>
      <vt:variant>
        <vt:i4>5</vt:i4>
      </vt:variant>
      <vt:variant>
        <vt:lpwstr/>
      </vt:variant>
      <vt:variant>
        <vt:lpwstr>_Toc363741041</vt:lpwstr>
      </vt:variant>
      <vt:variant>
        <vt:i4>1245236</vt:i4>
      </vt:variant>
      <vt:variant>
        <vt:i4>347</vt:i4>
      </vt:variant>
      <vt:variant>
        <vt:i4>0</vt:i4>
      </vt:variant>
      <vt:variant>
        <vt:i4>5</vt:i4>
      </vt:variant>
      <vt:variant>
        <vt:lpwstr/>
      </vt:variant>
      <vt:variant>
        <vt:lpwstr>_Toc363741040</vt:lpwstr>
      </vt:variant>
      <vt:variant>
        <vt:i4>1310772</vt:i4>
      </vt:variant>
      <vt:variant>
        <vt:i4>341</vt:i4>
      </vt:variant>
      <vt:variant>
        <vt:i4>0</vt:i4>
      </vt:variant>
      <vt:variant>
        <vt:i4>5</vt:i4>
      </vt:variant>
      <vt:variant>
        <vt:lpwstr/>
      </vt:variant>
      <vt:variant>
        <vt:lpwstr>_Toc363741039</vt:lpwstr>
      </vt:variant>
      <vt:variant>
        <vt:i4>1310772</vt:i4>
      </vt:variant>
      <vt:variant>
        <vt:i4>335</vt:i4>
      </vt:variant>
      <vt:variant>
        <vt:i4>0</vt:i4>
      </vt:variant>
      <vt:variant>
        <vt:i4>5</vt:i4>
      </vt:variant>
      <vt:variant>
        <vt:lpwstr/>
      </vt:variant>
      <vt:variant>
        <vt:lpwstr>_Toc363741038</vt:lpwstr>
      </vt:variant>
      <vt:variant>
        <vt:i4>1310772</vt:i4>
      </vt:variant>
      <vt:variant>
        <vt:i4>329</vt:i4>
      </vt:variant>
      <vt:variant>
        <vt:i4>0</vt:i4>
      </vt:variant>
      <vt:variant>
        <vt:i4>5</vt:i4>
      </vt:variant>
      <vt:variant>
        <vt:lpwstr/>
      </vt:variant>
      <vt:variant>
        <vt:lpwstr>_Toc363741037</vt:lpwstr>
      </vt:variant>
      <vt:variant>
        <vt:i4>1310772</vt:i4>
      </vt:variant>
      <vt:variant>
        <vt:i4>323</vt:i4>
      </vt:variant>
      <vt:variant>
        <vt:i4>0</vt:i4>
      </vt:variant>
      <vt:variant>
        <vt:i4>5</vt:i4>
      </vt:variant>
      <vt:variant>
        <vt:lpwstr/>
      </vt:variant>
      <vt:variant>
        <vt:lpwstr>_Toc363741036</vt:lpwstr>
      </vt:variant>
      <vt:variant>
        <vt:i4>1179704</vt:i4>
      </vt:variant>
      <vt:variant>
        <vt:i4>314</vt:i4>
      </vt:variant>
      <vt:variant>
        <vt:i4>0</vt:i4>
      </vt:variant>
      <vt:variant>
        <vt:i4>5</vt:i4>
      </vt:variant>
      <vt:variant>
        <vt:lpwstr/>
      </vt:variant>
      <vt:variant>
        <vt:lpwstr>_Toc369100220</vt:lpwstr>
      </vt:variant>
      <vt:variant>
        <vt:i4>1114168</vt:i4>
      </vt:variant>
      <vt:variant>
        <vt:i4>308</vt:i4>
      </vt:variant>
      <vt:variant>
        <vt:i4>0</vt:i4>
      </vt:variant>
      <vt:variant>
        <vt:i4>5</vt:i4>
      </vt:variant>
      <vt:variant>
        <vt:lpwstr/>
      </vt:variant>
      <vt:variant>
        <vt:lpwstr>_Toc369100219</vt:lpwstr>
      </vt:variant>
      <vt:variant>
        <vt:i4>1114168</vt:i4>
      </vt:variant>
      <vt:variant>
        <vt:i4>302</vt:i4>
      </vt:variant>
      <vt:variant>
        <vt:i4>0</vt:i4>
      </vt:variant>
      <vt:variant>
        <vt:i4>5</vt:i4>
      </vt:variant>
      <vt:variant>
        <vt:lpwstr/>
      </vt:variant>
      <vt:variant>
        <vt:lpwstr>_Toc369100218</vt:lpwstr>
      </vt:variant>
      <vt:variant>
        <vt:i4>1114168</vt:i4>
      </vt:variant>
      <vt:variant>
        <vt:i4>296</vt:i4>
      </vt:variant>
      <vt:variant>
        <vt:i4>0</vt:i4>
      </vt:variant>
      <vt:variant>
        <vt:i4>5</vt:i4>
      </vt:variant>
      <vt:variant>
        <vt:lpwstr/>
      </vt:variant>
      <vt:variant>
        <vt:lpwstr>_Toc369100217</vt:lpwstr>
      </vt:variant>
      <vt:variant>
        <vt:i4>1114168</vt:i4>
      </vt:variant>
      <vt:variant>
        <vt:i4>290</vt:i4>
      </vt:variant>
      <vt:variant>
        <vt:i4>0</vt:i4>
      </vt:variant>
      <vt:variant>
        <vt:i4>5</vt:i4>
      </vt:variant>
      <vt:variant>
        <vt:lpwstr/>
      </vt:variant>
      <vt:variant>
        <vt:lpwstr>_Toc369100216</vt:lpwstr>
      </vt:variant>
      <vt:variant>
        <vt:i4>1114168</vt:i4>
      </vt:variant>
      <vt:variant>
        <vt:i4>284</vt:i4>
      </vt:variant>
      <vt:variant>
        <vt:i4>0</vt:i4>
      </vt:variant>
      <vt:variant>
        <vt:i4>5</vt:i4>
      </vt:variant>
      <vt:variant>
        <vt:lpwstr/>
      </vt:variant>
      <vt:variant>
        <vt:lpwstr>_Toc369100215</vt:lpwstr>
      </vt:variant>
      <vt:variant>
        <vt:i4>1114168</vt:i4>
      </vt:variant>
      <vt:variant>
        <vt:i4>278</vt:i4>
      </vt:variant>
      <vt:variant>
        <vt:i4>0</vt:i4>
      </vt:variant>
      <vt:variant>
        <vt:i4>5</vt:i4>
      </vt:variant>
      <vt:variant>
        <vt:lpwstr/>
      </vt:variant>
      <vt:variant>
        <vt:lpwstr>_Toc369100214</vt:lpwstr>
      </vt:variant>
      <vt:variant>
        <vt:i4>1114168</vt:i4>
      </vt:variant>
      <vt:variant>
        <vt:i4>272</vt:i4>
      </vt:variant>
      <vt:variant>
        <vt:i4>0</vt:i4>
      </vt:variant>
      <vt:variant>
        <vt:i4>5</vt:i4>
      </vt:variant>
      <vt:variant>
        <vt:lpwstr/>
      </vt:variant>
      <vt:variant>
        <vt:lpwstr>_Toc369100213</vt:lpwstr>
      </vt:variant>
      <vt:variant>
        <vt:i4>1114168</vt:i4>
      </vt:variant>
      <vt:variant>
        <vt:i4>266</vt:i4>
      </vt:variant>
      <vt:variant>
        <vt:i4>0</vt:i4>
      </vt:variant>
      <vt:variant>
        <vt:i4>5</vt:i4>
      </vt:variant>
      <vt:variant>
        <vt:lpwstr/>
      </vt:variant>
      <vt:variant>
        <vt:lpwstr>_Toc369100212</vt:lpwstr>
      </vt:variant>
      <vt:variant>
        <vt:i4>1114168</vt:i4>
      </vt:variant>
      <vt:variant>
        <vt:i4>260</vt:i4>
      </vt:variant>
      <vt:variant>
        <vt:i4>0</vt:i4>
      </vt:variant>
      <vt:variant>
        <vt:i4>5</vt:i4>
      </vt:variant>
      <vt:variant>
        <vt:lpwstr/>
      </vt:variant>
      <vt:variant>
        <vt:lpwstr>_Toc369100211</vt:lpwstr>
      </vt:variant>
      <vt:variant>
        <vt:i4>1114168</vt:i4>
      </vt:variant>
      <vt:variant>
        <vt:i4>254</vt:i4>
      </vt:variant>
      <vt:variant>
        <vt:i4>0</vt:i4>
      </vt:variant>
      <vt:variant>
        <vt:i4>5</vt:i4>
      </vt:variant>
      <vt:variant>
        <vt:lpwstr/>
      </vt:variant>
      <vt:variant>
        <vt:lpwstr>_Toc369100210</vt:lpwstr>
      </vt:variant>
      <vt:variant>
        <vt:i4>1048632</vt:i4>
      </vt:variant>
      <vt:variant>
        <vt:i4>248</vt:i4>
      </vt:variant>
      <vt:variant>
        <vt:i4>0</vt:i4>
      </vt:variant>
      <vt:variant>
        <vt:i4>5</vt:i4>
      </vt:variant>
      <vt:variant>
        <vt:lpwstr/>
      </vt:variant>
      <vt:variant>
        <vt:lpwstr>_Toc369100209</vt:lpwstr>
      </vt:variant>
      <vt:variant>
        <vt:i4>1048632</vt:i4>
      </vt:variant>
      <vt:variant>
        <vt:i4>242</vt:i4>
      </vt:variant>
      <vt:variant>
        <vt:i4>0</vt:i4>
      </vt:variant>
      <vt:variant>
        <vt:i4>5</vt:i4>
      </vt:variant>
      <vt:variant>
        <vt:lpwstr/>
      </vt:variant>
      <vt:variant>
        <vt:lpwstr>_Toc369100208</vt:lpwstr>
      </vt:variant>
      <vt:variant>
        <vt:i4>1048632</vt:i4>
      </vt:variant>
      <vt:variant>
        <vt:i4>236</vt:i4>
      </vt:variant>
      <vt:variant>
        <vt:i4>0</vt:i4>
      </vt:variant>
      <vt:variant>
        <vt:i4>5</vt:i4>
      </vt:variant>
      <vt:variant>
        <vt:lpwstr/>
      </vt:variant>
      <vt:variant>
        <vt:lpwstr>_Toc369100207</vt:lpwstr>
      </vt:variant>
      <vt:variant>
        <vt:i4>1048632</vt:i4>
      </vt:variant>
      <vt:variant>
        <vt:i4>230</vt:i4>
      </vt:variant>
      <vt:variant>
        <vt:i4>0</vt:i4>
      </vt:variant>
      <vt:variant>
        <vt:i4>5</vt:i4>
      </vt:variant>
      <vt:variant>
        <vt:lpwstr/>
      </vt:variant>
      <vt:variant>
        <vt:lpwstr>_Toc369100206</vt:lpwstr>
      </vt:variant>
      <vt:variant>
        <vt:i4>1048632</vt:i4>
      </vt:variant>
      <vt:variant>
        <vt:i4>224</vt:i4>
      </vt:variant>
      <vt:variant>
        <vt:i4>0</vt:i4>
      </vt:variant>
      <vt:variant>
        <vt:i4>5</vt:i4>
      </vt:variant>
      <vt:variant>
        <vt:lpwstr/>
      </vt:variant>
      <vt:variant>
        <vt:lpwstr>_Toc369100205</vt:lpwstr>
      </vt:variant>
      <vt:variant>
        <vt:i4>1048632</vt:i4>
      </vt:variant>
      <vt:variant>
        <vt:i4>218</vt:i4>
      </vt:variant>
      <vt:variant>
        <vt:i4>0</vt:i4>
      </vt:variant>
      <vt:variant>
        <vt:i4>5</vt:i4>
      </vt:variant>
      <vt:variant>
        <vt:lpwstr/>
      </vt:variant>
      <vt:variant>
        <vt:lpwstr>_Toc369100204</vt:lpwstr>
      </vt:variant>
      <vt:variant>
        <vt:i4>1048632</vt:i4>
      </vt:variant>
      <vt:variant>
        <vt:i4>212</vt:i4>
      </vt:variant>
      <vt:variant>
        <vt:i4>0</vt:i4>
      </vt:variant>
      <vt:variant>
        <vt:i4>5</vt:i4>
      </vt:variant>
      <vt:variant>
        <vt:lpwstr/>
      </vt:variant>
      <vt:variant>
        <vt:lpwstr>_Toc369100203</vt:lpwstr>
      </vt:variant>
      <vt:variant>
        <vt:i4>1048632</vt:i4>
      </vt:variant>
      <vt:variant>
        <vt:i4>206</vt:i4>
      </vt:variant>
      <vt:variant>
        <vt:i4>0</vt:i4>
      </vt:variant>
      <vt:variant>
        <vt:i4>5</vt:i4>
      </vt:variant>
      <vt:variant>
        <vt:lpwstr/>
      </vt:variant>
      <vt:variant>
        <vt:lpwstr>_Toc369100202</vt:lpwstr>
      </vt:variant>
      <vt:variant>
        <vt:i4>1048632</vt:i4>
      </vt:variant>
      <vt:variant>
        <vt:i4>200</vt:i4>
      </vt:variant>
      <vt:variant>
        <vt:i4>0</vt:i4>
      </vt:variant>
      <vt:variant>
        <vt:i4>5</vt:i4>
      </vt:variant>
      <vt:variant>
        <vt:lpwstr/>
      </vt:variant>
      <vt:variant>
        <vt:lpwstr>_Toc369100201</vt:lpwstr>
      </vt:variant>
      <vt:variant>
        <vt:i4>1048632</vt:i4>
      </vt:variant>
      <vt:variant>
        <vt:i4>194</vt:i4>
      </vt:variant>
      <vt:variant>
        <vt:i4>0</vt:i4>
      </vt:variant>
      <vt:variant>
        <vt:i4>5</vt:i4>
      </vt:variant>
      <vt:variant>
        <vt:lpwstr/>
      </vt:variant>
      <vt:variant>
        <vt:lpwstr>_Toc369100200</vt:lpwstr>
      </vt:variant>
      <vt:variant>
        <vt:i4>1638459</vt:i4>
      </vt:variant>
      <vt:variant>
        <vt:i4>188</vt:i4>
      </vt:variant>
      <vt:variant>
        <vt:i4>0</vt:i4>
      </vt:variant>
      <vt:variant>
        <vt:i4>5</vt:i4>
      </vt:variant>
      <vt:variant>
        <vt:lpwstr/>
      </vt:variant>
      <vt:variant>
        <vt:lpwstr>_Toc369100199</vt:lpwstr>
      </vt:variant>
      <vt:variant>
        <vt:i4>1638459</vt:i4>
      </vt:variant>
      <vt:variant>
        <vt:i4>182</vt:i4>
      </vt:variant>
      <vt:variant>
        <vt:i4>0</vt:i4>
      </vt:variant>
      <vt:variant>
        <vt:i4>5</vt:i4>
      </vt:variant>
      <vt:variant>
        <vt:lpwstr/>
      </vt:variant>
      <vt:variant>
        <vt:lpwstr>_Toc369100198</vt:lpwstr>
      </vt:variant>
      <vt:variant>
        <vt:i4>1638459</vt:i4>
      </vt:variant>
      <vt:variant>
        <vt:i4>176</vt:i4>
      </vt:variant>
      <vt:variant>
        <vt:i4>0</vt:i4>
      </vt:variant>
      <vt:variant>
        <vt:i4>5</vt:i4>
      </vt:variant>
      <vt:variant>
        <vt:lpwstr/>
      </vt:variant>
      <vt:variant>
        <vt:lpwstr>_Toc369100197</vt:lpwstr>
      </vt:variant>
      <vt:variant>
        <vt:i4>1638459</vt:i4>
      </vt:variant>
      <vt:variant>
        <vt:i4>170</vt:i4>
      </vt:variant>
      <vt:variant>
        <vt:i4>0</vt:i4>
      </vt:variant>
      <vt:variant>
        <vt:i4>5</vt:i4>
      </vt:variant>
      <vt:variant>
        <vt:lpwstr/>
      </vt:variant>
      <vt:variant>
        <vt:lpwstr>_Toc369100196</vt:lpwstr>
      </vt:variant>
      <vt:variant>
        <vt:i4>1638459</vt:i4>
      </vt:variant>
      <vt:variant>
        <vt:i4>164</vt:i4>
      </vt:variant>
      <vt:variant>
        <vt:i4>0</vt:i4>
      </vt:variant>
      <vt:variant>
        <vt:i4>5</vt:i4>
      </vt:variant>
      <vt:variant>
        <vt:lpwstr/>
      </vt:variant>
      <vt:variant>
        <vt:lpwstr>_Toc369100195</vt:lpwstr>
      </vt:variant>
      <vt:variant>
        <vt:i4>1638459</vt:i4>
      </vt:variant>
      <vt:variant>
        <vt:i4>158</vt:i4>
      </vt:variant>
      <vt:variant>
        <vt:i4>0</vt:i4>
      </vt:variant>
      <vt:variant>
        <vt:i4>5</vt:i4>
      </vt:variant>
      <vt:variant>
        <vt:lpwstr/>
      </vt:variant>
      <vt:variant>
        <vt:lpwstr>_Toc369100194</vt:lpwstr>
      </vt:variant>
      <vt:variant>
        <vt:i4>1638459</vt:i4>
      </vt:variant>
      <vt:variant>
        <vt:i4>152</vt:i4>
      </vt:variant>
      <vt:variant>
        <vt:i4>0</vt:i4>
      </vt:variant>
      <vt:variant>
        <vt:i4>5</vt:i4>
      </vt:variant>
      <vt:variant>
        <vt:lpwstr/>
      </vt:variant>
      <vt:variant>
        <vt:lpwstr>_Toc369100193</vt:lpwstr>
      </vt:variant>
      <vt:variant>
        <vt:i4>1638459</vt:i4>
      </vt:variant>
      <vt:variant>
        <vt:i4>146</vt:i4>
      </vt:variant>
      <vt:variant>
        <vt:i4>0</vt:i4>
      </vt:variant>
      <vt:variant>
        <vt:i4>5</vt:i4>
      </vt:variant>
      <vt:variant>
        <vt:lpwstr/>
      </vt:variant>
      <vt:variant>
        <vt:lpwstr>_Toc369100192</vt:lpwstr>
      </vt:variant>
      <vt:variant>
        <vt:i4>1638459</vt:i4>
      </vt:variant>
      <vt:variant>
        <vt:i4>140</vt:i4>
      </vt:variant>
      <vt:variant>
        <vt:i4>0</vt:i4>
      </vt:variant>
      <vt:variant>
        <vt:i4>5</vt:i4>
      </vt:variant>
      <vt:variant>
        <vt:lpwstr/>
      </vt:variant>
      <vt:variant>
        <vt:lpwstr>_Toc369100191</vt:lpwstr>
      </vt:variant>
      <vt:variant>
        <vt:i4>1638459</vt:i4>
      </vt:variant>
      <vt:variant>
        <vt:i4>134</vt:i4>
      </vt:variant>
      <vt:variant>
        <vt:i4>0</vt:i4>
      </vt:variant>
      <vt:variant>
        <vt:i4>5</vt:i4>
      </vt:variant>
      <vt:variant>
        <vt:lpwstr/>
      </vt:variant>
      <vt:variant>
        <vt:lpwstr>_Toc369100190</vt:lpwstr>
      </vt:variant>
      <vt:variant>
        <vt:i4>1572923</vt:i4>
      </vt:variant>
      <vt:variant>
        <vt:i4>128</vt:i4>
      </vt:variant>
      <vt:variant>
        <vt:i4>0</vt:i4>
      </vt:variant>
      <vt:variant>
        <vt:i4>5</vt:i4>
      </vt:variant>
      <vt:variant>
        <vt:lpwstr/>
      </vt:variant>
      <vt:variant>
        <vt:lpwstr>_Toc369100189</vt:lpwstr>
      </vt:variant>
      <vt:variant>
        <vt:i4>1572923</vt:i4>
      </vt:variant>
      <vt:variant>
        <vt:i4>122</vt:i4>
      </vt:variant>
      <vt:variant>
        <vt:i4>0</vt:i4>
      </vt:variant>
      <vt:variant>
        <vt:i4>5</vt:i4>
      </vt:variant>
      <vt:variant>
        <vt:lpwstr/>
      </vt:variant>
      <vt:variant>
        <vt:lpwstr>_Toc369100188</vt:lpwstr>
      </vt:variant>
      <vt:variant>
        <vt:i4>1572923</vt:i4>
      </vt:variant>
      <vt:variant>
        <vt:i4>116</vt:i4>
      </vt:variant>
      <vt:variant>
        <vt:i4>0</vt:i4>
      </vt:variant>
      <vt:variant>
        <vt:i4>5</vt:i4>
      </vt:variant>
      <vt:variant>
        <vt:lpwstr/>
      </vt:variant>
      <vt:variant>
        <vt:lpwstr>_Toc369100187</vt:lpwstr>
      </vt:variant>
      <vt:variant>
        <vt:i4>1572923</vt:i4>
      </vt:variant>
      <vt:variant>
        <vt:i4>110</vt:i4>
      </vt:variant>
      <vt:variant>
        <vt:i4>0</vt:i4>
      </vt:variant>
      <vt:variant>
        <vt:i4>5</vt:i4>
      </vt:variant>
      <vt:variant>
        <vt:lpwstr/>
      </vt:variant>
      <vt:variant>
        <vt:lpwstr>_Toc369100186</vt:lpwstr>
      </vt:variant>
      <vt:variant>
        <vt:i4>1572923</vt:i4>
      </vt:variant>
      <vt:variant>
        <vt:i4>104</vt:i4>
      </vt:variant>
      <vt:variant>
        <vt:i4>0</vt:i4>
      </vt:variant>
      <vt:variant>
        <vt:i4>5</vt:i4>
      </vt:variant>
      <vt:variant>
        <vt:lpwstr/>
      </vt:variant>
      <vt:variant>
        <vt:lpwstr>_Toc369100185</vt:lpwstr>
      </vt:variant>
      <vt:variant>
        <vt:i4>1572923</vt:i4>
      </vt:variant>
      <vt:variant>
        <vt:i4>98</vt:i4>
      </vt:variant>
      <vt:variant>
        <vt:i4>0</vt:i4>
      </vt:variant>
      <vt:variant>
        <vt:i4>5</vt:i4>
      </vt:variant>
      <vt:variant>
        <vt:lpwstr/>
      </vt:variant>
      <vt:variant>
        <vt:lpwstr>_Toc369100184</vt:lpwstr>
      </vt:variant>
      <vt:variant>
        <vt:i4>1572923</vt:i4>
      </vt:variant>
      <vt:variant>
        <vt:i4>92</vt:i4>
      </vt:variant>
      <vt:variant>
        <vt:i4>0</vt:i4>
      </vt:variant>
      <vt:variant>
        <vt:i4>5</vt:i4>
      </vt:variant>
      <vt:variant>
        <vt:lpwstr/>
      </vt:variant>
      <vt:variant>
        <vt:lpwstr>_Toc369100183</vt:lpwstr>
      </vt:variant>
      <vt:variant>
        <vt:i4>1572923</vt:i4>
      </vt:variant>
      <vt:variant>
        <vt:i4>86</vt:i4>
      </vt:variant>
      <vt:variant>
        <vt:i4>0</vt:i4>
      </vt:variant>
      <vt:variant>
        <vt:i4>5</vt:i4>
      </vt:variant>
      <vt:variant>
        <vt:lpwstr/>
      </vt:variant>
      <vt:variant>
        <vt:lpwstr>_Toc369100182</vt:lpwstr>
      </vt:variant>
      <vt:variant>
        <vt:i4>1572923</vt:i4>
      </vt:variant>
      <vt:variant>
        <vt:i4>80</vt:i4>
      </vt:variant>
      <vt:variant>
        <vt:i4>0</vt:i4>
      </vt:variant>
      <vt:variant>
        <vt:i4>5</vt:i4>
      </vt:variant>
      <vt:variant>
        <vt:lpwstr/>
      </vt:variant>
      <vt:variant>
        <vt:lpwstr>_Toc369100181</vt:lpwstr>
      </vt:variant>
      <vt:variant>
        <vt:i4>1572923</vt:i4>
      </vt:variant>
      <vt:variant>
        <vt:i4>74</vt:i4>
      </vt:variant>
      <vt:variant>
        <vt:i4>0</vt:i4>
      </vt:variant>
      <vt:variant>
        <vt:i4>5</vt:i4>
      </vt:variant>
      <vt:variant>
        <vt:lpwstr/>
      </vt:variant>
      <vt:variant>
        <vt:lpwstr>_Toc369100180</vt:lpwstr>
      </vt:variant>
      <vt:variant>
        <vt:i4>1507387</vt:i4>
      </vt:variant>
      <vt:variant>
        <vt:i4>68</vt:i4>
      </vt:variant>
      <vt:variant>
        <vt:i4>0</vt:i4>
      </vt:variant>
      <vt:variant>
        <vt:i4>5</vt:i4>
      </vt:variant>
      <vt:variant>
        <vt:lpwstr/>
      </vt:variant>
      <vt:variant>
        <vt:lpwstr>_Toc369100179</vt:lpwstr>
      </vt:variant>
      <vt:variant>
        <vt:i4>1507387</vt:i4>
      </vt:variant>
      <vt:variant>
        <vt:i4>62</vt:i4>
      </vt:variant>
      <vt:variant>
        <vt:i4>0</vt:i4>
      </vt:variant>
      <vt:variant>
        <vt:i4>5</vt:i4>
      </vt:variant>
      <vt:variant>
        <vt:lpwstr/>
      </vt:variant>
      <vt:variant>
        <vt:lpwstr>_Toc369100178</vt:lpwstr>
      </vt:variant>
      <vt:variant>
        <vt:i4>1507387</vt:i4>
      </vt:variant>
      <vt:variant>
        <vt:i4>56</vt:i4>
      </vt:variant>
      <vt:variant>
        <vt:i4>0</vt:i4>
      </vt:variant>
      <vt:variant>
        <vt:i4>5</vt:i4>
      </vt:variant>
      <vt:variant>
        <vt:lpwstr/>
      </vt:variant>
      <vt:variant>
        <vt:lpwstr>_Toc369100177</vt:lpwstr>
      </vt:variant>
      <vt:variant>
        <vt:i4>1507387</vt:i4>
      </vt:variant>
      <vt:variant>
        <vt:i4>50</vt:i4>
      </vt:variant>
      <vt:variant>
        <vt:i4>0</vt:i4>
      </vt:variant>
      <vt:variant>
        <vt:i4>5</vt:i4>
      </vt:variant>
      <vt:variant>
        <vt:lpwstr/>
      </vt:variant>
      <vt:variant>
        <vt:lpwstr>_Toc369100176</vt:lpwstr>
      </vt:variant>
      <vt:variant>
        <vt:i4>1507387</vt:i4>
      </vt:variant>
      <vt:variant>
        <vt:i4>44</vt:i4>
      </vt:variant>
      <vt:variant>
        <vt:i4>0</vt:i4>
      </vt:variant>
      <vt:variant>
        <vt:i4>5</vt:i4>
      </vt:variant>
      <vt:variant>
        <vt:lpwstr/>
      </vt:variant>
      <vt:variant>
        <vt:lpwstr>_Toc369100175</vt:lpwstr>
      </vt:variant>
      <vt:variant>
        <vt:i4>1507387</vt:i4>
      </vt:variant>
      <vt:variant>
        <vt:i4>38</vt:i4>
      </vt:variant>
      <vt:variant>
        <vt:i4>0</vt:i4>
      </vt:variant>
      <vt:variant>
        <vt:i4>5</vt:i4>
      </vt:variant>
      <vt:variant>
        <vt:lpwstr/>
      </vt:variant>
      <vt:variant>
        <vt:lpwstr>_Toc369100174</vt:lpwstr>
      </vt:variant>
      <vt:variant>
        <vt:i4>1507387</vt:i4>
      </vt:variant>
      <vt:variant>
        <vt:i4>32</vt:i4>
      </vt:variant>
      <vt:variant>
        <vt:i4>0</vt:i4>
      </vt:variant>
      <vt:variant>
        <vt:i4>5</vt:i4>
      </vt:variant>
      <vt:variant>
        <vt:lpwstr/>
      </vt:variant>
      <vt:variant>
        <vt:lpwstr>_Toc369100173</vt:lpwstr>
      </vt:variant>
      <vt:variant>
        <vt:i4>1507387</vt:i4>
      </vt:variant>
      <vt:variant>
        <vt:i4>26</vt:i4>
      </vt:variant>
      <vt:variant>
        <vt:i4>0</vt:i4>
      </vt:variant>
      <vt:variant>
        <vt:i4>5</vt:i4>
      </vt:variant>
      <vt:variant>
        <vt:lpwstr/>
      </vt:variant>
      <vt:variant>
        <vt:lpwstr>_Toc369100172</vt:lpwstr>
      </vt:variant>
      <vt:variant>
        <vt:i4>1507387</vt:i4>
      </vt:variant>
      <vt:variant>
        <vt:i4>20</vt:i4>
      </vt:variant>
      <vt:variant>
        <vt:i4>0</vt:i4>
      </vt:variant>
      <vt:variant>
        <vt:i4>5</vt:i4>
      </vt:variant>
      <vt:variant>
        <vt:lpwstr/>
      </vt:variant>
      <vt:variant>
        <vt:lpwstr>_Toc369100171</vt:lpwstr>
      </vt:variant>
      <vt:variant>
        <vt:i4>1507387</vt:i4>
      </vt:variant>
      <vt:variant>
        <vt:i4>14</vt:i4>
      </vt:variant>
      <vt:variant>
        <vt:i4>0</vt:i4>
      </vt:variant>
      <vt:variant>
        <vt:i4>5</vt:i4>
      </vt:variant>
      <vt:variant>
        <vt:lpwstr/>
      </vt:variant>
      <vt:variant>
        <vt:lpwstr>_Toc369100170</vt:lpwstr>
      </vt:variant>
      <vt:variant>
        <vt:i4>1441851</vt:i4>
      </vt:variant>
      <vt:variant>
        <vt:i4>8</vt:i4>
      </vt:variant>
      <vt:variant>
        <vt:i4>0</vt:i4>
      </vt:variant>
      <vt:variant>
        <vt:i4>5</vt:i4>
      </vt:variant>
      <vt:variant>
        <vt:lpwstr/>
      </vt:variant>
      <vt:variant>
        <vt:lpwstr>_Toc369100169</vt:lpwstr>
      </vt:variant>
      <vt:variant>
        <vt:i4>1441851</vt:i4>
      </vt:variant>
      <vt:variant>
        <vt:i4>2</vt:i4>
      </vt:variant>
      <vt:variant>
        <vt:i4>0</vt:i4>
      </vt:variant>
      <vt:variant>
        <vt:i4>5</vt:i4>
      </vt:variant>
      <vt:variant>
        <vt:lpwstr/>
      </vt:variant>
      <vt:variant>
        <vt:lpwstr>_Toc369100168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ladislav.walla</dc:creator>
  <cp:lastModifiedBy>Krenková Adéla Ing.</cp:lastModifiedBy>
  <cp:revision>7</cp:revision>
  <cp:lastPrinted>2014-06-20T11:44:00Z</cp:lastPrinted>
  <dcterms:created xsi:type="dcterms:W3CDTF">2014-06-19T14:32:00Z</dcterms:created>
  <dcterms:modified xsi:type="dcterms:W3CDTF">2014-06-20T13:40:00Z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W_WorkDir">
    <vt:lpwstr>d:\pw_data\adela.krenkova\</vt:lpwstr>
  </property>
  <property fmtid="{D5CDD505-2E9C-101B-9397-08002B2CF9AE}" pid="3" name="Folder_Number">
    <vt:lpwstr/>
  </property>
  <property fmtid="{D5CDD505-2E9C-101B-9397-08002B2CF9AE}" pid="4" name="Folder_Code">
    <vt:lpwstr/>
  </property>
  <property fmtid="{D5CDD505-2E9C-101B-9397-08002B2CF9AE}" pid="5" name="Folder_Name">
    <vt:lpwstr/>
  </property>
  <property fmtid="{D5CDD505-2E9C-101B-9397-08002B2CF9AE}" pid="6" name="Folder_Description">
    <vt:lpwstr/>
  </property>
  <property fmtid="{D5CDD505-2E9C-101B-9397-08002B2CF9AE}" pid="7" name="/Folder_Name/">
    <vt:lpwstr/>
  </property>
  <property fmtid="{D5CDD505-2E9C-101B-9397-08002B2CF9AE}" pid="8" name="/Folder_Description/">
    <vt:lpwstr/>
  </property>
  <property fmtid="{D5CDD505-2E9C-101B-9397-08002B2CF9AE}" pid="9" name="Folder_Version">
    <vt:lpwstr/>
  </property>
  <property fmtid="{D5CDD505-2E9C-101B-9397-08002B2CF9AE}" pid="10" name="Folder_VersionSeq">
    <vt:lpwstr/>
  </property>
  <property fmtid="{D5CDD505-2E9C-101B-9397-08002B2CF9AE}" pid="11" name="Folder_Manager">
    <vt:lpwstr/>
  </property>
  <property fmtid="{D5CDD505-2E9C-101B-9397-08002B2CF9AE}" pid="12" name="Folder_ManagerDesc">
    <vt:lpwstr/>
  </property>
  <property fmtid="{D5CDD505-2E9C-101B-9397-08002B2CF9AE}" pid="13" name="Folder_Storage">
    <vt:lpwstr/>
  </property>
  <property fmtid="{D5CDD505-2E9C-101B-9397-08002B2CF9AE}" pid="14" name="Folder_StorageDesc">
    <vt:lpwstr/>
  </property>
  <property fmtid="{D5CDD505-2E9C-101B-9397-08002B2CF9AE}" pid="15" name="Folder_Creator">
    <vt:lpwstr/>
  </property>
  <property fmtid="{D5CDD505-2E9C-101B-9397-08002B2CF9AE}" pid="16" name="Folder_CreatorDesc">
    <vt:lpwstr/>
  </property>
  <property fmtid="{D5CDD505-2E9C-101B-9397-08002B2CF9AE}" pid="17" name="Folder_CreateDate">
    <vt:lpwstr/>
  </property>
  <property fmtid="{D5CDD505-2E9C-101B-9397-08002B2CF9AE}" pid="18" name="Folder_Updater">
    <vt:lpwstr/>
  </property>
  <property fmtid="{D5CDD505-2E9C-101B-9397-08002B2CF9AE}" pid="19" name="Folder_UpdaterDesc">
    <vt:lpwstr/>
  </property>
  <property fmtid="{D5CDD505-2E9C-101B-9397-08002B2CF9AE}" pid="20" name="Folder_UpdateDate">
    <vt:lpwstr/>
  </property>
  <property fmtid="{D5CDD505-2E9C-101B-9397-08002B2CF9AE}" pid="21" name="Document_Number">
    <vt:lpwstr/>
  </property>
  <property fmtid="{D5CDD505-2E9C-101B-9397-08002B2CF9AE}" pid="22" name="Document_Name">
    <vt:lpwstr/>
  </property>
  <property fmtid="{D5CDD505-2E9C-101B-9397-08002B2CF9AE}" pid="23" name="Document_FileName">
    <vt:lpwstr/>
  </property>
  <property fmtid="{D5CDD505-2E9C-101B-9397-08002B2CF9AE}" pid="24" name="Document_Version">
    <vt:lpwstr/>
  </property>
  <property fmtid="{D5CDD505-2E9C-101B-9397-08002B2CF9AE}" pid="25" name="Document_VersionSeq">
    <vt:lpwstr/>
  </property>
  <property fmtid="{D5CDD505-2E9C-101B-9397-08002B2CF9AE}" pid="26" name="Document_Creator">
    <vt:lpwstr/>
  </property>
  <property fmtid="{D5CDD505-2E9C-101B-9397-08002B2CF9AE}" pid="27" name="Document_CreatorDesc">
    <vt:lpwstr/>
  </property>
  <property fmtid="{D5CDD505-2E9C-101B-9397-08002B2CF9AE}" pid="28" name="Document_CreateDate">
    <vt:lpwstr/>
  </property>
  <property fmtid="{D5CDD505-2E9C-101B-9397-08002B2CF9AE}" pid="29" name="Document_Updater">
    <vt:lpwstr/>
  </property>
  <property fmtid="{D5CDD505-2E9C-101B-9397-08002B2CF9AE}" pid="30" name="Document_UpdaterDesc">
    <vt:lpwstr/>
  </property>
  <property fmtid="{D5CDD505-2E9C-101B-9397-08002B2CF9AE}" pid="31" name="Document_UpdateDate">
    <vt:lpwstr/>
  </property>
  <property fmtid="{D5CDD505-2E9C-101B-9397-08002B2CF9AE}" pid="32" name="Document_Size">
    <vt:lpwstr/>
  </property>
  <property fmtid="{D5CDD505-2E9C-101B-9397-08002B2CF9AE}" pid="33" name="Document_Storage">
    <vt:lpwstr/>
  </property>
  <property fmtid="{D5CDD505-2E9C-101B-9397-08002B2CF9AE}" pid="34" name="Document_StorageDesc">
    <vt:lpwstr/>
  </property>
  <property fmtid="{D5CDD505-2E9C-101B-9397-08002B2CF9AE}" pid="35" name="Document_Department">
    <vt:lpwstr/>
  </property>
  <property fmtid="{D5CDD505-2E9C-101B-9397-08002B2CF9AE}" pid="36" name="Document_DepartmentDesc">
    <vt:lpwstr/>
  </property>
</Properties>
</file>