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6DCB" w:rsidRDefault="00E95542" w:rsidP="00E9554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Specifikace pneum</w:t>
      </w:r>
      <w:bookmarkStart w:id="0" w:name="_GoBack"/>
      <w:bookmarkEnd w:id="0"/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atické</w:t>
      </w:r>
      <w:r w:rsidR="00846DCB" w:rsidRPr="00E95542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stabilizační sady</w:t>
      </w:r>
    </w:p>
    <w:p w:rsidR="00E95542" w:rsidRPr="00E95542" w:rsidRDefault="00E95542" w:rsidP="00E9554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846DCB" w:rsidRPr="00846DCB" w:rsidRDefault="00846DCB" w:rsidP="00846DC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46DCB">
        <w:rPr>
          <w:rFonts w:ascii="Times New Roman" w:hAnsi="Times New Roman" w:cs="Times New Roman"/>
          <w:sz w:val="24"/>
          <w:szCs w:val="24"/>
        </w:rPr>
        <w:t>Zadavatel požaduje dodávku</w:t>
      </w:r>
      <w:r w:rsidR="00E068D1">
        <w:rPr>
          <w:rFonts w:ascii="Times New Roman" w:hAnsi="Times New Roman" w:cs="Times New Roman"/>
          <w:sz w:val="24"/>
          <w:szCs w:val="24"/>
        </w:rPr>
        <w:t xml:space="preserve"> dvou sad</w:t>
      </w:r>
      <w:r w:rsidRPr="00846DCB">
        <w:rPr>
          <w:rFonts w:ascii="Times New Roman" w:hAnsi="Times New Roman" w:cs="Times New Roman"/>
          <w:sz w:val="24"/>
          <w:szCs w:val="24"/>
        </w:rPr>
        <w:t xml:space="preserve"> pneumatické vyprošťovací a stabilizační sady v níže uvedeném</w:t>
      </w:r>
    </w:p>
    <w:p w:rsidR="00846DCB" w:rsidRPr="00846DCB" w:rsidRDefault="00846DCB" w:rsidP="00846DC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46DCB">
        <w:rPr>
          <w:rFonts w:ascii="Times New Roman" w:hAnsi="Times New Roman" w:cs="Times New Roman"/>
          <w:sz w:val="24"/>
          <w:szCs w:val="24"/>
        </w:rPr>
        <w:t>složení a s uvedenými technickými parametry:</w:t>
      </w:r>
    </w:p>
    <w:p w:rsidR="00846DCB" w:rsidRPr="00846DCB" w:rsidRDefault="00846DCB" w:rsidP="00846DC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46DCB">
        <w:rPr>
          <w:rFonts w:ascii="Times New Roman" w:hAnsi="Times New Roman" w:cs="Times New Roman"/>
          <w:sz w:val="24"/>
          <w:szCs w:val="24"/>
        </w:rPr>
        <w:t>· sada pneumatických vzpěr pro stabilizaci vozidel u dopravní nehody, stabilizaci výkopů</w:t>
      </w:r>
    </w:p>
    <w:p w:rsidR="00846DCB" w:rsidRPr="00846DCB" w:rsidRDefault="00846DCB" w:rsidP="00846DC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46DCB">
        <w:rPr>
          <w:rFonts w:ascii="Times New Roman" w:hAnsi="Times New Roman" w:cs="Times New Roman"/>
          <w:sz w:val="24"/>
          <w:szCs w:val="24"/>
        </w:rPr>
        <w:t>a poškozených stavebních konstrukcí</w:t>
      </w:r>
    </w:p>
    <w:p w:rsidR="00846DCB" w:rsidRPr="00846DCB" w:rsidRDefault="00846DCB" w:rsidP="00846DC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46DCB">
        <w:rPr>
          <w:rFonts w:ascii="Times New Roman" w:hAnsi="Times New Roman" w:cs="Times New Roman"/>
          <w:sz w:val="24"/>
          <w:szCs w:val="24"/>
        </w:rPr>
        <w:t>· minimální nosnost 2 t při bezpečnostním koeficientu 4:1 a délce vzpěry s prodloužením</w:t>
      </w:r>
    </w:p>
    <w:p w:rsidR="00846DCB" w:rsidRPr="00846DCB" w:rsidRDefault="00846DCB" w:rsidP="00846DC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46DCB">
        <w:rPr>
          <w:rFonts w:ascii="Times New Roman" w:hAnsi="Times New Roman" w:cs="Times New Roman"/>
          <w:sz w:val="24"/>
          <w:szCs w:val="24"/>
        </w:rPr>
        <w:t>3 m</w:t>
      </w:r>
    </w:p>
    <w:p w:rsidR="00846DCB" w:rsidRPr="00846DCB" w:rsidRDefault="00846DCB" w:rsidP="00846DC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46DCB">
        <w:rPr>
          <w:rFonts w:ascii="Times New Roman" w:hAnsi="Times New Roman" w:cs="Times New Roman"/>
          <w:sz w:val="24"/>
          <w:szCs w:val="24"/>
        </w:rPr>
        <w:t xml:space="preserve">· systém umožňující vzdálené roztažení vzpěry bez nutnosti přímého kontaktu obsluhy </w:t>
      </w:r>
      <w:proofErr w:type="gramStart"/>
      <w:r w:rsidRPr="00846DCB">
        <w:rPr>
          <w:rFonts w:ascii="Times New Roman" w:hAnsi="Times New Roman" w:cs="Times New Roman"/>
          <w:sz w:val="24"/>
          <w:szCs w:val="24"/>
        </w:rPr>
        <w:t>se</w:t>
      </w:r>
      <w:proofErr w:type="gramEnd"/>
    </w:p>
    <w:p w:rsidR="00846DCB" w:rsidRPr="00846DCB" w:rsidRDefault="00846DCB" w:rsidP="00846DC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46DCB">
        <w:rPr>
          <w:rFonts w:ascii="Times New Roman" w:hAnsi="Times New Roman" w:cs="Times New Roman"/>
          <w:sz w:val="24"/>
          <w:szCs w:val="24"/>
        </w:rPr>
        <w:t>vzpěrou</w:t>
      </w:r>
    </w:p>
    <w:p w:rsidR="00846DCB" w:rsidRPr="00846DCB" w:rsidRDefault="00846DCB" w:rsidP="00846DC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46DCB">
        <w:rPr>
          <w:rFonts w:ascii="Times New Roman" w:hAnsi="Times New Roman" w:cs="Times New Roman"/>
          <w:sz w:val="24"/>
          <w:szCs w:val="24"/>
        </w:rPr>
        <w:t>· Způsob použití a ovládání jednotlivých prvků musí být tvořen kombinací mechanické</w:t>
      </w:r>
      <w:proofErr w:type="gramStart"/>
      <w:r w:rsidRPr="00846DCB">
        <w:rPr>
          <w:rFonts w:ascii="Times New Roman" w:hAnsi="Times New Roman" w:cs="Times New Roman"/>
          <w:sz w:val="24"/>
          <w:szCs w:val="24"/>
        </w:rPr>
        <w:t>ho</w:t>
      </w:r>
      <w:proofErr w:type="gramEnd"/>
    </w:p>
    <w:p w:rsidR="00846DCB" w:rsidRPr="00846DCB" w:rsidRDefault="00846DCB" w:rsidP="00846DC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46DCB">
        <w:rPr>
          <w:rFonts w:ascii="Times New Roman" w:hAnsi="Times New Roman" w:cs="Times New Roman"/>
          <w:sz w:val="24"/>
          <w:szCs w:val="24"/>
        </w:rPr>
        <w:t>pohonu, pohonu pomocí stlačeného vzduchu.</w:t>
      </w:r>
    </w:p>
    <w:p w:rsidR="00846DCB" w:rsidRPr="00846DCB" w:rsidRDefault="00846DCB" w:rsidP="00846DC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46DCB">
        <w:rPr>
          <w:rFonts w:ascii="Times New Roman" w:hAnsi="Times New Roman" w:cs="Times New Roman"/>
          <w:sz w:val="24"/>
          <w:szCs w:val="24"/>
        </w:rPr>
        <w:t>· Stabilizační sada musí být vyrobena z vysoko pevnostního hliníku nebo materiálu</w:t>
      </w:r>
    </w:p>
    <w:p w:rsidR="00846DCB" w:rsidRPr="00846DCB" w:rsidRDefault="00846DCB" w:rsidP="00846DC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46DCB">
        <w:rPr>
          <w:rFonts w:ascii="Times New Roman" w:hAnsi="Times New Roman" w:cs="Times New Roman"/>
          <w:sz w:val="24"/>
          <w:szCs w:val="24"/>
        </w:rPr>
        <w:t>obdobných vlastností.</w:t>
      </w:r>
    </w:p>
    <w:p w:rsidR="00846DCB" w:rsidRPr="00846DCB" w:rsidRDefault="00846DCB" w:rsidP="00846DC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46DCB">
        <w:rPr>
          <w:rFonts w:ascii="Times New Roman" w:hAnsi="Times New Roman" w:cs="Times New Roman"/>
          <w:sz w:val="24"/>
          <w:szCs w:val="24"/>
        </w:rPr>
        <w:t>· Z důvodu bezpečnosti musí být prvky stabilizační sady vybaveny lichoběžníkovým</w:t>
      </w:r>
    </w:p>
    <w:p w:rsidR="00846DCB" w:rsidRPr="00846DCB" w:rsidRDefault="00846DCB" w:rsidP="00846DC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46DCB">
        <w:rPr>
          <w:rFonts w:ascii="Times New Roman" w:hAnsi="Times New Roman" w:cs="Times New Roman"/>
          <w:sz w:val="24"/>
          <w:szCs w:val="24"/>
        </w:rPr>
        <w:t>závitem, který zamezí samovolnému pohybu-zajištění vyšší bezpečnosti při práci.</w:t>
      </w:r>
    </w:p>
    <w:p w:rsidR="00846DCB" w:rsidRPr="00846DCB" w:rsidRDefault="00846DCB" w:rsidP="00846DC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46DCB">
        <w:rPr>
          <w:rFonts w:ascii="Times New Roman" w:hAnsi="Times New Roman" w:cs="Times New Roman"/>
          <w:sz w:val="24"/>
          <w:szCs w:val="24"/>
        </w:rPr>
        <w:t>· Dílce podpěrných tyčí stabilizační sady musí být vyrobeny z jednoho kusu materiálu,</w:t>
      </w:r>
    </w:p>
    <w:p w:rsidR="00846DCB" w:rsidRPr="00846DCB" w:rsidRDefault="00846DCB" w:rsidP="00846DC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46DCB">
        <w:rPr>
          <w:rFonts w:ascii="Times New Roman" w:hAnsi="Times New Roman" w:cs="Times New Roman"/>
          <w:sz w:val="24"/>
          <w:szCs w:val="24"/>
        </w:rPr>
        <w:t>bez použití spojů či svarů, čímž je minimalizováno možné poškození jednotlivých</w:t>
      </w:r>
    </w:p>
    <w:p w:rsidR="00846DCB" w:rsidRPr="00846DCB" w:rsidRDefault="00846DCB" w:rsidP="00846DC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46DCB">
        <w:rPr>
          <w:rFonts w:ascii="Times New Roman" w:hAnsi="Times New Roman" w:cs="Times New Roman"/>
          <w:sz w:val="24"/>
          <w:szCs w:val="24"/>
        </w:rPr>
        <w:t>prvků.</w:t>
      </w:r>
    </w:p>
    <w:p w:rsidR="00846DCB" w:rsidRPr="00846DCB" w:rsidRDefault="00846DCB" w:rsidP="00846DC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46DCB">
        <w:rPr>
          <w:rFonts w:ascii="Times New Roman" w:hAnsi="Times New Roman" w:cs="Times New Roman"/>
          <w:sz w:val="24"/>
          <w:szCs w:val="24"/>
        </w:rPr>
        <w:t>· Prvky stabilizační sady nesmí obsahovat žádné volné drobné součásti, které by mohly</w:t>
      </w:r>
    </w:p>
    <w:p w:rsidR="00846DCB" w:rsidRPr="00846DCB" w:rsidRDefault="00846DCB" w:rsidP="00846DC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46DCB">
        <w:rPr>
          <w:rFonts w:ascii="Times New Roman" w:hAnsi="Times New Roman" w:cs="Times New Roman"/>
          <w:sz w:val="24"/>
          <w:szCs w:val="24"/>
        </w:rPr>
        <w:t>být při zásahu ztraceny, čímž je minimalizováno omezení funkčnosti jednotlivých prvků</w:t>
      </w:r>
    </w:p>
    <w:p w:rsidR="00846DCB" w:rsidRPr="00846DCB" w:rsidRDefault="00846DCB" w:rsidP="00846DC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46DCB">
        <w:rPr>
          <w:rFonts w:ascii="Times New Roman" w:hAnsi="Times New Roman" w:cs="Times New Roman"/>
          <w:sz w:val="24"/>
          <w:szCs w:val="24"/>
        </w:rPr>
        <w:t>stabilizační sady.</w:t>
      </w:r>
    </w:p>
    <w:p w:rsidR="00846DCB" w:rsidRPr="00846DCB" w:rsidRDefault="00846DCB" w:rsidP="00846DC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46DCB">
        <w:rPr>
          <w:rFonts w:ascii="Times New Roman" w:hAnsi="Times New Roman" w:cs="Times New Roman"/>
          <w:sz w:val="24"/>
          <w:szCs w:val="24"/>
        </w:rPr>
        <w:t>· Prvky stabilizační sady musí umožňovat použití v kombinaci s dřevěnými prvky</w:t>
      </w:r>
    </w:p>
    <w:p w:rsidR="00846DCB" w:rsidRPr="00846DCB" w:rsidRDefault="00846DCB" w:rsidP="00846DC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46DCB">
        <w:rPr>
          <w:rFonts w:ascii="Times New Roman" w:hAnsi="Times New Roman" w:cs="Times New Roman"/>
          <w:sz w:val="24"/>
          <w:szCs w:val="24"/>
        </w:rPr>
        <w:t>používanými u zásahu při bednění a pažení.</w:t>
      </w:r>
    </w:p>
    <w:p w:rsidR="00E95542" w:rsidRDefault="00E95542" w:rsidP="00846DC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46DCB" w:rsidRDefault="00846DCB" w:rsidP="00846DC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95542">
        <w:rPr>
          <w:rFonts w:ascii="Times New Roman" w:hAnsi="Times New Roman" w:cs="Times New Roman"/>
          <w:b/>
          <w:sz w:val="24"/>
          <w:szCs w:val="24"/>
        </w:rPr>
        <w:t>Sada bude obsahovat:</w:t>
      </w:r>
    </w:p>
    <w:p w:rsidR="00E95542" w:rsidRPr="00E95542" w:rsidRDefault="00E95542" w:rsidP="00846DC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46DCB" w:rsidRPr="00846DCB" w:rsidRDefault="00846DCB" w:rsidP="00846DC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 w:rsidRPr="00846DCB">
        <w:rPr>
          <w:rFonts w:ascii="Times New Roman" w:hAnsi="Times New Roman" w:cs="Times New Roman"/>
          <w:sz w:val="24"/>
          <w:szCs w:val="24"/>
        </w:rPr>
        <w:t xml:space="preserve">· </w:t>
      </w:r>
      <w:r w:rsidRPr="00E95542">
        <w:rPr>
          <w:rFonts w:ascii="Times New Roman" w:hAnsi="Times New Roman" w:cs="Times New Roman"/>
          <w:b/>
          <w:sz w:val="23"/>
          <w:szCs w:val="23"/>
        </w:rPr>
        <w:t>2 ks</w:t>
      </w:r>
      <w:r w:rsidRPr="00846DCB">
        <w:rPr>
          <w:rFonts w:ascii="Times New Roman" w:hAnsi="Times New Roman" w:cs="Times New Roman"/>
          <w:sz w:val="23"/>
          <w:szCs w:val="23"/>
        </w:rPr>
        <w:t xml:space="preserve"> prodlužovací podpěrné tyče (31-38 cm) - určena ke stabilizaci objektů, s možností</w:t>
      </w:r>
    </w:p>
    <w:p w:rsidR="00846DCB" w:rsidRPr="00846DCB" w:rsidRDefault="00846DCB" w:rsidP="00846DC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 w:rsidRPr="00846DCB">
        <w:rPr>
          <w:rFonts w:ascii="Times New Roman" w:hAnsi="Times New Roman" w:cs="Times New Roman"/>
          <w:sz w:val="23"/>
          <w:szCs w:val="23"/>
        </w:rPr>
        <w:t xml:space="preserve">mechanického roztažení, s manuálním zajišťováním pomocí volně otočné matice </w:t>
      </w:r>
      <w:proofErr w:type="gramStart"/>
      <w:r w:rsidRPr="00846DCB">
        <w:rPr>
          <w:rFonts w:ascii="Times New Roman" w:hAnsi="Times New Roman" w:cs="Times New Roman"/>
          <w:sz w:val="23"/>
          <w:szCs w:val="23"/>
        </w:rPr>
        <w:t>na</w:t>
      </w:r>
      <w:proofErr w:type="gramEnd"/>
    </w:p>
    <w:p w:rsidR="00846DCB" w:rsidRPr="00846DCB" w:rsidRDefault="00846DCB" w:rsidP="00846DC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proofErr w:type="gramStart"/>
      <w:r w:rsidRPr="00846DCB">
        <w:rPr>
          <w:rFonts w:ascii="Times New Roman" w:hAnsi="Times New Roman" w:cs="Times New Roman"/>
          <w:sz w:val="23"/>
          <w:szCs w:val="23"/>
        </w:rPr>
        <w:t>lichoběžníkovém</w:t>
      </w:r>
      <w:proofErr w:type="gramEnd"/>
      <w:r w:rsidRPr="00846DCB">
        <w:rPr>
          <w:rFonts w:ascii="Times New Roman" w:hAnsi="Times New Roman" w:cs="Times New Roman"/>
          <w:sz w:val="23"/>
          <w:szCs w:val="23"/>
        </w:rPr>
        <w:t xml:space="preserve"> závitu.</w:t>
      </w:r>
    </w:p>
    <w:p w:rsidR="00846DCB" w:rsidRPr="00846DCB" w:rsidRDefault="00846DCB" w:rsidP="00846DC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 w:rsidRPr="00846DCB">
        <w:rPr>
          <w:rFonts w:ascii="Times New Roman" w:hAnsi="Times New Roman" w:cs="Times New Roman"/>
          <w:sz w:val="24"/>
          <w:szCs w:val="24"/>
        </w:rPr>
        <w:t xml:space="preserve">· </w:t>
      </w:r>
      <w:r w:rsidRPr="00E95542">
        <w:rPr>
          <w:rFonts w:ascii="Times New Roman" w:hAnsi="Times New Roman" w:cs="Times New Roman"/>
          <w:b/>
          <w:sz w:val="23"/>
          <w:szCs w:val="23"/>
        </w:rPr>
        <w:t>2 ks</w:t>
      </w:r>
      <w:r w:rsidRPr="00846DCB">
        <w:rPr>
          <w:rFonts w:ascii="Times New Roman" w:hAnsi="Times New Roman" w:cs="Times New Roman"/>
          <w:sz w:val="23"/>
          <w:szCs w:val="23"/>
        </w:rPr>
        <w:t xml:space="preserve"> prodlužovací podpěrné tyče (48-64 cm) - určena ke stabilizaci objektů, s možností</w:t>
      </w:r>
    </w:p>
    <w:p w:rsidR="00846DCB" w:rsidRPr="00846DCB" w:rsidRDefault="00846DCB" w:rsidP="00846DC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 w:rsidRPr="00846DCB">
        <w:rPr>
          <w:rFonts w:ascii="Times New Roman" w:hAnsi="Times New Roman" w:cs="Times New Roman"/>
          <w:sz w:val="23"/>
          <w:szCs w:val="23"/>
        </w:rPr>
        <w:t>mechanického nebo pneumatického roztažení, s manuálním zajišťováním pomocí volně</w:t>
      </w:r>
    </w:p>
    <w:p w:rsidR="00846DCB" w:rsidRPr="00846DCB" w:rsidRDefault="00846DCB" w:rsidP="00846DC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 w:rsidRPr="00846DCB">
        <w:rPr>
          <w:rFonts w:ascii="Times New Roman" w:hAnsi="Times New Roman" w:cs="Times New Roman"/>
          <w:sz w:val="23"/>
          <w:szCs w:val="23"/>
        </w:rPr>
        <w:t>otočné matice na lichoběžníkovém závitu.</w:t>
      </w:r>
    </w:p>
    <w:p w:rsidR="00846DCB" w:rsidRPr="00846DCB" w:rsidRDefault="00846DCB" w:rsidP="00846DC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 w:rsidRPr="00846DCB">
        <w:rPr>
          <w:rFonts w:ascii="Times New Roman" w:hAnsi="Times New Roman" w:cs="Times New Roman"/>
          <w:sz w:val="24"/>
          <w:szCs w:val="24"/>
        </w:rPr>
        <w:t xml:space="preserve">· </w:t>
      </w:r>
      <w:r w:rsidRPr="00E95542">
        <w:rPr>
          <w:rFonts w:ascii="Times New Roman" w:hAnsi="Times New Roman" w:cs="Times New Roman"/>
          <w:b/>
          <w:sz w:val="23"/>
          <w:szCs w:val="23"/>
        </w:rPr>
        <w:t>2 ks</w:t>
      </w:r>
      <w:r w:rsidRPr="00846DCB">
        <w:rPr>
          <w:rFonts w:ascii="Times New Roman" w:hAnsi="Times New Roman" w:cs="Times New Roman"/>
          <w:sz w:val="23"/>
          <w:szCs w:val="23"/>
        </w:rPr>
        <w:t xml:space="preserve"> prodlužovací podpěrné tyče (94-147 cm) - určena ke stabilizaci objektů, s možností</w:t>
      </w:r>
    </w:p>
    <w:p w:rsidR="00846DCB" w:rsidRPr="00846DCB" w:rsidRDefault="00846DCB" w:rsidP="00846DC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 w:rsidRPr="00846DCB">
        <w:rPr>
          <w:rFonts w:ascii="Times New Roman" w:hAnsi="Times New Roman" w:cs="Times New Roman"/>
          <w:sz w:val="23"/>
          <w:szCs w:val="23"/>
        </w:rPr>
        <w:t>mechanického nebo pneumatického roztažení, s manuálním zajišťováním pomocí volně</w:t>
      </w:r>
    </w:p>
    <w:p w:rsidR="00846DCB" w:rsidRPr="00846DCB" w:rsidRDefault="00846DCB" w:rsidP="00846DC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 w:rsidRPr="00846DCB">
        <w:rPr>
          <w:rFonts w:ascii="Times New Roman" w:hAnsi="Times New Roman" w:cs="Times New Roman"/>
          <w:sz w:val="23"/>
          <w:szCs w:val="23"/>
        </w:rPr>
        <w:t>otočné matice na lichoběžníkovém závitu.</w:t>
      </w:r>
    </w:p>
    <w:p w:rsidR="00846DCB" w:rsidRPr="00846DCB" w:rsidRDefault="00846DCB" w:rsidP="00846DC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 w:rsidRPr="00846DCB">
        <w:rPr>
          <w:rFonts w:ascii="Times New Roman" w:hAnsi="Times New Roman" w:cs="Times New Roman"/>
          <w:sz w:val="24"/>
          <w:szCs w:val="24"/>
        </w:rPr>
        <w:t xml:space="preserve">· </w:t>
      </w:r>
      <w:r w:rsidRPr="00E95542">
        <w:rPr>
          <w:rFonts w:ascii="Times New Roman" w:hAnsi="Times New Roman" w:cs="Times New Roman"/>
          <w:b/>
          <w:sz w:val="24"/>
          <w:szCs w:val="24"/>
        </w:rPr>
        <w:t>2 ks</w:t>
      </w:r>
      <w:r w:rsidRPr="00846DCB">
        <w:rPr>
          <w:rFonts w:ascii="Times New Roman" w:hAnsi="Times New Roman" w:cs="Times New Roman"/>
          <w:sz w:val="24"/>
          <w:szCs w:val="24"/>
        </w:rPr>
        <w:t xml:space="preserve"> </w:t>
      </w:r>
      <w:r w:rsidRPr="00846DCB">
        <w:rPr>
          <w:rFonts w:ascii="Times New Roman" w:hAnsi="Times New Roman" w:cs="Times New Roman"/>
          <w:sz w:val="23"/>
          <w:szCs w:val="23"/>
        </w:rPr>
        <w:t>prodlužení pro podpěrné tyče délky 15 cm – slouží k nadstavení délky stabilizační tyče</w:t>
      </w:r>
    </w:p>
    <w:p w:rsidR="00846DCB" w:rsidRPr="00846DCB" w:rsidRDefault="00846DCB" w:rsidP="00846DC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 w:rsidRPr="00846DCB">
        <w:rPr>
          <w:rFonts w:ascii="Times New Roman" w:hAnsi="Times New Roman" w:cs="Times New Roman"/>
          <w:sz w:val="24"/>
          <w:szCs w:val="24"/>
        </w:rPr>
        <w:t xml:space="preserve">· </w:t>
      </w:r>
      <w:r w:rsidRPr="00E95542">
        <w:rPr>
          <w:rFonts w:ascii="Times New Roman" w:hAnsi="Times New Roman" w:cs="Times New Roman"/>
          <w:b/>
          <w:sz w:val="24"/>
          <w:szCs w:val="24"/>
        </w:rPr>
        <w:t>2 ks</w:t>
      </w:r>
      <w:r w:rsidRPr="00846DCB">
        <w:rPr>
          <w:rFonts w:ascii="Times New Roman" w:hAnsi="Times New Roman" w:cs="Times New Roman"/>
          <w:sz w:val="24"/>
          <w:szCs w:val="24"/>
        </w:rPr>
        <w:t xml:space="preserve"> </w:t>
      </w:r>
      <w:r w:rsidRPr="00846DCB">
        <w:rPr>
          <w:rFonts w:ascii="Times New Roman" w:hAnsi="Times New Roman" w:cs="Times New Roman"/>
          <w:sz w:val="23"/>
          <w:szCs w:val="23"/>
        </w:rPr>
        <w:t>prodlužení pro podpěrné tyče délky 30 cm – slouží k nadstavení délky stabilizační tyče</w:t>
      </w:r>
    </w:p>
    <w:p w:rsidR="00846DCB" w:rsidRPr="00846DCB" w:rsidRDefault="00846DCB" w:rsidP="00846DC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 w:rsidRPr="00846DCB">
        <w:rPr>
          <w:rFonts w:ascii="Times New Roman" w:hAnsi="Times New Roman" w:cs="Times New Roman"/>
          <w:sz w:val="24"/>
          <w:szCs w:val="24"/>
        </w:rPr>
        <w:t xml:space="preserve">· </w:t>
      </w:r>
      <w:r w:rsidRPr="00E95542">
        <w:rPr>
          <w:rFonts w:ascii="Times New Roman" w:hAnsi="Times New Roman" w:cs="Times New Roman"/>
          <w:b/>
          <w:sz w:val="24"/>
          <w:szCs w:val="24"/>
        </w:rPr>
        <w:t>2 ks</w:t>
      </w:r>
      <w:r w:rsidRPr="00846DCB">
        <w:rPr>
          <w:rFonts w:ascii="Times New Roman" w:hAnsi="Times New Roman" w:cs="Times New Roman"/>
          <w:sz w:val="24"/>
          <w:szCs w:val="24"/>
        </w:rPr>
        <w:t xml:space="preserve"> </w:t>
      </w:r>
      <w:r w:rsidRPr="00846DCB">
        <w:rPr>
          <w:rFonts w:ascii="Times New Roman" w:hAnsi="Times New Roman" w:cs="Times New Roman"/>
          <w:sz w:val="23"/>
          <w:szCs w:val="23"/>
        </w:rPr>
        <w:t>prodlužení pro podpěrné tyče délky 61 cm – slouží k nadstavení délky stabilizační tyče</w:t>
      </w:r>
    </w:p>
    <w:p w:rsidR="00846DCB" w:rsidRPr="00846DCB" w:rsidRDefault="00846DCB" w:rsidP="00846DC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 w:rsidRPr="00846DCB">
        <w:rPr>
          <w:rFonts w:ascii="Times New Roman" w:hAnsi="Times New Roman" w:cs="Times New Roman"/>
          <w:sz w:val="24"/>
          <w:szCs w:val="24"/>
        </w:rPr>
        <w:t>·</w:t>
      </w:r>
      <w:r w:rsidRPr="00E955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95542">
        <w:rPr>
          <w:rFonts w:ascii="Times New Roman" w:hAnsi="Times New Roman" w:cs="Times New Roman"/>
          <w:b/>
          <w:sz w:val="23"/>
          <w:szCs w:val="23"/>
        </w:rPr>
        <w:t xml:space="preserve">4 ks </w:t>
      </w:r>
      <w:r w:rsidRPr="00846DCB">
        <w:rPr>
          <w:rFonts w:ascii="Times New Roman" w:hAnsi="Times New Roman" w:cs="Times New Roman"/>
          <w:sz w:val="23"/>
          <w:szCs w:val="23"/>
        </w:rPr>
        <w:t>čtvercové pevné základny – prvek pro založení sestavy podpěrných tyčí, pevné</w:t>
      </w:r>
    </w:p>
    <w:p w:rsidR="00846DCB" w:rsidRPr="00846DCB" w:rsidRDefault="00846DCB" w:rsidP="00846DC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 w:rsidRPr="00846DCB">
        <w:rPr>
          <w:rFonts w:ascii="Times New Roman" w:hAnsi="Times New Roman" w:cs="Times New Roman"/>
          <w:sz w:val="23"/>
          <w:szCs w:val="23"/>
        </w:rPr>
        <w:t>provedení s rozměry 15,2 x 15,2 cm</w:t>
      </w:r>
    </w:p>
    <w:p w:rsidR="00846DCB" w:rsidRPr="00846DCB" w:rsidRDefault="00846DCB" w:rsidP="00846DC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 w:rsidRPr="00E95542">
        <w:rPr>
          <w:rFonts w:ascii="Times New Roman" w:hAnsi="Times New Roman" w:cs="Times New Roman"/>
          <w:b/>
          <w:sz w:val="24"/>
          <w:szCs w:val="24"/>
        </w:rPr>
        <w:t xml:space="preserve">· </w:t>
      </w:r>
      <w:r w:rsidRPr="00E95542">
        <w:rPr>
          <w:rFonts w:ascii="Times New Roman" w:hAnsi="Times New Roman" w:cs="Times New Roman"/>
          <w:b/>
          <w:sz w:val="23"/>
          <w:szCs w:val="23"/>
        </w:rPr>
        <w:t>2 ks</w:t>
      </w:r>
      <w:r w:rsidRPr="00846DCB">
        <w:rPr>
          <w:rFonts w:ascii="Times New Roman" w:hAnsi="Times New Roman" w:cs="Times New Roman"/>
          <w:sz w:val="23"/>
          <w:szCs w:val="23"/>
        </w:rPr>
        <w:t xml:space="preserve"> čtvercové sklopné základny s okem – prvek pro založení sestavy podpěrných tyčí,</w:t>
      </w:r>
    </w:p>
    <w:p w:rsidR="00846DCB" w:rsidRPr="00846DCB" w:rsidRDefault="00846DCB" w:rsidP="00846DC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 w:rsidRPr="00846DCB">
        <w:rPr>
          <w:rFonts w:ascii="Times New Roman" w:hAnsi="Times New Roman" w:cs="Times New Roman"/>
          <w:sz w:val="23"/>
          <w:szCs w:val="23"/>
        </w:rPr>
        <w:t>otočné provedení s bočním náklonem do 20°, osazena záchytným okem s rozměry 15,2 x</w:t>
      </w:r>
    </w:p>
    <w:p w:rsidR="00846DCB" w:rsidRPr="00846DCB" w:rsidRDefault="00846DCB" w:rsidP="00846DC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 w:rsidRPr="00846DCB">
        <w:rPr>
          <w:rFonts w:ascii="Times New Roman" w:hAnsi="Times New Roman" w:cs="Times New Roman"/>
          <w:sz w:val="23"/>
          <w:szCs w:val="23"/>
        </w:rPr>
        <w:t>15,2 cm</w:t>
      </w:r>
    </w:p>
    <w:p w:rsidR="00846DCB" w:rsidRPr="00846DCB" w:rsidRDefault="00846DCB" w:rsidP="00846DC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 w:rsidRPr="00846DCB">
        <w:rPr>
          <w:rFonts w:ascii="Times New Roman" w:hAnsi="Times New Roman" w:cs="Times New Roman"/>
          <w:sz w:val="24"/>
          <w:szCs w:val="24"/>
        </w:rPr>
        <w:t xml:space="preserve">· </w:t>
      </w:r>
      <w:r w:rsidRPr="00E95542">
        <w:rPr>
          <w:rFonts w:ascii="Times New Roman" w:hAnsi="Times New Roman" w:cs="Times New Roman"/>
          <w:b/>
          <w:sz w:val="24"/>
          <w:szCs w:val="24"/>
        </w:rPr>
        <w:t>2 ks</w:t>
      </w:r>
      <w:r w:rsidRPr="00846DCB">
        <w:rPr>
          <w:rFonts w:ascii="Times New Roman" w:hAnsi="Times New Roman" w:cs="Times New Roman"/>
          <w:sz w:val="24"/>
          <w:szCs w:val="24"/>
        </w:rPr>
        <w:t xml:space="preserve"> </w:t>
      </w:r>
      <w:r w:rsidRPr="00846DCB">
        <w:rPr>
          <w:rFonts w:ascii="Times New Roman" w:hAnsi="Times New Roman" w:cs="Times New Roman"/>
          <w:sz w:val="23"/>
          <w:szCs w:val="23"/>
        </w:rPr>
        <w:t>koncovek tyčí s půlkulatým zakřivením – protiskluzná dosedací plochá pro přesné</w:t>
      </w:r>
    </w:p>
    <w:p w:rsidR="00846DCB" w:rsidRPr="00846DCB" w:rsidRDefault="00846DCB" w:rsidP="00846DC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 w:rsidRPr="00846DCB">
        <w:rPr>
          <w:rFonts w:ascii="Times New Roman" w:hAnsi="Times New Roman" w:cs="Times New Roman"/>
          <w:sz w:val="23"/>
          <w:szCs w:val="23"/>
        </w:rPr>
        <w:t>ukotvení stabilizačních tyčí na nerovném povrchu</w:t>
      </w:r>
    </w:p>
    <w:p w:rsidR="00846DCB" w:rsidRPr="00846DCB" w:rsidRDefault="00846DCB" w:rsidP="00846DC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 w:rsidRPr="00846DCB">
        <w:rPr>
          <w:rFonts w:ascii="Times New Roman" w:hAnsi="Times New Roman" w:cs="Times New Roman"/>
          <w:sz w:val="24"/>
          <w:szCs w:val="24"/>
        </w:rPr>
        <w:t xml:space="preserve">· </w:t>
      </w:r>
      <w:r w:rsidRPr="00E95542">
        <w:rPr>
          <w:rFonts w:ascii="Times New Roman" w:hAnsi="Times New Roman" w:cs="Times New Roman"/>
          <w:b/>
          <w:sz w:val="23"/>
          <w:szCs w:val="23"/>
        </w:rPr>
        <w:t>6 ks</w:t>
      </w:r>
      <w:r w:rsidRPr="00846DCB">
        <w:rPr>
          <w:rFonts w:ascii="Times New Roman" w:hAnsi="Times New Roman" w:cs="Times New Roman"/>
          <w:sz w:val="23"/>
          <w:szCs w:val="23"/>
        </w:rPr>
        <w:t xml:space="preserve"> čtvercové otočné základny – prvek pro založení sestavy podpěrných tyčí, otočné</w:t>
      </w:r>
    </w:p>
    <w:p w:rsidR="00846DCB" w:rsidRPr="00846DCB" w:rsidRDefault="00846DCB" w:rsidP="00846DC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 w:rsidRPr="00846DCB">
        <w:rPr>
          <w:rFonts w:ascii="Times New Roman" w:hAnsi="Times New Roman" w:cs="Times New Roman"/>
          <w:sz w:val="23"/>
          <w:szCs w:val="23"/>
        </w:rPr>
        <w:t>provedení s bočním náklonem do 20° s rozměry 15,2 x 15,2 cm</w:t>
      </w:r>
    </w:p>
    <w:p w:rsidR="00846DCB" w:rsidRPr="00846DCB" w:rsidRDefault="00846DCB" w:rsidP="00846DC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 w:rsidRPr="00846DCB">
        <w:rPr>
          <w:rFonts w:ascii="Times New Roman" w:hAnsi="Times New Roman" w:cs="Times New Roman"/>
          <w:sz w:val="24"/>
          <w:szCs w:val="24"/>
        </w:rPr>
        <w:t xml:space="preserve">· </w:t>
      </w:r>
      <w:r w:rsidR="00E95542" w:rsidRPr="00E95542">
        <w:rPr>
          <w:rFonts w:ascii="Times New Roman" w:hAnsi="Times New Roman" w:cs="Times New Roman"/>
          <w:b/>
          <w:sz w:val="23"/>
          <w:szCs w:val="23"/>
        </w:rPr>
        <w:t xml:space="preserve">1ks </w:t>
      </w:r>
      <w:r w:rsidRPr="00846DCB">
        <w:rPr>
          <w:rFonts w:ascii="Times New Roman" w:hAnsi="Times New Roman" w:cs="Times New Roman"/>
          <w:sz w:val="23"/>
          <w:szCs w:val="23"/>
        </w:rPr>
        <w:t xml:space="preserve"> redukční ventil pro redukování vysokého tlaku vzduchu z kompozitních</w:t>
      </w:r>
    </w:p>
    <w:p w:rsidR="00846DCB" w:rsidRPr="00846DCB" w:rsidRDefault="00846DCB" w:rsidP="00846DC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 w:rsidRPr="00846DCB">
        <w:rPr>
          <w:rFonts w:ascii="Times New Roman" w:hAnsi="Times New Roman" w:cs="Times New Roman"/>
          <w:sz w:val="23"/>
          <w:szCs w:val="23"/>
        </w:rPr>
        <w:t>tlakových lahví (300 bar) na pracovní tlak potřebný pro podpěrné systémy,</w:t>
      </w:r>
    </w:p>
    <w:p w:rsidR="00846DCB" w:rsidRPr="00846DCB" w:rsidRDefault="00846DCB" w:rsidP="00846DC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 w:rsidRPr="00846DCB">
        <w:rPr>
          <w:rFonts w:ascii="Times New Roman" w:hAnsi="Times New Roman" w:cs="Times New Roman"/>
          <w:sz w:val="24"/>
          <w:szCs w:val="24"/>
        </w:rPr>
        <w:lastRenderedPageBreak/>
        <w:t xml:space="preserve">· </w:t>
      </w:r>
      <w:r w:rsidR="00E95542" w:rsidRPr="00E95542">
        <w:rPr>
          <w:rFonts w:ascii="Times New Roman" w:hAnsi="Times New Roman" w:cs="Times New Roman"/>
          <w:b/>
          <w:sz w:val="23"/>
          <w:szCs w:val="23"/>
        </w:rPr>
        <w:t xml:space="preserve">1ks </w:t>
      </w:r>
      <w:r w:rsidRPr="00846DCB">
        <w:rPr>
          <w:rFonts w:ascii="Times New Roman" w:hAnsi="Times New Roman" w:cs="Times New Roman"/>
          <w:sz w:val="23"/>
          <w:szCs w:val="23"/>
        </w:rPr>
        <w:t>Ovládací jednotka vzduchová: ovládací jednotka pro pneumatické ovládání podpěrných</w:t>
      </w:r>
    </w:p>
    <w:p w:rsidR="00846DCB" w:rsidRPr="00846DCB" w:rsidRDefault="00846DCB" w:rsidP="00846DC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 w:rsidRPr="00846DCB">
        <w:rPr>
          <w:rFonts w:ascii="Times New Roman" w:hAnsi="Times New Roman" w:cs="Times New Roman"/>
          <w:sz w:val="23"/>
          <w:szCs w:val="23"/>
        </w:rPr>
        <w:t>systémů</w:t>
      </w:r>
    </w:p>
    <w:p w:rsidR="00846DCB" w:rsidRPr="00846DCB" w:rsidRDefault="00846DCB" w:rsidP="00846DC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46DCB">
        <w:rPr>
          <w:rFonts w:ascii="Times New Roman" w:hAnsi="Times New Roman" w:cs="Times New Roman"/>
          <w:sz w:val="24"/>
          <w:szCs w:val="24"/>
        </w:rPr>
        <w:t xml:space="preserve">· </w:t>
      </w:r>
      <w:r w:rsidRPr="00E95542">
        <w:rPr>
          <w:rFonts w:ascii="Times New Roman" w:hAnsi="Times New Roman" w:cs="Times New Roman"/>
          <w:b/>
          <w:sz w:val="24"/>
          <w:szCs w:val="24"/>
        </w:rPr>
        <w:t>1 ks</w:t>
      </w:r>
      <w:r w:rsidRPr="00846DCB">
        <w:rPr>
          <w:rFonts w:ascii="Times New Roman" w:hAnsi="Times New Roman" w:cs="Times New Roman"/>
          <w:sz w:val="24"/>
          <w:szCs w:val="24"/>
        </w:rPr>
        <w:t xml:space="preserve"> dvojcestné rozdvojky – slouží na napojení 2 hadic do jednoho vstupu ovládací</w:t>
      </w:r>
    </w:p>
    <w:p w:rsidR="00846DCB" w:rsidRPr="00846DCB" w:rsidRDefault="00846DCB" w:rsidP="00846DC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46DCB">
        <w:rPr>
          <w:rFonts w:ascii="Times New Roman" w:hAnsi="Times New Roman" w:cs="Times New Roman"/>
          <w:sz w:val="24"/>
          <w:szCs w:val="24"/>
        </w:rPr>
        <w:t>jednotky</w:t>
      </w:r>
    </w:p>
    <w:p w:rsidR="00846DCB" w:rsidRPr="00846DCB" w:rsidRDefault="00846DCB" w:rsidP="00846DC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 w:rsidRPr="00846DCB">
        <w:rPr>
          <w:rFonts w:ascii="Times New Roman" w:hAnsi="Times New Roman" w:cs="Times New Roman"/>
          <w:sz w:val="24"/>
          <w:szCs w:val="24"/>
        </w:rPr>
        <w:t xml:space="preserve">· </w:t>
      </w:r>
      <w:r w:rsidRPr="00E95542">
        <w:rPr>
          <w:rFonts w:ascii="Times New Roman" w:hAnsi="Times New Roman" w:cs="Times New Roman"/>
          <w:b/>
          <w:sz w:val="23"/>
          <w:szCs w:val="23"/>
        </w:rPr>
        <w:t>3 ks</w:t>
      </w:r>
      <w:r w:rsidRPr="00846DCB">
        <w:rPr>
          <w:rFonts w:ascii="Times New Roman" w:hAnsi="Times New Roman" w:cs="Times New Roman"/>
          <w:sz w:val="23"/>
          <w:szCs w:val="23"/>
        </w:rPr>
        <w:t xml:space="preserve"> vzduchové hadice k podpěrným tyčím: slouží pro připojení podpěrných tyčí, ovládací</w:t>
      </w:r>
    </w:p>
    <w:p w:rsidR="00846DCB" w:rsidRPr="00846DCB" w:rsidRDefault="00846DCB" w:rsidP="00846DC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 w:rsidRPr="00846DCB">
        <w:rPr>
          <w:rFonts w:ascii="Times New Roman" w:hAnsi="Times New Roman" w:cs="Times New Roman"/>
          <w:sz w:val="23"/>
          <w:szCs w:val="23"/>
        </w:rPr>
        <w:t>jednotky a redukčního ventilu, různé délky (5 a 10 m) a barvy pro usnadnění obsluhy</w:t>
      </w:r>
    </w:p>
    <w:p w:rsidR="00846DCB" w:rsidRPr="00846DCB" w:rsidRDefault="00846DCB" w:rsidP="00846DC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46DCB">
        <w:rPr>
          <w:rFonts w:ascii="Times New Roman" w:hAnsi="Times New Roman" w:cs="Times New Roman"/>
          <w:sz w:val="24"/>
          <w:szCs w:val="24"/>
        </w:rPr>
        <w:t xml:space="preserve">· </w:t>
      </w:r>
      <w:r w:rsidRPr="00E95542">
        <w:rPr>
          <w:rFonts w:ascii="Times New Roman" w:hAnsi="Times New Roman" w:cs="Times New Roman"/>
          <w:b/>
          <w:sz w:val="24"/>
          <w:szCs w:val="24"/>
        </w:rPr>
        <w:t>2 ks</w:t>
      </w:r>
      <w:r w:rsidRPr="00846DCB">
        <w:rPr>
          <w:rFonts w:ascii="Times New Roman" w:hAnsi="Times New Roman" w:cs="Times New Roman"/>
          <w:sz w:val="24"/>
          <w:szCs w:val="24"/>
        </w:rPr>
        <w:t xml:space="preserve"> univerzálního klíče – kladiva – slouží k zajištění stabilizačních tyčí a dalším</w:t>
      </w:r>
    </w:p>
    <w:p w:rsidR="003727EC" w:rsidRPr="00846DCB" w:rsidRDefault="00846DCB" w:rsidP="00846DCB">
      <w:pPr>
        <w:rPr>
          <w:rFonts w:ascii="Times New Roman" w:hAnsi="Times New Roman" w:cs="Times New Roman"/>
        </w:rPr>
      </w:pPr>
      <w:r w:rsidRPr="00846DCB">
        <w:rPr>
          <w:rFonts w:ascii="Times New Roman" w:hAnsi="Times New Roman" w:cs="Times New Roman"/>
          <w:sz w:val="24"/>
          <w:szCs w:val="24"/>
        </w:rPr>
        <w:t>činnostem určených pro práci s kladivem</w:t>
      </w:r>
    </w:p>
    <w:sectPr w:rsidR="003727EC" w:rsidRPr="00846DCB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46B1" w:rsidRDefault="003346B1" w:rsidP="003346B1">
      <w:pPr>
        <w:spacing w:after="0" w:line="240" w:lineRule="auto"/>
      </w:pPr>
      <w:r>
        <w:separator/>
      </w:r>
    </w:p>
  </w:endnote>
  <w:endnote w:type="continuationSeparator" w:id="0">
    <w:p w:rsidR="003346B1" w:rsidRDefault="003346B1" w:rsidP="003346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88926510"/>
      <w:docPartObj>
        <w:docPartGallery w:val="Page Numbers (Bottom of Page)"/>
        <w:docPartUnique/>
      </w:docPartObj>
    </w:sdtPr>
    <w:sdtContent>
      <w:p w:rsidR="003346B1" w:rsidRDefault="003346B1">
        <w:pPr>
          <w:pStyle w:val="Zpat"/>
        </w:pPr>
        <w:r>
          <w:t xml:space="preserve">Stránka | </w:t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DE6F51">
          <w:rPr>
            <w:noProof/>
          </w:rPr>
          <w:t>1</w:t>
        </w:r>
        <w:r>
          <w:fldChar w:fldCharType="end"/>
        </w:r>
      </w:p>
    </w:sdtContent>
  </w:sdt>
  <w:p w:rsidR="003346B1" w:rsidRDefault="003346B1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46B1" w:rsidRDefault="003346B1" w:rsidP="003346B1">
      <w:pPr>
        <w:spacing w:after="0" w:line="240" w:lineRule="auto"/>
      </w:pPr>
      <w:r>
        <w:separator/>
      </w:r>
    </w:p>
  </w:footnote>
  <w:footnote w:type="continuationSeparator" w:id="0">
    <w:p w:rsidR="003346B1" w:rsidRDefault="003346B1" w:rsidP="003346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46B1" w:rsidRPr="00CC0BD9" w:rsidRDefault="003346B1" w:rsidP="003346B1">
    <w:pPr>
      <w:pStyle w:val="Zhlav"/>
      <w:rPr>
        <w:sz w:val="18"/>
        <w:szCs w:val="18"/>
      </w:rPr>
    </w:pPr>
    <w:r w:rsidRPr="00CC0BD9">
      <w:rPr>
        <w:sz w:val="18"/>
        <w:szCs w:val="18"/>
      </w:rPr>
      <w:t>P</w:t>
    </w:r>
    <w:r>
      <w:rPr>
        <w:sz w:val="18"/>
        <w:szCs w:val="18"/>
      </w:rPr>
      <w:t xml:space="preserve">říloha </w:t>
    </w:r>
    <w:proofErr w:type="gramStart"/>
    <w:r>
      <w:rPr>
        <w:sz w:val="18"/>
        <w:szCs w:val="18"/>
      </w:rPr>
      <w:t>č.1 Výzvy</w:t>
    </w:r>
    <w:proofErr w:type="gramEnd"/>
    <w:r>
      <w:rPr>
        <w:sz w:val="18"/>
        <w:szCs w:val="18"/>
      </w:rPr>
      <w:t xml:space="preserve"> - detailní specifikace</w:t>
    </w:r>
    <w:r w:rsidRPr="00CC0BD9">
      <w:rPr>
        <w:sz w:val="18"/>
        <w:szCs w:val="18"/>
      </w:rPr>
      <w:tab/>
    </w:r>
    <w:r w:rsidRPr="00CC0BD9">
      <w:rPr>
        <w:sz w:val="18"/>
        <w:szCs w:val="18"/>
      </w:rPr>
      <w:tab/>
      <w:t xml:space="preserve">č.j. : </w:t>
    </w:r>
    <w:r w:rsidR="00DE6F51">
      <w:rPr>
        <w:sz w:val="18"/>
        <w:szCs w:val="18"/>
      </w:rPr>
      <w:t>6217</w:t>
    </w:r>
    <w:r w:rsidRPr="00CC0BD9">
      <w:rPr>
        <w:sz w:val="18"/>
        <w:szCs w:val="18"/>
      </w:rPr>
      <w:t>/2019-SŽDC-HZS-OE</w:t>
    </w:r>
  </w:p>
  <w:p w:rsidR="003346B1" w:rsidRDefault="003346B1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6DCB"/>
    <w:rsid w:val="00127826"/>
    <w:rsid w:val="003346B1"/>
    <w:rsid w:val="003727EC"/>
    <w:rsid w:val="00846DCB"/>
    <w:rsid w:val="00BF6A6B"/>
    <w:rsid w:val="00DE6F51"/>
    <w:rsid w:val="00E068D1"/>
    <w:rsid w:val="00E95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Verdana" w:eastAsiaTheme="minorHAnsi" w:hAnsi="Verdana" w:cstheme="minorBidi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F6A6B"/>
  </w:style>
  <w:style w:type="paragraph" w:styleId="Nadpis1">
    <w:name w:val="heading 1"/>
    <w:basedOn w:val="Normln"/>
    <w:next w:val="Normln"/>
    <w:link w:val="Nadpis1Char"/>
    <w:uiPriority w:val="9"/>
    <w:qFormat/>
    <w:rsid w:val="00BF6A6B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BF6A6B"/>
    <w:pPr>
      <w:keepNext/>
      <w:keepLines/>
      <w:spacing w:before="200" w:after="0"/>
      <w:outlineLvl w:val="1"/>
    </w:pPr>
    <w:rPr>
      <w:rFonts w:eastAsiaTheme="majorEastAsia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127826"/>
    <w:pPr>
      <w:keepNext/>
      <w:keepLines/>
      <w:spacing w:before="200" w:after="0"/>
      <w:outlineLvl w:val="2"/>
    </w:pPr>
    <w:rPr>
      <w:rFonts w:eastAsiaTheme="majorEastAsia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127826"/>
    <w:pPr>
      <w:keepNext/>
      <w:keepLines/>
      <w:spacing w:before="200" w:after="0"/>
      <w:outlineLvl w:val="3"/>
    </w:pPr>
    <w:rPr>
      <w:rFonts w:eastAsiaTheme="majorEastAsia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127826"/>
    <w:pPr>
      <w:keepNext/>
      <w:keepLines/>
      <w:spacing w:before="200" w:after="0"/>
      <w:outlineLvl w:val="4"/>
    </w:pPr>
    <w:rPr>
      <w:rFonts w:eastAsiaTheme="majorEastAsia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unhideWhenUsed/>
    <w:qFormat/>
    <w:rsid w:val="00127826"/>
    <w:pPr>
      <w:keepNext/>
      <w:keepLines/>
      <w:spacing w:before="200" w:after="0"/>
      <w:outlineLvl w:val="5"/>
    </w:pPr>
    <w:rPr>
      <w:rFonts w:eastAsiaTheme="majorEastAsia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127826"/>
    <w:pPr>
      <w:keepNext/>
      <w:keepLines/>
      <w:spacing w:before="200" w:after="0"/>
      <w:outlineLvl w:val="6"/>
    </w:pPr>
    <w:rPr>
      <w:rFonts w:eastAsiaTheme="majorEastAsia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unhideWhenUsed/>
    <w:qFormat/>
    <w:rsid w:val="00127826"/>
    <w:pPr>
      <w:keepNext/>
      <w:keepLines/>
      <w:spacing w:before="200" w:after="0"/>
      <w:outlineLvl w:val="7"/>
    </w:pPr>
    <w:rPr>
      <w:rFonts w:eastAsiaTheme="majorEastAsia" w:cstheme="majorBidi"/>
      <w:color w:val="404040" w:themeColor="text1" w:themeTint="BF"/>
      <w:szCs w:val="20"/>
    </w:rPr>
  </w:style>
  <w:style w:type="paragraph" w:styleId="Nadpis9">
    <w:name w:val="heading 9"/>
    <w:basedOn w:val="Normln"/>
    <w:next w:val="Normln"/>
    <w:link w:val="Nadpis9Char"/>
    <w:uiPriority w:val="9"/>
    <w:unhideWhenUsed/>
    <w:qFormat/>
    <w:rsid w:val="00127826"/>
    <w:pPr>
      <w:keepNext/>
      <w:keepLines/>
      <w:spacing w:before="200" w:after="0"/>
      <w:outlineLvl w:val="8"/>
    </w:pPr>
    <w:rPr>
      <w:rFonts w:eastAsiaTheme="majorEastAsia" w:cstheme="majorBidi"/>
      <w:i/>
      <w:iCs/>
      <w:color w:val="404040" w:themeColor="text1" w:themeTint="BF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BF6A6B"/>
    <w:rPr>
      <w:rFonts w:ascii="Verdana" w:eastAsiaTheme="majorEastAsia" w:hAnsi="Verdana" w:cstheme="majorBidi"/>
      <w:b/>
      <w:bCs/>
      <w:color w:val="365F91" w:themeColor="accent1" w:themeShade="BF"/>
      <w:sz w:val="28"/>
      <w:szCs w:val="28"/>
    </w:rPr>
  </w:style>
  <w:style w:type="paragraph" w:styleId="Bezmezer">
    <w:name w:val="No Spacing"/>
    <w:uiPriority w:val="1"/>
    <w:qFormat/>
    <w:rsid w:val="00BF6A6B"/>
    <w:pPr>
      <w:spacing w:after="0" w:line="240" w:lineRule="auto"/>
    </w:pPr>
  </w:style>
  <w:style w:type="character" w:customStyle="1" w:styleId="Nadpis2Char">
    <w:name w:val="Nadpis 2 Char"/>
    <w:basedOn w:val="Standardnpsmoodstavce"/>
    <w:link w:val="Nadpis2"/>
    <w:uiPriority w:val="9"/>
    <w:semiHidden/>
    <w:rsid w:val="00BF6A6B"/>
    <w:rPr>
      <w:rFonts w:ascii="Verdana" w:eastAsiaTheme="majorEastAsia" w:hAnsi="Verdana" w:cstheme="majorBidi"/>
      <w:b/>
      <w:bCs/>
      <w:color w:val="4F81BD" w:themeColor="accent1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BF6A6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BF6A6B"/>
    <w:rPr>
      <w:rFonts w:ascii="Verdana" w:eastAsiaTheme="majorEastAsia" w:hAnsi="Verdana" w:cstheme="majorBidi"/>
      <w:color w:val="17365D" w:themeColor="text2" w:themeShade="BF"/>
      <w:spacing w:val="5"/>
      <w:kern w:val="28"/>
      <w:sz w:val="52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BF6A6B"/>
    <w:pPr>
      <w:numPr>
        <w:ilvl w:val="1"/>
      </w:numPr>
    </w:pPr>
    <w:rPr>
      <w:rFonts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BF6A6B"/>
    <w:rPr>
      <w:rFonts w:ascii="Verdana" w:eastAsiaTheme="majorEastAsia" w:hAnsi="Verdana" w:cstheme="majorBidi"/>
      <w:i/>
      <w:iCs/>
      <w:color w:val="4F81BD" w:themeColor="accent1"/>
      <w:spacing w:val="15"/>
      <w:sz w:val="24"/>
      <w:szCs w:val="24"/>
    </w:rPr>
  </w:style>
  <w:style w:type="paragraph" w:styleId="Citt">
    <w:name w:val="Quote"/>
    <w:basedOn w:val="Normln"/>
    <w:next w:val="Normln"/>
    <w:link w:val="CittChar"/>
    <w:uiPriority w:val="29"/>
    <w:qFormat/>
    <w:rsid w:val="00BF6A6B"/>
    <w:rPr>
      <w:i/>
      <w:iCs/>
      <w:color w:val="000000" w:themeColor="text1"/>
    </w:rPr>
  </w:style>
  <w:style w:type="character" w:customStyle="1" w:styleId="CittChar">
    <w:name w:val="Citát Char"/>
    <w:basedOn w:val="Standardnpsmoodstavce"/>
    <w:link w:val="Citt"/>
    <w:uiPriority w:val="29"/>
    <w:rsid w:val="00BF6A6B"/>
    <w:rPr>
      <w:rFonts w:ascii="Verdana" w:hAnsi="Verdana"/>
      <w:i/>
      <w:iCs/>
      <w:color w:val="000000" w:themeColor="text1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BF6A6B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BF6A6B"/>
    <w:rPr>
      <w:rFonts w:ascii="Verdana" w:hAnsi="Verdana"/>
      <w:b/>
      <w:bCs/>
      <w:i/>
      <w:iCs/>
      <w:color w:val="4F81BD" w:themeColor="accent1"/>
    </w:rPr>
  </w:style>
  <w:style w:type="paragraph" w:styleId="Odstavecseseznamem">
    <w:name w:val="List Paragraph"/>
    <w:basedOn w:val="Normln"/>
    <w:uiPriority w:val="34"/>
    <w:qFormat/>
    <w:rsid w:val="00BF6A6B"/>
    <w:pPr>
      <w:ind w:left="720"/>
      <w:contextualSpacing/>
    </w:pPr>
  </w:style>
  <w:style w:type="character" w:customStyle="1" w:styleId="Nadpis3Char">
    <w:name w:val="Nadpis 3 Char"/>
    <w:basedOn w:val="Standardnpsmoodstavce"/>
    <w:link w:val="Nadpis3"/>
    <w:uiPriority w:val="9"/>
    <w:rsid w:val="00127826"/>
    <w:rPr>
      <w:rFonts w:eastAsiaTheme="majorEastAsia" w:cstheme="majorBidi"/>
      <w:b/>
      <w:bCs/>
      <w:color w:val="4F81BD" w:themeColor="accent1"/>
    </w:rPr>
  </w:style>
  <w:style w:type="character" w:customStyle="1" w:styleId="Nadpis4Char">
    <w:name w:val="Nadpis 4 Char"/>
    <w:basedOn w:val="Standardnpsmoodstavce"/>
    <w:link w:val="Nadpis4"/>
    <w:uiPriority w:val="9"/>
    <w:rsid w:val="00127826"/>
    <w:rPr>
      <w:rFonts w:eastAsiaTheme="majorEastAsia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rsid w:val="00127826"/>
    <w:rPr>
      <w:rFonts w:eastAsiaTheme="majorEastAsia" w:cstheme="majorBidi"/>
      <w:color w:val="243F60" w:themeColor="accent1" w:themeShade="7F"/>
    </w:rPr>
  </w:style>
  <w:style w:type="character" w:customStyle="1" w:styleId="Nadpis6Char">
    <w:name w:val="Nadpis 6 Char"/>
    <w:basedOn w:val="Standardnpsmoodstavce"/>
    <w:link w:val="Nadpis6"/>
    <w:uiPriority w:val="9"/>
    <w:rsid w:val="00127826"/>
    <w:rPr>
      <w:rFonts w:eastAsiaTheme="majorEastAsia" w:cstheme="majorBidi"/>
      <w:i/>
      <w:iCs/>
      <w:color w:val="243F60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127826"/>
    <w:rPr>
      <w:rFonts w:eastAsiaTheme="majorEastAsia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Standardnpsmoodstavce"/>
    <w:link w:val="Nadpis8"/>
    <w:uiPriority w:val="9"/>
    <w:rsid w:val="00127826"/>
    <w:rPr>
      <w:rFonts w:eastAsiaTheme="majorEastAsia" w:cstheme="majorBidi"/>
      <w:color w:val="404040" w:themeColor="text1" w:themeTint="BF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rsid w:val="00127826"/>
    <w:rPr>
      <w:rFonts w:eastAsiaTheme="majorEastAsia" w:cstheme="majorBidi"/>
      <w:i/>
      <w:iCs/>
      <w:color w:val="404040" w:themeColor="text1" w:themeTint="BF"/>
      <w:szCs w:val="20"/>
    </w:rPr>
  </w:style>
  <w:style w:type="paragraph" w:styleId="Zhlav">
    <w:name w:val="header"/>
    <w:basedOn w:val="Normln"/>
    <w:link w:val="ZhlavChar"/>
    <w:uiPriority w:val="99"/>
    <w:unhideWhenUsed/>
    <w:rsid w:val="003346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346B1"/>
  </w:style>
  <w:style w:type="paragraph" w:styleId="Zpat">
    <w:name w:val="footer"/>
    <w:basedOn w:val="Normln"/>
    <w:link w:val="ZpatChar"/>
    <w:uiPriority w:val="99"/>
    <w:unhideWhenUsed/>
    <w:rsid w:val="003346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346B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Verdana" w:eastAsiaTheme="minorHAnsi" w:hAnsi="Verdana" w:cstheme="minorBidi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F6A6B"/>
  </w:style>
  <w:style w:type="paragraph" w:styleId="Nadpis1">
    <w:name w:val="heading 1"/>
    <w:basedOn w:val="Normln"/>
    <w:next w:val="Normln"/>
    <w:link w:val="Nadpis1Char"/>
    <w:uiPriority w:val="9"/>
    <w:qFormat/>
    <w:rsid w:val="00BF6A6B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BF6A6B"/>
    <w:pPr>
      <w:keepNext/>
      <w:keepLines/>
      <w:spacing w:before="200" w:after="0"/>
      <w:outlineLvl w:val="1"/>
    </w:pPr>
    <w:rPr>
      <w:rFonts w:eastAsiaTheme="majorEastAsia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127826"/>
    <w:pPr>
      <w:keepNext/>
      <w:keepLines/>
      <w:spacing w:before="200" w:after="0"/>
      <w:outlineLvl w:val="2"/>
    </w:pPr>
    <w:rPr>
      <w:rFonts w:eastAsiaTheme="majorEastAsia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127826"/>
    <w:pPr>
      <w:keepNext/>
      <w:keepLines/>
      <w:spacing w:before="200" w:after="0"/>
      <w:outlineLvl w:val="3"/>
    </w:pPr>
    <w:rPr>
      <w:rFonts w:eastAsiaTheme="majorEastAsia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127826"/>
    <w:pPr>
      <w:keepNext/>
      <w:keepLines/>
      <w:spacing w:before="200" w:after="0"/>
      <w:outlineLvl w:val="4"/>
    </w:pPr>
    <w:rPr>
      <w:rFonts w:eastAsiaTheme="majorEastAsia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unhideWhenUsed/>
    <w:qFormat/>
    <w:rsid w:val="00127826"/>
    <w:pPr>
      <w:keepNext/>
      <w:keepLines/>
      <w:spacing w:before="200" w:after="0"/>
      <w:outlineLvl w:val="5"/>
    </w:pPr>
    <w:rPr>
      <w:rFonts w:eastAsiaTheme="majorEastAsia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127826"/>
    <w:pPr>
      <w:keepNext/>
      <w:keepLines/>
      <w:spacing w:before="200" w:after="0"/>
      <w:outlineLvl w:val="6"/>
    </w:pPr>
    <w:rPr>
      <w:rFonts w:eastAsiaTheme="majorEastAsia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unhideWhenUsed/>
    <w:qFormat/>
    <w:rsid w:val="00127826"/>
    <w:pPr>
      <w:keepNext/>
      <w:keepLines/>
      <w:spacing w:before="200" w:after="0"/>
      <w:outlineLvl w:val="7"/>
    </w:pPr>
    <w:rPr>
      <w:rFonts w:eastAsiaTheme="majorEastAsia" w:cstheme="majorBidi"/>
      <w:color w:val="404040" w:themeColor="text1" w:themeTint="BF"/>
      <w:szCs w:val="20"/>
    </w:rPr>
  </w:style>
  <w:style w:type="paragraph" w:styleId="Nadpis9">
    <w:name w:val="heading 9"/>
    <w:basedOn w:val="Normln"/>
    <w:next w:val="Normln"/>
    <w:link w:val="Nadpis9Char"/>
    <w:uiPriority w:val="9"/>
    <w:unhideWhenUsed/>
    <w:qFormat/>
    <w:rsid w:val="00127826"/>
    <w:pPr>
      <w:keepNext/>
      <w:keepLines/>
      <w:spacing w:before="200" w:after="0"/>
      <w:outlineLvl w:val="8"/>
    </w:pPr>
    <w:rPr>
      <w:rFonts w:eastAsiaTheme="majorEastAsia" w:cstheme="majorBidi"/>
      <w:i/>
      <w:iCs/>
      <w:color w:val="404040" w:themeColor="text1" w:themeTint="BF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BF6A6B"/>
    <w:rPr>
      <w:rFonts w:ascii="Verdana" w:eastAsiaTheme="majorEastAsia" w:hAnsi="Verdana" w:cstheme="majorBidi"/>
      <w:b/>
      <w:bCs/>
      <w:color w:val="365F91" w:themeColor="accent1" w:themeShade="BF"/>
      <w:sz w:val="28"/>
      <w:szCs w:val="28"/>
    </w:rPr>
  </w:style>
  <w:style w:type="paragraph" w:styleId="Bezmezer">
    <w:name w:val="No Spacing"/>
    <w:uiPriority w:val="1"/>
    <w:qFormat/>
    <w:rsid w:val="00BF6A6B"/>
    <w:pPr>
      <w:spacing w:after="0" w:line="240" w:lineRule="auto"/>
    </w:pPr>
  </w:style>
  <w:style w:type="character" w:customStyle="1" w:styleId="Nadpis2Char">
    <w:name w:val="Nadpis 2 Char"/>
    <w:basedOn w:val="Standardnpsmoodstavce"/>
    <w:link w:val="Nadpis2"/>
    <w:uiPriority w:val="9"/>
    <w:semiHidden/>
    <w:rsid w:val="00BF6A6B"/>
    <w:rPr>
      <w:rFonts w:ascii="Verdana" w:eastAsiaTheme="majorEastAsia" w:hAnsi="Verdana" w:cstheme="majorBidi"/>
      <w:b/>
      <w:bCs/>
      <w:color w:val="4F81BD" w:themeColor="accent1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BF6A6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BF6A6B"/>
    <w:rPr>
      <w:rFonts w:ascii="Verdana" w:eastAsiaTheme="majorEastAsia" w:hAnsi="Verdana" w:cstheme="majorBidi"/>
      <w:color w:val="17365D" w:themeColor="text2" w:themeShade="BF"/>
      <w:spacing w:val="5"/>
      <w:kern w:val="28"/>
      <w:sz w:val="52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BF6A6B"/>
    <w:pPr>
      <w:numPr>
        <w:ilvl w:val="1"/>
      </w:numPr>
    </w:pPr>
    <w:rPr>
      <w:rFonts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BF6A6B"/>
    <w:rPr>
      <w:rFonts w:ascii="Verdana" w:eastAsiaTheme="majorEastAsia" w:hAnsi="Verdana" w:cstheme="majorBidi"/>
      <w:i/>
      <w:iCs/>
      <w:color w:val="4F81BD" w:themeColor="accent1"/>
      <w:spacing w:val="15"/>
      <w:sz w:val="24"/>
      <w:szCs w:val="24"/>
    </w:rPr>
  </w:style>
  <w:style w:type="paragraph" w:styleId="Citt">
    <w:name w:val="Quote"/>
    <w:basedOn w:val="Normln"/>
    <w:next w:val="Normln"/>
    <w:link w:val="CittChar"/>
    <w:uiPriority w:val="29"/>
    <w:qFormat/>
    <w:rsid w:val="00BF6A6B"/>
    <w:rPr>
      <w:i/>
      <w:iCs/>
      <w:color w:val="000000" w:themeColor="text1"/>
    </w:rPr>
  </w:style>
  <w:style w:type="character" w:customStyle="1" w:styleId="CittChar">
    <w:name w:val="Citát Char"/>
    <w:basedOn w:val="Standardnpsmoodstavce"/>
    <w:link w:val="Citt"/>
    <w:uiPriority w:val="29"/>
    <w:rsid w:val="00BF6A6B"/>
    <w:rPr>
      <w:rFonts w:ascii="Verdana" w:hAnsi="Verdana"/>
      <w:i/>
      <w:iCs/>
      <w:color w:val="000000" w:themeColor="text1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BF6A6B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BF6A6B"/>
    <w:rPr>
      <w:rFonts w:ascii="Verdana" w:hAnsi="Verdana"/>
      <w:b/>
      <w:bCs/>
      <w:i/>
      <w:iCs/>
      <w:color w:val="4F81BD" w:themeColor="accent1"/>
    </w:rPr>
  </w:style>
  <w:style w:type="paragraph" w:styleId="Odstavecseseznamem">
    <w:name w:val="List Paragraph"/>
    <w:basedOn w:val="Normln"/>
    <w:uiPriority w:val="34"/>
    <w:qFormat/>
    <w:rsid w:val="00BF6A6B"/>
    <w:pPr>
      <w:ind w:left="720"/>
      <w:contextualSpacing/>
    </w:pPr>
  </w:style>
  <w:style w:type="character" w:customStyle="1" w:styleId="Nadpis3Char">
    <w:name w:val="Nadpis 3 Char"/>
    <w:basedOn w:val="Standardnpsmoodstavce"/>
    <w:link w:val="Nadpis3"/>
    <w:uiPriority w:val="9"/>
    <w:rsid w:val="00127826"/>
    <w:rPr>
      <w:rFonts w:eastAsiaTheme="majorEastAsia" w:cstheme="majorBidi"/>
      <w:b/>
      <w:bCs/>
      <w:color w:val="4F81BD" w:themeColor="accent1"/>
    </w:rPr>
  </w:style>
  <w:style w:type="character" w:customStyle="1" w:styleId="Nadpis4Char">
    <w:name w:val="Nadpis 4 Char"/>
    <w:basedOn w:val="Standardnpsmoodstavce"/>
    <w:link w:val="Nadpis4"/>
    <w:uiPriority w:val="9"/>
    <w:rsid w:val="00127826"/>
    <w:rPr>
      <w:rFonts w:eastAsiaTheme="majorEastAsia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rsid w:val="00127826"/>
    <w:rPr>
      <w:rFonts w:eastAsiaTheme="majorEastAsia" w:cstheme="majorBidi"/>
      <w:color w:val="243F60" w:themeColor="accent1" w:themeShade="7F"/>
    </w:rPr>
  </w:style>
  <w:style w:type="character" w:customStyle="1" w:styleId="Nadpis6Char">
    <w:name w:val="Nadpis 6 Char"/>
    <w:basedOn w:val="Standardnpsmoodstavce"/>
    <w:link w:val="Nadpis6"/>
    <w:uiPriority w:val="9"/>
    <w:rsid w:val="00127826"/>
    <w:rPr>
      <w:rFonts w:eastAsiaTheme="majorEastAsia" w:cstheme="majorBidi"/>
      <w:i/>
      <w:iCs/>
      <w:color w:val="243F60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127826"/>
    <w:rPr>
      <w:rFonts w:eastAsiaTheme="majorEastAsia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Standardnpsmoodstavce"/>
    <w:link w:val="Nadpis8"/>
    <w:uiPriority w:val="9"/>
    <w:rsid w:val="00127826"/>
    <w:rPr>
      <w:rFonts w:eastAsiaTheme="majorEastAsia" w:cstheme="majorBidi"/>
      <w:color w:val="404040" w:themeColor="text1" w:themeTint="BF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rsid w:val="00127826"/>
    <w:rPr>
      <w:rFonts w:eastAsiaTheme="majorEastAsia" w:cstheme="majorBidi"/>
      <w:i/>
      <w:iCs/>
      <w:color w:val="404040" w:themeColor="text1" w:themeTint="BF"/>
      <w:szCs w:val="20"/>
    </w:rPr>
  </w:style>
  <w:style w:type="paragraph" w:styleId="Zhlav">
    <w:name w:val="header"/>
    <w:basedOn w:val="Normln"/>
    <w:link w:val="ZhlavChar"/>
    <w:uiPriority w:val="99"/>
    <w:unhideWhenUsed/>
    <w:rsid w:val="003346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346B1"/>
  </w:style>
  <w:style w:type="paragraph" w:styleId="Zpat">
    <w:name w:val="footer"/>
    <w:basedOn w:val="Normln"/>
    <w:link w:val="ZpatChar"/>
    <w:uiPriority w:val="99"/>
    <w:unhideWhenUsed/>
    <w:rsid w:val="003346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346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557EAA-333F-4C24-9E8F-AD879CC07B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509</Words>
  <Characters>3007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Dušek Bohumil</dc:creator>
  <cp:lastModifiedBy>Půlpán Jiří</cp:lastModifiedBy>
  <cp:revision>2</cp:revision>
  <cp:lastPrinted>2019-08-28T12:03:00Z</cp:lastPrinted>
  <dcterms:created xsi:type="dcterms:W3CDTF">2019-08-28T12:04:00Z</dcterms:created>
  <dcterms:modified xsi:type="dcterms:W3CDTF">2019-08-28T12:04:00Z</dcterms:modified>
</cp:coreProperties>
</file>