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EA3C93" w:rsidP="00083A15">
            <w:r w:rsidRPr="00EA3C93">
              <w:rPr>
                <w:rFonts w:ascii="Helvetica" w:hAnsi="Helvetica" w:cs="Helvetica"/>
              </w:rPr>
              <w:t>7443/2019-SŽDC-SSV-Ú3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Pr="0018524C" w:rsidRDefault="001D62A4" w:rsidP="0077673A">
            <w:r w:rsidRPr="0018524C">
              <w:t>Listů/příloh</w:t>
            </w:r>
          </w:p>
        </w:tc>
        <w:tc>
          <w:tcPr>
            <w:tcW w:w="2552" w:type="dxa"/>
          </w:tcPr>
          <w:p w:rsidR="001D62A4" w:rsidRPr="0018524C" w:rsidRDefault="0018524C" w:rsidP="00083A15">
            <w:r w:rsidRPr="0018524C">
              <w:t>3/3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Default="001D62A4" w:rsidP="0077673A"/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8D545F" w:rsidP="00B71C17">
            <w:r>
              <w:t>2</w:t>
            </w:r>
            <w:r w:rsidR="00B71C17">
              <w:t>8</w:t>
            </w:r>
            <w:r w:rsidR="006D7A12">
              <w:t>. srpna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1D62A4" w:rsidP="00CB7B5A">
      <w:pPr>
        <w:spacing w:after="0" w:line="240" w:lineRule="auto"/>
        <w:rPr>
          <w:rFonts w:eastAsia="Calibri" w:cs="Times New Roman"/>
          <w:lang w:eastAsia="cs-CZ"/>
        </w:rPr>
      </w:pPr>
      <w:r w:rsidRPr="001D62A4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F4E2C">
        <w:rPr>
          <w:rFonts w:eastAsia="Times New Roman" w:cs="Times New Roman"/>
          <w:lang w:eastAsia="cs-CZ"/>
        </w:rPr>
        <w:t>5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5227D" w:rsidRDefault="0095227D" w:rsidP="009522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33:</w:t>
      </w:r>
    </w:p>
    <w:p w:rsidR="0095227D" w:rsidRDefault="0095227D" w:rsidP="0095227D">
      <w:pPr>
        <w:spacing w:after="0" w:line="240" w:lineRule="auto"/>
      </w:pPr>
      <w:r>
        <w:t xml:space="preserve">SO01-17-01: zadavatel v rámci doplnění zadávací dokumentace </w:t>
      </w:r>
      <w:proofErr w:type="gramStart"/>
      <w:r>
        <w:t>č.3, (odpovědi</w:t>
      </w:r>
      <w:proofErr w:type="gramEnd"/>
      <w:r>
        <w:t xml:space="preserve"> na dotazy č.25 a 26) zaslal v příloze upravený soupis prací pro tento objekt. Pro úpravu však pravděpodobně nepoužil aktualizovanou verzi zaslanou v rámci doplnění zadávací dokumentace </w:t>
      </w:r>
      <w:proofErr w:type="gramStart"/>
      <w:r>
        <w:t>č.2, ale</w:t>
      </w:r>
      <w:proofErr w:type="gramEnd"/>
      <w:r>
        <w:t xml:space="preserve"> úplně původní verzi. Některé upravené položky se tak vrátily do stavu před opravou (např. </w:t>
      </w:r>
      <w:proofErr w:type="gramStart"/>
      <w:r>
        <w:t>pol.č.</w:t>
      </w:r>
      <w:proofErr w:type="gramEnd"/>
      <w:r>
        <w:t>16, která byla odebrána, se v soupisu prací opět nachází a další). Prosíme o zaslání aktuální verze soupisu prací, která bude obsahovat všechny provedené opravy.</w:t>
      </w:r>
    </w:p>
    <w:p w:rsidR="0095227D" w:rsidRDefault="0095227D" w:rsidP="0095227D">
      <w:pPr>
        <w:spacing w:after="0" w:line="240" w:lineRule="auto"/>
      </w:pPr>
    </w:p>
    <w:p w:rsidR="0095227D" w:rsidRDefault="0095227D" w:rsidP="009522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097466" w:rsidRDefault="0018524C" w:rsidP="00BD5319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rFonts w:eastAsia="Calibri" w:cs="Times New Roman"/>
          <w:i/>
          <w:lang w:eastAsia="cs-CZ"/>
        </w:rPr>
        <w:t xml:space="preserve">Ano, omylem byla zveřejněna starší verze soupisu. Přílohou zasíláme aktualizovaný soupis prací pro SO 01-07-01 </w:t>
      </w:r>
      <w:proofErr w:type="spellStart"/>
      <w:r w:rsidRPr="0018524C">
        <w:rPr>
          <w:rFonts w:eastAsia="Calibri" w:cs="Times New Roman"/>
          <w:i/>
          <w:lang w:eastAsia="cs-CZ"/>
        </w:rPr>
        <w:t>Žst</w:t>
      </w:r>
      <w:proofErr w:type="spellEnd"/>
      <w:r w:rsidRPr="0018524C">
        <w:rPr>
          <w:rFonts w:eastAsia="Calibri" w:cs="Times New Roman"/>
          <w:i/>
          <w:lang w:eastAsia="cs-CZ"/>
        </w:rPr>
        <w:t>. Žďár nad Sázavou železniční svršek s barevným vyznačením změněných nebo nových položek, v aktualizovaném soupisu byla zrušena bez náhrady položka číslo 9 – viz dotaz číslo 36.</w:t>
      </w:r>
    </w:p>
    <w:p w:rsidR="0018524C" w:rsidRPr="0018524C" w:rsidRDefault="0018524C" w:rsidP="00BD5319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95227D" w:rsidRPr="00BD5319" w:rsidRDefault="0095227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7F4E2C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: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V návaznosti na vysvětlení ZD </w:t>
      </w:r>
      <w:proofErr w:type="gramStart"/>
      <w:r w:rsidRPr="007F4E2C">
        <w:rPr>
          <w:rFonts w:eastAsia="Calibri" w:cs="Times New Roman"/>
        </w:rPr>
        <w:t>č.3 ze</w:t>
      </w:r>
      <w:proofErr w:type="gramEnd"/>
      <w:r w:rsidRPr="007F4E2C">
        <w:rPr>
          <w:rFonts w:eastAsia="Calibri" w:cs="Times New Roman"/>
        </w:rPr>
        <w:t xml:space="preserve"> dne 15.8.2019. se domníváme, že zadavatel ve své odpovědi na dotaz č. 24 plně nerespektuje projektovou dokumentaci.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>V technické zprávě k SO 01-19-03 se v bodě 5.6 Nosná konstrukce uvádí toto: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Nosná konstrukce SO 01-19-03 se skládá ze dvou ocelových svařovaných konstrukcí, které budou fungovat jako prosté pole. </w:t>
      </w:r>
      <w:proofErr w:type="gramStart"/>
      <w:r w:rsidRPr="007F4E2C">
        <w:rPr>
          <w:rFonts w:eastAsia="Calibri" w:cs="Times New Roman"/>
        </w:rPr>
        <w:t>1.a 2. pole</w:t>
      </w:r>
      <w:proofErr w:type="gramEnd"/>
      <w:r w:rsidRPr="007F4E2C">
        <w:rPr>
          <w:rFonts w:eastAsia="Calibri" w:cs="Times New Roman"/>
        </w:rPr>
        <w:t xml:space="preserve"> je součástí SO 01-19-03 a 3. pole je samostatně jako SO 01-19-04. 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Ocelová </w:t>
      </w:r>
      <w:proofErr w:type="gramStart"/>
      <w:r w:rsidRPr="007F4E2C">
        <w:rPr>
          <w:rFonts w:eastAsia="Calibri" w:cs="Times New Roman"/>
        </w:rPr>
        <w:t>konstrukce v 1.poli</w:t>
      </w:r>
      <w:proofErr w:type="gramEnd"/>
      <w:r w:rsidRPr="007F4E2C">
        <w:rPr>
          <w:rFonts w:eastAsia="Calibri" w:cs="Times New Roman"/>
        </w:rPr>
        <w:t xml:space="preserve"> o rozpětí 13,40m bude zachována a rozšířena osově o 1 hlavní nosník IPE240-S235JO. Příčníky UPE80-S235JO budou v rozšíření ve stejných vzdálenostech jako u stávající lávky.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Stávající i nové hlavní nosníky a příčníky budou upraveny pro připojení </w:t>
      </w:r>
      <w:proofErr w:type="spellStart"/>
      <w:r w:rsidRPr="007F4E2C">
        <w:rPr>
          <w:rFonts w:eastAsia="Calibri" w:cs="Times New Roman"/>
        </w:rPr>
        <w:t>kompozitového</w:t>
      </w:r>
      <w:proofErr w:type="spellEnd"/>
      <w:r w:rsidRPr="007F4E2C">
        <w:rPr>
          <w:rFonts w:eastAsia="Calibri" w:cs="Times New Roman"/>
        </w:rPr>
        <w:t xml:space="preserve"> zábradlí, </w:t>
      </w:r>
      <w:proofErr w:type="spellStart"/>
      <w:r w:rsidRPr="007F4E2C">
        <w:rPr>
          <w:rFonts w:eastAsia="Calibri" w:cs="Times New Roman"/>
        </w:rPr>
        <w:t>kompozitových</w:t>
      </w:r>
      <w:proofErr w:type="spellEnd"/>
      <w:r w:rsidRPr="007F4E2C">
        <w:rPr>
          <w:rFonts w:eastAsia="Calibri" w:cs="Times New Roman"/>
        </w:rPr>
        <w:t xml:space="preserve"> </w:t>
      </w:r>
      <w:proofErr w:type="spellStart"/>
      <w:r w:rsidRPr="007F4E2C">
        <w:rPr>
          <w:rFonts w:eastAsia="Calibri" w:cs="Times New Roman"/>
        </w:rPr>
        <w:t>pochozích</w:t>
      </w:r>
      <w:proofErr w:type="spellEnd"/>
      <w:r w:rsidRPr="007F4E2C">
        <w:rPr>
          <w:rFonts w:eastAsia="Calibri" w:cs="Times New Roman"/>
        </w:rPr>
        <w:t xml:space="preserve"> </w:t>
      </w:r>
      <w:proofErr w:type="spellStart"/>
      <w:r w:rsidRPr="007F4E2C">
        <w:rPr>
          <w:rFonts w:eastAsia="Calibri" w:cs="Times New Roman"/>
        </w:rPr>
        <w:t>pororoštů</w:t>
      </w:r>
      <w:proofErr w:type="spellEnd"/>
      <w:r w:rsidRPr="007F4E2C">
        <w:rPr>
          <w:rFonts w:eastAsia="Calibri" w:cs="Times New Roman"/>
        </w:rPr>
        <w:t xml:space="preserve"> a kabelových žlabů.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Stávající nosná konstrukce lávky bude převezena do dílny, </w:t>
      </w:r>
      <w:proofErr w:type="spellStart"/>
      <w:r w:rsidRPr="007F4E2C">
        <w:rPr>
          <w:rFonts w:eastAsia="Calibri" w:cs="Times New Roman"/>
        </w:rPr>
        <w:t>otryskána</w:t>
      </w:r>
      <w:proofErr w:type="spellEnd"/>
      <w:r w:rsidRPr="007F4E2C">
        <w:rPr>
          <w:rFonts w:eastAsia="Calibri" w:cs="Times New Roman"/>
        </w:rPr>
        <w:t xml:space="preserve"> a upravena dle výrobní dokumentace a následně rozšířena o novou část lávky. Ocelová </w:t>
      </w:r>
      <w:proofErr w:type="gramStart"/>
      <w:r w:rsidRPr="007F4E2C">
        <w:rPr>
          <w:rFonts w:eastAsia="Calibri" w:cs="Times New Roman"/>
        </w:rPr>
        <w:t>konstrukce v 2.poli</w:t>
      </w:r>
      <w:proofErr w:type="gramEnd"/>
      <w:r w:rsidRPr="007F4E2C">
        <w:rPr>
          <w:rFonts w:eastAsia="Calibri" w:cs="Times New Roman"/>
        </w:rPr>
        <w:t xml:space="preserve"> bude zhotovena kompletně nová.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 xml:space="preserve">Dle této technické zprávy repasování znamená také </w:t>
      </w:r>
      <w:proofErr w:type="spellStart"/>
      <w:r w:rsidRPr="007F4E2C">
        <w:rPr>
          <w:rFonts w:eastAsia="Calibri" w:cs="Times New Roman"/>
        </w:rPr>
        <w:t>otryskání</w:t>
      </w:r>
      <w:proofErr w:type="spellEnd"/>
      <w:r w:rsidRPr="007F4E2C">
        <w:rPr>
          <w:rFonts w:eastAsia="Calibri" w:cs="Times New Roman"/>
        </w:rPr>
        <w:t xml:space="preserve"> a upravení OK na dílně, nikoliv pouze její nátěr na stavbě.</w:t>
      </w:r>
    </w:p>
    <w:p w:rsidR="007F4E2C" w:rsidRPr="007F4E2C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>V soupisu prací tedy chybí položky pro demontáž a odvoz stávající OK, repasi a PKO na dílně, dopravu a zpětnou montáž repasované OK.</w:t>
      </w:r>
    </w:p>
    <w:p w:rsidR="00C362FB" w:rsidRDefault="007F4E2C" w:rsidP="007F4E2C">
      <w:pPr>
        <w:spacing w:after="0" w:line="240" w:lineRule="auto"/>
        <w:rPr>
          <w:rFonts w:eastAsia="Calibri" w:cs="Times New Roman"/>
        </w:rPr>
      </w:pPr>
      <w:r w:rsidRPr="007F4E2C">
        <w:rPr>
          <w:rFonts w:eastAsia="Calibri" w:cs="Times New Roman"/>
        </w:rPr>
        <w:t>Doplní zadavatel tyto položky do soupisu prací tak, aby byl v souladu s projektovou dokumentací?</w:t>
      </w:r>
    </w:p>
    <w:p w:rsidR="00C362FB" w:rsidRDefault="00C362FB" w:rsidP="00C362FB">
      <w:pPr>
        <w:spacing w:after="0" w:line="240" w:lineRule="auto"/>
        <w:rPr>
          <w:rFonts w:eastAsia="Calibri" w:cs="Times New Roman"/>
        </w:rPr>
      </w:pPr>
    </w:p>
    <w:p w:rsidR="0018524C" w:rsidRDefault="0018524C" w:rsidP="00C362F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524C" w:rsidRDefault="0018524C" w:rsidP="00C362F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8524C" w:rsidRDefault="0018524C" w:rsidP="00C362F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F4E2C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rFonts w:eastAsia="Calibri" w:cs="Times New Roman"/>
          <w:i/>
          <w:lang w:eastAsia="cs-CZ"/>
        </w:rPr>
        <w:t>Položka zahrnující demontáž a zpětnou montáž stávající konstrukce vč. dopravy byla nově doplněna do aktualizovaného soupisu prací pro SO 01-19-03 a SO 01-19-04 v příloze pod číslem 38.</w:t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i/>
          <w:noProof/>
          <w:lang w:eastAsia="cs-CZ"/>
        </w:rPr>
        <w:drawing>
          <wp:inline distT="0" distB="0" distL="0" distR="0" wp14:anchorId="256C2D0D" wp14:editId="42091035">
            <wp:extent cx="5525770" cy="132796"/>
            <wp:effectExtent l="0" t="0" r="0" b="63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rFonts w:eastAsia="Calibri" w:cs="Times New Roman"/>
          <w:i/>
          <w:lang w:eastAsia="cs-CZ"/>
        </w:rPr>
        <w:t>Přesun lávky jeřábem (stávající, nové) je uvažován v soupisu prací v položkách: 4,5,6</w:t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i/>
          <w:noProof/>
          <w:lang w:eastAsia="cs-CZ"/>
        </w:rPr>
        <w:drawing>
          <wp:inline distT="0" distB="0" distL="0" distR="0" wp14:anchorId="0432A34E" wp14:editId="25AF8B61">
            <wp:extent cx="5525770" cy="132796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i/>
          <w:noProof/>
          <w:lang w:eastAsia="cs-CZ"/>
        </w:rPr>
        <w:drawing>
          <wp:inline distT="0" distB="0" distL="0" distR="0" wp14:anchorId="759537E4" wp14:editId="788E147E">
            <wp:extent cx="5525770" cy="132796"/>
            <wp:effectExtent l="0" t="0" r="0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i/>
          <w:noProof/>
          <w:lang w:eastAsia="cs-CZ"/>
        </w:rPr>
        <w:drawing>
          <wp:inline distT="0" distB="0" distL="0" distR="0" wp14:anchorId="61CA3425" wp14:editId="253F50DA">
            <wp:extent cx="5525770" cy="132796"/>
            <wp:effectExtent l="0" t="0" r="0" b="63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rFonts w:eastAsia="Calibri" w:cs="Times New Roman"/>
          <w:i/>
          <w:lang w:eastAsia="cs-CZ"/>
        </w:rPr>
        <w:t>PKO původní ocelové konstrukce na dílně včetně odstranění starých nátěrů je v soupisu prací obou SO uveden v položce:</w:t>
      </w: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18524C" w:rsidRPr="0018524C" w:rsidRDefault="0018524C" w:rsidP="0018524C">
      <w:pPr>
        <w:spacing w:after="0" w:line="240" w:lineRule="auto"/>
        <w:rPr>
          <w:rFonts w:eastAsia="Calibri" w:cs="Times New Roman"/>
          <w:i/>
          <w:lang w:eastAsia="cs-CZ"/>
        </w:rPr>
      </w:pPr>
      <w:r w:rsidRPr="0018524C">
        <w:rPr>
          <w:i/>
          <w:noProof/>
          <w:lang w:eastAsia="cs-CZ"/>
        </w:rPr>
        <w:drawing>
          <wp:inline distT="0" distB="0" distL="0" distR="0" wp14:anchorId="38EDA1B2" wp14:editId="0F610408">
            <wp:extent cx="5525770" cy="132796"/>
            <wp:effectExtent l="0" t="0" r="0" b="63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4C" w:rsidRPr="0018524C" w:rsidRDefault="0018524C" w:rsidP="0018524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18524C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- položky nátěrů zahrnují kompletní povlaky (i různobarevné), včetně úpravy podkladu (odmaštění, </w:t>
      </w:r>
      <w:proofErr w:type="spellStart"/>
      <w:r w:rsidRPr="0018524C">
        <w:rPr>
          <w:rFonts w:ascii="Arial" w:eastAsia="Times New Roman" w:hAnsi="Arial" w:cs="Arial"/>
          <w:i/>
          <w:sz w:val="20"/>
          <w:szCs w:val="20"/>
          <w:lang w:eastAsia="cs-CZ"/>
        </w:rPr>
        <w:t>odrezivění</w:t>
      </w:r>
      <w:proofErr w:type="spellEnd"/>
      <w:r w:rsidRPr="0018524C">
        <w:rPr>
          <w:rFonts w:ascii="Arial" w:eastAsia="Times New Roman" w:hAnsi="Arial" w:cs="Arial"/>
          <w:i/>
          <w:sz w:val="20"/>
          <w:szCs w:val="20"/>
          <w:lang w:eastAsia="cs-CZ"/>
        </w:rPr>
        <w:t>, odstranění starých nátěrů a nečistot) a jeho vyspravení, provedení nátěru předepsaným postupem a splnění všech požadavků daných technologickým předpisem.</w:t>
      </w:r>
    </w:p>
    <w:p w:rsidR="00C362FB" w:rsidRDefault="00C362FB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F4E2C" w:rsidRDefault="007F4E2C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7F4E2C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:</w:t>
      </w:r>
    </w:p>
    <w:p w:rsidR="007F4E2C" w:rsidRDefault="007F4E2C" w:rsidP="007F4E2C">
      <w:pPr>
        <w:spacing w:after="0" w:line="240" w:lineRule="auto"/>
        <w:jc w:val="both"/>
      </w:pPr>
      <w:r>
        <w:t>Děkujeme za odpověď na dotaz č. 29 v </w:t>
      </w:r>
      <w:proofErr w:type="gramStart"/>
      <w:r>
        <w:t>zaslaných</w:t>
      </w:r>
      <w:proofErr w:type="gramEnd"/>
      <w:r>
        <w:t xml:space="preserve"> Vysvětlení, změna, doplnění ZD č.3. Vycházíme ze stejné Metodiky měření pro účely článku 12 červené knihy FIDIC, na kterou se Zadavatel odkazuje. Jedná se nám o článek 6.2.3 Rozdělení do kategorií, viz níže, kde má být již v projektu zadáno, do jaké Kategorie položka spadá a jaké náklady na měření bude obsahovat. Jak je v článku 6.2.3 psáno, je důležité, aby zhotovitel již při </w:t>
      </w:r>
      <w:proofErr w:type="spellStart"/>
      <w:r>
        <w:t>naceňování</w:t>
      </w:r>
      <w:proofErr w:type="spellEnd"/>
      <w:r>
        <w:t xml:space="preserve"> díla věděl, jaká kategorie bude na danou položku použita. Například, zda bude muset být daná položka doložena měřením geodeta, nebo bude stačit pouze protokolární měření specialisty.</w:t>
      </w:r>
    </w:p>
    <w:p w:rsidR="007F4E2C" w:rsidRDefault="007F4E2C" w:rsidP="007F4E2C">
      <w:pPr>
        <w:spacing w:after="0" w:line="240" w:lineRule="auto"/>
        <w:jc w:val="both"/>
      </w:pPr>
      <w:r>
        <w:t xml:space="preserve">Žádáme proto o kategorizaci položek ve výkaze výměr pro řádné </w:t>
      </w:r>
      <w:proofErr w:type="spellStart"/>
      <w:r>
        <w:t>nacenění</w:t>
      </w:r>
      <w:proofErr w:type="spellEnd"/>
      <w:r>
        <w:t xml:space="preserve"> nabídky.</w:t>
      </w:r>
    </w:p>
    <w:p w:rsidR="007F4E2C" w:rsidRDefault="007F4E2C" w:rsidP="007F4E2C">
      <w:pPr>
        <w:spacing w:after="0" w:line="240" w:lineRule="auto"/>
        <w:jc w:val="both"/>
      </w:pPr>
    </w:p>
    <w:p w:rsidR="007F4E2C" w:rsidRDefault="007F4E2C" w:rsidP="007F4E2C">
      <w:pPr>
        <w:spacing w:after="0" w:line="240" w:lineRule="auto"/>
        <w:jc w:val="both"/>
      </w:pPr>
      <w:r>
        <w:t>„6.2.3 Rozdělení do kategorií</w:t>
      </w:r>
    </w:p>
    <w:p w:rsidR="00C362FB" w:rsidRDefault="007F4E2C" w:rsidP="007F4E2C">
      <w:pPr>
        <w:spacing w:after="0" w:line="240" w:lineRule="auto"/>
        <w:jc w:val="both"/>
      </w:pPr>
      <w:r>
        <w:t xml:space="preserve">Kategorie 1 a 2 nesou různé náklady na měření. Tyto náklady budou obsaženy v jednotkové ceně položky. Proto je důležité, aby zhotovitel již při </w:t>
      </w:r>
      <w:proofErr w:type="spellStart"/>
      <w:r>
        <w:t>naceňování</w:t>
      </w:r>
      <w:proofErr w:type="spellEnd"/>
      <w:r>
        <w:t xml:space="preserve"> díla věděl, jaká kategorie bude pro danou položku použita. Skupiny měření, které mají před číslem skupiny uvedeno písmeno „G“, např. G3171a, G1711 apod. spadají do Kategorie 1. Pokud písmeno „G“ u čísla Skupiny měření není, je postupováno a měřeno podle Kategorie 2.“</w:t>
      </w:r>
    </w:p>
    <w:p w:rsidR="00C362FB" w:rsidRDefault="00C362FB" w:rsidP="00C362FB">
      <w:pPr>
        <w:spacing w:after="0" w:line="240" w:lineRule="auto"/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C362FB" w:rsidRPr="0018524C" w:rsidRDefault="0018524C" w:rsidP="00C362FB">
      <w:pPr>
        <w:spacing w:after="0" w:line="240" w:lineRule="auto"/>
        <w:rPr>
          <w:i/>
        </w:rPr>
      </w:pPr>
      <w:r w:rsidRPr="0018524C">
        <w:rPr>
          <w:rFonts w:eastAsia="Calibri" w:cs="Times New Roman"/>
          <w:i/>
          <w:lang w:eastAsia="cs-CZ"/>
        </w:rPr>
        <w:t>Bude zaslána ve Vysvětlení/ změně/ doplnění zadávací dokumentace č. 6.</w:t>
      </w:r>
    </w:p>
    <w:p w:rsidR="00C362FB" w:rsidRDefault="00C362FB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8524C" w:rsidRDefault="0018524C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4678DF" w:rsidRDefault="004678DF" w:rsidP="004678D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36:</w:t>
      </w:r>
    </w:p>
    <w:p w:rsidR="004678DF" w:rsidRDefault="004678DF" w:rsidP="004678DF">
      <w:pPr>
        <w:spacing w:after="0" w:line="240" w:lineRule="auto"/>
      </w:pPr>
      <w:r w:rsidRPr="004678DF">
        <w:t>Doplnění dotazu č. 31 v rámci zadávacího řízení ve Vysvětlení / změna/ doplnění zadávací dokumentace č. 4. Dle současné legislativy nelze uzavřít smlouvu s jedním dopravcem, který by nám smluvně zajišťoval dopravu nezávislou trakcí po nevyloučené koleji pro další dopravce. Z tohoto důvodu se nám jeví tato položka jako bezpředmětná a žádáme o její vypuštění.</w:t>
      </w:r>
    </w:p>
    <w:p w:rsidR="004678DF" w:rsidRDefault="004678DF" w:rsidP="004678DF">
      <w:pPr>
        <w:spacing w:after="0" w:line="240" w:lineRule="auto"/>
      </w:pPr>
    </w:p>
    <w:p w:rsidR="004678DF" w:rsidRDefault="004678DF" w:rsidP="004678D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4678DF" w:rsidRPr="0018524C" w:rsidRDefault="0018524C" w:rsidP="00D30CEB">
      <w:pPr>
        <w:spacing w:after="0" w:line="240" w:lineRule="auto"/>
        <w:rPr>
          <w:i/>
        </w:rPr>
      </w:pPr>
      <w:r w:rsidRPr="0018524C">
        <w:rPr>
          <w:rFonts w:eastAsia="Calibri" w:cs="Times New Roman"/>
          <w:i/>
          <w:lang w:eastAsia="cs-CZ"/>
        </w:rPr>
        <w:t>Po prověření platné legislativy byla položka číslo 9 v aktualizovaném soupisu prací SO 01-07-01 ZRUŠENA bez náhrady.</w:t>
      </w:r>
    </w:p>
    <w:p w:rsidR="004678DF" w:rsidRDefault="004678DF" w:rsidP="00D30CEB">
      <w:pPr>
        <w:spacing w:after="0" w:line="240" w:lineRule="auto"/>
      </w:pPr>
    </w:p>
    <w:p w:rsidR="00816129" w:rsidRDefault="00816129" w:rsidP="00D30CEB">
      <w:pPr>
        <w:spacing w:after="0" w:line="240" w:lineRule="auto"/>
      </w:pPr>
    </w:p>
    <w:p w:rsidR="00C362FB" w:rsidRDefault="00C362FB" w:rsidP="00D30CEB">
      <w:pPr>
        <w:spacing w:after="0" w:line="240" w:lineRule="auto"/>
      </w:pPr>
    </w:p>
    <w:p w:rsidR="00C362FB" w:rsidRPr="006C79F3" w:rsidRDefault="00C362FB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4437B">
        <w:rPr>
          <w:rFonts w:eastAsia="Times New Roman" w:cs="Times New Roman"/>
          <w:lang w:eastAsia="cs-CZ"/>
        </w:rPr>
        <w:t xml:space="preserve">provedeny </w:t>
      </w:r>
      <w:r w:rsidRPr="00A4437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A4437B">
        <w:rPr>
          <w:rFonts w:eastAsia="Times New Roman" w:cs="Times New Roman"/>
          <w:lang w:eastAsia="cs-CZ"/>
        </w:rPr>
        <w:t>nabídek ze dne</w:t>
      </w:r>
      <w:r>
        <w:rPr>
          <w:rFonts w:eastAsia="Times New Roman" w:cs="Times New Roman"/>
          <w:lang w:eastAsia="cs-CZ"/>
        </w:rPr>
        <w:t xml:space="preserve"> </w:t>
      </w:r>
      <w:r w:rsidR="007F4E2C">
        <w:rPr>
          <w:rFonts w:eastAsia="Times New Roman" w:cs="Times New Roman"/>
          <w:lang w:eastAsia="cs-CZ"/>
        </w:rPr>
        <w:t>6</w:t>
      </w:r>
      <w:r w:rsidRPr="00A4437B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9</w:t>
      </w:r>
      <w:r w:rsidRPr="00A4437B">
        <w:rPr>
          <w:rFonts w:eastAsia="Times New Roman" w:cs="Times New Roman"/>
          <w:lang w:eastAsia="cs-CZ"/>
        </w:rPr>
        <w:t xml:space="preserve">. 2019 na den </w:t>
      </w:r>
      <w:r w:rsidR="00903540">
        <w:rPr>
          <w:rFonts w:eastAsia="Times New Roman" w:cs="Times New Roman"/>
          <w:b/>
          <w:lang w:eastAsia="cs-CZ"/>
        </w:rPr>
        <w:t>9.</w:t>
      </w:r>
      <w:r w:rsidRPr="008E5385">
        <w:rPr>
          <w:rFonts w:eastAsia="Times New Roman" w:cs="Times New Roman"/>
          <w:b/>
          <w:lang w:eastAsia="cs-CZ"/>
        </w:rPr>
        <w:t xml:space="preserve"> 9. 2019</w:t>
      </w:r>
      <w:r w:rsidRPr="00A4437B">
        <w:rPr>
          <w:rFonts w:eastAsia="Times New Roman" w:cs="Times New Roman"/>
          <w:lang w:eastAsia="cs-CZ"/>
        </w:rPr>
        <w:t xml:space="preserve">, tedy o </w:t>
      </w:r>
      <w:r w:rsidR="008E5385">
        <w:rPr>
          <w:rFonts w:eastAsia="Times New Roman" w:cs="Times New Roman"/>
          <w:lang w:eastAsia="cs-CZ"/>
        </w:rPr>
        <w:t>1</w:t>
      </w:r>
      <w:r w:rsidRPr="00A4437B">
        <w:rPr>
          <w:rFonts w:eastAsia="Times New Roman" w:cs="Times New Roman"/>
          <w:lang w:eastAsia="cs-CZ"/>
        </w:rPr>
        <w:t xml:space="preserve"> pracovní d</w:t>
      </w:r>
      <w:r w:rsidR="008E5385">
        <w:rPr>
          <w:rFonts w:eastAsia="Times New Roman" w:cs="Times New Roman"/>
          <w:lang w:eastAsia="cs-CZ"/>
        </w:rPr>
        <w:t>e</w:t>
      </w:r>
      <w:r w:rsidRPr="00A4437B">
        <w:rPr>
          <w:rFonts w:eastAsia="Times New Roman" w:cs="Times New Roman"/>
          <w:lang w:eastAsia="cs-CZ"/>
        </w:rPr>
        <w:t>n.</w:t>
      </w:r>
      <w:r w:rsidRPr="006C79F3">
        <w:rPr>
          <w:rFonts w:eastAsia="Times New Roman" w:cs="Times New Roman"/>
          <w:lang w:eastAsia="cs-CZ"/>
        </w:rPr>
        <w:t xml:space="preserve"> </w:t>
      </w:r>
    </w:p>
    <w:p w:rsidR="00C362FB" w:rsidRDefault="00C362FB" w:rsidP="00C362F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7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Pr="006C79F3">
        <w:rPr>
          <w:rFonts w:eastAsia="Times New Roman" w:cs="Times New Roman"/>
          <w:lang w:eastAsia="cs-CZ"/>
        </w:rPr>
        <w:t>Z2019-025872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28. 8. 2019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903540">
        <w:rPr>
          <w:rFonts w:eastAsia="Times New Roman" w:cs="Times New Roman"/>
          <w:b/>
          <w:lang w:eastAsia="cs-CZ"/>
        </w:rPr>
        <w:t>9</w:t>
      </w:r>
      <w:r w:rsidRPr="008E5385">
        <w:rPr>
          <w:rFonts w:eastAsia="Times New Roman" w:cs="Times New Roman"/>
          <w:b/>
          <w:lang w:eastAsia="cs-CZ"/>
        </w:rPr>
        <w:t>. 9. 2019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28. 8. 2019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</w:t>
      </w:r>
      <w:r w:rsidR="00903540">
        <w:rPr>
          <w:rFonts w:eastAsia="Times New Roman" w:cs="Times New Roman"/>
          <w:lang w:eastAsia="cs-CZ"/>
        </w:rPr>
        <w:t xml:space="preserve"> </w:t>
      </w:r>
      <w:r w:rsidR="00903540">
        <w:rPr>
          <w:rFonts w:eastAsia="Times New Roman" w:cs="Times New Roman"/>
          <w:b/>
          <w:lang w:eastAsia="cs-CZ"/>
        </w:rPr>
        <w:t>9</w:t>
      </w:r>
      <w:r w:rsidRPr="008E5385">
        <w:rPr>
          <w:rFonts w:eastAsia="Times New Roman" w:cs="Times New Roman"/>
          <w:b/>
          <w:lang w:eastAsia="cs-CZ"/>
        </w:rPr>
        <w:t>. 9. 2019</w:t>
      </w:r>
      <w:r w:rsidR="008E5385" w:rsidRPr="008E5385">
        <w:rPr>
          <w:rFonts w:eastAsia="Times New Roman" w:cs="Times New Roman"/>
          <w:b/>
          <w:lang w:eastAsia="cs-CZ"/>
        </w:rPr>
        <w:t xml:space="preserve"> v 10:00</w:t>
      </w:r>
      <w:r w:rsidRPr="008E5385">
        <w:rPr>
          <w:rFonts w:eastAsia="Times New Roman" w:cs="Times New Roman"/>
          <w:b/>
          <w:lang w:eastAsia="cs-CZ"/>
        </w:rPr>
        <w:t xml:space="preserve"> hod</w:t>
      </w:r>
      <w:r w:rsidRPr="00BD5319">
        <w:rPr>
          <w:rFonts w:eastAsia="Times New Roman" w:cs="Times New Roman"/>
          <w:lang w:eastAsia="cs-CZ"/>
        </w:rPr>
        <w:t>.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lang w:eastAsia="cs-CZ"/>
        </w:rPr>
      </w:pPr>
    </w:p>
    <w:p w:rsidR="00C362FB" w:rsidRPr="00BD5319" w:rsidRDefault="00C362FB" w:rsidP="00C362F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362FB" w:rsidRPr="00BD5319" w:rsidRDefault="00C362FB" w:rsidP="00C362F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BD531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BD531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E40F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C362FB" w:rsidRPr="0018524C" w:rsidRDefault="007F3259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8524C">
        <w:rPr>
          <w:rFonts w:ascii="Verdana" w:hAnsi="Verdana" w:cs="Times New Roman"/>
          <w:bCs/>
          <w:lang w:eastAsia="cs-CZ"/>
        </w:rPr>
        <w:t>SO 01-17-01_D_33</w:t>
      </w:r>
      <w:r w:rsidR="0018524C" w:rsidRPr="0018524C">
        <w:rPr>
          <w:rFonts w:ascii="Verdana" w:hAnsi="Verdana" w:cs="Times New Roman"/>
          <w:bCs/>
          <w:lang w:eastAsia="cs-CZ"/>
        </w:rPr>
        <w:t>.xls</w:t>
      </w:r>
    </w:p>
    <w:p w:rsidR="00C362FB" w:rsidRPr="0018524C" w:rsidRDefault="0018524C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8524C">
        <w:rPr>
          <w:rFonts w:eastAsia="Calibri" w:cs="Times New Roman"/>
          <w:lang w:eastAsia="cs-CZ"/>
        </w:rPr>
        <w:t>SO 01-19-03_D_34.xls</w:t>
      </w:r>
    </w:p>
    <w:p w:rsidR="00C362FB" w:rsidRPr="0018524C" w:rsidRDefault="0018524C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8524C">
        <w:rPr>
          <w:rFonts w:eastAsia="Calibri" w:cs="Times New Roman"/>
          <w:lang w:eastAsia="cs-CZ"/>
        </w:rPr>
        <w:t>SO 01-19-04_D_34.xls</w:t>
      </w: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8524C" w:rsidRDefault="0018524C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>V</w:t>
      </w:r>
      <w:r w:rsidR="007F4E2C">
        <w:rPr>
          <w:rFonts w:eastAsia="Calibri" w:cs="Times New Roman"/>
          <w:lang w:eastAsia="cs-CZ"/>
        </w:rPr>
        <w:t> </w:t>
      </w:r>
      <w:r w:rsidRPr="00A4437B">
        <w:rPr>
          <w:rFonts w:eastAsia="Calibri" w:cs="Times New Roman"/>
          <w:lang w:eastAsia="cs-CZ"/>
        </w:rPr>
        <w:t>Praze dne</w:t>
      </w:r>
      <w:r w:rsidRPr="00BD5319">
        <w:rPr>
          <w:rFonts w:eastAsia="Calibri" w:cs="Times New Roman"/>
          <w:lang w:eastAsia="cs-CZ"/>
        </w:rPr>
        <w:t xml:space="preserve"> </w:t>
      </w:r>
      <w:r w:rsidR="00903540">
        <w:rPr>
          <w:rFonts w:eastAsia="Calibri" w:cs="Times New Roman"/>
          <w:lang w:eastAsia="cs-CZ"/>
        </w:rPr>
        <w:t>28. 8.2019</w:t>
      </w: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E5385" w:rsidRDefault="008E5385" w:rsidP="00D30CEB">
      <w:pPr>
        <w:spacing w:after="0" w:line="240" w:lineRule="auto"/>
      </w:pPr>
      <w:bookmarkStart w:id="0" w:name="_GoBack"/>
      <w:bookmarkEnd w:id="0"/>
    </w:p>
    <w:p w:rsidR="00C362FB" w:rsidRPr="005B0200" w:rsidRDefault="00C362FB" w:rsidP="00C362F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B0200">
        <w:rPr>
          <w:rFonts w:eastAsia="Calibri" w:cs="Times New Roman"/>
          <w:b/>
          <w:bCs/>
          <w:lang w:eastAsia="cs-CZ"/>
        </w:rPr>
        <w:t>Ing. Libor Kuta</w:t>
      </w:r>
    </w:p>
    <w:p w:rsidR="00C362FB" w:rsidRPr="005B0200" w:rsidRDefault="00C362FB" w:rsidP="00C362FB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vedoucí oddělení zadávání investic</w:t>
      </w:r>
    </w:p>
    <w:p w:rsidR="00C362FB" w:rsidRPr="005B0200" w:rsidRDefault="00C362FB" w:rsidP="00C362FB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odboru investičního</w:t>
      </w:r>
    </w:p>
    <w:p w:rsidR="00C362FB" w:rsidRPr="005B0200" w:rsidRDefault="00C362FB" w:rsidP="00C362FB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na základě „Pověření“ č. 1937</w:t>
      </w:r>
    </w:p>
    <w:p w:rsidR="00C362FB" w:rsidRPr="005B0200" w:rsidRDefault="00C362FB" w:rsidP="00C362FB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 xml:space="preserve">ze dne </w:t>
      </w:r>
      <w:proofErr w:type="gramStart"/>
      <w:r w:rsidRPr="005B0200">
        <w:rPr>
          <w:rFonts w:eastAsia="Calibri" w:cs="Times New Roman"/>
          <w:bCs/>
          <w:lang w:eastAsia="cs-CZ"/>
        </w:rPr>
        <w:t>02.07.2015</w:t>
      </w:r>
      <w:proofErr w:type="gramEnd"/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p w:rsidR="00C362FB" w:rsidRDefault="00C362FB" w:rsidP="00D30CEB">
      <w:pPr>
        <w:spacing w:after="0" w:line="240" w:lineRule="auto"/>
      </w:pPr>
    </w:p>
    <w:sectPr w:rsidR="00C362FB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DB" w:rsidRDefault="000945DB" w:rsidP="00962258">
      <w:pPr>
        <w:spacing w:after="0" w:line="240" w:lineRule="auto"/>
      </w:pPr>
      <w:r>
        <w:separator/>
      </w:r>
    </w:p>
  </w:endnote>
  <w:end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1F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1F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30F9B6" wp14:editId="0AE89C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18C10014" wp14:editId="3F2CCB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1F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1F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7E8B4D8" wp14:editId="556E91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DC307A5" wp14:editId="0E08F8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DB" w:rsidRDefault="000945DB" w:rsidP="00962258">
      <w:pPr>
        <w:spacing w:after="0" w:line="240" w:lineRule="auto"/>
      </w:pPr>
      <w:r>
        <w:separator/>
      </w:r>
    </w:p>
  </w:footnote>
  <w:foot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483AA26" wp14:editId="3A23401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5E3C05" wp14:editId="3B3176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390F31F" wp14:editId="1ACBCF9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632E3620"/>
    <w:multiLevelType w:val="hybridMultilevel"/>
    <w:tmpl w:val="81A03C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72C1E"/>
    <w:rsid w:val="000746CA"/>
    <w:rsid w:val="00074F5A"/>
    <w:rsid w:val="000934C4"/>
    <w:rsid w:val="000945DB"/>
    <w:rsid w:val="00097466"/>
    <w:rsid w:val="000B198A"/>
    <w:rsid w:val="000B6C7E"/>
    <w:rsid w:val="000B7907"/>
    <w:rsid w:val="000C0429"/>
    <w:rsid w:val="000C0EA6"/>
    <w:rsid w:val="000C45E8"/>
    <w:rsid w:val="00114472"/>
    <w:rsid w:val="00144DAC"/>
    <w:rsid w:val="00170EC5"/>
    <w:rsid w:val="001747C1"/>
    <w:rsid w:val="0018524C"/>
    <w:rsid w:val="0018596A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17F4"/>
    <w:rsid w:val="002C31BF"/>
    <w:rsid w:val="002D02E5"/>
    <w:rsid w:val="002E0CD7"/>
    <w:rsid w:val="002E30DD"/>
    <w:rsid w:val="002E40F2"/>
    <w:rsid w:val="002F026B"/>
    <w:rsid w:val="002F586E"/>
    <w:rsid w:val="00300BAC"/>
    <w:rsid w:val="00317551"/>
    <w:rsid w:val="003179B9"/>
    <w:rsid w:val="003264C9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4012C4"/>
    <w:rsid w:val="00411980"/>
    <w:rsid w:val="0041380F"/>
    <w:rsid w:val="00421B89"/>
    <w:rsid w:val="00441FE3"/>
    <w:rsid w:val="00445A02"/>
    <w:rsid w:val="00450F07"/>
    <w:rsid w:val="00453CD3"/>
    <w:rsid w:val="00455BC7"/>
    <w:rsid w:val="00460660"/>
    <w:rsid w:val="00460CCB"/>
    <w:rsid w:val="004678DF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2DD5"/>
    <w:rsid w:val="004F4B9B"/>
    <w:rsid w:val="00501654"/>
    <w:rsid w:val="00511AB9"/>
    <w:rsid w:val="00523EA7"/>
    <w:rsid w:val="00534387"/>
    <w:rsid w:val="00542527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64E9"/>
    <w:rsid w:val="005B0200"/>
    <w:rsid w:val="005B5EE9"/>
    <w:rsid w:val="005C7658"/>
    <w:rsid w:val="005D75EE"/>
    <w:rsid w:val="005E1728"/>
    <w:rsid w:val="006104F6"/>
    <w:rsid w:val="0061068E"/>
    <w:rsid w:val="00610951"/>
    <w:rsid w:val="006342F2"/>
    <w:rsid w:val="00644044"/>
    <w:rsid w:val="0064458E"/>
    <w:rsid w:val="00654F1C"/>
    <w:rsid w:val="00660AD3"/>
    <w:rsid w:val="006775A2"/>
    <w:rsid w:val="006A5570"/>
    <w:rsid w:val="006A689C"/>
    <w:rsid w:val="006B3D79"/>
    <w:rsid w:val="006C79F3"/>
    <w:rsid w:val="006D6653"/>
    <w:rsid w:val="006D7A12"/>
    <w:rsid w:val="006E0578"/>
    <w:rsid w:val="006E314D"/>
    <w:rsid w:val="006E7F06"/>
    <w:rsid w:val="006F494B"/>
    <w:rsid w:val="00710723"/>
    <w:rsid w:val="00714948"/>
    <w:rsid w:val="00722420"/>
    <w:rsid w:val="00723ED1"/>
    <w:rsid w:val="00735ED4"/>
    <w:rsid w:val="00743525"/>
    <w:rsid w:val="0074421F"/>
    <w:rsid w:val="00744D78"/>
    <w:rsid w:val="007531A0"/>
    <w:rsid w:val="0076286B"/>
    <w:rsid w:val="00764595"/>
    <w:rsid w:val="00766846"/>
    <w:rsid w:val="0077673A"/>
    <w:rsid w:val="00777C39"/>
    <w:rsid w:val="007846E1"/>
    <w:rsid w:val="007B0722"/>
    <w:rsid w:val="007B570C"/>
    <w:rsid w:val="007B7132"/>
    <w:rsid w:val="007E4A6E"/>
    <w:rsid w:val="007F3259"/>
    <w:rsid w:val="007F4E2C"/>
    <w:rsid w:val="007F56A7"/>
    <w:rsid w:val="00807DD0"/>
    <w:rsid w:val="00813F11"/>
    <w:rsid w:val="00815170"/>
    <w:rsid w:val="00816129"/>
    <w:rsid w:val="00842DB8"/>
    <w:rsid w:val="00891334"/>
    <w:rsid w:val="008A3568"/>
    <w:rsid w:val="008B2E4C"/>
    <w:rsid w:val="008C311B"/>
    <w:rsid w:val="008D03B9"/>
    <w:rsid w:val="008D0918"/>
    <w:rsid w:val="008D545F"/>
    <w:rsid w:val="008E5385"/>
    <w:rsid w:val="008F18D6"/>
    <w:rsid w:val="008F1E71"/>
    <w:rsid w:val="00903540"/>
    <w:rsid w:val="00904780"/>
    <w:rsid w:val="009113A8"/>
    <w:rsid w:val="009207D6"/>
    <w:rsid w:val="00922385"/>
    <w:rsid w:val="009223DF"/>
    <w:rsid w:val="00923CAA"/>
    <w:rsid w:val="00936091"/>
    <w:rsid w:val="00940D8A"/>
    <w:rsid w:val="0095227D"/>
    <w:rsid w:val="00961D03"/>
    <w:rsid w:val="00962258"/>
    <w:rsid w:val="009678B7"/>
    <w:rsid w:val="00982411"/>
    <w:rsid w:val="00992D9C"/>
    <w:rsid w:val="00996CB8"/>
    <w:rsid w:val="009A7568"/>
    <w:rsid w:val="009B2B3E"/>
    <w:rsid w:val="009B2E97"/>
    <w:rsid w:val="009B3C69"/>
    <w:rsid w:val="009B72CC"/>
    <w:rsid w:val="009E07F4"/>
    <w:rsid w:val="009F103B"/>
    <w:rsid w:val="009F392E"/>
    <w:rsid w:val="00A1572C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103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1C17"/>
    <w:rsid w:val="00B75EE1"/>
    <w:rsid w:val="00B77481"/>
    <w:rsid w:val="00B8518B"/>
    <w:rsid w:val="00BB3740"/>
    <w:rsid w:val="00BC7B42"/>
    <w:rsid w:val="00BD5319"/>
    <w:rsid w:val="00BD7E91"/>
    <w:rsid w:val="00BF374D"/>
    <w:rsid w:val="00BF6D48"/>
    <w:rsid w:val="00C02D0A"/>
    <w:rsid w:val="00C03A6E"/>
    <w:rsid w:val="00C30759"/>
    <w:rsid w:val="00C362FB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A1FF4"/>
    <w:rsid w:val="00CB7B5A"/>
    <w:rsid w:val="00CC1E2B"/>
    <w:rsid w:val="00CD1FC4"/>
    <w:rsid w:val="00CE371D"/>
    <w:rsid w:val="00CF57FC"/>
    <w:rsid w:val="00CF5ADD"/>
    <w:rsid w:val="00D01FBD"/>
    <w:rsid w:val="00D02A4D"/>
    <w:rsid w:val="00D1370F"/>
    <w:rsid w:val="00D16140"/>
    <w:rsid w:val="00D21061"/>
    <w:rsid w:val="00D26B49"/>
    <w:rsid w:val="00D30CEB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4273B"/>
    <w:rsid w:val="00E506AA"/>
    <w:rsid w:val="00E546B6"/>
    <w:rsid w:val="00E54836"/>
    <w:rsid w:val="00E5509A"/>
    <w:rsid w:val="00E824F1"/>
    <w:rsid w:val="00EA3C93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62D6"/>
    <w:rsid w:val="00F86BA6"/>
    <w:rsid w:val="00F95605"/>
    <w:rsid w:val="00FC6389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4D0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hyperlink" Target="http://www.vestnikverejnychzakazek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459B7-3B20-4621-8302-0347AE62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3</Pages>
  <Words>922</Words>
  <Characters>5440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14</cp:revision>
  <cp:lastPrinted>2019-08-15T09:57:00Z</cp:lastPrinted>
  <dcterms:created xsi:type="dcterms:W3CDTF">2019-08-22T04:55:00Z</dcterms:created>
  <dcterms:modified xsi:type="dcterms:W3CDTF">2019-08-28T10:38:00Z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