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>. č</w:t>
      </w:r>
      <w:bookmarkStart w:id="0" w:name="_GoBack"/>
      <w:bookmarkEnd w:id="0"/>
      <w:r w:rsidR="00B54D9B" w:rsidRPr="00E02C42">
        <w:rPr>
          <w:rFonts w:ascii="Calibri" w:hAnsi="Calibri"/>
          <w:sz w:val="24"/>
        </w:rPr>
        <w:t>. 9</w:t>
      </w:r>
      <w:r w:rsidRPr="00E02C42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C572FC">
        <w:rPr>
          <w:rFonts w:ascii="Calibri" w:hAnsi="Calibri"/>
          <w:b/>
          <w:sz w:val="24"/>
          <w:lang w:val="en-US"/>
        </w:rPr>
        <w:t>Zaměření a výpočet 3D osy koleje TÚ 2351, Bylnice - Horní Lideč v km 0,5 – 18,7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C3095F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C3095F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095F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2C42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B9F55-FACD-417E-8C0E-B4BD2E0BC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2019-08-27T06:12:00Z</cp:lastPrinted>
  <dcterms:created xsi:type="dcterms:W3CDTF">2018-03-08T11:00:00Z</dcterms:created>
  <dcterms:modified xsi:type="dcterms:W3CDTF">2019-08-27T06:39:00Z</dcterms:modified>
</cp:coreProperties>
</file>