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3442885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  <w:r w:rsidR="005E290E" w:rsidRPr="005E290E">
        <w:rPr>
          <w:rFonts w:eastAsia="Times New Roman" w:cs="Times New Roman"/>
          <w:b/>
          <w:lang w:eastAsia="cs-CZ"/>
        </w:rPr>
        <w:t>38342/2019-SŽDC-GŘ-O8</w:t>
      </w:r>
    </w:p>
    <w:p w14:paraId="6DF16FA9" w14:textId="27984E8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</w:t>
      </w:r>
      <w:r w:rsidR="00AE0C93" w:rsidRPr="00AE0C93">
        <w:rPr>
          <w:rFonts w:eastAsia="Times New Roman" w:cs="Times New Roman"/>
          <w:b/>
          <w:highlight w:val="yellow"/>
          <w:lang w:eastAsia="cs-CZ"/>
        </w:rPr>
        <w:t>(doplní prodávající, nebo vymazat)</w:t>
      </w:r>
    </w:p>
    <w:p w14:paraId="1ADD3331" w14:textId="2B0CBC68" w:rsidR="00DB0D63" w:rsidRDefault="00DB0D63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ISPROFOND: </w:t>
      </w:r>
      <w:r w:rsidRPr="00DB0D63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7F75586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AE0C93"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EFC30B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5E290E" w:rsidRPr="005E290E">
        <w:rPr>
          <w:lang w:eastAsia="cs-CZ"/>
        </w:rPr>
        <w:t>Zatáčečky univerzální</w:t>
      </w:r>
      <w:r w:rsidRPr="00AE0C93">
        <w:rPr>
          <w:lang w:eastAsia="cs-CZ"/>
        </w:rPr>
        <w:t xml:space="preserve">“, </w:t>
      </w:r>
      <w:proofErr w:type="gramStart"/>
      <w:r w:rsidR="001C22E7" w:rsidRPr="00AE0C93">
        <w:rPr>
          <w:rFonts w:eastAsia="Times New Roman" w:cs="Times New Roman"/>
          <w:lang w:eastAsia="cs-CZ"/>
        </w:rPr>
        <w:t>č.j.</w:t>
      </w:r>
      <w:proofErr w:type="gramEnd"/>
      <w:r w:rsidR="001C22E7" w:rsidRPr="00AE0C93">
        <w:rPr>
          <w:rFonts w:eastAsia="Times New Roman" w:cs="Times New Roman"/>
          <w:lang w:eastAsia="cs-CZ"/>
        </w:rPr>
        <w:t xml:space="preserve"> veřejné zakázky</w:t>
      </w:r>
      <w:r w:rsidR="00F20995" w:rsidRPr="00AE0C93">
        <w:rPr>
          <w:rFonts w:eastAsia="Times New Roman" w:cs="Times New Roman"/>
          <w:lang w:eastAsia="cs-CZ"/>
        </w:rPr>
        <w:t xml:space="preserve"> </w:t>
      </w:r>
      <w:r w:rsidR="005E290E" w:rsidRPr="005E290E">
        <w:rPr>
          <w:rFonts w:eastAsia="Times New Roman" w:cs="Times New Roman"/>
          <w:lang w:eastAsia="cs-CZ"/>
        </w:rPr>
        <w:t>S38324/2019-SŽDC-GŘ-O8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7536914C" w:rsidR="00D85C5B" w:rsidRPr="00AE0C93" w:rsidRDefault="00D85C5B" w:rsidP="005E290E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Předmětem koupě je</w:t>
      </w:r>
      <w:r w:rsidR="00AE0C93" w:rsidRPr="00AE0C93">
        <w:rPr>
          <w:rFonts w:eastAsia="Times New Roman" w:cs="Times New Roman"/>
          <w:lang w:eastAsia="cs-CZ"/>
        </w:rPr>
        <w:t xml:space="preserve"> </w:t>
      </w:r>
      <w:r w:rsidR="005E290E" w:rsidRPr="005E290E">
        <w:rPr>
          <w:rFonts w:eastAsia="Times New Roman" w:cs="Times New Roman"/>
          <w:lang w:eastAsia="cs-CZ"/>
        </w:rPr>
        <w:t xml:space="preserve">21 ks </w:t>
      </w:r>
      <w:r w:rsidR="005E290E">
        <w:rPr>
          <w:rFonts w:eastAsia="Times New Roman" w:cs="Times New Roman"/>
          <w:lang w:eastAsia="cs-CZ"/>
        </w:rPr>
        <w:t xml:space="preserve">nových </w:t>
      </w:r>
      <w:r w:rsidR="005E290E" w:rsidRPr="005E290E">
        <w:rPr>
          <w:rFonts w:eastAsia="Times New Roman" w:cs="Times New Roman"/>
          <w:lang w:eastAsia="cs-CZ"/>
        </w:rPr>
        <w:t>univerzálních zatáčeček</w:t>
      </w:r>
      <w:r w:rsidR="006C2194">
        <w:rPr>
          <w:rFonts w:eastAsia="Times New Roman" w:cs="Times New Roman"/>
          <w:lang w:eastAsia="cs-CZ"/>
        </w:rPr>
        <w:t>, a to jak ve variantě s výložníkem, tak ve variantě s 4 kolovým podvozkem</w:t>
      </w:r>
      <w:r w:rsidR="00AE0C93" w:rsidRPr="00AE0C93">
        <w:rPr>
          <w:rFonts w:eastAsia="Times New Roman" w:cs="Times New Roman"/>
          <w:lang w:eastAsia="cs-CZ"/>
        </w:rPr>
        <w:t>.</w:t>
      </w:r>
    </w:p>
    <w:p w14:paraId="01CA54BB" w14:textId="2DBE6E58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Přesná specifikace je uvedena v přílo</w:t>
      </w:r>
      <w:r w:rsidR="00DB3199">
        <w:rPr>
          <w:rFonts w:eastAsia="Times New Roman" w:cs="Times New Roman"/>
          <w:lang w:eastAsia="cs-CZ"/>
        </w:rPr>
        <w:t>hách</w:t>
      </w:r>
      <w:r w:rsidRPr="00AE0C93">
        <w:rPr>
          <w:rFonts w:eastAsia="Times New Roman" w:cs="Times New Roman"/>
          <w:lang w:eastAsia="cs-CZ"/>
        </w:rPr>
        <w:t xml:space="preserve"> č. </w:t>
      </w:r>
      <w:r w:rsidR="00AE0C93" w:rsidRPr="00AE0C93">
        <w:rPr>
          <w:rFonts w:eastAsia="Times New Roman" w:cs="Times New Roman"/>
          <w:lang w:eastAsia="cs-CZ"/>
        </w:rPr>
        <w:t>1</w:t>
      </w:r>
      <w:r w:rsidR="00DB3199">
        <w:rPr>
          <w:rFonts w:eastAsia="Times New Roman" w:cs="Times New Roman"/>
          <w:lang w:eastAsia="cs-CZ"/>
        </w:rPr>
        <w:t>a, 1b a 1c</w:t>
      </w:r>
      <w:r w:rsidR="00AE0C93" w:rsidRPr="00AE0C93">
        <w:rPr>
          <w:rFonts w:eastAsia="Times New Roman" w:cs="Times New Roman"/>
          <w:lang w:eastAsia="cs-CZ"/>
        </w:rPr>
        <w:t xml:space="preserve"> </w:t>
      </w:r>
      <w:r w:rsidRPr="00AE0C93">
        <w:rPr>
          <w:rFonts w:eastAsia="Times New Roman" w:cs="Times New Roman"/>
          <w:lang w:eastAsia="cs-CZ"/>
        </w:rPr>
        <w:t xml:space="preserve">této </w:t>
      </w:r>
      <w:r w:rsidR="008B1447" w:rsidRPr="00AE0C93">
        <w:rPr>
          <w:rFonts w:eastAsia="Times New Roman" w:cs="Times New Roman"/>
          <w:lang w:eastAsia="cs-CZ"/>
        </w:rPr>
        <w:t>Sml</w:t>
      </w:r>
      <w:r w:rsidRPr="00AE0C93">
        <w:rPr>
          <w:rFonts w:eastAsia="Times New Roman" w:cs="Times New Roman"/>
          <w:lang w:eastAsia="cs-CZ"/>
        </w:rPr>
        <w:t>ouvy.</w:t>
      </w:r>
    </w:p>
    <w:p w14:paraId="4A214B1F" w14:textId="1264742A" w:rsidR="00D85C5B" w:rsidRPr="00AE0C93" w:rsidRDefault="00D85C5B" w:rsidP="00AE0C9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AE0C93" w:rsidRPr="00AE0C93">
        <w:rPr>
          <w:rFonts w:eastAsia="Times New Roman" w:cs="Times New Roman"/>
          <w:lang w:eastAsia="cs-CZ"/>
        </w:rPr>
        <w:t>konkrétně normy EN 13977 „Bezpečnostní požadavky na přenosné stroje a vozíky pro stavbu a údržbu“.</w:t>
      </w:r>
    </w:p>
    <w:p w14:paraId="46F1124F" w14:textId="24EC03F7" w:rsidR="00D85C5B" w:rsidRPr="00AE0C9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662FAFC8" w:rsidR="00C24C30" w:rsidRDefault="00C935F4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559769A5" w:rsidR="00F20995" w:rsidRPr="00F20995" w:rsidRDefault="00F20995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</w:r>
      <w:r w:rsidR="00C935F4"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4E77662B" w:rsidR="00F20995" w:rsidRPr="00F20995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F20995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 xml:space="preserve">předmětu koupě </w:t>
      </w:r>
      <w:r w:rsidR="00F20995">
        <w:rPr>
          <w:rFonts w:eastAsia="Times New Roman" w:cs="Times New Roman"/>
          <w:lang w:eastAsia="cs-CZ"/>
        </w:rPr>
        <w:t>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="00F20995"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F20995" w:rsidRPr="00F20995">
        <w:rPr>
          <w:rFonts w:eastAsia="Times New Roman" w:cs="Times New Roman"/>
          <w:lang w:eastAsia="cs-CZ"/>
        </w:rPr>
        <w:t>. Kč.</w:t>
      </w:r>
    </w:p>
    <w:p w14:paraId="2CBCB99B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F9985B9" w14:textId="4FAD12B2" w:rsidR="00AF2FBF" w:rsidRDefault="00AF2FBF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>
        <w:rPr>
          <w:rFonts w:eastAsia="Times New Roman" w:cs="Times New Roman"/>
          <w:lang w:eastAsia="cs-CZ"/>
        </w:rPr>
        <w:t>univerzální zatáčečky</w:t>
      </w:r>
      <w:r w:rsidR="008E0183">
        <w:rPr>
          <w:rFonts w:eastAsia="Times New Roman" w:cs="Times New Roman"/>
          <w:lang w:eastAsia="cs-CZ"/>
        </w:rPr>
        <w:t>, varianta</w:t>
      </w:r>
      <w:r w:rsidR="008E0183">
        <w:rPr>
          <w:rFonts w:eastAsia="Times New Roman" w:cs="Times New Roman"/>
          <w:lang w:eastAsia="cs-CZ"/>
        </w:rPr>
        <w:br/>
        <w:t>s výložníkem</w:t>
      </w:r>
      <w:r w:rsidRPr="00C935F4">
        <w:rPr>
          <w:rFonts w:eastAsia="Times New Roman" w:cs="Times New Roman"/>
          <w:lang w:eastAsia="cs-CZ"/>
        </w:rPr>
        <w:t xml:space="preserve"> bez DPH</w:t>
      </w:r>
      <w:r w:rsidR="008E0183">
        <w:rPr>
          <w:rFonts w:eastAsia="Times New Roman" w:cs="Times New Roman"/>
          <w:lang w:eastAsia="cs-CZ"/>
        </w:rPr>
        <w:tab/>
      </w:r>
      <w:r w:rsidR="008E0183">
        <w:rPr>
          <w:rFonts w:eastAsia="Times New Roman" w:cs="Times New Roman"/>
          <w:lang w:eastAsia="cs-CZ"/>
        </w:rPr>
        <w:tab/>
      </w:r>
      <w:r w:rsidR="008E0183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3F5084F2" w14:textId="4099B6F0" w:rsidR="00AF2FBF" w:rsidRDefault="00AF2FBF" w:rsidP="00AF2FB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74D0BDFA" w14:textId="39B3264F" w:rsidR="00AF2FBF" w:rsidRDefault="00AF2FBF" w:rsidP="00AF2FB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>
        <w:rPr>
          <w:rFonts w:eastAsia="Times New Roman" w:cs="Times New Roman"/>
          <w:lang w:eastAsia="cs-CZ"/>
        </w:rPr>
        <w:t>univerzální zatáčečky</w:t>
      </w:r>
      <w:r w:rsidR="008E0183">
        <w:rPr>
          <w:rFonts w:eastAsia="Times New Roman" w:cs="Times New Roman"/>
          <w:lang w:eastAsia="cs-CZ"/>
        </w:rPr>
        <w:t>, varianta</w:t>
      </w:r>
      <w:r w:rsidR="008E0183">
        <w:rPr>
          <w:rFonts w:eastAsia="Times New Roman" w:cs="Times New Roman"/>
          <w:lang w:eastAsia="cs-CZ"/>
        </w:rPr>
        <w:br/>
        <w:t>s výložníkem</w:t>
      </w:r>
      <w:r w:rsidRPr="00C935F4">
        <w:rPr>
          <w:rFonts w:eastAsia="Times New Roman" w:cs="Times New Roman"/>
          <w:lang w:eastAsia="cs-CZ"/>
        </w:rPr>
        <w:t xml:space="preserve"> včetně DPH</w:t>
      </w:r>
      <w:r w:rsidR="008E0183">
        <w:rPr>
          <w:rFonts w:eastAsia="Times New Roman" w:cs="Times New Roman"/>
          <w:lang w:eastAsia="cs-CZ"/>
        </w:rPr>
        <w:tab/>
      </w:r>
      <w:r w:rsidR="008E0183">
        <w:rPr>
          <w:rFonts w:eastAsia="Times New Roman" w:cs="Times New Roman"/>
          <w:lang w:eastAsia="cs-CZ"/>
        </w:rPr>
        <w:tab/>
      </w:r>
      <w:r w:rsidR="008E0183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4BF0500" w14:textId="21ECEBA7" w:rsidR="00C935F4" w:rsidRPr="00C935F4" w:rsidRDefault="00C935F4" w:rsidP="00C935F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5E290E">
        <w:rPr>
          <w:rFonts w:eastAsia="Times New Roman" w:cs="Times New Roman"/>
          <w:lang w:eastAsia="cs-CZ"/>
        </w:rPr>
        <w:t>univerzální zatáčečky</w:t>
      </w:r>
      <w:r w:rsidR="008E0183">
        <w:rPr>
          <w:rFonts w:eastAsia="Times New Roman" w:cs="Times New Roman"/>
          <w:lang w:eastAsia="cs-CZ"/>
        </w:rPr>
        <w:t>, varianta</w:t>
      </w:r>
      <w:r w:rsidR="008E0183">
        <w:rPr>
          <w:rFonts w:eastAsia="Times New Roman" w:cs="Times New Roman"/>
          <w:lang w:eastAsia="cs-CZ"/>
        </w:rPr>
        <w:br/>
        <w:t>s čtyřkolovým podvozkem</w:t>
      </w:r>
      <w:r w:rsidRPr="00C935F4">
        <w:rPr>
          <w:rFonts w:eastAsia="Times New Roman" w:cs="Times New Roman"/>
          <w:lang w:eastAsia="cs-CZ"/>
        </w:rPr>
        <w:t xml:space="preserve"> bez DPH</w:t>
      </w:r>
      <w:r w:rsidR="008E0183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lang w:eastAsia="cs-CZ"/>
        </w:rPr>
        <w:tab/>
      </w:r>
      <w:r w:rsidR="005E290E">
        <w:rPr>
          <w:rFonts w:eastAsia="Times New Roman" w:cs="Times New Roman"/>
          <w:lang w:eastAsia="cs-CZ"/>
        </w:rPr>
        <w:tab/>
      </w:r>
      <w:r w:rsidR="005E290E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3F2FB016" w14:textId="740C5F07" w:rsidR="00C935F4" w:rsidRP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6E7B18D" w14:textId="00020BA0" w:rsidR="00C935F4" w:rsidRDefault="00C935F4" w:rsidP="008E0183">
      <w:pPr>
        <w:overflowPunct w:val="0"/>
        <w:autoSpaceDE w:val="0"/>
        <w:autoSpaceDN w:val="0"/>
        <w:adjustRightInd w:val="0"/>
        <w:spacing w:after="0" w:line="240" w:lineRule="auto"/>
        <w:ind w:left="705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5E290E">
        <w:rPr>
          <w:rFonts w:eastAsia="Times New Roman" w:cs="Times New Roman"/>
          <w:lang w:eastAsia="cs-CZ"/>
        </w:rPr>
        <w:t>univerzální zatáčečky</w:t>
      </w:r>
      <w:r w:rsidR="008E0183">
        <w:rPr>
          <w:rFonts w:eastAsia="Times New Roman" w:cs="Times New Roman"/>
          <w:lang w:eastAsia="cs-CZ"/>
        </w:rPr>
        <w:t>, varianta</w:t>
      </w:r>
      <w:r w:rsidR="008E0183">
        <w:rPr>
          <w:rFonts w:eastAsia="Times New Roman" w:cs="Times New Roman"/>
          <w:lang w:eastAsia="cs-CZ"/>
        </w:rPr>
        <w:br/>
        <w:t>s čtyřkolovým podvozkem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="005E290E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="008E0183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="008E0183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5F2940E7" w14:textId="77777777" w:rsidR="00C935F4" w:rsidRDefault="00C935F4" w:rsidP="00C935F4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7A205F7" w14:textId="54C23A63" w:rsidR="002B20CA" w:rsidRDefault="00C935F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lastRenderedPageBreak/>
        <w:t xml:space="preserve">Fakturace bude probíhat po dodání jednotlivých předmětů koupě, přičemž přílohou faktury bude předávací protokol k tomuto zařízení, </w:t>
      </w:r>
      <w:r w:rsidR="007F5EC4" w:rsidRPr="00C935F4">
        <w:rPr>
          <w:rFonts w:eastAsia="Times New Roman" w:cs="Times New Roman"/>
          <w:lang w:eastAsia="cs-CZ"/>
        </w:rPr>
        <w:t>podepsan</w:t>
      </w:r>
      <w:r w:rsidRPr="00C935F4">
        <w:rPr>
          <w:rFonts w:eastAsia="Times New Roman" w:cs="Times New Roman"/>
          <w:lang w:eastAsia="cs-CZ"/>
        </w:rPr>
        <w:t>ý</w:t>
      </w:r>
      <w:r w:rsidR="007F5EC4" w:rsidRPr="00C935F4">
        <w:rPr>
          <w:rFonts w:eastAsia="Times New Roman" w:cs="Times New Roman"/>
          <w:lang w:eastAsia="cs-CZ"/>
        </w:rPr>
        <w:t xml:space="preserve"> oběma </w:t>
      </w:r>
      <w:r w:rsidR="008B1447" w:rsidRPr="00C935F4">
        <w:rPr>
          <w:rFonts w:eastAsia="Times New Roman" w:cs="Times New Roman"/>
          <w:lang w:eastAsia="cs-CZ"/>
        </w:rPr>
        <w:t>Sml</w:t>
      </w:r>
      <w:r w:rsidR="007F5EC4" w:rsidRPr="00C935F4">
        <w:rPr>
          <w:rFonts w:eastAsia="Times New Roman" w:cs="Times New Roman"/>
          <w:lang w:eastAsia="cs-CZ"/>
        </w:rPr>
        <w:t>uvními stranami</w:t>
      </w:r>
      <w:r w:rsidR="002B20CA" w:rsidRPr="00C935F4">
        <w:rPr>
          <w:rFonts w:eastAsia="Times New Roman" w:cs="Times New Roman"/>
          <w:lang w:eastAsia="cs-CZ"/>
        </w:rPr>
        <w:t>.</w:t>
      </w:r>
    </w:p>
    <w:p w14:paraId="2A4DB930" w14:textId="7BAB5EDF" w:rsidR="005B3608" w:rsidRDefault="00F749A5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749A5">
        <w:rPr>
          <w:rFonts w:eastAsia="Times New Roman" w:cs="Times New Roman"/>
          <w:lang w:eastAsia="cs-CZ"/>
        </w:rPr>
        <w:t>Vzhledem ke skutečnosti, že předmět plnění je spolufinancován z fondů SFDI, splatnost daňového dokladu činí 60 dní po doručení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72A2272" w:rsidR="00D85C5B" w:rsidRPr="005963C8" w:rsidRDefault="005963C8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Místem dodání jsou jednotlivá oblastní ředitelství Správy železniční dopravní cesty, která jsou uvedena v příloze č. 1 této smlouvy.</w:t>
      </w:r>
    </w:p>
    <w:p w14:paraId="5115D35D" w14:textId="5205F69F" w:rsidR="00D85C5B" w:rsidRPr="005963C8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Předmět koupě bude dodán</w:t>
      </w:r>
      <w:r w:rsidR="005963C8" w:rsidRPr="005963C8">
        <w:rPr>
          <w:rFonts w:eastAsia="Times New Roman" w:cs="Times New Roman"/>
          <w:lang w:eastAsia="cs-CZ"/>
        </w:rPr>
        <w:t xml:space="preserve"> nejpozději</w:t>
      </w:r>
      <w:r w:rsidRPr="005963C8">
        <w:rPr>
          <w:rFonts w:eastAsia="Times New Roman" w:cs="Times New Roman"/>
          <w:lang w:eastAsia="cs-CZ"/>
        </w:rPr>
        <w:t xml:space="preserve"> do </w:t>
      </w:r>
      <w:r w:rsidR="005963C8" w:rsidRPr="005963C8">
        <w:rPr>
          <w:rFonts w:eastAsia="Times New Roman" w:cs="Times New Roman"/>
          <w:lang w:eastAsia="cs-CZ"/>
        </w:rPr>
        <w:t>15. 12. 2019</w:t>
      </w:r>
      <w:r w:rsidR="00805A3C">
        <w:rPr>
          <w:rFonts w:eastAsia="Times New Roman" w:cs="Times New Roman"/>
          <w:lang w:eastAsia="cs-CZ"/>
        </w:rPr>
        <w:t xml:space="preserve">, </w:t>
      </w:r>
      <w:r w:rsidR="00805A3C" w:rsidRPr="00805A3C">
        <w:rPr>
          <w:rFonts w:eastAsia="Times New Roman" w:cs="Times New Roman"/>
          <w:b/>
          <w:bCs/>
          <w:lang w:eastAsia="cs-CZ"/>
        </w:rPr>
        <w:t>dle dohody smluvních stran prostřednictvím kontaktních osob.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963C8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5963C8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188FE445" w14:textId="0EA3224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</w:t>
      </w:r>
      <w:r w:rsidR="00D85C5B" w:rsidRPr="005963C8">
        <w:rPr>
          <w:rFonts w:eastAsia="Times New Roman" w:cs="Times New Roman"/>
          <w:lang w:eastAsia="cs-CZ"/>
        </w:rPr>
        <w:t>,</w:t>
      </w:r>
    </w:p>
    <w:p w14:paraId="47C3F0C6" w14:textId="2D4A89DA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08E099E1" w14:textId="427F284D" w:rsidR="005963C8" w:rsidRPr="005963C8" w:rsidRDefault="005963C8" w:rsidP="005963C8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 obsluze v českém jazyce.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3414F7A" w:rsidR="00D85C5B" w:rsidRPr="001C4874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</w:t>
      </w:r>
      <w:r w:rsidRPr="000C5DA0">
        <w:rPr>
          <w:rFonts w:eastAsia="Calibri" w:cs="Times New Roman"/>
        </w:rPr>
        <w:lastRenderedPageBreak/>
        <w:t xml:space="preserve">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3DE28617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963C8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Calibri" w:cs="Times New Roman"/>
        </w:rPr>
        <w:t>Tato S</w:t>
      </w:r>
      <w:r w:rsidR="00D85C5B" w:rsidRPr="005963C8">
        <w:rPr>
          <w:rFonts w:eastAsia="Calibri" w:cs="Times New Roman"/>
        </w:rPr>
        <w:t xml:space="preserve">mlouva nabývá platnosti okamžikem podpisu poslední ze </w:t>
      </w:r>
      <w:r w:rsidR="00FB5045" w:rsidRPr="005963C8">
        <w:rPr>
          <w:rFonts w:eastAsia="Calibri" w:cs="Times New Roman"/>
        </w:rPr>
        <w:t>Sml</w:t>
      </w:r>
      <w:r w:rsidR="00D85C5B" w:rsidRPr="005963C8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GoBack"/>
      <w:bookmarkEnd w:id="0"/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288F1D80" w:rsidR="00D85C5B" w:rsidRPr="005963C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 w:rsidR="005963C8" w:rsidRPr="005963C8">
        <w:rPr>
          <w:rFonts w:eastAsia="Times New Roman" w:cs="Times New Roman"/>
          <w:lang w:eastAsia="cs-CZ"/>
        </w:rPr>
        <w:t>a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 w:rsidR="00B21D88">
        <w:rPr>
          <w:rFonts w:eastAsia="Times New Roman" w:cs="Times New Roman"/>
          <w:lang w:eastAsia="cs-CZ"/>
        </w:rPr>
        <w:t>, včetně míst dodání</w:t>
      </w:r>
    </w:p>
    <w:p w14:paraId="46621F99" w14:textId="0EFEC541" w:rsidR="00CC1601" w:rsidRDefault="005963C8" w:rsidP="005963C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1b: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="005E290E">
        <w:rPr>
          <w:rFonts w:eastAsia="Times New Roman" w:cs="Times New Roman"/>
          <w:lang w:eastAsia="cs-CZ"/>
        </w:rPr>
        <w:t>Zatáčečka univerzální</w:t>
      </w:r>
      <w:r w:rsidR="00CB0244">
        <w:rPr>
          <w:rFonts w:eastAsia="Times New Roman" w:cs="Times New Roman"/>
          <w:lang w:eastAsia="cs-CZ"/>
        </w:rPr>
        <w:t>, varianta s výložníkem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0CC3F653" w14:textId="033D6D0F" w:rsidR="00CB0244" w:rsidRPr="005963C8" w:rsidRDefault="00CB0244" w:rsidP="005963C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</w:t>
      </w:r>
      <w:r>
        <w:rPr>
          <w:rFonts w:eastAsia="Times New Roman" w:cs="Times New Roman"/>
          <w:lang w:eastAsia="cs-CZ"/>
        </w:rPr>
        <w:t>c</w:t>
      </w:r>
      <w:r w:rsidRPr="005963C8">
        <w:rPr>
          <w:rFonts w:eastAsia="Times New Roman" w:cs="Times New Roman"/>
          <w:lang w:eastAsia="cs-CZ"/>
        </w:rPr>
        <w:t>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Zatáčečka univerzální, varianta s 4 kolovým podvozkem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44F920E6" w14:textId="13E483C8" w:rsidR="005963C8" w:rsidRDefault="005963C8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1416137A" w14:textId="5DDFBF60" w:rsidR="00033414" w:rsidRDefault="00033414" w:rsidP="0026213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DB0F2C" w14:textId="7A4CB78F" w:rsidR="00262134" w:rsidRPr="007F5EC4" w:rsidRDefault="0026213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262134">
        <w:rPr>
          <w:rFonts w:eastAsia="Times New Roman" w:cs="Times New Roman"/>
          <w:highlight w:val="yellow"/>
          <w:lang w:eastAsia="cs-CZ"/>
        </w:rPr>
        <w:t>příloha č. 4:</w:t>
      </w:r>
      <w:r w:rsidRPr="00262134">
        <w:rPr>
          <w:rFonts w:eastAsia="Times New Roman" w:cs="Times New Roman"/>
          <w:highlight w:val="yellow"/>
          <w:lang w:eastAsia="cs-CZ"/>
        </w:rPr>
        <w:tab/>
        <w:t>Seznam poddodavatelů (je-li relevantní; jinak vymazat)</w:t>
      </w:r>
    </w:p>
    <w:p w14:paraId="27BB1262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267B1B26" w14:textId="2B634B04" w:rsidR="001C487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Bc. Jiří Svoboda, MBA</w:t>
      </w:r>
      <w:r w:rsidRPr="00262134">
        <w:rPr>
          <w:rFonts w:eastAsia="Calibri" w:cs="Times New Roman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</w:r>
      <w:r w:rsidR="001C4874" w:rsidRPr="00D9782E">
        <w:rPr>
          <w:rFonts w:eastAsia="Calibri" w:cs="Times New Roman"/>
          <w:highlight w:val="yellow"/>
        </w:rPr>
        <w:tab/>
        <w:t>…………………………</w:t>
      </w:r>
    </w:p>
    <w:p w14:paraId="79C7255E" w14:textId="70193A74" w:rsidR="0026213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30521308" w14:textId="77777777" w:rsidR="00262134" w:rsidRDefault="0026213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AE0C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EA6934" w14:textId="77777777" w:rsidR="00CE7733" w:rsidRDefault="00CE7733" w:rsidP="00962258">
      <w:pPr>
        <w:spacing w:after="0" w:line="240" w:lineRule="auto"/>
      </w:pPr>
      <w:r>
        <w:separator/>
      </w:r>
    </w:p>
  </w:endnote>
  <w:endnote w:type="continuationSeparator" w:id="0">
    <w:p w14:paraId="643BF781" w14:textId="77777777" w:rsidR="00CE7733" w:rsidRDefault="00CE77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5A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5A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06630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E3761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5A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5A3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1CC17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9BD82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53D8B" w14:textId="77777777" w:rsidR="00CE7733" w:rsidRDefault="00CE7733" w:rsidP="00962258">
      <w:pPr>
        <w:spacing w:after="0" w:line="240" w:lineRule="auto"/>
      </w:pPr>
      <w:r>
        <w:separator/>
      </w:r>
    </w:p>
  </w:footnote>
  <w:footnote w:type="continuationSeparator" w:id="0">
    <w:p w14:paraId="0A5E4A3A" w14:textId="77777777" w:rsidR="00CE7733" w:rsidRDefault="00CE77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2"/>
  </w:num>
  <w:num w:numId="35">
    <w:abstractNumId w:val="8"/>
  </w:num>
  <w:num w:numId="36">
    <w:abstractNumId w:val="13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6"/>
  </w:num>
  <w:num w:numId="42">
    <w:abstractNumId w:val="9"/>
  </w:num>
  <w:num w:numId="4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C22E7"/>
    <w:rsid w:val="001C4874"/>
    <w:rsid w:val="00207DF5"/>
    <w:rsid w:val="00262134"/>
    <w:rsid w:val="00280E07"/>
    <w:rsid w:val="002A5E9C"/>
    <w:rsid w:val="002B20CA"/>
    <w:rsid w:val="002B378D"/>
    <w:rsid w:val="002C31BF"/>
    <w:rsid w:val="002D08B1"/>
    <w:rsid w:val="002E0CD7"/>
    <w:rsid w:val="003119BE"/>
    <w:rsid w:val="00341DCF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63C8"/>
    <w:rsid w:val="005B3608"/>
    <w:rsid w:val="005B76DD"/>
    <w:rsid w:val="005D5624"/>
    <w:rsid w:val="005D7514"/>
    <w:rsid w:val="005E290E"/>
    <w:rsid w:val="005F1404"/>
    <w:rsid w:val="005F294E"/>
    <w:rsid w:val="0061068E"/>
    <w:rsid w:val="00623216"/>
    <w:rsid w:val="00637308"/>
    <w:rsid w:val="00660AD3"/>
    <w:rsid w:val="00660FBE"/>
    <w:rsid w:val="00677B7F"/>
    <w:rsid w:val="006A5570"/>
    <w:rsid w:val="006A689C"/>
    <w:rsid w:val="006B3D79"/>
    <w:rsid w:val="006C2194"/>
    <w:rsid w:val="006D7AFE"/>
    <w:rsid w:val="006E0578"/>
    <w:rsid w:val="006E314D"/>
    <w:rsid w:val="006E3674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A0C04"/>
    <w:rsid w:val="007B4B2B"/>
    <w:rsid w:val="007B570C"/>
    <w:rsid w:val="007C589B"/>
    <w:rsid w:val="007C6215"/>
    <w:rsid w:val="007E165D"/>
    <w:rsid w:val="007E4A6E"/>
    <w:rsid w:val="007F56A7"/>
    <w:rsid w:val="007F5EC4"/>
    <w:rsid w:val="00805A3C"/>
    <w:rsid w:val="00807DD0"/>
    <w:rsid w:val="00864ADF"/>
    <w:rsid w:val="008659F3"/>
    <w:rsid w:val="00886D4B"/>
    <w:rsid w:val="00895406"/>
    <w:rsid w:val="008A3568"/>
    <w:rsid w:val="008B1447"/>
    <w:rsid w:val="008D03B9"/>
    <w:rsid w:val="008E0183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514B"/>
    <w:rsid w:val="00A606A7"/>
    <w:rsid w:val="00A6177B"/>
    <w:rsid w:val="00A66136"/>
    <w:rsid w:val="00A91C7A"/>
    <w:rsid w:val="00AA4CBB"/>
    <w:rsid w:val="00AA65FA"/>
    <w:rsid w:val="00AA7351"/>
    <w:rsid w:val="00AD056F"/>
    <w:rsid w:val="00AD6731"/>
    <w:rsid w:val="00AE0C93"/>
    <w:rsid w:val="00AF2FBF"/>
    <w:rsid w:val="00B15D0D"/>
    <w:rsid w:val="00B21D88"/>
    <w:rsid w:val="00B56FC3"/>
    <w:rsid w:val="00B60400"/>
    <w:rsid w:val="00B75EE1"/>
    <w:rsid w:val="00B77481"/>
    <w:rsid w:val="00B8518B"/>
    <w:rsid w:val="00BC51D3"/>
    <w:rsid w:val="00BD7E91"/>
    <w:rsid w:val="00BF45C5"/>
    <w:rsid w:val="00C02D0A"/>
    <w:rsid w:val="00C03A6E"/>
    <w:rsid w:val="00C24C30"/>
    <w:rsid w:val="00C44F6A"/>
    <w:rsid w:val="00C47AE3"/>
    <w:rsid w:val="00C935F4"/>
    <w:rsid w:val="00C97B60"/>
    <w:rsid w:val="00CA4013"/>
    <w:rsid w:val="00CB0244"/>
    <w:rsid w:val="00CC1601"/>
    <w:rsid w:val="00CD1FC4"/>
    <w:rsid w:val="00CE7733"/>
    <w:rsid w:val="00CF51DB"/>
    <w:rsid w:val="00D043A4"/>
    <w:rsid w:val="00D21061"/>
    <w:rsid w:val="00D4108E"/>
    <w:rsid w:val="00D537A4"/>
    <w:rsid w:val="00D6163D"/>
    <w:rsid w:val="00D6524B"/>
    <w:rsid w:val="00D831A3"/>
    <w:rsid w:val="00D85C5B"/>
    <w:rsid w:val="00DB0D63"/>
    <w:rsid w:val="00DB3199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749A5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0E37ED-7F08-4D7C-ACD0-BF312549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1319</Words>
  <Characters>7783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28</cp:revision>
  <cp:lastPrinted>2019-07-25T10:56:00Z</cp:lastPrinted>
  <dcterms:created xsi:type="dcterms:W3CDTF">2019-04-26T07:41:00Z</dcterms:created>
  <dcterms:modified xsi:type="dcterms:W3CDTF">2019-07-25T10:56:00Z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