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901E9A9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  <w:r w:rsidR="00AE0C93" w:rsidRPr="00AE0C93">
        <w:rPr>
          <w:rFonts w:eastAsia="Times New Roman" w:cs="Times New Roman"/>
          <w:b/>
          <w:lang w:eastAsia="cs-CZ"/>
        </w:rPr>
        <w:t>37831/2019-SŽDC-GŘ-O8</w:t>
      </w:r>
    </w:p>
    <w:p w14:paraId="6DF16FA9" w14:textId="27984E8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</w:t>
      </w:r>
      <w:r w:rsidR="00AE0C93" w:rsidRPr="00AE0C93">
        <w:rPr>
          <w:rFonts w:eastAsia="Times New Roman" w:cs="Times New Roman"/>
          <w:b/>
          <w:highlight w:val="yellow"/>
          <w:lang w:eastAsia="cs-CZ"/>
        </w:rPr>
        <w:t>(doplní prodávající, nebo vymazat)</w:t>
      </w:r>
    </w:p>
    <w:p w14:paraId="0AC3DD63" w14:textId="61F78345" w:rsidR="007975BC" w:rsidRDefault="007975B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975BC">
        <w:rPr>
          <w:rFonts w:eastAsia="Times New Roman" w:cs="Times New Roman"/>
          <w:b/>
          <w:lang w:eastAsia="cs-CZ"/>
        </w:rPr>
        <w:t>ČÍSLO ISPROFOND: 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7F7558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AE0C93"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E7F8054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AE0C93" w:rsidRPr="00AE0C93">
        <w:rPr>
          <w:lang w:eastAsia="cs-CZ"/>
        </w:rPr>
        <w:t>Zařízení na přepravu kolejnic ZPK</w:t>
      </w:r>
      <w:r w:rsidRPr="00AE0C93">
        <w:rPr>
          <w:lang w:eastAsia="cs-CZ"/>
        </w:rPr>
        <w:t xml:space="preserve"> “, </w:t>
      </w:r>
      <w:proofErr w:type="gramStart"/>
      <w:r w:rsidR="001C22E7" w:rsidRPr="00AE0C93">
        <w:rPr>
          <w:rFonts w:eastAsia="Times New Roman" w:cs="Times New Roman"/>
          <w:lang w:eastAsia="cs-CZ"/>
        </w:rPr>
        <w:t>č.j.</w:t>
      </w:r>
      <w:proofErr w:type="gramEnd"/>
      <w:r w:rsidR="001C22E7" w:rsidRPr="00AE0C93">
        <w:rPr>
          <w:rFonts w:eastAsia="Times New Roman" w:cs="Times New Roman"/>
          <w:lang w:eastAsia="cs-CZ"/>
        </w:rPr>
        <w:t xml:space="preserve"> veřejné zakázky</w:t>
      </w:r>
      <w:r w:rsidR="00F20995" w:rsidRPr="00AE0C93">
        <w:rPr>
          <w:rFonts w:eastAsia="Times New Roman" w:cs="Times New Roman"/>
          <w:lang w:eastAsia="cs-CZ"/>
        </w:rPr>
        <w:t xml:space="preserve"> </w:t>
      </w:r>
      <w:r w:rsidR="00AE0C93" w:rsidRPr="00AE0C93">
        <w:rPr>
          <w:rFonts w:eastAsia="Times New Roman" w:cs="Times New Roman"/>
          <w:lang w:eastAsia="cs-CZ"/>
        </w:rPr>
        <w:t>S37814/2019-SŽDC-GŘ-O8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3C1B5976" w:rsidR="00D85C5B" w:rsidRPr="00AE0C93" w:rsidRDefault="00D85C5B" w:rsidP="00AE0C9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Předmětem koupě je</w:t>
      </w:r>
      <w:r w:rsidR="00AE0C93" w:rsidRPr="00AE0C93">
        <w:rPr>
          <w:rFonts w:eastAsia="Times New Roman" w:cs="Times New Roman"/>
          <w:lang w:eastAsia="cs-CZ"/>
        </w:rPr>
        <w:t xml:space="preserve"> 65 ks nových zařízení na přepravu kolejnic ZPK, a 22 ks nových táhel pro spojení s tažným vozidlem typu MUV.</w:t>
      </w:r>
    </w:p>
    <w:p w14:paraId="01CA54BB" w14:textId="055526EA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Přesná specifikace je uvedena v přílo</w:t>
      </w:r>
      <w:r w:rsidR="00BA7818">
        <w:rPr>
          <w:rFonts w:eastAsia="Times New Roman" w:cs="Times New Roman"/>
          <w:lang w:eastAsia="cs-CZ"/>
        </w:rPr>
        <w:t>hách</w:t>
      </w:r>
      <w:r w:rsidRPr="00AE0C93">
        <w:rPr>
          <w:rFonts w:eastAsia="Times New Roman" w:cs="Times New Roman"/>
          <w:lang w:eastAsia="cs-CZ"/>
        </w:rPr>
        <w:t xml:space="preserve"> </w:t>
      </w:r>
      <w:r w:rsidR="00AE0C93" w:rsidRPr="00AE0C93">
        <w:rPr>
          <w:rFonts w:eastAsia="Times New Roman" w:cs="Times New Roman"/>
          <w:lang w:eastAsia="cs-CZ"/>
        </w:rPr>
        <w:t>1</w:t>
      </w:r>
      <w:r w:rsidR="00BA7818">
        <w:rPr>
          <w:rFonts w:eastAsia="Times New Roman" w:cs="Times New Roman"/>
          <w:lang w:eastAsia="cs-CZ"/>
        </w:rPr>
        <w:t>a, 1b a 1c</w:t>
      </w:r>
      <w:r w:rsidR="00AE0C93" w:rsidRPr="00AE0C93">
        <w:rPr>
          <w:rFonts w:eastAsia="Times New Roman" w:cs="Times New Roman"/>
          <w:lang w:eastAsia="cs-CZ"/>
        </w:rPr>
        <w:t xml:space="preserve"> </w:t>
      </w:r>
      <w:r w:rsidRPr="00AE0C93">
        <w:rPr>
          <w:rFonts w:eastAsia="Times New Roman" w:cs="Times New Roman"/>
          <w:lang w:eastAsia="cs-CZ"/>
        </w:rPr>
        <w:t xml:space="preserve">této </w:t>
      </w:r>
      <w:r w:rsidR="008B1447" w:rsidRPr="00AE0C93">
        <w:rPr>
          <w:rFonts w:eastAsia="Times New Roman" w:cs="Times New Roman"/>
          <w:lang w:eastAsia="cs-CZ"/>
        </w:rPr>
        <w:t>Sml</w:t>
      </w:r>
      <w:r w:rsidRPr="00AE0C93">
        <w:rPr>
          <w:rFonts w:eastAsia="Times New Roman" w:cs="Times New Roman"/>
          <w:lang w:eastAsia="cs-CZ"/>
        </w:rPr>
        <w:t>ouvy.</w:t>
      </w:r>
    </w:p>
    <w:p w14:paraId="4A214B1F" w14:textId="1264742A" w:rsidR="00D85C5B" w:rsidRPr="00AE0C93" w:rsidRDefault="00D85C5B" w:rsidP="00AE0C9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AE0C93" w:rsidRPr="00AE0C93">
        <w:rPr>
          <w:rFonts w:eastAsia="Times New Roman" w:cs="Times New Roman"/>
          <w:lang w:eastAsia="cs-CZ"/>
        </w:rPr>
        <w:t>konkrétně normy EN 13977 „Bezpečnostní požadavky na přenosné stroje a vozíky pro stavbu a údržbu“.</w:t>
      </w:r>
    </w:p>
    <w:p w14:paraId="46F1124F" w14:textId="24EC03F7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662FAFC8" w:rsidR="00C24C30" w:rsidRDefault="00C935F4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559769A5" w:rsidR="00F20995" w:rsidRPr="00F20995" w:rsidRDefault="00F20995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E77662B" w:rsidR="00F20995" w:rsidRPr="00F20995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F20995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F2099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F20995" w:rsidRPr="00F20995">
        <w:rPr>
          <w:rFonts w:eastAsia="Times New Roman" w:cs="Times New Roman"/>
          <w:lang w:eastAsia="cs-CZ"/>
        </w:rPr>
        <w:t>. Kč.</w:t>
      </w:r>
    </w:p>
    <w:p w14:paraId="2CBCB99B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4BF0500" w14:textId="5F110D3D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zařízení na přepravu kolejnic ZPK bez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3F2FB016" w14:textId="740C5F07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6E7B18D" w14:textId="238302BA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zařízení na přepravu kolejnic ZPK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F2940E7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0A506DDE" w14:textId="4915FFDA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táhla bez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4A93873C" w14:textId="6C053512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E11B383" w14:textId="6067856E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táhla včetně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A46C64D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7A205F7" w14:textId="54C23A63" w:rsidR="002B20CA" w:rsidRDefault="00C935F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Fakturace bude probíhat po dodání jednotlivých předmětů koupě, přičemž přílohou faktury bude předávací protokol k tomuto zařízení, </w:t>
      </w:r>
      <w:r w:rsidR="007F5EC4" w:rsidRPr="00C935F4">
        <w:rPr>
          <w:rFonts w:eastAsia="Times New Roman" w:cs="Times New Roman"/>
          <w:lang w:eastAsia="cs-CZ"/>
        </w:rPr>
        <w:t>podepsan</w:t>
      </w:r>
      <w:r w:rsidRPr="00C935F4">
        <w:rPr>
          <w:rFonts w:eastAsia="Times New Roman" w:cs="Times New Roman"/>
          <w:lang w:eastAsia="cs-CZ"/>
        </w:rPr>
        <w:t>ý</w:t>
      </w:r>
      <w:r w:rsidR="007F5EC4" w:rsidRPr="00C935F4">
        <w:rPr>
          <w:rFonts w:eastAsia="Times New Roman" w:cs="Times New Roman"/>
          <w:lang w:eastAsia="cs-CZ"/>
        </w:rPr>
        <w:t xml:space="preserve"> oběma </w:t>
      </w:r>
      <w:r w:rsidR="008B1447" w:rsidRPr="00C935F4">
        <w:rPr>
          <w:rFonts w:eastAsia="Times New Roman" w:cs="Times New Roman"/>
          <w:lang w:eastAsia="cs-CZ"/>
        </w:rPr>
        <w:t>Sml</w:t>
      </w:r>
      <w:r w:rsidR="007F5EC4" w:rsidRPr="00C935F4">
        <w:rPr>
          <w:rFonts w:eastAsia="Times New Roman" w:cs="Times New Roman"/>
          <w:lang w:eastAsia="cs-CZ"/>
        </w:rPr>
        <w:t>uvními stranami</w:t>
      </w:r>
      <w:r w:rsidR="002B20CA" w:rsidRPr="00C935F4">
        <w:rPr>
          <w:rFonts w:eastAsia="Times New Roman" w:cs="Times New Roman"/>
          <w:lang w:eastAsia="cs-CZ"/>
        </w:rPr>
        <w:t>.</w:t>
      </w:r>
    </w:p>
    <w:p w14:paraId="07002527" w14:textId="6EB63068" w:rsidR="006A28BA" w:rsidRPr="00C935F4" w:rsidRDefault="005D2EB7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D2EB7">
        <w:rPr>
          <w:rFonts w:eastAsia="Times New Roman" w:cs="Times New Roman"/>
          <w:lang w:eastAsia="cs-CZ"/>
        </w:rPr>
        <w:lastRenderedPageBreak/>
        <w:t>Vzhledem ke skutečnosti, že předmět plnění je spolufinancován z fondů SFDI, splatnost daňového dokladu činí 60 dní po doručení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09E1028" w:rsidR="00D85C5B" w:rsidRPr="005963C8" w:rsidRDefault="005963C8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jsou jednotlivá oblastní ředitelství Správy železniční dopravní cesty, která jsou uvedena v příloze č. 1 této </w:t>
      </w:r>
      <w:r w:rsidR="00483B11">
        <w:rPr>
          <w:rFonts w:eastAsia="Times New Roman" w:cs="Times New Roman"/>
          <w:lang w:eastAsia="cs-CZ"/>
        </w:rPr>
        <w:t>S</w:t>
      </w:r>
      <w:r w:rsidRPr="005963C8">
        <w:rPr>
          <w:rFonts w:eastAsia="Times New Roman" w:cs="Times New Roman"/>
          <w:lang w:eastAsia="cs-CZ"/>
        </w:rPr>
        <w:t>mlouvy.</w:t>
      </w:r>
    </w:p>
    <w:p w14:paraId="5115D35D" w14:textId="1D167D00" w:rsidR="00D85C5B" w:rsidRPr="005963C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Předmět koupě bude dodán</w:t>
      </w:r>
      <w:r w:rsidR="005963C8" w:rsidRPr="005963C8">
        <w:rPr>
          <w:rFonts w:eastAsia="Times New Roman" w:cs="Times New Roman"/>
          <w:lang w:eastAsia="cs-CZ"/>
        </w:rPr>
        <w:t xml:space="preserve"> nejpozději</w:t>
      </w:r>
      <w:r w:rsidRPr="005963C8">
        <w:rPr>
          <w:rFonts w:eastAsia="Times New Roman" w:cs="Times New Roman"/>
          <w:lang w:eastAsia="cs-CZ"/>
        </w:rPr>
        <w:t xml:space="preserve"> do </w:t>
      </w:r>
      <w:bookmarkStart w:id="0" w:name="_GoBack"/>
      <w:bookmarkEnd w:id="0"/>
      <w:r w:rsidR="00B2728C" w:rsidRPr="00B2728C">
        <w:rPr>
          <w:rFonts w:eastAsia="Times New Roman" w:cs="Times New Roman"/>
          <w:lang w:eastAsia="cs-CZ"/>
        </w:rPr>
        <w:t>6 měsíců od nabytí účinnosti kupní smlouvy</w:t>
      </w:r>
      <w:r w:rsidR="001B5263">
        <w:rPr>
          <w:rFonts w:eastAsia="Times New Roman" w:cs="Times New Roman"/>
          <w:lang w:eastAsia="cs-CZ"/>
        </w:rPr>
        <w:t xml:space="preserve">, </w:t>
      </w:r>
      <w:r w:rsidR="001B5263" w:rsidRPr="001B5263">
        <w:rPr>
          <w:rFonts w:eastAsia="Times New Roman" w:cs="Times New Roman"/>
          <w:b/>
          <w:bCs/>
          <w:lang w:eastAsia="cs-CZ"/>
        </w:rPr>
        <w:t>dle dohody smluvních stran p</w:t>
      </w:r>
      <w:r w:rsidR="001B5263">
        <w:rPr>
          <w:rFonts w:eastAsia="Times New Roman" w:cs="Times New Roman"/>
          <w:b/>
          <w:bCs/>
          <w:lang w:eastAsia="cs-CZ"/>
        </w:rPr>
        <w:t>rostřednictvím kontaktních osob</w:t>
      </w:r>
      <w:r w:rsidR="001B5263">
        <w:rPr>
          <w:rFonts w:eastAsia="Times New Roman" w:cs="Times New Roman"/>
          <w:bCs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5963C8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188FE445" w14:textId="0EA3224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</w:t>
      </w:r>
      <w:r w:rsidR="00D85C5B" w:rsidRPr="005963C8">
        <w:rPr>
          <w:rFonts w:eastAsia="Times New Roman" w:cs="Times New Roman"/>
          <w:lang w:eastAsia="cs-CZ"/>
        </w:rPr>
        <w:t>,</w:t>
      </w:r>
    </w:p>
    <w:p w14:paraId="47C3F0C6" w14:textId="2D4A89D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08E099E1" w14:textId="427F284D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 obsluze v 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</w:t>
      </w:r>
      <w:r w:rsidRPr="000C5DA0">
        <w:rPr>
          <w:rFonts w:eastAsia="Calibri" w:cs="Times New Roman"/>
        </w:rPr>
        <w:lastRenderedPageBreak/>
        <w:t xml:space="preserve">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DE28617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963C8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Calibri" w:cs="Times New Roman"/>
        </w:rPr>
        <w:t>Tato S</w:t>
      </w:r>
      <w:r w:rsidR="00D85C5B" w:rsidRPr="005963C8">
        <w:rPr>
          <w:rFonts w:eastAsia="Calibri" w:cs="Times New Roman"/>
        </w:rPr>
        <w:t xml:space="preserve">mlouva nabývá platnosti okamžikem podpisu poslední ze </w:t>
      </w:r>
      <w:r w:rsidR="00FB5045" w:rsidRPr="005963C8">
        <w:rPr>
          <w:rFonts w:eastAsia="Calibri" w:cs="Times New Roman"/>
        </w:rPr>
        <w:t>Sml</w:t>
      </w:r>
      <w:r w:rsidR="00D85C5B" w:rsidRPr="005963C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FEBDDE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6AD9B8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353605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662C0B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288F1D80" w:rsidR="00D85C5B" w:rsidRPr="005963C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 w:rsidR="005963C8" w:rsidRPr="005963C8"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 w:rsidR="00B21D88">
        <w:rPr>
          <w:rFonts w:eastAsia="Times New Roman" w:cs="Times New Roman"/>
          <w:lang w:eastAsia="cs-CZ"/>
        </w:rPr>
        <w:t>, včetně míst dodání</w:t>
      </w:r>
    </w:p>
    <w:p w14:paraId="46621F99" w14:textId="60B07FBC" w:rsidR="00CC1601" w:rsidRPr="005963C8" w:rsidRDefault="005963C8" w:rsidP="005963C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1b: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Zařízení pro přepravu kolejnic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066B85B3" w14:textId="15EF8FF2" w:rsidR="005963C8" w:rsidRPr="005963C8" w:rsidRDefault="005963C8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1c: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Táhla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4F920E6" w14:textId="13E483C8" w:rsidR="005963C8" w:rsidRDefault="005963C8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1416137A" w14:textId="5DDFBF60" w:rsidR="00033414" w:rsidRDefault="00033414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DB0F2C" w14:textId="7A4CB78F" w:rsidR="00262134" w:rsidRPr="007F5EC4" w:rsidRDefault="0026213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262134">
        <w:rPr>
          <w:rFonts w:eastAsia="Times New Roman" w:cs="Times New Roman"/>
          <w:highlight w:val="yellow"/>
          <w:lang w:eastAsia="cs-CZ"/>
        </w:rPr>
        <w:t>příloha č. 4:</w:t>
      </w:r>
      <w:r w:rsidRPr="00262134">
        <w:rPr>
          <w:rFonts w:eastAsia="Times New Roman" w:cs="Times New Roman"/>
          <w:highlight w:val="yellow"/>
          <w:lang w:eastAsia="cs-CZ"/>
        </w:rPr>
        <w:tab/>
        <w:t>Seznam poddodavatelů (je-li relevantní; jinak vymazat)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267B1B26" w14:textId="2B634B04" w:rsidR="001C487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Bc. Jiří Svoboda, MBA</w:t>
      </w:r>
      <w:r w:rsidRPr="00262134">
        <w:rPr>
          <w:rFonts w:eastAsia="Calibri" w:cs="Times New Roman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  <w:t>…………………………</w:t>
      </w:r>
    </w:p>
    <w:p w14:paraId="79C7255E" w14:textId="70193A74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10EC0D70" w14:textId="77777777" w:rsidR="005D2EB7" w:rsidRDefault="005D2EB7" w:rsidP="00D85C5B">
      <w:pPr>
        <w:suppressAutoHyphens/>
        <w:spacing w:before="120" w:line="276" w:lineRule="auto"/>
        <w:rPr>
          <w:rFonts w:eastAsia="Calibri" w:cs="Times New Roman"/>
        </w:rPr>
      </w:pP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AE0C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BAF68" w14:textId="77777777" w:rsidR="00972F04" w:rsidRDefault="00972F04" w:rsidP="00962258">
      <w:pPr>
        <w:spacing w:after="0" w:line="240" w:lineRule="auto"/>
      </w:pPr>
      <w:r>
        <w:separator/>
      </w:r>
    </w:p>
  </w:endnote>
  <w:endnote w:type="continuationSeparator" w:id="0">
    <w:p w14:paraId="0B8C6E09" w14:textId="77777777" w:rsidR="00972F04" w:rsidRDefault="00972F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7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728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7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728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0F40E" w14:textId="77777777" w:rsidR="00972F04" w:rsidRDefault="00972F04" w:rsidP="00962258">
      <w:pPr>
        <w:spacing w:after="0" w:line="240" w:lineRule="auto"/>
      </w:pPr>
      <w:r>
        <w:separator/>
      </w:r>
    </w:p>
  </w:footnote>
  <w:footnote w:type="continuationSeparator" w:id="0">
    <w:p w14:paraId="37786F4D" w14:textId="77777777" w:rsidR="00972F04" w:rsidRDefault="00972F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2"/>
  </w:num>
  <w:num w:numId="35">
    <w:abstractNumId w:val="8"/>
  </w:num>
  <w:num w:numId="36">
    <w:abstractNumId w:val="13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6"/>
  </w:num>
  <w:num w:numId="42">
    <w:abstractNumId w:val="9"/>
  </w:num>
  <w:num w:numId="4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263"/>
    <w:rsid w:val="001C22E7"/>
    <w:rsid w:val="001C4874"/>
    <w:rsid w:val="00201CE2"/>
    <w:rsid w:val="00207DF5"/>
    <w:rsid w:val="00262134"/>
    <w:rsid w:val="00280E07"/>
    <w:rsid w:val="002A5E9C"/>
    <w:rsid w:val="002B20CA"/>
    <w:rsid w:val="002B378D"/>
    <w:rsid w:val="002C31BF"/>
    <w:rsid w:val="002D08B1"/>
    <w:rsid w:val="002E0CD7"/>
    <w:rsid w:val="003119BE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3B11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43517"/>
    <w:rsid w:val="00553375"/>
    <w:rsid w:val="005736B7"/>
    <w:rsid w:val="00575E5A"/>
    <w:rsid w:val="005963C8"/>
    <w:rsid w:val="005B76DD"/>
    <w:rsid w:val="005D2EB7"/>
    <w:rsid w:val="005D5624"/>
    <w:rsid w:val="005D7514"/>
    <w:rsid w:val="005F1404"/>
    <w:rsid w:val="005F294E"/>
    <w:rsid w:val="0061068E"/>
    <w:rsid w:val="00623216"/>
    <w:rsid w:val="00637308"/>
    <w:rsid w:val="00660AD3"/>
    <w:rsid w:val="00660FBE"/>
    <w:rsid w:val="00677B7F"/>
    <w:rsid w:val="006A28BA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7DD0"/>
    <w:rsid w:val="008659F3"/>
    <w:rsid w:val="00872535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B14A9"/>
    <w:rsid w:val="009B2E97"/>
    <w:rsid w:val="009D4A68"/>
    <w:rsid w:val="009E07F4"/>
    <w:rsid w:val="009F392E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15D0D"/>
    <w:rsid w:val="00B21D88"/>
    <w:rsid w:val="00B2728C"/>
    <w:rsid w:val="00B56FC3"/>
    <w:rsid w:val="00B75EE1"/>
    <w:rsid w:val="00B77481"/>
    <w:rsid w:val="00B8518B"/>
    <w:rsid w:val="00BA7818"/>
    <w:rsid w:val="00BC51D3"/>
    <w:rsid w:val="00BD7E91"/>
    <w:rsid w:val="00BF45C5"/>
    <w:rsid w:val="00C02D0A"/>
    <w:rsid w:val="00C03A6E"/>
    <w:rsid w:val="00C24C30"/>
    <w:rsid w:val="00C30028"/>
    <w:rsid w:val="00C44F6A"/>
    <w:rsid w:val="00C47AE3"/>
    <w:rsid w:val="00C935F4"/>
    <w:rsid w:val="00CA4013"/>
    <w:rsid w:val="00CC1601"/>
    <w:rsid w:val="00CD1FC4"/>
    <w:rsid w:val="00CE7733"/>
    <w:rsid w:val="00CF51DB"/>
    <w:rsid w:val="00D043A4"/>
    <w:rsid w:val="00D21061"/>
    <w:rsid w:val="00D4108E"/>
    <w:rsid w:val="00D537A4"/>
    <w:rsid w:val="00D6163D"/>
    <w:rsid w:val="00D6524B"/>
    <w:rsid w:val="00D831A3"/>
    <w:rsid w:val="00D85C5B"/>
    <w:rsid w:val="00DC75F3"/>
    <w:rsid w:val="00DD46F3"/>
    <w:rsid w:val="00DE56F2"/>
    <w:rsid w:val="00DF116D"/>
    <w:rsid w:val="00E062A0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4996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CEA864-B5E2-4CEC-90E6-8684B048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1298</Words>
  <Characters>7665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29</cp:revision>
  <cp:lastPrinted>2019-07-25T10:55:00Z</cp:lastPrinted>
  <dcterms:created xsi:type="dcterms:W3CDTF">2019-04-26T07:41:00Z</dcterms:created>
  <dcterms:modified xsi:type="dcterms:W3CDTF">2019-08-05T08:24:00Z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