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7C1537" w:rsidP="00EB46E5">
      <w:pPr>
        <w:pStyle w:val="Titul2"/>
      </w:pPr>
      <w:r w:rsidRPr="007C1537">
        <w:t>„Doplnění závor na přejezdu P1269 v km 5,086 na trati Blatná - Nepomuk</w:t>
      </w:r>
      <w:r w:rsidR="0035531B" w:rsidRPr="007C1537">
        <w:t>“</w:t>
      </w:r>
    </w:p>
    <w:p w:rsidR="00AD0C7B" w:rsidRPr="006C2343" w:rsidRDefault="00AD0C7B" w:rsidP="00EB46E5">
      <w:pPr>
        <w:pStyle w:val="Titul2"/>
      </w:pPr>
    </w:p>
    <w:p w:rsidR="00DB3702" w:rsidRDefault="00DB3702" w:rsidP="00DB3702">
      <w:pPr>
        <w:pStyle w:val="Text1-1"/>
        <w:numPr>
          <w:ilvl w:val="0"/>
          <w:numId w:val="0"/>
        </w:numPr>
        <w:tabs>
          <w:tab w:val="left" w:pos="708"/>
        </w:tabs>
        <w:ind w:left="737" w:hanging="737"/>
      </w:pPr>
      <w:proofErr w:type="gramStart"/>
      <w:r>
        <w:t>Č.j.</w:t>
      </w:r>
      <w:proofErr w:type="gramEnd"/>
      <w:r w:rsidR="00393503">
        <w:t>:</w:t>
      </w:r>
      <w:r>
        <w:t xml:space="preserve"> </w:t>
      </w:r>
      <w:r w:rsidR="00393503">
        <w:t>8151/2019-SŽDC-SSZ-OVZ</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905806">
          <w:rPr>
            <w:noProof/>
            <w:webHidden/>
          </w:rPr>
          <w:t>3</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905806">
          <w:rPr>
            <w:noProof/>
            <w:webHidden/>
          </w:rPr>
          <w:t>3</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905806">
          <w:rPr>
            <w:noProof/>
            <w:webHidden/>
          </w:rPr>
          <w:t>4</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905806">
          <w:rPr>
            <w:noProof/>
            <w:webHidden/>
          </w:rPr>
          <w:t>4</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905806">
          <w:rPr>
            <w:noProof/>
            <w:webHidden/>
          </w:rPr>
          <w:t>5</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905806">
          <w:rPr>
            <w:noProof/>
            <w:webHidden/>
          </w:rPr>
          <w:t>5</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905806">
          <w:rPr>
            <w:noProof/>
            <w:webHidden/>
          </w:rPr>
          <w:t>5</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905806">
          <w:rPr>
            <w:noProof/>
            <w:webHidden/>
          </w:rPr>
          <w:t>6</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905806">
          <w:rPr>
            <w:noProof/>
            <w:webHidden/>
          </w:rPr>
          <w:t>13</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905806">
          <w:rPr>
            <w:noProof/>
            <w:webHidden/>
          </w:rPr>
          <w:t>15</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905806">
          <w:rPr>
            <w:noProof/>
            <w:webHidden/>
          </w:rPr>
          <w:t>16</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905806">
          <w:rPr>
            <w:noProof/>
            <w:webHidden/>
          </w:rPr>
          <w:t>16</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905806">
          <w:rPr>
            <w:noProof/>
            <w:webHidden/>
          </w:rPr>
          <w:t>18</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905806">
          <w:rPr>
            <w:noProof/>
            <w:webHidden/>
          </w:rPr>
          <w:t>18</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905806">
          <w:rPr>
            <w:noProof/>
            <w:webHidden/>
          </w:rPr>
          <w:t>19</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905806">
          <w:rPr>
            <w:noProof/>
            <w:webHidden/>
          </w:rPr>
          <w:t>19</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905806">
          <w:rPr>
            <w:noProof/>
            <w:webHidden/>
          </w:rPr>
          <w:t>20</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905806">
          <w:rPr>
            <w:noProof/>
            <w:webHidden/>
          </w:rPr>
          <w:t>21</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905806">
          <w:rPr>
            <w:noProof/>
            <w:webHidden/>
          </w:rPr>
          <w:t>21</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905806">
          <w:rPr>
            <w:noProof/>
            <w:webHidden/>
          </w:rPr>
          <w:t>22</w:t>
        </w:r>
        <w:r w:rsidR="00A15262">
          <w:rPr>
            <w:noProof/>
            <w:webHidden/>
          </w:rPr>
          <w:fldChar w:fldCharType="end"/>
        </w:r>
      </w:hyperlink>
    </w:p>
    <w:p w:rsidR="00A15262" w:rsidRDefault="007C524E"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905806">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5344A6">
        <w:t>Bc. Martin Baudis</w:t>
      </w:r>
    </w:p>
    <w:p w:rsidR="0035531B" w:rsidRDefault="0035531B" w:rsidP="0035531B">
      <w:pPr>
        <w:pStyle w:val="Textbezslovn"/>
        <w:spacing w:after="0"/>
      </w:pPr>
      <w:r>
        <w:t xml:space="preserve">telefon: </w:t>
      </w:r>
      <w:r>
        <w:tab/>
      </w:r>
      <w:r w:rsidR="005344A6">
        <w:t>+420 972 244 848</w:t>
      </w:r>
    </w:p>
    <w:p w:rsidR="0035531B" w:rsidRDefault="0035531B" w:rsidP="0035531B">
      <w:pPr>
        <w:pStyle w:val="Textbezslovn"/>
        <w:spacing w:after="0"/>
      </w:pPr>
      <w:r>
        <w:t xml:space="preserve">e-mail: </w:t>
      </w:r>
      <w:r>
        <w:tab/>
      </w:r>
      <w:r w:rsidR="005344A6">
        <w:t>baudism@szdc.cz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5531B" w:rsidRDefault="00241835" w:rsidP="006F6B09">
      <w:pPr>
        <w:pStyle w:val="Textbezslovn"/>
        <w:rPr>
          <w:rFonts w:ascii="Verdana" w:hAnsi="Verdana"/>
          <w:szCs w:val="20"/>
        </w:rPr>
      </w:pPr>
      <w:r w:rsidRPr="00A62F79">
        <w:rPr>
          <w:rFonts w:ascii="Verdana" w:hAnsi="Verdana"/>
          <w:szCs w:val="20"/>
        </w:rPr>
        <w:t xml:space="preserve">Předmětem díla je zpracování Projektové dokumentace pro provádění stavby (PDPS), zhotovení stavby a vypracování dokumentace skutečného provedení stavby </w:t>
      </w:r>
      <w:r w:rsidRPr="00A62F79">
        <w:rPr>
          <w:rFonts w:ascii="Verdana" w:hAnsi="Verdana"/>
          <w:b/>
          <w:szCs w:val="20"/>
        </w:rPr>
        <w:t>„</w:t>
      </w:r>
      <w:r w:rsidRPr="00A62F79">
        <w:rPr>
          <w:rFonts w:ascii="Verdana" w:hAnsi="Verdana"/>
          <w:b/>
          <w:bCs/>
          <w:szCs w:val="32"/>
        </w:rPr>
        <w:t>Doplnění závor na přejezdu P1269 v km 5,086 na trati Blatná - Nepomuk</w:t>
      </w:r>
      <w:r w:rsidRPr="00A62F79">
        <w:rPr>
          <w:rFonts w:ascii="Verdana" w:hAnsi="Verdana"/>
          <w:b/>
          <w:szCs w:val="20"/>
        </w:rPr>
        <w:t>“.</w:t>
      </w:r>
      <w:r w:rsidRPr="00A62F79">
        <w:rPr>
          <w:rFonts w:ascii="Verdana" w:hAnsi="Verdana"/>
          <w:szCs w:val="20"/>
        </w:rPr>
        <w:t xml:space="preserve"> Cílem stavby je zvýšení bezpečnosti silniční i vlakové dopravy na výše </w:t>
      </w:r>
      <w:r>
        <w:rPr>
          <w:rFonts w:ascii="Verdana" w:hAnsi="Verdana"/>
          <w:szCs w:val="20"/>
        </w:rPr>
        <w:t>uvedeném železničním přejezdu</w:t>
      </w:r>
      <w:r w:rsidRPr="00A62F79">
        <w:rPr>
          <w:rFonts w:ascii="Verdana" w:hAnsi="Verdana"/>
          <w:szCs w:val="20"/>
        </w:rPr>
        <w:t xml:space="preserve">. Stavba řeší </w:t>
      </w:r>
      <w:r w:rsidRPr="00A62F79">
        <w:rPr>
          <w:rFonts w:ascii="Verdana" w:hAnsi="Verdana"/>
          <w:bCs/>
          <w:szCs w:val="20"/>
        </w:rPr>
        <w:t>doplněn</w:t>
      </w:r>
      <w:r>
        <w:rPr>
          <w:rFonts w:ascii="Verdana" w:hAnsi="Verdana"/>
          <w:bCs/>
          <w:szCs w:val="20"/>
        </w:rPr>
        <w:t>í</w:t>
      </w:r>
      <w:r w:rsidRPr="00A62F79">
        <w:rPr>
          <w:rFonts w:ascii="Verdana" w:hAnsi="Verdana"/>
          <w:bCs/>
          <w:szCs w:val="20"/>
        </w:rPr>
        <w:t xml:space="preserve"> závor </w:t>
      </w:r>
      <w:r w:rsidRPr="00A62F79">
        <w:rPr>
          <w:rFonts w:ascii="Verdana" w:hAnsi="Verdana"/>
          <w:szCs w:val="20"/>
        </w:rPr>
        <w:t xml:space="preserve">včetně potřebné kabelizace přejezdu </w:t>
      </w:r>
      <w:r w:rsidRPr="00A62F79">
        <w:rPr>
          <w:rFonts w:ascii="Verdana" w:hAnsi="Verdana"/>
          <w:b/>
          <w:szCs w:val="20"/>
          <w:lang w:eastAsia="cs-CZ"/>
        </w:rPr>
        <w:t xml:space="preserve">P1269 v km 5,086 </w:t>
      </w:r>
      <w:r w:rsidRPr="00A62F79">
        <w:rPr>
          <w:rFonts w:ascii="Verdana" w:hAnsi="Verdana"/>
          <w:szCs w:val="20"/>
          <w:lang w:eastAsia="cs-CZ"/>
        </w:rPr>
        <w:t xml:space="preserve">do stávajícího </w:t>
      </w:r>
      <w:r w:rsidRPr="00A62F79">
        <w:rPr>
          <w:rFonts w:ascii="Verdana" w:hAnsi="Verdana"/>
          <w:szCs w:val="20"/>
        </w:rPr>
        <w:t xml:space="preserve">přejezdového zabezpečovacího zařízení světelného kategorie </w:t>
      </w:r>
      <w:r w:rsidRPr="00A62F79">
        <w:rPr>
          <w:rFonts w:ascii="Verdana" w:hAnsi="Verdana"/>
          <w:bCs/>
          <w:szCs w:val="20"/>
        </w:rPr>
        <w:t>PZS 3SB</w:t>
      </w:r>
      <w:r>
        <w:rPr>
          <w:rFonts w:ascii="Verdana" w:hAnsi="Verdana"/>
          <w:bCs/>
          <w:szCs w:val="20"/>
        </w:rPr>
        <w:t>I</w:t>
      </w:r>
      <w:r w:rsidRPr="00A62F79">
        <w:rPr>
          <w:rFonts w:ascii="Verdana" w:hAnsi="Verdana"/>
          <w:b/>
          <w:bCs/>
          <w:szCs w:val="20"/>
        </w:rPr>
        <w:t xml:space="preserve"> </w:t>
      </w:r>
      <w:r w:rsidRPr="00A62F79">
        <w:rPr>
          <w:rFonts w:ascii="Verdana" w:hAnsi="Verdana"/>
          <w:szCs w:val="20"/>
        </w:rPr>
        <w:t xml:space="preserve">dle ČSN 34 2650 ed.2 </w:t>
      </w:r>
      <w:r w:rsidRPr="00A62F79">
        <w:rPr>
          <w:rFonts w:ascii="Verdana" w:hAnsi="Verdana" w:cs="Tahoma"/>
          <w:bCs/>
          <w:szCs w:val="20"/>
        </w:rPr>
        <w:t xml:space="preserve">na trati </w:t>
      </w:r>
      <w:r w:rsidRPr="00A62F79">
        <w:rPr>
          <w:rFonts w:ascii="Verdana" w:hAnsi="Verdana"/>
          <w:szCs w:val="20"/>
        </w:rPr>
        <w:t>Blatná - Nepomuk.</w:t>
      </w:r>
    </w:p>
    <w:p w:rsidR="00241835" w:rsidRDefault="00241835" w:rsidP="006F6B09">
      <w:pPr>
        <w:pStyle w:val="Textbezslovn"/>
        <w:rPr>
          <w:rFonts w:ascii="Verdana" w:hAnsi="Verdana"/>
        </w:rPr>
      </w:pPr>
      <w:r w:rsidRPr="00A62F79">
        <w:rPr>
          <w:rFonts w:ascii="Verdana" w:hAnsi="Verdana"/>
          <w:b/>
          <w:lang w:eastAsia="cs-CZ"/>
        </w:rPr>
        <w:t xml:space="preserve">Přejezd P1269 v km 5,086 </w:t>
      </w:r>
      <w:r w:rsidRPr="00A62F79">
        <w:rPr>
          <w:rFonts w:ascii="Verdana" w:hAnsi="Verdana"/>
          <w:lang w:eastAsia="cs-CZ"/>
        </w:rPr>
        <w:t xml:space="preserve">řeší křížení železniční trati s </w:t>
      </w:r>
      <w:proofErr w:type="gramStart"/>
      <w:r w:rsidRPr="00A62F79">
        <w:rPr>
          <w:rFonts w:ascii="Verdana" w:hAnsi="Verdana"/>
          <w:lang w:eastAsia="cs-CZ"/>
        </w:rPr>
        <w:t xml:space="preserve">komunikací </w:t>
      </w:r>
      <w:proofErr w:type="spellStart"/>
      <w:r w:rsidRPr="00A62F79">
        <w:rPr>
          <w:rFonts w:ascii="Verdana" w:hAnsi="Verdana"/>
          <w:lang w:eastAsia="cs-CZ"/>
        </w:rPr>
        <w:t>I.třídy</w:t>
      </w:r>
      <w:proofErr w:type="spellEnd"/>
      <w:proofErr w:type="gramEnd"/>
      <w:r w:rsidRPr="00A62F79">
        <w:rPr>
          <w:rFonts w:ascii="Verdana" w:hAnsi="Verdana"/>
          <w:lang w:eastAsia="cs-CZ"/>
        </w:rPr>
        <w:t xml:space="preserve"> č.20, </w:t>
      </w:r>
      <w:proofErr w:type="spellStart"/>
      <w:r w:rsidRPr="00A62F79">
        <w:rPr>
          <w:rFonts w:ascii="Verdana" w:hAnsi="Verdana"/>
          <w:lang w:eastAsia="cs-CZ"/>
        </w:rPr>
        <w:t>k.č</w:t>
      </w:r>
      <w:proofErr w:type="spellEnd"/>
      <w:r w:rsidRPr="00A62F79">
        <w:rPr>
          <w:rFonts w:ascii="Verdana" w:hAnsi="Verdana"/>
          <w:lang w:eastAsia="cs-CZ"/>
        </w:rPr>
        <w:t xml:space="preserve">. 1515/7 v obci Tchořovice. </w:t>
      </w:r>
      <w:r w:rsidRPr="00A62F79">
        <w:rPr>
          <w:rFonts w:ascii="Verdana" w:hAnsi="Verdana"/>
          <w:bCs/>
        </w:rPr>
        <w:t xml:space="preserve">Přejezd je v současné době zabezpečený přejezdovým zabezpečovacím zařízením světelným bez závor kategorie PZS 3SBI dle ČSN 34 2650 ed.2. </w:t>
      </w:r>
      <w:r w:rsidRPr="00A62F79">
        <w:rPr>
          <w:rFonts w:ascii="Verdana" w:hAnsi="Verdana"/>
        </w:rPr>
        <w:t xml:space="preserve">V rámci stavby dojde k doplnění stávajícího přejezdového zabezpečovacího zařízení bez závor o nová závorová břevna a pohony. Přejezd bude zabezpečen pomocí nových výstražníků s  pozitivní signalizací. Nové zabezpečovací zařízení bude typu PZS 3ZBI dle ČSN 34 2650 ed.2. Pro spouštění a vyhodnocení průjezdu vlaku budou použity snímací body počítačů náprav. Pro potřeby sdělovací techniky </w:t>
      </w:r>
      <w:proofErr w:type="gramStart"/>
      <w:r w:rsidRPr="00A62F79">
        <w:rPr>
          <w:rFonts w:ascii="Verdana" w:hAnsi="Verdana"/>
        </w:rPr>
        <w:t>bude</w:t>
      </w:r>
      <w:proofErr w:type="gramEnd"/>
      <w:r w:rsidRPr="00A62F79">
        <w:rPr>
          <w:rFonts w:ascii="Verdana" w:hAnsi="Verdana"/>
        </w:rPr>
        <w:t xml:space="preserve"> v</w:t>
      </w:r>
      <w:r>
        <w:rPr>
          <w:rFonts w:ascii="Verdana" w:hAnsi="Verdana"/>
        </w:rPr>
        <w:t>yužit</w:t>
      </w:r>
      <w:r w:rsidRPr="00A62F79">
        <w:rPr>
          <w:rFonts w:ascii="Verdana" w:hAnsi="Verdana"/>
        </w:rPr>
        <w:t xml:space="preserve"> stávající kabel </w:t>
      </w:r>
      <w:proofErr w:type="gramStart"/>
      <w:r w:rsidRPr="00A62F79">
        <w:rPr>
          <w:rFonts w:ascii="Verdana" w:hAnsi="Verdana"/>
        </w:rPr>
        <w:t>TK</w:t>
      </w:r>
      <w:proofErr w:type="gramEnd"/>
      <w:r w:rsidRPr="00A62F79">
        <w:rPr>
          <w:rFonts w:ascii="Verdana" w:hAnsi="Verdana"/>
        </w:rPr>
        <w:t xml:space="preserve"> 5XN0.8. V rámci stavby je navržena výměna stávajícího RD za nový a napájení pomocí stávající elektrické přípojky z elektroměrového pilíře ER, umístěného v blízkosti tohoto reléového domku.</w:t>
      </w:r>
    </w:p>
    <w:p w:rsidR="00241835" w:rsidRDefault="00241835" w:rsidP="006F6B09">
      <w:pPr>
        <w:pStyle w:val="Textbezslovn"/>
      </w:pPr>
      <w:r w:rsidRPr="00A62F79">
        <w:rPr>
          <w:rFonts w:ascii="Verdana" w:hAnsi="Verdana"/>
        </w:rPr>
        <w:t xml:space="preserve">Rozsah díla </w:t>
      </w:r>
      <w:r w:rsidRPr="00A62F79">
        <w:rPr>
          <w:rFonts w:ascii="Verdana" w:hAnsi="Verdana"/>
          <w:b/>
          <w:szCs w:val="20"/>
        </w:rPr>
        <w:t>„</w:t>
      </w:r>
      <w:r w:rsidRPr="00A62F79">
        <w:rPr>
          <w:rFonts w:ascii="Verdana" w:hAnsi="Verdana"/>
          <w:b/>
          <w:bCs/>
          <w:szCs w:val="32"/>
        </w:rPr>
        <w:t>Doplnění závor na přejezdu P1269 v km 5,086 na trati Blatná - Nepomuk</w:t>
      </w:r>
      <w:r w:rsidRPr="00A62F79">
        <w:rPr>
          <w:rFonts w:ascii="Verdana" w:hAnsi="Verdana"/>
          <w:b/>
          <w:szCs w:val="20"/>
        </w:rPr>
        <w:t>“</w:t>
      </w:r>
      <w:r w:rsidRPr="00A62F79">
        <w:rPr>
          <w:rFonts w:ascii="Verdana" w:hAnsi="Verdana"/>
        </w:rPr>
        <w:t xml:space="preserve"> je dán schválenou dokumentací pro stavební povolení stavby. Pro potřeby zhotovení stavby bude před zahájení stavby provedeno dopracování projektové dokumentace pro provádění stavby (PDPS) v rozsahu jednotlivých PS a SO. Zhotovení stavby bude provedeno v rozsahu zadávací a schválené projektové dokumentace. Po realizaci bude zhotovena dokumentace skutečného provedení dle </w:t>
      </w:r>
      <w:proofErr w:type="gramStart"/>
      <w:r w:rsidRPr="00A62F79">
        <w:rPr>
          <w:rFonts w:ascii="Verdana" w:hAnsi="Verdana"/>
        </w:rPr>
        <w:t>příslušné</w:t>
      </w:r>
      <w:proofErr w:type="gramEnd"/>
      <w:r w:rsidRPr="00A62F79">
        <w:rPr>
          <w:rFonts w:ascii="Verdana" w:hAnsi="Verdana"/>
        </w:rPr>
        <w:t xml:space="preserve"> </w:t>
      </w:r>
      <w:proofErr w:type="spellStart"/>
      <w:r w:rsidRPr="00A62F79">
        <w:rPr>
          <w:rFonts w:ascii="Verdana" w:hAnsi="Verdana"/>
        </w:rPr>
        <w:t>SoD</w:t>
      </w:r>
      <w:proofErr w:type="spellEnd"/>
      <w:r w:rsidRPr="00A62F79">
        <w:rPr>
          <w:rFonts w:ascii="Verdana" w:hAnsi="Verdana"/>
        </w:rPr>
        <w:t xml:space="preserve"> a obchodních podmínek.</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lastRenderedPageBreak/>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á hodnota veřejné zakázky činí 14 263 792,-</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A41E1" w:rsidRDefault="006D7A69" w:rsidP="00FA41E1">
      <w:pPr>
        <w:pStyle w:val="Textbezslovn"/>
        <w:tabs>
          <w:tab w:val="left" w:pos="1701"/>
        </w:tabs>
        <w:ind w:left="1701" w:hanging="964"/>
      </w:pPr>
      <w:r w:rsidRPr="00C422C8">
        <w:t>Část 1</w:t>
      </w:r>
      <w:r w:rsidRPr="00C422C8">
        <w:tab/>
        <w:t>Soupis prací včetně</w:t>
      </w:r>
      <w:r>
        <w:t xml:space="preserve">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 xml:space="preserve">nebo oznámena dodavatelům stejným způsobem jako zadávací podmínka, která byla </w:t>
      </w:r>
      <w:r w:rsidRPr="000A00BD">
        <w:t>změněna nebo doplněna.</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lastRenderedPageBreak/>
        <w:t>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923145">
      <w:pPr>
        <w:pStyle w:val="Odrka1-2-"/>
      </w:pPr>
      <w:r>
        <w:t>Výkon zeměměřických čin</w:t>
      </w:r>
      <w:r w:rsidR="00E21C01">
        <w:t>ností.</w:t>
      </w:r>
    </w:p>
    <w:p w:rsidR="00923145" w:rsidRDefault="00923145" w:rsidP="00923145">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rsidRPr="000D4FDC">
        <w:t xml:space="preserve">dodavatel </w:t>
      </w:r>
      <w:r w:rsidRPr="00E06B64">
        <w:rPr>
          <w:b/>
        </w:rPr>
        <w:t>v posledních</w:t>
      </w:r>
      <w:r w:rsidRPr="000D4FDC">
        <w:t xml:space="preserve"> </w:t>
      </w:r>
      <w:r w:rsidRPr="00E06B64">
        <w:rPr>
          <w:b/>
        </w:rPr>
        <w:t>5 letech</w:t>
      </w:r>
      <w:r w:rsidRPr="000D4FDC">
        <w:t xml:space="preserve"> před zahájením výběrového řízení řádně poskytl a dokončil </w:t>
      </w:r>
      <w:r w:rsidRPr="000D4FDC">
        <w:rPr>
          <w:b/>
        </w:rPr>
        <w:t xml:space="preserve">minimálně </w:t>
      </w:r>
      <w:r w:rsidR="00575586">
        <w:rPr>
          <w:b/>
        </w:rPr>
        <w:t>2</w:t>
      </w:r>
      <w:r w:rsidRPr="000D4FDC">
        <w:t xml:space="preserve"> </w:t>
      </w:r>
      <w:r w:rsidRPr="000D4FDC">
        <w:rPr>
          <w:b/>
        </w:rPr>
        <w:t>stavební práce</w:t>
      </w:r>
      <w:r w:rsidRPr="000D4FDC">
        <w:t xml:space="preserve"> v celkové hodnotě v součtu, včetně případných poddodávek, alespoň ve výši </w:t>
      </w:r>
      <w:r w:rsidR="007A6FE3">
        <w:rPr>
          <w:b/>
        </w:rPr>
        <w:t>14</w:t>
      </w:r>
      <w:r w:rsidR="001411EF" w:rsidRPr="000D4FDC">
        <w:rPr>
          <w:b/>
        </w:rPr>
        <w:t> 000 000,-</w:t>
      </w:r>
      <w:r w:rsidRPr="000D4FDC">
        <w:t xml:space="preserve"> </w:t>
      </w:r>
      <w:r w:rsidRPr="000D4FDC">
        <w:rPr>
          <w:b/>
        </w:rPr>
        <w:t>Kč</w:t>
      </w:r>
      <w:r w:rsidRPr="000D4FDC">
        <w:t xml:space="preserve"> bez DPH, jejichž součástí byla </w:t>
      </w:r>
      <w:r w:rsidR="001411EF" w:rsidRPr="000D4FDC">
        <w:rPr>
          <w:b/>
        </w:rPr>
        <w:t>výstavba PZS včetně dopracování dokumentace pro provádění stavby</w:t>
      </w:r>
      <w:r w:rsidRPr="000D4FDC">
        <w:t xml:space="preserve">, přičemž celková hodnota alespoň jedné provedené stavební práce musí, včetně případných poddodávek, činit alespoň </w:t>
      </w:r>
      <w:r w:rsidR="007A6FE3">
        <w:rPr>
          <w:b/>
        </w:rPr>
        <w:t>7</w:t>
      </w:r>
      <w:r w:rsidR="001250BA" w:rsidRPr="000D4FDC">
        <w:rPr>
          <w:b/>
        </w:rPr>
        <w:t> 000 000,-</w:t>
      </w:r>
      <w:r w:rsidRPr="000D4FDC">
        <w:t xml:space="preserve"> </w:t>
      </w:r>
      <w:r w:rsidRPr="000D4FDC">
        <w:rPr>
          <w:b/>
        </w:rPr>
        <w:t>Kč</w:t>
      </w:r>
      <w:r w:rsidRPr="00F95A2C">
        <w:rPr>
          <w:b/>
        </w:rPr>
        <w:t xml:space="preserve"> </w:t>
      </w:r>
      <w:r>
        <w:t xml:space="preserve">bez DPH.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w:t>
      </w:r>
      <w:r w:rsidRPr="00F95A2C">
        <w:lastRenderedPageBreak/>
        <w:t>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p>
    <w:p w:rsidR="0035531B" w:rsidRPr="00574037" w:rsidRDefault="0035531B" w:rsidP="008B2021">
      <w:pPr>
        <w:pStyle w:val="Odrka1-2-"/>
      </w:pPr>
      <w:r w:rsidRPr="00574037">
        <w:t>minimálně středoškolské vzdělání;</w:t>
      </w:r>
    </w:p>
    <w:p w:rsidR="0035531B" w:rsidRDefault="0035531B" w:rsidP="00574037">
      <w:pPr>
        <w:pStyle w:val="Odrka1-2-"/>
        <w:spacing w:after="120"/>
      </w:pPr>
      <w:r w:rsidRPr="00574037">
        <w:t>nejméně 5 let praxe</w:t>
      </w:r>
      <w:r w:rsidR="00092CC9" w:rsidRPr="00574037">
        <w:t xml:space="preserve"> v </w:t>
      </w:r>
      <w:r w:rsidRPr="00574037">
        <w:t>oboru ochrany životního prostředí;</w:t>
      </w:r>
    </w:p>
    <w:p w:rsidR="009A0388" w:rsidRDefault="009A0388" w:rsidP="009A0388">
      <w:pPr>
        <w:pStyle w:val="Odrka1-2-"/>
        <w:numPr>
          <w:ilvl w:val="0"/>
          <w:numId w:val="0"/>
        </w:numPr>
        <w:spacing w:after="120"/>
        <w:ind w:left="1531"/>
      </w:pPr>
    </w:p>
    <w:p w:rsidR="009A0388" w:rsidRPr="00574037" w:rsidRDefault="009A0388" w:rsidP="009A0388">
      <w:pPr>
        <w:pStyle w:val="Odrka1-2-"/>
        <w:numPr>
          <w:ilvl w:val="0"/>
          <w:numId w:val="0"/>
        </w:numPr>
        <w:spacing w:after="120"/>
        <w:ind w:left="1531"/>
      </w:pPr>
    </w:p>
    <w:p w:rsidR="00833B19" w:rsidRPr="00F53BD3" w:rsidRDefault="00833B19" w:rsidP="00833B19">
      <w:pPr>
        <w:pStyle w:val="Odstavec1-1a"/>
        <w:rPr>
          <w:rStyle w:val="Tun9b"/>
        </w:rPr>
      </w:pPr>
      <w:r w:rsidRPr="00F53BD3">
        <w:rPr>
          <w:rStyle w:val="Tun9b"/>
        </w:rPr>
        <w:lastRenderedPageBreak/>
        <w:t>úředně oprávněný zeměměřický inženýr</w:t>
      </w:r>
    </w:p>
    <w:p w:rsidR="00833B19" w:rsidRDefault="00833B19" w:rsidP="00833B19">
      <w:pPr>
        <w:pStyle w:val="Odrka1-2-"/>
        <w:spacing w:after="120"/>
        <w:rPr>
          <w:rStyle w:val="Tun9b"/>
        </w:rPr>
      </w:pPr>
      <w:r w:rsidRPr="00F53BD3">
        <w:t xml:space="preserve">oprávnění pro ověřování výsledků zeměměřických činností v rozsahu dle § 13 odst. 1 písm. </w:t>
      </w:r>
      <w:r w:rsidRPr="001B019D">
        <w:rPr>
          <w:b/>
        </w:rPr>
        <w:t>a)</w:t>
      </w:r>
      <w:r w:rsidRPr="00F53BD3">
        <w:t xml:space="preserve"> a </w:t>
      </w:r>
      <w:r w:rsidRPr="001B019D">
        <w:rPr>
          <w:b/>
        </w:rPr>
        <w:t>c)</w:t>
      </w:r>
      <w:r w:rsidRPr="00F53BD3">
        <w:t xml:space="preserve"> zákona č. 200/1994 Sb., o zeměměřictví a o změně a doplnění některých zákonů souvisejících s jeho zavedením, ve znění pozdějších předpisů;</w:t>
      </w:r>
    </w:p>
    <w:p w:rsidR="00833B19" w:rsidRDefault="00833B19" w:rsidP="008B2021">
      <w:pPr>
        <w:pStyle w:val="Odstavec1-1a"/>
        <w:rPr>
          <w:b/>
        </w:rPr>
      </w:pPr>
      <w:r w:rsidRPr="00683966">
        <w:rPr>
          <w:b/>
        </w:rPr>
        <w:t>osoba odpovědná za projektovou dokumentaci zabezpečovacího zařízení</w:t>
      </w:r>
    </w:p>
    <w:p w:rsidR="00833B19" w:rsidRPr="00833B19" w:rsidRDefault="00833B19" w:rsidP="00833B19">
      <w:pPr>
        <w:pStyle w:val="Odrka1-2-"/>
        <w:rPr>
          <w:b/>
        </w:rPr>
      </w:pPr>
      <w:r w:rsidRPr="00683966">
        <w:t>minimálně středoškolské vzdělání;</w:t>
      </w:r>
    </w:p>
    <w:p w:rsidR="00833B19" w:rsidRPr="00833B19" w:rsidRDefault="00833B19" w:rsidP="00833B19">
      <w:pPr>
        <w:pStyle w:val="Odrka1-2-"/>
        <w:rPr>
          <w:b/>
        </w:rPr>
      </w:pPr>
      <w:r w:rsidRPr="00683966">
        <w:t>nejméně 5 let praxe v  projektování v oboru své specializace;</w:t>
      </w:r>
    </w:p>
    <w:p w:rsidR="00833B19" w:rsidRPr="00833B19" w:rsidRDefault="00833B19" w:rsidP="00833B19">
      <w:pPr>
        <w:pStyle w:val="Odrka1-2-"/>
        <w:spacing w:after="120"/>
        <w:rPr>
          <w:b/>
        </w:rPr>
      </w:pPr>
      <w:r w:rsidRPr="00683966">
        <w:t xml:space="preserve">musí předložit doklad o autorizaci v rozsahu dle § 5 odst. 3 písm. </w:t>
      </w:r>
      <w:r w:rsidRPr="00833B19">
        <w:rPr>
          <w:b/>
        </w:rPr>
        <w:t>e)</w:t>
      </w:r>
      <w:r w:rsidRPr="00683966">
        <w:t xml:space="preserve"> autorizačního zákona, tedy autorizaci pro </w:t>
      </w:r>
      <w:r w:rsidRPr="00833B19">
        <w:rPr>
          <w:b/>
        </w:rPr>
        <w:t>technologická zařízení staveb</w:t>
      </w:r>
      <w:r w:rsidRPr="00683966">
        <w:t>;</w:t>
      </w:r>
    </w:p>
    <w:p w:rsidR="0035531B" w:rsidRPr="00F53BD3" w:rsidRDefault="00833B19" w:rsidP="008B2021">
      <w:pPr>
        <w:pStyle w:val="Odstavec1-1a"/>
        <w:rPr>
          <w:rStyle w:val="Tun9b"/>
        </w:rPr>
      </w:pPr>
      <w:r w:rsidRPr="00683966">
        <w:rPr>
          <w:b/>
          <w:bCs/>
        </w:rPr>
        <w:t>osoba odpovědná za projektovou dokumentaci sdělovacího zařízení</w:t>
      </w:r>
    </w:p>
    <w:p w:rsidR="009A0388" w:rsidRDefault="00833B19" w:rsidP="00833B19">
      <w:pPr>
        <w:pStyle w:val="Odrka1-2-"/>
      </w:pPr>
      <w:r w:rsidRPr="00683966">
        <w:t>minimálně středoškolské vzdělání;</w:t>
      </w:r>
    </w:p>
    <w:p w:rsidR="00833B19" w:rsidRDefault="00833B19" w:rsidP="00833B19">
      <w:pPr>
        <w:pStyle w:val="Odrka1-2-"/>
      </w:pPr>
      <w:r w:rsidRPr="00683966">
        <w:t>nejméně 5 let praxe v  projektování v oboru své specializace;</w:t>
      </w:r>
    </w:p>
    <w:p w:rsidR="00833B19" w:rsidRDefault="00833B19" w:rsidP="00833B19">
      <w:pPr>
        <w:pStyle w:val="Odrka1-2-"/>
        <w:spacing w:after="120"/>
      </w:pPr>
      <w:r w:rsidRPr="00683966">
        <w:t xml:space="preserve">musí předložit doklad o autorizaci v rozsahu dle § 5 odst. 3 písm. </w:t>
      </w:r>
      <w:r w:rsidRPr="00D162C5">
        <w:rPr>
          <w:b/>
        </w:rPr>
        <w:t>e)</w:t>
      </w:r>
      <w:r w:rsidRPr="00683966">
        <w:t xml:space="preserve"> autorizačního zákona, tedy autorizaci pro </w:t>
      </w:r>
      <w:r w:rsidRPr="00D162C5">
        <w:rPr>
          <w:b/>
        </w:rPr>
        <w:t>technologická zařízení staveb</w:t>
      </w:r>
      <w:r w:rsidRPr="00683966">
        <w:t>.</w:t>
      </w:r>
    </w:p>
    <w:p w:rsidR="00833B19" w:rsidRPr="00F53BD3" w:rsidRDefault="00833B19" w:rsidP="00833B19">
      <w:pPr>
        <w:pStyle w:val="Odrka1-2-"/>
        <w:numPr>
          <w:ilvl w:val="0"/>
          <w:numId w:val="0"/>
        </w:numPr>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w:t>
      </w:r>
      <w:r>
        <w:lastRenderedPageBreak/>
        <w:t>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w:t>
      </w:r>
      <w:r>
        <w:lastRenderedPageBreak/>
        <w:t>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2D5A3A">
      <w:pPr>
        <w:pStyle w:val="Odrka1-1"/>
        <w:spacing w:after="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193D8F">
      <w:pPr>
        <w:pStyle w:val="Textbezslovn"/>
        <w:ind w:left="1077"/>
      </w:pPr>
      <w:r>
        <w:lastRenderedPageBreak/>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76303"/>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76304"/>
      <w:r>
        <w:lastRenderedPageBreak/>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w:t>
      </w:r>
      <w:r w:rsidRPr="000D2FEE">
        <w:rPr>
          <w:b/>
        </w:rPr>
        <w:t xml:space="preserve">nejpozději do </w:t>
      </w:r>
      <w:r w:rsidR="00711A6C" w:rsidRPr="000D2FEE">
        <w:rPr>
          <w:b/>
        </w:rPr>
        <w:t>05</w:t>
      </w:r>
      <w:r w:rsidR="00862DCC" w:rsidRPr="000D2FEE">
        <w:rPr>
          <w:b/>
        </w:rPr>
        <w:t>. 06. 2019</w:t>
      </w:r>
      <w:r w:rsidRPr="000D2FEE">
        <w:rPr>
          <w:b/>
        </w:rPr>
        <w:t xml:space="preserve"> do </w:t>
      </w:r>
      <w:r w:rsidR="00862DCC" w:rsidRPr="000D2FEE">
        <w:rPr>
          <w:b/>
        </w:rPr>
        <w:t>09:00</w:t>
      </w:r>
      <w:r w:rsidRPr="000D2FEE">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 xml:space="preserve">Návrh smlouvy na plnění této veřejné zakázky, zpracovaný dle instrukcí obsažených v této Výzvě, tedy doplněný co do jeho těla a co do jeho přílohy č. 6 a </w:t>
      </w:r>
      <w:r>
        <w:lastRenderedPageBreak/>
        <w:t>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w:t>
      </w:r>
      <w:r w:rsidRPr="00695DAA">
        <w:rPr>
          <w:rStyle w:val="Tun9b"/>
          <w:b w:val="0"/>
        </w:rPr>
        <w:lastRenderedPageBreak/>
        <w:t>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076306"/>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7" w:name="_Toc4076307"/>
      <w:r>
        <w:t>VARIANTY NABÍDKY, VÝHRADA ZMĚNY DODAVATELE</w:t>
      </w:r>
      <w:bookmarkEnd w:id="17"/>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lastRenderedPageBreak/>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4076308"/>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4076309"/>
      <w:r>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lastRenderedPageBreak/>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4076310"/>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4076311"/>
      <w:r>
        <w:lastRenderedPageBreak/>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2" w:name="_Toc4076312"/>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AF20AA">
        <w:lastRenderedPageBreak/>
        <w:t>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4076313"/>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076314"/>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A4298F" w:rsidRPr="00A4298F">
        <w:rPr>
          <w:b/>
        </w:rPr>
        <w:t>„Doplnění závor na přejezdu P1269 v km 5,086 na trati Blatná – Nepomuk“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BC4D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pStyle w:val="Textbezslovn"/>
              <w:ind w:left="0"/>
              <w:jc w:val="left"/>
              <w:rPr>
                <w:b/>
                <w:sz w:val="16"/>
                <w:szCs w:val="16"/>
              </w:rPr>
            </w:pPr>
            <w:bookmarkStart w:id="25" w:name="_GoBack"/>
            <w:r w:rsidRPr="00307641">
              <w:rPr>
                <w:b/>
                <w:sz w:val="16"/>
                <w:szCs w:val="16"/>
              </w:rPr>
              <w:t>Obchodní firma/název/jméno a příjmení, sídlo, IČO</w:t>
            </w:r>
          </w:p>
        </w:tc>
        <w:tc>
          <w:tcPr>
            <w:tcW w:w="4111"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bookmarkEnd w:id="25"/>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24E" w:rsidRDefault="007C524E" w:rsidP="00962258">
      <w:pPr>
        <w:spacing w:after="0" w:line="240" w:lineRule="auto"/>
      </w:pPr>
      <w:r>
        <w:separator/>
      </w:r>
    </w:p>
  </w:endnote>
  <w:endnote w:type="continuationSeparator" w:id="0">
    <w:p w:rsidR="007C524E" w:rsidRDefault="007C5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D77" w:rsidTr="00EB46E5">
      <w:tc>
        <w:tcPr>
          <w:tcW w:w="1361" w:type="dxa"/>
          <w:tcMar>
            <w:left w:w="0" w:type="dxa"/>
            <w:right w:w="0" w:type="dxa"/>
          </w:tcMar>
          <w:vAlign w:val="bottom"/>
        </w:tcPr>
        <w:p w:rsidR="007A7D77" w:rsidRPr="00B8518B" w:rsidRDefault="007A7D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06">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5806">
            <w:rPr>
              <w:rStyle w:val="slostrnky"/>
              <w:noProof/>
            </w:rPr>
            <w:t>32</w:t>
          </w:r>
          <w:r w:rsidRPr="00B8518B">
            <w:rPr>
              <w:rStyle w:val="slostrnky"/>
            </w:rPr>
            <w:fldChar w:fldCharType="end"/>
          </w:r>
        </w:p>
      </w:tc>
      <w:tc>
        <w:tcPr>
          <w:tcW w:w="284" w:type="dxa"/>
          <w:shd w:val="clear" w:color="auto" w:fill="auto"/>
          <w:tcMar>
            <w:left w:w="0" w:type="dxa"/>
            <w:right w:w="0" w:type="dxa"/>
          </w:tcMar>
        </w:tcPr>
        <w:p w:rsidR="007A7D77" w:rsidRDefault="007A7D77" w:rsidP="00B8518B">
          <w:pPr>
            <w:pStyle w:val="Zpat"/>
          </w:pPr>
        </w:p>
      </w:tc>
      <w:tc>
        <w:tcPr>
          <w:tcW w:w="425" w:type="dxa"/>
          <w:shd w:val="clear" w:color="auto" w:fill="auto"/>
          <w:tcMar>
            <w:left w:w="0" w:type="dxa"/>
            <w:right w:w="0" w:type="dxa"/>
          </w:tcMar>
        </w:tcPr>
        <w:p w:rsidR="007A7D77" w:rsidRDefault="007A7D77" w:rsidP="00B8518B">
          <w:pPr>
            <w:pStyle w:val="Zpat"/>
          </w:pPr>
        </w:p>
      </w:tc>
      <w:tc>
        <w:tcPr>
          <w:tcW w:w="8505" w:type="dxa"/>
        </w:tcPr>
        <w:p w:rsidR="007A7D77" w:rsidRDefault="007A7D77" w:rsidP="00EB46E5">
          <w:pPr>
            <w:pStyle w:val="Zpat0"/>
          </w:pPr>
          <w:r w:rsidRPr="00145C5F">
            <w:t>„Doplnění závor na přejezdu P1269 v km 5,086 na trati Blatná -</w:t>
          </w:r>
          <w:r w:rsidRPr="007C1537">
            <w:t xml:space="preserve"> Nepomuk</w:t>
          </w:r>
          <w:r w:rsidRPr="00145C5F">
            <w:t>“</w:t>
          </w:r>
        </w:p>
        <w:p w:rsidR="007A7D77" w:rsidRDefault="007A7D77" w:rsidP="00EB46E5">
          <w:pPr>
            <w:pStyle w:val="Zpat0"/>
          </w:pPr>
          <w:r>
            <w:t>Díl 1 – VÝZVA K PODÁNÍ NABÍDKY</w:t>
          </w:r>
        </w:p>
        <w:p w:rsidR="007A7D77" w:rsidRDefault="007A7D77" w:rsidP="0035531B">
          <w:pPr>
            <w:pStyle w:val="Zpat0"/>
          </w:pPr>
        </w:p>
      </w:tc>
    </w:tr>
  </w:tbl>
  <w:p w:rsidR="007A7D77" w:rsidRPr="00B8518B" w:rsidRDefault="007A7D7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D77" w:rsidRPr="00B8518B" w:rsidRDefault="007A7D77" w:rsidP="00460660">
    <w:pPr>
      <w:pStyle w:val="Zpat"/>
      <w:rPr>
        <w:sz w:val="2"/>
        <w:szCs w:val="2"/>
      </w:rPr>
    </w:pPr>
  </w:p>
  <w:p w:rsidR="007A7D77" w:rsidRPr="00460660" w:rsidRDefault="007A7D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24E" w:rsidRDefault="007C524E" w:rsidP="00962258">
      <w:pPr>
        <w:spacing w:after="0" w:line="240" w:lineRule="auto"/>
      </w:pPr>
      <w:r>
        <w:separator/>
      </w:r>
    </w:p>
  </w:footnote>
  <w:footnote w:type="continuationSeparator" w:id="0">
    <w:p w:rsidR="007C524E" w:rsidRDefault="007C524E" w:rsidP="00962258">
      <w:pPr>
        <w:spacing w:after="0" w:line="240" w:lineRule="auto"/>
      </w:pPr>
      <w:r>
        <w:continuationSeparator/>
      </w:r>
    </w:p>
  </w:footnote>
  <w:footnote w:id="1">
    <w:p w:rsidR="007A7D77" w:rsidRDefault="007A7D77">
      <w:pPr>
        <w:pStyle w:val="Textpoznpodarou"/>
      </w:pPr>
      <w:r>
        <w:rPr>
          <w:rStyle w:val="Znakapoznpodarou"/>
        </w:rPr>
        <w:footnoteRef/>
      </w:r>
      <w:r>
        <w:t xml:space="preserve"> </w:t>
      </w:r>
      <w:r w:rsidRPr="00307641">
        <w:t>V případě další praxe dodavatel doplní další řádky.</w:t>
      </w:r>
    </w:p>
  </w:footnote>
  <w:footnote w:id="2">
    <w:p w:rsidR="007A7D77" w:rsidRDefault="007A7D77">
      <w:pPr>
        <w:pStyle w:val="Textpoznpodarou"/>
      </w:pPr>
      <w:r>
        <w:rPr>
          <w:rStyle w:val="Znakapoznpodarou"/>
        </w:rPr>
        <w:footnoteRef/>
      </w:r>
      <w:r>
        <w:t xml:space="preserve"> </w:t>
      </w:r>
      <w:r w:rsidRPr="00307641">
        <w:t>V případě další zkušenosti dodavatel doplní další řádky.</w:t>
      </w:r>
    </w:p>
  </w:footnote>
  <w:footnote w:id="3">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D77" w:rsidTr="00C02D0A">
      <w:trPr>
        <w:trHeight w:hRule="exact" w:val="454"/>
      </w:trPr>
      <w:tc>
        <w:tcPr>
          <w:tcW w:w="1361" w:type="dxa"/>
          <w:tcMar>
            <w:top w:w="57" w:type="dxa"/>
            <w:left w:w="0" w:type="dxa"/>
            <w:right w:w="0" w:type="dxa"/>
          </w:tcMar>
        </w:tcPr>
        <w:p w:rsidR="007A7D77" w:rsidRPr="00B8518B" w:rsidRDefault="007A7D77" w:rsidP="00523EA7">
          <w:pPr>
            <w:pStyle w:val="Zpat"/>
            <w:rPr>
              <w:rStyle w:val="slostrnky"/>
            </w:rPr>
          </w:pPr>
        </w:p>
      </w:tc>
      <w:tc>
        <w:tcPr>
          <w:tcW w:w="3458" w:type="dxa"/>
          <w:shd w:val="clear" w:color="auto" w:fill="auto"/>
          <w:tcMar>
            <w:top w:w="57" w:type="dxa"/>
            <w:left w:w="0" w:type="dxa"/>
            <w:right w:w="0" w:type="dxa"/>
          </w:tcMar>
        </w:tcPr>
        <w:p w:rsidR="007A7D77" w:rsidRDefault="007A7D77" w:rsidP="00523EA7">
          <w:pPr>
            <w:pStyle w:val="Zpat"/>
          </w:pPr>
        </w:p>
      </w:tc>
      <w:tc>
        <w:tcPr>
          <w:tcW w:w="5698" w:type="dxa"/>
          <w:shd w:val="clear" w:color="auto" w:fill="auto"/>
          <w:tcMar>
            <w:top w:w="57" w:type="dxa"/>
            <w:left w:w="0" w:type="dxa"/>
            <w:right w:w="0" w:type="dxa"/>
          </w:tcMar>
        </w:tcPr>
        <w:p w:rsidR="007A7D77" w:rsidRPr="00D6163D" w:rsidRDefault="007A7D77" w:rsidP="00D6163D">
          <w:pPr>
            <w:pStyle w:val="Druhdokumentu"/>
          </w:pPr>
        </w:p>
      </w:tc>
    </w:tr>
  </w:tbl>
  <w:p w:rsidR="007A7D77" w:rsidRPr="00D6163D" w:rsidRDefault="007A7D7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bl>
  <w:p w:rsidR="007A7D77" w:rsidRPr="00D6163D" w:rsidRDefault="007A7D7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A7D77" w:rsidRPr="00460660" w:rsidRDefault="007A7D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3"/>
  </w:num>
  <w:num w:numId="5">
    <w:abstractNumId w:val="1"/>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1"/>
  </w:num>
  <w:num w:numId="27">
    <w:abstractNumId w:val="1"/>
  </w:num>
  <w:num w:numId="28">
    <w:abstractNumId w:val="1"/>
  </w:num>
  <w:num w:numId="29">
    <w:abstractNumId w:val="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0091"/>
    <w:rsid w:val="00092CC9"/>
    <w:rsid w:val="000A00BD"/>
    <w:rsid w:val="000B4EB8"/>
    <w:rsid w:val="000B7131"/>
    <w:rsid w:val="000C41F2"/>
    <w:rsid w:val="000C4E34"/>
    <w:rsid w:val="000D22C4"/>
    <w:rsid w:val="000D27D1"/>
    <w:rsid w:val="000D2FEE"/>
    <w:rsid w:val="000D4FDC"/>
    <w:rsid w:val="000D5E72"/>
    <w:rsid w:val="000D7437"/>
    <w:rsid w:val="000E1A7F"/>
    <w:rsid w:val="000E4680"/>
    <w:rsid w:val="000F187C"/>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7C1"/>
    <w:rsid w:val="00177D6B"/>
    <w:rsid w:val="00187C6F"/>
    <w:rsid w:val="00191F90"/>
    <w:rsid w:val="00193D8F"/>
    <w:rsid w:val="001950C2"/>
    <w:rsid w:val="00195B31"/>
    <w:rsid w:val="00196E81"/>
    <w:rsid w:val="001B019D"/>
    <w:rsid w:val="001B23A1"/>
    <w:rsid w:val="001B4E74"/>
    <w:rsid w:val="001C17A7"/>
    <w:rsid w:val="001C645F"/>
    <w:rsid w:val="001D4B4A"/>
    <w:rsid w:val="001E2CFA"/>
    <w:rsid w:val="001E651D"/>
    <w:rsid w:val="001E678E"/>
    <w:rsid w:val="002071BB"/>
    <w:rsid w:val="00207DF5"/>
    <w:rsid w:val="0021334E"/>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7FD6"/>
    <w:rsid w:val="002E0CD7"/>
    <w:rsid w:val="002E0CFB"/>
    <w:rsid w:val="002E294C"/>
    <w:rsid w:val="002E4189"/>
    <w:rsid w:val="002E5C7B"/>
    <w:rsid w:val="002F09CB"/>
    <w:rsid w:val="002F4333"/>
    <w:rsid w:val="00307641"/>
    <w:rsid w:val="00311D0B"/>
    <w:rsid w:val="00311F11"/>
    <w:rsid w:val="0031606E"/>
    <w:rsid w:val="00322579"/>
    <w:rsid w:val="00324C4C"/>
    <w:rsid w:val="00327EEF"/>
    <w:rsid w:val="0033239F"/>
    <w:rsid w:val="00334D70"/>
    <w:rsid w:val="0034274B"/>
    <w:rsid w:val="0034391D"/>
    <w:rsid w:val="0034719F"/>
    <w:rsid w:val="00350A35"/>
    <w:rsid w:val="00353244"/>
    <w:rsid w:val="0035336A"/>
    <w:rsid w:val="0035531B"/>
    <w:rsid w:val="003571D8"/>
    <w:rsid w:val="00357BC6"/>
    <w:rsid w:val="00361422"/>
    <w:rsid w:val="003717A3"/>
    <w:rsid w:val="003753A9"/>
    <w:rsid w:val="0037545D"/>
    <w:rsid w:val="00386FF1"/>
    <w:rsid w:val="00392EB6"/>
    <w:rsid w:val="00393503"/>
    <w:rsid w:val="00394D03"/>
    <w:rsid w:val="003956C6"/>
    <w:rsid w:val="003A4513"/>
    <w:rsid w:val="003B3A21"/>
    <w:rsid w:val="003C33F2"/>
    <w:rsid w:val="003D756E"/>
    <w:rsid w:val="003E1C4F"/>
    <w:rsid w:val="003E3CE3"/>
    <w:rsid w:val="003E420D"/>
    <w:rsid w:val="003E4C13"/>
    <w:rsid w:val="003E79F5"/>
    <w:rsid w:val="003F78E7"/>
    <w:rsid w:val="00404BA2"/>
    <w:rsid w:val="004078F3"/>
    <w:rsid w:val="004240B2"/>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827"/>
    <w:rsid w:val="00495816"/>
    <w:rsid w:val="004B34E9"/>
    <w:rsid w:val="004C086E"/>
    <w:rsid w:val="004C1370"/>
    <w:rsid w:val="004C2CFB"/>
    <w:rsid w:val="004C4399"/>
    <w:rsid w:val="004C787C"/>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D3C39"/>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3D01"/>
    <w:rsid w:val="006776B6"/>
    <w:rsid w:val="00686462"/>
    <w:rsid w:val="00693150"/>
    <w:rsid w:val="00695DAA"/>
    <w:rsid w:val="006A5570"/>
    <w:rsid w:val="006A689C"/>
    <w:rsid w:val="006A6AF2"/>
    <w:rsid w:val="006B3D79"/>
    <w:rsid w:val="006B6FE4"/>
    <w:rsid w:val="006C04A0"/>
    <w:rsid w:val="006C2343"/>
    <w:rsid w:val="006C442A"/>
    <w:rsid w:val="006D7A69"/>
    <w:rsid w:val="006E0578"/>
    <w:rsid w:val="006E314D"/>
    <w:rsid w:val="006F6B09"/>
    <w:rsid w:val="007038DC"/>
    <w:rsid w:val="00706F4C"/>
    <w:rsid w:val="00710723"/>
    <w:rsid w:val="00711A6C"/>
    <w:rsid w:val="007134F3"/>
    <w:rsid w:val="00723ED1"/>
    <w:rsid w:val="007317D5"/>
    <w:rsid w:val="007325D3"/>
    <w:rsid w:val="007354E9"/>
    <w:rsid w:val="007356BD"/>
    <w:rsid w:val="00740AF5"/>
    <w:rsid w:val="00743525"/>
    <w:rsid w:val="00744F6A"/>
    <w:rsid w:val="00745555"/>
    <w:rsid w:val="007541A2"/>
    <w:rsid w:val="00755818"/>
    <w:rsid w:val="0076286B"/>
    <w:rsid w:val="00766846"/>
    <w:rsid w:val="0076790E"/>
    <w:rsid w:val="007733DA"/>
    <w:rsid w:val="00773DC0"/>
    <w:rsid w:val="0077673A"/>
    <w:rsid w:val="00776A8A"/>
    <w:rsid w:val="00776B80"/>
    <w:rsid w:val="007846E1"/>
    <w:rsid w:val="007847D6"/>
    <w:rsid w:val="00786A33"/>
    <w:rsid w:val="00792327"/>
    <w:rsid w:val="007A2107"/>
    <w:rsid w:val="007A5172"/>
    <w:rsid w:val="007A67A0"/>
    <w:rsid w:val="007A6FE3"/>
    <w:rsid w:val="007A7D77"/>
    <w:rsid w:val="007B3D4D"/>
    <w:rsid w:val="007B570C"/>
    <w:rsid w:val="007C1537"/>
    <w:rsid w:val="007C4A66"/>
    <w:rsid w:val="007C524E"/>
    <w:rsid w:val="007D0559"/>
    <w:rsid w:val="007D5A8D"/>
    <w:rsid w:val="007E2234"/>
    <w:rsid w:val="007E4A6E"/>
    <w:rsid w:val="007E645C"/>
    <w:rsid w:val="007E7EA5"/>
    <w:rsid w:val="007F56A7"/>
    <w:rsid w:val="00800851"/>
    <w:rsid w:val="00807DD0"/>
    <w:rsid w:val="00821D01"/>
    <w:rsid w:val="00822B88"/>
    <w:rsid w:val="00826B7B"/>
    <w:rsid w:val="00830F9D"/>
    <w:rsid w:val="00831DE9"/>
    <w:rsid w:val="00833899"/>
    <w:rsid w:val="00833B19"/>
    <w:rsid w:val="00845C50"/>
    <w:rsid w:val="00846789"/>
    <w:rsid w:val="008513D8"/>
    <w:rsid w:val="00857B28"/>
    <w:rsid w:val="00862DCC"/>
    <w:rsid w:val="00872044"/>
    <w:rsid w:val="00876D73"/>
    <w:rsid w:val="00887139"/>
    <w:rsid w:val="00887F36"/>
    <w:rsid w:val="00895EBE"/>
    <w:rsid w:val="008970AF"/>
    <w:rsid w:val="008A3568"/>
    <w:rsid w:val="008B2021"/>
    <w:rsid w:val="008B70C7"/>
    <w:rsid w:val="008C31BC"/>
    <w:rsid w:val="008C50F3"/>
    <w:rsid w:val="008C65BC"/>
    <w:rsid w:val="008C65E0"/>
    <w:rsid w:val="008C7EFE"/>
    <w:rsid w:val="008D03B9"/>
    <w:rsid w:val="008D30C7"/>
    <w:rsid w:val="008D552B"/>
    <w:rsid w:val="008E1138"/>
    <w:rsid w:val="008F18D6"/>
    <w:rsid w:val="008F2C9B"/>
    <w:rsid w:val="008F797B"/>
    <w:rsid w:val="00904780"/>
    <w:rsid w:val="00905806"/>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4D36"/>
    <w:rsid w:val="00BC6D2B"/>
    <w:rsid w:val="00BD7E91"/>
    <w:rsid w:val="00BD7F0D"/>
    <w:rsid w:val="00BE49F4"/>
    <w:rsid w:val="00C02D0A"/>
    <w:rsid w:val="00C03A6E"/>
    <w:rsid w:val="00C1197B"/>
    <w:rsid w:val="00C154A5"/>
    <w:rsid w:val="00C226C0"/>
    <w:rsid w:val="00C24477"/>
    <w:rsid w:val="00C422C8"/>
    <w:rsid w:val="00C42FE6"/>
    <w:rsid w:val="00C44F6A"/>
    <w:rsid w:val="00C47D73"/>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D002F1"/>
    <w:rsid w:val="00D019D7"/>
    <w:rsid w:val="00D034A0"/>
    <w:rsid w:val="00D10A2D"/>
    <w:rsid w:val="00D139AC"/>
    <w:rsid w:val="00D162C5"/>
    <w:rsid w:val="00D21061"/>
    <w:rsid w:val="00D24FFA"/>
    <w:rsid w:val="00D259FA"/>
    <w:rsid w:val="00D37B14"/>
    <w:rsid w:val="00D4108E"/>
    <w:rsid w:val="00D438EF"/>
    <w:rsid w:val="00D6163D"/>
    <w:rsid w:val="00D6259C"/>
    <w:rsid w:val="00D66366"/>
    <w:rsid w:val="00D831A3"/>
    <w:rsid w:val="00D97BE3"/>
    <w:rsid w:val="00DA3711"/>
    <w:rsid w:val="00DB18C9"/>
    <w:rsid w:val="00DB3702"/>
    <w:rsid w:val="00DB619A"/>
    <w:rsid w:val="00DD46F3"/>
    <w:rsid w:val="00DD63D8"/>
    <w:rsid w:val="00DD7A41"/>
    <w:rsid w:val="00DD7EAA"/>
    <w:rsid w:val="00DE0509"/>
    <w:rsid w:val="00DE51A5"/>
    <w:rsid w:val="00DE56F2"/>
    <w:rsid w:val="00DF116D"/>
    <w:rsid w:val="00DF651A"/>
    <w:rsid w:val="00E01EA1"/>
    <w:rsid w:val="00E06B64"/>
    <w:rsid w:val="00E16FF7"/>
    <w:rsid w:val="00E20A91"/>
    <w:rsid w:val="00E21C01"/>
    <w:rsid w:val="00E22C30"/>
    <w:rsid w:val="00E24F78"/>
    <w:rsid w:val="00E26D68"/>
    <w:rsid w:val="00E37347"/>
    <w:rsid w:val="00E408ED"/>
    <w:rsid w:val="00E437B0"/>
    <w:rsid w:val="00E44045"/>
    <w:rsid w:val="00E50D4C"/>
    <w:rsid w:val="00E618C4"/>
    <w:rsid w:val="00E66F3C"/>
    <w:rsid w:val="00E7218A"/>
    <w:rsid w:val="00E878EE"/>
    <w:rsid w:val="00EA490F"/>
    <w:rsid w:val="00EA6EC7"/>
    <w:rsid w:val="00EB104F"/>
    <w:rsid w:val="00EB3039"/>
    <w:rsid w:val="00EB46E5"/>
    <w:rsid w:val="00EB4ECA"/>
    <w:rsid w:val="00EB5D4D"/>
    <w:rsid w:val="00EC10AE"/>
    <w:rsid w:val="00EC590F"/>
    <w:rsid w:val="00ED0703"/>
    <w:rsid w:val="00ED14BD"/>
    <w:rsid w:val="00ED6360"/>
    <w:rsid w:val="00EE2244"/>
    <w:rsid w:val="00EE3C5F"/>
    <w:rsid w:val="00EE7882"/>
    <w:rsid w:val="00EF4DAC"/>
    <w:rsid w:val="00F016C7"/>
    <w:rsid w:val="00F12DEC"/>
    <w:rsid w:val="00F1308F"/>
    <w:rsid w:val="00F1715C"/>
    <w:rsid w:val="00F24946"/>
    <w:rsid w:val="00F310F8"/>
    <w:rsid w:val="00F33DFA"/>
    <w:rsid w:val="00F35939"/>
    <w:rsid w:val="00F45607"/>
    <w:rsid w:val="00F46000"/>
    <w:rsid w:val="00F4722B"/>
    <w:rsid w:val="00F53BD3"/>
    <w:rsid w:val="00F54432"/>
    <w:rsid w:val="00F560B1"/>
    <w:rsid w:val="00F569C6"/>
    <w:rsid w:val="00F659EB"/>
    <w:rsid w:val="00F86BA6"/>
    <w:rsid w:val="00F90E9A"/>
    <w:rsid w:val="00F911D1"/>
    <w:rsid w:val="00F95A2C"/>
    <w:rsid w:val="00FA41E1"/>
    <w:rsid w:val="00FB6342"/>
    <w:rsid w:val="00FC63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FCFCF5-F1D6-46FA-BC78-EF9028BD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244</TotalTime>
  <Pages>1</Pages>
  <Words>12832</Words>
  <Characters>75715</Characters>
  <Application>Microsoft Office Word</Application>
  <DocSecurity>0</DocSecurity>
  <Lines>630</Lines>
  <Paragraphs>176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88371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128</cp:revision>
  <cp:lastPrinted>2019-05-16T07:53:00Z</cp:lastPrinted>
  <dcterms:created xsi:type="dcterms:W3CDTF">2019-03-22T14:00:00Z</dcterms:created>
  <dcterms:modified xsi:type="dcterms:W3CDTF">2019-05-16T07:55:00Z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