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072067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8824BF" w:rsidRPr="0080513C" w:rsidRDefault="00AC6399" w:rsidP="004A55AE">
      <w:pPr>
        <w:ind w:left="3969"/>
        <w:jc w:val="right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B86017" w:rsidRPr="00B86017">
        <w:rPr>
          <w:b/>
          <w:bCs/>
          <w:sz w:val="22"/>
          <w:szCs w:val="22"/>
        </w:rPr>
        <w:t xml:space="preserve">Oprava výhybek </w:t>
      </w:r>
      <w:proofErr w:type="gramStart"/>
      <w:r w:rsidR="00B86017" w:rsidRPr="00B86017">
        <w:rPr>
          <w:b/>
          <w:bCs/>
          <w:sz w:val="22"/>
          <w:szCs w:val="22"/>
        </w:rPr>
        <w:t xml:space="preserve">č.1 - 6 v </w:t>
      </w:r>
      <w:proofErr w:type="spellStart"/>
      <w:r w:rsidR="00B86017" w:rsidRPr="00B86017">
        <w:rPr>
          <w:b/>
          <w:bCs/>
          <w:sz w:val="22"/>
          <w:szCs w:val="22"/>
        </w:rPr>
        <w:t>žst</w:t>
      </w:r>
      <w:proofErr w:type="spellEnd"/>
      <w:proofErr w:type="gramEnd"/>
      <w:r w:rsidR="00B86017" w:rsidRPr="00B86017">
        <w:rPr>
          <w:b/>
          <w:bCs/>
          <w:sz w:val="22"/>
          <w:szCs w:val="22"/>
        </w:rPr>
        <w:t>. Dolní Žleb</w:t>
      </w:r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B86017">
        <w:rPr>
          <w:sz w:val="22"/>
          <w:szCs w:val="22"/>
        </w:rPr>
        <w:t>10186</w:t>
      </w:r>
      <w:r w:rsidR="00184223" w:rsidRPr="00184223">
        <w:rPr>
          <w:sz w:val="22"/>
          <w:szCs w:val="22"/>
        </w:rPr>
        <w:t>/2019-SŽDC-OŘ UNL-NPI</w:t>
      </w:r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687050" w:rsidRDefault="00687050" w:rsidP="00477097">
      <w:pPr>
        <w:ind w:left="426" w:hanging="6"/>
        <w:rPr>
          <w:sz w:val="22"/>
          <w:szCs w:val="22"/>
        </w:rPr>
      </w:pPr>
    </w:p>
    <w:p w:rsidR="00B86017" w:rsidRDefault="00B86017" w:rsidP="00B86017">
      <w:pPr>
        <w:pStyle w:val="Odstavecseseznamem"/>
        <w:numPr>
          <w:ilvl w:val="0"/>
          <w:numId w:val="11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PD TSO výhybek v </w:t>
      </w:r>
      <w:proofErr w:type="spellStart"/>
      <w:r>
        <w:rPr>
          <w:sz w:val="22"/>
          <w:szCs w:val="22"/>
        </w:rPr>
        <w:t>žst</w:t>
      </w:r>
      <w:proofErr w:type="spellEnd"/>
      <w:r>
        <w:rPr>
          <w:sz w:val="22"/>
          <w:szCs w:val="22"/>
        </w:rPr>
        <w:t>. Dolní Žleb</w:t>
      </w:r>
    </w:p>
    <w:p w:rsidR="00477097" w:rsidRDefault="00687050" w:rsidP="00B86017">
      <w:pPr>
        <w:pStyle w:val="Odstavecseseznamem"/>
        <w:numPr>
          <w:ilvl w:val="0"/>
          <w:numId w:val="11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Technická zpráva</w:t>
      </w:r>
      <w:r w:rsidR="00B86017">
        <w:rPr>
          <w:sz w:val="22"/>
          <w:szCs w:val="22"/>
        </w:rPr>
        <w:t xml:space="preserve"> </w:t>
      </w:r>
      <w:r w:rsidR="00B86017" w:rsidRPr="00B86017">
        <w:rPr>
          <w:sz w:val="22"/>
          <w:szCs w:val="22"/>
        </w:rPr>
        <w:t>'Oprava mostu v km 9,914 Dolní Žleb' + její přílohy</w:t>
      </w:r>
    </w:p>
    <w:p w:rsidR="00687050" w:rsidRDefault="00687050" w:rsidP="00B86017">
      <w:pPr>
        <w:pStyle w:val="Odstavecseseznamem"/>
        <w:numPr>
          <w:ilvl w:val="0"/>
          <w:numId w:val="12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B86017">
      <w:pPr>
        <w:pStyle w:val="Odstavecseseznamem"/>
        <w:numPr>
          <w:ilvl w:val="0"/>
          <w:numId w:val="12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B86017">
      <w:pPr>
        <w:pStyle w:val="Odstavecseseznamem"/>
        <w:numPr>
          <w:ilvl w:val="0"/>
          <w:numId w:val="12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B86017">
      <w:pPr>
        <w:pStyle w:val="Odstavecseseznamem"/>
        <w:numPr>
          <w:ilvl w:val="0"/>
          <w:numId w:val="12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B86017">
      <w:pPr>
        <w:pStyle w:val="Odstavecseseznamem"/>
        <w:numPr>
          <w:ilvl w:val="0"/>
          <w:numId w:val="12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B86017">
      <w:pPr>
        <w:pStyle w:val="Odstavecseseznamem"/>
        <w:numPr>
          <w:ilvl w:val="0"/>
          <w:numId w:val="12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B86017">
      <w:pPr>
        <w:pStyle w:val="Odstavecseseznamem"/>
        <w:numPr>
          <w:ilvl w:val="0"/>
          <w:numId w:val="12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B86017">
      <w:pPr>
        <w:pStyle w:val="Odstavecseseznamem"/>
        <w:numPr>
          <w:ilvl w:val="0"/>
          <w:numId w:val="12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B86017">
      <w:pPr>
        <w:pStyle w:val="Odstavecseseznamem"/>
        <w:numPr>
          <w:ilvl w:val="0"/>
          <w:numId w:val="12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C04C2B" w:rsidRPr="00D721AC" w:rsidRDefault="00477097" w:rsidP="00B86017">
      <w:pPr>
        <w:pStyle w:val="Odstavecseseznamem"/>
        <w:numPr>
          <w:ilvl w:val="0"/>
          <w:numId w:val="12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C04C2B" w:rsidRDefault="008824BF" w:rsidP="00B86017">
      <w:pPr>
        <w:spacing w:after="240"/>
        <w:ind w:left="426"/>
        <w:jc w:val="both"/>
        <w:rPr>
          <w:b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B86017" w:rsidRPr="00B86017">
        <w:rPr>
          <w:b/>
          <w:sz w:val="22"/>
          <w:szCs w:val="22"/>
        </w:rPr>
        <w:t xml:space="preserve">Oprava výhybek </w:t>
      </w:r>
      <w:proofErr w:type="gramStart"/>
      <w:r w:rsidR="00B86017" w:rsidRPr="00B86017">
        <w:rPr>
          <w:b/>
          <w:sz w:val="22"/>
          <w:szCs w:val="22"/>
        </w:rPr>
        <w:t xml:space="preserve">č.1 - 6 v </w:t>
      </w:r>
      <w:proofErr w:type="spellStart"/>
      <w:r w:rsidR="00B86017" w:rsidRPr="00B86017">
        <w:rPr>
          <w:b/>
          <w:sz w:val="22"/>
          <w:szCs w:val="22"/>
        </w:rPr>
        <w:t>žst</w:t>
      </w:r>
      <w:proofErr w:type="spellEnd"/>
      <w:proofErr w:type="gramEnd"/>
      <w:r w:rsidR="00B86017" w:rsidRPr="00B86017">
        <w:rPr>
          <w:b/>
          <w:sz w:val="22"/>
          <w:szCs w:val="22"/>
        </w:rPr>
        <w:t>. Dolní Žleb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B03F3B" w:rsidRPr="00184223" w:rsidRDefault="008824BF" w:rsidP="00184223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7521EF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z</w:t>
      </w:r>
      <w:r w:rsidR="00E21411">
        <w:rPr>
          <w:sz w:val="22"/>
          <w:szCs w:val="22"/>
        </w:rPr>
        <w:t>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C61887" w:rsidRPr="00DF38A2">
        <w:rPr>
          <w:b/>
          <w:sz w:val="22"/>
          <w:szCs w:val="22"/>
        </w:rPr>
        <w:t xml:space="preserve">neprodleně </w:t>
      </w:r>
      <w:r w:rsidR="00FD5489" w:rsidRPr="00DF38A2">
        <w:rPr>
          <w:b/>
          <w:sz w:val="22"/>
          <w:szCs w:val="22"/>
        </w:rPr>
        <w:t>po nabytí účinnosti smlouvy</w:t>
      </w:r>
    </w:p>
    <w:p w:rsidR="008824BF" w:rsidRDefault="00D721AC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plnění</w:t>
      </w:r>
      <w:r w:rsidR="008824BF" w:rsidRPr="0080513C">
        <w:rPr>
          <w:sz w:val="22"/>
          <w:szCs w:val="22"/>
        </w:rPr>
        <w:t>:</w:t>
      </w:r>
      <w:r w:rsidR="00C61887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30. 06</w:t>
      </w:r>
      <w:r w:rsidR="00C61887" w:rsidRPr="00C61887">
        <w:rPr>
          <w:b/>
          <w:sz w:val="22"/>
          <w:szCs w:val="22"/>
        </w:rPr>
        <w:t>. 20</w:t>
      </w:r>
      <w:r>
        <w:rPr>
          <w:b/>
          <w:sz w:val="22"/>
          <w:szCs w:val="22"/>
        </w:rPr>
        <w:t>20</w:t>
      </w:r>
      <w:bookmarkStart w:id="0" w:name="_GoBack"/>
      <w:bookmarkEnd w:id="0"/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sdt>
        <w:sdtPr>
          <w:id w:val="1676605872"/>
          <w:docPartObj>
            <w:docPartGallery w:val="Page Numbers (Bottom of Page)"/>
            <w:docPartUnique/>
          </w:docPartObj>
        </w:sdtPr>
        <w:sdtEndPr/>
        <w:sdtContent>
          <w:p w:rsidR="00184223" w:rsidRDefault="00184223" w:rsidP="00184223">
            <w:pPr>
              <w:pStyle w:val="Zpat"/>
            </w:pP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begin"/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instrText>PAGE   \* MERGEFORMAT</w:instrTex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separate"/>
            </w:r>
            <w:r w:rsidR="00B86017">
              <w:rPr>
                <w:rFonts w:ascii="Verdana" w:eastAsia="Verdana" w:hAnsi="Verdana"/>
                <w:b/>
                <w:noProof/>
                <w:color w:val="FF5200"/>
                <w:sz w:val="14"/>
                <w:szCs w:val="18"/>
                <w:lang w:eastAsia="en-US"/>
              </w:rPr>
              <w:t>1</w: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end"/>
            </w:r>
            <w:r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t>/3</w:t>
            </w:r>
          </w:p>
          <w:p w:rsidR="00184223" w:rsidRDefault="00B86017" w:rsidP="00184223">
            <w:pPr>
              <w:pStyle w:val="Zpat"/>
            </w:pPr>
          </w:p>
        </w:sdtContent>
      </w:sdt>
      <w:p w:rsidR="00A77FE9" w:rsidRDefault="00B86017" w:rsidP="00184223">
        <w:pPr>
          <w:pStyle w:val="Zpat"/>
        </w:pPr>
      </w:p>
    </w:sdtContent>
  </w:sdt>
  <w:p w:rsidR="00A77FE9" w:rsidRDefault="00B8601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223" w:rsidRDefault="00184223" w:rsidP="00184223">
    <w:pPr>
      <w:tabs>
        <w:tab w:val="right" w:pos="9072"/>
      </w:tabs>
      <w:spacing w:after="400"/>
      <w:rPr>
        <w:rFonts w:ascii="Arial" w:hAnsi="Arial" w:cs="Arial"/>
      </w:rPr>
    </w:pPr>
  </w:p>
  <w:p w:rsidR="00184223" w:rsidRDefault="00184223" w:rsidP="00184223">
    <w:pPr>
      <w:tabs>
        <w:tab w:val="right" w:pos="9072"/>
      </w:tabs>
      <w:spacing w:after="400"/>
      <w:rPr>
        <w:rFonts w:ascii="Arial" w:hAnsi="Arial" w:cs="Arial"/>
      </w:rPr>
    </w:pPr>
  </w:p>
  <w:p w:rsidR="0080513C" w:rsidRPr="006E4ACB" w:rsidRDefault="00184223" w:rsidP="00184223">
    <w:pPr>
      <w:tabs>
        <w:tab w:val="right" w:pos="9072"/>
      </w:tabs>
      <w:spacing w:after="400"/>
      <w:rPr>
        <w:rFonts w:ascii="Arial" w:hAnsi="Arial" w:cs="Arial"/>
      </w:rPr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46A7DA55" wp14:editId="306FBE9B">
          <wp:simplePos x="0" y="0"/>
          <wp:positionH relativeFrom="page">
            <wp:posOffset>619125</wp:posOffset>
          </wp:positionH>
          <wp:positionV relativeFrom="page">
            <wp:posOffset>57150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3C374DE4"/>
    <w:multiLevelType w:val="hybridMultilevel"/>
    <w:tmpl w:val="BFB40322"/>
    <w:lvl w:ilvl="0" w:tplc="B97696B0">
      <w:start w:val="2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26329"/>
    <w:multiLevelType w:val="hybridMultilevel"/>
    <w:tmpl w:val="B85C11CC"/>
    <w:lvl w:ilvl="0" w:tplc="AC0CEC70">
      <w:start w:val="1"/>
      <w:numFmt w:val="decimal"/>
      <w:lvlText w:val="1.%1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465D262D"/>
    <w:multiLevelType w:val="hybridMultilevel"/>
    <w:tmpl w:val="68FC0664"/>
    <w:lvl w:ilvl="0" w:tplc="787E12F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282116"/>
    <w:multiLevelType w:val="hybridMultilevel"/>
    <w:tmpl w:val="F57655AE"/>
    <w:lvl w:ilvl="0" w:tplc="DDAEE45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57424664"/>
    <w:multiLevelType w:val="hybridMultilevel"/>
    <w:tmpl w:val="524A5082"/>
    <w:lvl w:ilvl="0" w:tplc="3C308B9E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9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0">
    <w:nsid w:val="70652FCD"/>
    <w:multiLevelType w:val="hybridMultilevel"/>
    <w:tmpl w:val="F856C178"/>
    <w:lvl w:ilvl="0" w:tplc="AC0CEC70">
      <w:start w:val="1"/>
      <w:numFmt w:val="decimal"/>
      <w:lvlText w:val="1.%1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11"/>
  </w:num>
  <w:num w:numId="3">
    <w:abstractNumId w:val="8"/>
  </w:num>
  <w:num w:numId="4">
    <w:abstractNumId w:val="1"/>
  </w:num>
  <w:num w:numId="5">
    <w:abstractNumId w:val="0"/>
  </w:num>
  <w:num w:numId="6">
    <w:abstractNumId w:val="9"/>
  </w:num>
  <w:num w:numId="7">
    <w:abstractNumId w:val="10"/>
  </w:num>
  <w:num w:numId="8">
    <w:abstractNumId w:val="6"/>
  </w:num>
  <w:num w:numId="9">
    <w:abstractNumId w:val="7"/>
  </w:num>
  <w:num w:numId="10">
    <w:abstractNumId w:val="5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2067"/>
    <w:rsid w:val="00073C2B"/>
    <w:rsid w:val="000B29F8"/>
    <w:rsid w:val="000C6014"/>
    <w:rsid w:val="00100C00"/>
    <w:rsid w:val="00106CB6"/>
    <w:rsid w:val="00122350"/>
    <w:rsid w:val="0013036D"/>
    <w:rsid w:val="00131E9D"/>
    <w:rsid w:val="0015131B"/>
    <w:rsid w:val="00175267"/>
    <w:rsid w:val="00175525"/>
    <w:rsid w:val="00184223"/>
    <w:rsid w:val="00195805"/>
    <w:rsid w:val="00197FF0"/>
    <w:rsid w:val="001A6E21"/>
    <w:rsid w:val="00235799"/>
    <w:rsid w:val="00292619"/>
    <w:rsid w:val="002B72BB"/>
    <w:rsid w:val="002E3DDF"/>
    <w:rsid w:val="002F52A2"/>
    <w:rsid w:val="00352299"/>
    <w:rsid w:val="00376107"/>
    <w:rsid w:val="0038438F"/>
    <w:rsid w:val="00395BD4"/>
    <w:rsid w:val="003C360B"/>
    <w:rsid w:val="003D6B1B"/>
    <w:rsid w:val="003F1F31"/>
    <w:rsid w:val="004269A8"/>
    <w:rsid w:val="00477097"/>
    <w:rsid w:val="004852A9"/>
    <w:rsid w:val="004934EF"/>
    <w:rsid w:val="004A4E09"/>
    <w:rsid w:val="004A55AE"/>
    <w:rsid w:val="004A7AFC"/>
    <w:rsid w:val="004D25BB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62565"/>
    <w:rsid w:val="00683963"/>
    <w:rsid w:val="00687050"/>
    <w:rsid w:val="006E4ACB"/>
    <w:rsid w:val="007127CD"/>
    <w:rsid w:val="00731B02"/>
    <w:rsid w:val="007521EF"/>
    <w:rsid w:val="007614C2"/>
    <w:rsid w:val="00793A4E"/>
    <w:rsid w:val="007B414C"/>
    <w:rsid w:val="007E09C0"/>
    <w:rsid w:val="0080513C"/>
    <w:rsid w:val="008824BF"/>
    <w:rsid w:val="00895C70"/>
    <w:rsid w:val="008A36FD"/>
    <w:rsid w:val="008B7310"/>
    <w:rsid w:val="008D4863"/>
    <w:rsid w:val="008E09B2"/>
    <w:rsid w:val="008F4CC1"/>
    <w:rsid w:val="00920131"/>
    <w:rsid w:val="0092178C"/>
    <w:rsid w:val="00993DC4"/>
    <w:rsid w:val="009E0CCA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148DA"/>
    <w:rsid w:val="00B303BB"/>
    <w:rsid w:val="00B30817"/>
    <w:rsid w:val="00B7103D"/>
    <w:rsid w:val="00B85F12"/>
    <w:rsid w:val="00B86017"/>
    <w:rsid w:val="00BB798B"/>
    <w:rsid w:val="00C04C2B"/>
    <w:rsid w:val="00C2553A"/>
    <w:rsid w:val="00C61887"/>
    <w:rsid w:val="00C83BD1"/>
    <w:rsid w:val="00C97F4C"/>
    <w:rsid w:val="00D412BD"/>
    <w:rsid w:val="00D530CF"/>
    <w:rsid w:val="00D721AC"/>
    <w:rsid w:val="00D73A9A"/>
    <w:rsid w:val="00D90068"/>
    <w:rsid w:val="00DB039F"/>
    <w:rsid w:val="00DD19E1"/>
    <w:rsid w:val="00DE1C1C"/>
    <w:rsid w:val="00DF38A2"/>
    <w:rsid w:val="00E12499"/>
    <w:rsid w:val="00E21411"/>
    <w:rsid w:val="00E60D21"/>
    <w:rsid w:val="00E73069"/>
    <w:rsid w:val="00E81F9A"/>
    <w:rsid w:val="00EB1E6D"/>
    <w:rsid w:val="00EE6DA9"/>
    <w:rsid w:val="00EF0CDC"/>
    <w:rsid w:val="00F20C39"/>
    <w:rsid w:val="00F22E74"/>
    <w:rsid w:val="00F30174"/>
    <w:rsid w:val="00F363B7"/>
    <w:rsid w:val="00F41420"/>
    <w:rsid w:val="00F570B2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933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56</cp:revision>
  <dcterms:created xsi:type="dcterms:W3CDTF">2018-03-13T10:04:00Z</dcterms:created>
  <dcterms:modified xsi:type="dcterms:W3CDTF">2019-03-27T12:13:00Z</dcterms:modified>
</cp:coreProperties>
</file>