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Mapování na TU 1911, TU 2191, TU 2361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Mapování na TU 1911, TU 2191, TU 2361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11.11.2019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