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</w:t>
      </w:r>
      <w:r w:rsidRPr="00791B69">
        <w:rPr>
          <w:rFonts w:asciiTheme="minorHAnsi" w:hAnsiTheme="minorHAnsi"/>
        </w:rPr>
        <w:t xml:space="preserve">veřejnou zakázku s názvem </w:t>
      </w:r>
      <w:r w:rsidR="00BF3BEB" w:rsidRPr="00791B69">
        <w:rPr>
          <w:rFonts w:asciiTheme="minorHAnsi" w:hAnsiTheme="minorHAnsi"/>
          <w:b/>
        </w:rPr>
        <w:t>„</w:t>
      </w:r>
      <w:r w:rsidR="008643DB" w:rsidRPr="00791B69">
        <w:rPr>
          <w:rFonts w:asciiTheme="minorHAnsi" w:hAnsiTheme="minorHAnsi"/>
          <w:b/>
          <w:lang w:val="en-US"/>
        </w:rPr>
        <w:t>Projekt GPK staničních kolejí v TÚ 1901 v úseku Hoštejn – Štěpánov</w:t>
      </w:r>
      <w:r w:rsidR="00BF3BEB" w:rsidRPr="00791B69">
        <w:rPr>
          <w:rFonts w:asciiTheme="minorHAnsi" w:hAnsiTheme="minorHAnsi"/>
          <w:b/>
        </w:rPr>
        <w:t>”</w:t>
      </w:r>
      <w:r w:rsidR="004409B4" w:rsidRPr="00791B69">
        <w:rPr>
          <w:rFonts w:asciiTheme="minorHAnsi" w:hAnsiTheme="minorHAnsi"/>
        </w:rPr>
        <w:t xml:space="preserve">, </w:t>
      </w:r>
      <w:proofErr w:type="gramStart"/>
      <w:r w:rsidR="004409B4" w:rsidRPr="00791B69">
        <w:rPr>
          <w:rFonts w:asciiTheme="minorHAnsi" w:hAnsiTheme="minorHAnsi"/>
        </w:rPr>
        <w:t>č.j</w:t>
      </w:r>
      <w:r w:rsidR="001E6125" w:rsidRPr="00791B69">
        <w:rPr>
          <w:rFonts w:asciiTheme="minorHAnsi" w:hAnsiTheme="minorHAnsi"/>
        </w:rPr>
        <w:t>.</w:t>
      </w:r>
      <w:bookmarkStart w:id="0" w:name="_GoBack"/>
      <w:bookmarkEnd w:id="0"/>
      <w:proofErr w:type="gramEnd"/>
      <w:r w:rsidR="00D17399">
        <w:rPr>
          <w:rFonts w:asciiTheme="minorHAnsi" w:hAnsiTheme="minorHAnsi"/>
        </w:rPr>
        <w:t xml:space="preserve"> </w:t>
      </w:r>
      <w:r w:rsidR="00310E72">
        <w:rPr>
          <w:rFonts w:asciiTheme="minorHAnsi" w:hAnsiTheme="minorHAnsi"/>
        </w:rPr>
        <w:t>357/2019-SŽDC-SŽGOLC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791B69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791B69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791B69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791B69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791B69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2019-03-04T09:13:00Z</cp:lastPrinted>
  <dcterms:created xsi:type="dcterms:W3CDTF">2017-04-04T10:11:00Z</dcterms:created>
  <dcterms:modified xsi:type="dcterms:W3CDTF">2019-03-04T09:15:00Z</dcterms:modified>
</cp:coreProperties>
</file>