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28770" w14:textId="1C124DB1" w:rsidR="00014B53" w:rsidRPr="00014B53" w:rsidRDefault="00014B53" w:rsidP="00014B53">
      <w:pPr>
        <w:keepNext/>
        <w:keepLines/>
        <w:suppressAutoHyphens/>
        <w:spacing w:before="320" w:after="0"/>
        <w:outlineLvl w:val="0"/>
        <w:rPr>
          <w:rFonts w:ascii="Verdana" w:eastAsia="MS Gothic" w:hAnsi="Verdana" w:cs="Times New Roman"/>
          <w:b/>
          <w:color w:val="FF5200"/>
          <w:spacing w:val="-6"/>
          <w:sz w:val="36"/>
          <w:szCs w:val="36"/>
        </w:rPr>
      </w:pPr>
      <w:r w:rsidRPr="00014B53">
        <w:rPr>
          <w:rFonts w:ascii="Verdana" w:eastAsia="MS Gothic" w:hAnsi="Verdana" w:cs="Times New Roman"/>
          <w:b/>
          <w:color w:val="FF5200"/>
          <w:spacing w:val="-6"/>
          <w:sz w:val="36"/>
          <w:szCs w:val="36"/>
        </w:rPr>
        <w:t xml:space="preserve">Předběžná tržní konzultace </w:t>
      </w:r>
      <w:r w:rsidR="00092714" w:rsidRPr="00092714">
        <w:rPr>
          <w:rFonts w:ascii="Verdana" w:eastAsia="MS Gothic" w:hAnsi="Verdana" w:cs="Times New Roman"/>
          <w:b/>
          <w:color w:val="FF5200"/>
          <w:spacing w:val="-6"/>
          <w:sz w:val="36"/>
          <w:szCs w:val="36"/>
        </w:rPr>
        <w:t>„Technická pomoc při administraci variací, nároků zhotovitele a kontrole harmonogramu staveb uplatňovaných v rámci smluvních podmínek FIDIC pro SŽ“</w:t>
      </w:r>
      <w:r w:rsidRPr="00014B53">
        <w:rPr>
          <w:rFonts w:ascii="Verdana" w:eastAsia="MS Gothic" w:hAnsi="Verdana" w:cs="Times New Roman"/>
          <w:b/>
          <w:color w:val="FF5200"/>
          <w:spacing w:val="-6"/>
          <w:sz w:val="36"/>
          <w:szCs w:val="36"/>
        </w:rPr>
        <w:t xml:space="preserve"> </w:t>
      </w:r>
      <w:r w:rsidR="00092714">
        <w:rPr>
          <w:rFonts w:ascii="Verdana" w:eastAsia="MS Gothic" w:hAnsi="Verdana" w:cs="Times New Roman"/>
          <w:b/>
          <w:color w:val="FF5200"/>
          <w:spacing w:val="-6"/>
          <w:sz w:val="36"/>
          <w:szCs w:val="36"/>
        </w:rPr>
        <w:t>- dotazník</w:t>
      </w:r>
    </w:p>
    <w:p w14:paraId="7712A4AF" w14:textId="77777777" w:rsidR="00014B53" w:rsidRPr="00014B53" w:rsidRDefault="00014B53" w:rsidP="00014B53">
      <w:pPr>
        <w:jc w:val="both"/>
        <w:rPr>
          <w:rFonts w:ascii="Verdana" w:eastAsia="Verdana" w:hAnsi="Verdana" w:cs="Times New Roman"/>
        </w:rPr>
      </w:pPr>
      <w:r w:rsidRPr="00014B53">
        <w:rPr>
          <w:rFonts w:ascii="Verdana" w:eastAsia="Verdana" w:hAnsi="Verdana" w:cs="Times New Roman"/>
        </w:rPr>
        <w:t>Tato příloha obsahuje seznam otázek za účelem ověření dostupnosti a kvality všech požadovaných vlastností cílového řešení.</w:t>
      </w:r>
    </w:p>
    <w:p w14:paraId="63DFA7C5" w14:textId="4DF1CCD9" w:rsidR="00014B53" w:rsidRDefault="00014B53" w:rsidP="00014B53">
      <w:pPr>
        <w:keepNext/>
        <w:keepLines/>
        <w:pBdr>
          <w:top w:val="single" w:sz="4" w:space="1" w:color="00A1E0"/>
        </w:pBdr>
        <w:spacing w:before="240"/>
        <w:outlineLvl w:val="1"/>
        <w:rPr>
          <w:rFonts w:ascii="Verdana" w:eastAsia="MS Gothic" w:hAnsi="Verdana" w:cs="Times New Roman"/>
          <w:b/>
          <w:color w:val="00A1E0"/>
          <w:sz w:val="24"/>
          <w:szCs w:val="24"/>
        </w:rPr>
      </w:pPr>
      <w:r w:rsidRPr="00014B53">
        <w:rPr>
          <w:rFonts w:ascii="Verdana" w:eastAsia="MS Gothic" w:hAnsi="Verdana" w:cs="Times New Roman"/>
          <w:b/>
          <w:color w:val="00A1E0"/>
          <w:sz w:val="24"/>
          <w:szCs w:val="24"/>
        </w:rPr>
        <w:t>Dotaz</w:t>
      </w:r>
      <w:r w:rsidR="00092714">
        <w:rPr>
          <w:rFonts w:ascii="Verdana" w:eastAsia="MS Gothic" w:hAnsi="Verdana" w:cs="Times New Roman"/>
          <w:b/>
          <w:color w:val="00A1E0"/>
          <w:sz w:val="24"/>
          <w:szCs w:val="24"/>
        </w:rPr>
        <w:t>ník</w:t>
      </w:r>
      <w:r w:rsidRPr="00014B53">
        <w:rPr>
          <w:rFonts w:ascii="Verdana" w:eastAsia="MS Gothic" w:hAnsi="Verdana" w:cs="Times New Roman"/>
          <w:b/>
          <w:color w:val="00A1E0"/>
          <w:sz w:val="24"/>
          <w:szCs w:val="24"/>
        </w:rPr>
        <w:t xml:space="preserve"> </w:t>
      </w:r>
    </w:p>
    <w:p w14:paraId="2E8DCA83" w14:textId="77777777" w:rsidR="00092714" w:rsidRPr="00092714" w:rsidRDefault="00092714" w:rsidP="00092714">
      <w:pPr>
        <w:jc w:val="both"/>
        <w:rPr>
          <w:rFonts w:ascii="Verdana" w:hAnsi="Verdana"/>
          <w:b/>
          <w:bCs/>
          <w:sz w:val="20"/>
          <w:szCs w:val="20"/>
          <w:u w:val="single"/>
        </w:rPr>
      </w:pPr>
      <w:r w:rsidRPr="00092714">
        <w:rPr>
          <w:rFonts w:ascii="Verdana" w:hAnsi="Verdana"/>
          <w:b/>
          <w:bCs/>
          <w:sz w:val="20"/>
          <w:szCs w:val="20"/>
          <w:u w:val="single"/>
        </w:rPr>
        <w:t>Dotaz č. 1:</w:t>
      </w:r>
    </w:p>
    <w:p w14:paraId="109EBE43" w14:textId="77777777" w:rsidR="00092714" w:rsidRPr="00092714" w:rsidRDefault="00092714" w:rsidP="00092714">
      <w:pPr>
        <w:jc w:val="both"/>
        <w:rPr>
          <w:rFonts w:ascii="Verdana" w:hAnsi="Verdana"/>
          <w:sz w:val="20"/>
          <w:szCs w:val="20"/>
        </w:rPr>
      </w:pPr>
      <w:r w:rsidRPr="00092714">
        <w:rPr>
          <w:rFonts w:ascii="Verdana" w:hAnsi="Verdana"/>
          <w:sz w:val="20"/>
          <w:szCs w:val="20"/>
        </w:rPr>
        <w:t>Zadavatel předpokládá, že předmět Veřejné zakázky bude vymezen následovně.</w:t>
      </w:r>
    </w:p>
    <w:p w14:paraId="34F5CC6F" w14:textId="77777777" w:rsidR="00092714" w:rsidRPr="00092714" w:rsidRDefault="00092714" w:rsidP="00092714">
      <w:pPr>
        <w:jc w:val="both"/>
        <w:rPr>
          <w:rFonts w:ascii="Verdana" w:hAnsi="Verdana"/>
          <w:i/>
          <w:iCs/>
          <w:sz w:val="20"/>
          <w:szCs w:val="20"/>
        </w:rPr>
      </w:pPr>
      <w:r w:rsidRPr="00092714">
        <w:rPr>
          <w:rFonts w:ascii="Verdana" w:hAnsi="Verdana"/>
          <w:i/>
          <w:iCs/>
          <w:sz w:val="20"/>
          <w:szCs w:val="20"/>
        </w:rPr>
        <w:t>Předmětem veřejné zakázky budou zejména následující činnosti:</w:t>
      </w:r>
    </w:p>
    <w:p w14:paraId="54B08BB9" w14:textId="77777777" w:rsidR="00092714" w:rsidRPr="00092714" w:rsidRDefault="00092714" w:rsidP="00092714">
      <w:pPr>
        <w:pStyle w:val="Odstavecseseznamem"/>
        <w:numPr>
          <w:ilvl w:val="0"/>
          <w:numId w:val="10"/>
        </w:numPr>
        <w:spacing w:before="120" w:after="120" w:line="276" w:lineRule="auto"/>
        <w:ind w:left="714" w:hanging="357"/>
        <w:contextualSpacing w:val="0"/>
        <w:jc w:val="both"/>
        <w:rPr>
          <w:rFonts w:ascii="Verdana" w:hAnsi="Verdana"/>
          <w:i/>
          <w:iCs/>
          <w:sz w:val="20"/>
          <w:szCs w:val="20"/>
        </w:rPr>
      </w:pPr>
      <w:r w:rsidRPr="00092714">
        <w:rPr>
          <w:rFonts w:ascii="Verdana" w:hAnsi="Verdana"/>
          <w:i/>
          <w:iCs/>
          <w:sz w:val="20"/>
          <w:szCs w:val="20"/>
        </w:rPr>
        <w:t xml:space="preserve">Analýza a posouzení vzneseného </w:t>
      </w:r>
      <w:proofErr w:type="spellStart"/>
      <w:r w:rsidRPr="00092714">
        <w:rPr>
          <w:rFonts w:ascii="Verdana" w:hAnsi="Verdana"/>
          <w:i/>
          <w:iCs/>
          <w:sz w:val="20"/>
          <w:szCs w:val="20"/>
        </w:rPr>
        <w:t>claimu</w:t>
      </w:r>
      <w:proofErr w:type="spellEnd"/>
      <w:r w:rsidRPr="00092714">
        <w:rPr>
          <w:rFonts w:ascii="Verdana" w:hAnsi="Verdana"/>
          <w:i/>
          <w:iCs/>
          <w:sz w:val="20"/>
          <w:szCs w:val="20"/>
        </w:rPr>
        <w:t xml:space="preserve"> (smluvního kompenzačního nároku) zhotovitele (posouzení smluvního základu nároku, jeho rozsahu, dodržení formálního postupu při uplatnění nároku na základě smlouvy o dílo). Návrhy odpovědí správce zakázky (správce stavby) na vznesené nároky zhotovitele (stanoviska, žádosti o doplnění relevantních podkladů). Návrhy rozhodnutí (určení) správce zakázky (správce stavby) ve věci vznesených nároků zhotovitele na základě zpracované časové analýzy / posudku. Řízení korespondence ve věci vadného plnění zhotovitele (reklamace vady, výzva k předložení nápravného opatření, prodloužení záruční doby, čerpání bankovní záruky aj.). Veškerá konzultační činnost (včetně případného právního posouzení) a technická asistence týkající se předložených nároků.</w:t>
      </w:r>
    </w:p>
    <w:p w14:paraId="13ED2A67" w14:textId="77777777" w:rsidR="00092714" w:rsidRPr="00092714" w:rsidRDefault="00092714" w:rsidP="00092714">
      <w:pPr>
        <w:pStyle w:val="Odstavecseseznamem"/>
        <w:numPr>
          <w:ilvl w:val="0"/>
          <w:numId w:val="10"/>
        </w:numPr>
        <w:spacing w:before="120" w:after="120" w:line="276" w:lineRule="auto"/>
        <w:ind w:left="714" w:hanging="357"/>
        <w:contextualSpacing w:val="0"/>
        <w:jc w:val="both"/>
        <w:rPr>
          <w:rFonts w:ascii="Verdana" w:hAnsi="Verdana"/>
          <w:i/>
          <w:iCs/>
          <w:sz w:val="20"/>
          <w:szCs w:val="20"/>
        </w:rPr>
      </w:pPr>
      <w:r w:rsidRPr="00092714">
        <w:rPr>
          <w:rFonts w:ascii="Verdana" w:hAnsi="Verdana"/>
          <w:i/>
          <w:iCs/>
          <w:sz w:val="20"/>
          <w:szCs w:val="20"/>
        </w:rPr>
        <w:t xml:space="preserve">Posouzení a kontrola navrhovaných změn díla (Variací), posouzení důvodu a charakteru změn díla ze smluvního a zákonného hlediska (Všeobecné a zvláštní obchodní podmínky, zákon o zadávání veřejných zakázek), ověření správného postupu předložení, posouzení věcné a formální správnosti předložené dokumentace změny díla. Specifikace dokumentů pro zajištění úplnosti dokumentace změn díla (Variací). Konzultační činnost a technická asistence při přípravě dokumentace změn díla (Variací), za účelem naplnění zákonných a smluvních požadavků a interních předpisů objednatele. Spolupráce s objednatelem při projednávání a administraci Variací (zajištění podkladů, účast na kontrolních dnech, organizace </w:t>
      </w:r>
      <w:proofErr w:type="gramStart"/>
      <w:r w:rsidRPr="00092714">
        <w:rPr>
          <w:rFonts w:ascii="Verdana" w:hAnsi="Verdana"/>
          <w:i/>
          <w:iCs/>
          <w:sz w:val="20"/>
          <w:szCs w:val="20"/>
        </w:rPr>
        <w:t>jednání,</w:t>
      </w:r>
      <w:proofErr w:type="gramEnd"/>
      <w:r w:rsidRPr="00092714">
        <w:rPr>
          <w:rFonts w:ascii="Verdana" w:hAnsi="Verdana"/>
          <w:i/>
          <w:iCs/>
          <w:sz w:val="20"/>
          <w:szCs w:val="20"/>
        </w:rPr>
        <w:t xml:space="preserve"> atd.), včetně zajištění koordinace obou stran za účelem nastavení správného postupu při řízení a administraci Variací díla dle pod-čl. 13 smluvních podmínek FIDIC a zároveň v souladu s interními předpisy Objednatele. Veškerá konzultační činnost (včetně případného právního posouzení) a technická asistence týkající se předložených změn díla (Variací).</w:t>
      </w:r>
    </w:p>
    <w:p w14:paraId="0C805E01" w14:textId="77777777" w:rsidR="00092714" w:rsidRPr="00092714" w:rsidRDefault="00092714" w:rsidP="00092714">
      <w:pPr>
        <w:pStyle w:val="Odstavecseseznamem"/>
        <w:numPr>
          <w:ilvl w:val="0"/>
          <w:numId w:val="10"/>
        </w:numPr>
        <w:spacing w:before="120" w:after="120" w:line="276" w:lineRule="auto"/>
        <w:ind w:left="714" w:hanging="357"/>
        <w:contextualSpacing w:val="0"/>
        <w:jc w:val="both"/>
        <w:rPr>
          <w:rFonts w:ascii="Verdana" w:hAnsi="Verdana"/>
          <w:i/>
          <w:iCs/>
          <w:sz w:val="20"/>
          <w:szCs w:val="20"/>
        </w:rPr>
      </w:pPr>
      <w:r w:rsidRPr="00092714">
        <w:rPr>
          <w:rFonts w:ascii="Verdana" w:hAnsi="Verdana"/>
          <w:i/>
          <w:iCs/>
          <w:sz w:val="20"/>
          <w:szCs w:val="20"/>
        </w:rPr>
        <w:t xml:space="preserve">Ověření splnění formálních a obsahových požadavků na počáteční harmonogram a jeho jednotlivé revize stanovených ve smlouvě a Metodice pro časové řízení (SFDI) podle smluvních podmínek FIDIC. Analýza předložených aktualizací harmonogramů stavby v návaznosti na VOP/ZOP, změny během výstavby v návaznosti na posun </w:t>
      </w:r>
      <w:r w:rsidRPr="00092714">
        <w:rPr>
          <w:rFonts w:ascii="Verdana" w:hAnsi="Verdana"/>
          <w:i/>
          <w:iCs/>
          <w:sz w:val="20"/>
          <w:szCs w:val="20"/>
        </w:rPr>
        <w:lastRenderedPageBreak/>
        <w:t>termínu zprovoznění a dokončení stavby. Základní kontrola souladu věcného harmonogramu s harmonogramem předkládání projektové dokumentace.  Základní kontrola souladu věcného a finančního harmonogramu. Formální kontrola měsíčních zpráv zhotovitele o postupu prací.</w:t>
      </w:r>
    </w:p>
    <w:p w14:paraId="33A302C3" w14:textId="77777777" w:rsidR="00092714" w:rsidRPr="00092714" w:rsidRDefault="00092714" w:rsidP="00092714">
      <w:pPr>
        <w:jc w:val="both"/>
        <w:rPr>
          <w:rFonts w:ascii="Verdana" w:hAnsi="Verdana"/>
          <w:b/>
          <w:bCs/>
          <w:sz w:val="20"/>
          <w:szCs w:val="20"/>
        </w:rPr>
      </w:pPr>
      <w:r w:rsidRPr="00092714">
        <w:rPr>
          <w:rFonts w:ascii="Verdana" w:hAnsi="Verdana"/>
          <w:b/>
          <w:bCs/>
          <w:sz w:val="20"/>
          <w:szCs w:val="20"/>
        </w:rPr>
        <w:t>Je dle Vašich znalostí a zkušeností výše uvedené vymezení předmětu Veřejné zakázky v oblasti poskytování poradenství v rámci smluvních podmínek FIDIC dostatečné, konkrétní a obvyklé? Pokud ne, jsou pro Vás výše uvedené požadavky splnitelné, a to případně i za pomoci poddodavatelů? Existuje nějaká další činnost, která by měla být v rámci předmětu smlouvy zmíněna?</w:t>
      </w:r>
    </w:p>
    <w:p w14:paraId="0FADC7BD" w14:textId="77777777" w:rsidR="00092714" w:rsidRPr="00092714" w:rsidRDefault="00092714" w:rsidP="00092714">
      <w:pPr>
        <w:jc w:val="both"/>
        <w:rPr>
          <w:rFonts w:ascii="Verdana" w:hAnsi="Verdana"/>
          <w:b/>
          <w:bCs/>
          <w:sz w:val="20"/>
          <w:szCs w:val="20"/>
          <w:u w:val="single"/>
        </w:rPr>
      </w:pPr>
      <w:r w:rsidRPr="00092714">
        <w:rPr>
          <w:rFonts w:ascii="Verdana" w:hAnsi="Verdana"/>
          <w:b/>
          <w:bCs/>
          <w:sz w:val="20"/>
          <w:szCs w:val="20"/>
          <w:u w:val="single"/>
        </w:rPr>
        <w:t>Dotaz č. 2:</w:t>
      </w:r>
    </w:p>
    <w:p w14:paraId="18D4496C" w14:textId="77777777" w:rsidR="00092714" w:rsidRPr="00092714" w:rsidRDefault="00092714" w:rsidP="00092714">
      <w:pPr>
        <w:jc w:val="both"/>
        <w:rPr>
          <w:rFonts w:ascii="Verdana" w:hAnsi="Verdana"/>
          <w:sz w:val="20"/>
          <w:szCs w:val="20"/>
        </w:rPr>
      </w:pPr>
      <w:r w:rsidRPr="00092714">
        <w:rPr>
          <w:rFonts w:ascii="Verdana" w:hAnsi="Verdana"/>
          <w:sz w:val="20"/>
          <w:szCs w:val="20"/>
        </w:rPr>
        <w:t>Zadavatel předpokládá, že se na plnění Veřejné zakázky budou účastnit minimálně následující členové realizačního týmu dodavatele.</w:t>
      </w:r>
    </w:p>
    <w:p w14:paraId="23116AB6" w14:textId="77777777" w:rsidR="00092714" w:rsidRPr="00092714" w:rsidRDefault="00092714" w:rsidP="00092714">
      <w:pPr>
        <w:pStyle w:val="Odstavecseseznamem"/>
        <w:numPr>
          <w:ilvl w:val="0"/>
          <w:numId w:val="10"/>
        </w:numPr>
        <w:spacing w:before="120" w:after="120" w:line="276" w:lineRule="auto"/>
        <w:ind w:left="714" w:hanging="357"/>
        <w:contextualSpacing w:val="0"/>
        <w:jc w:val="both"/>
        <w:rPr>
          <w:rFonts w:ascii="Verdana" w:hAnsi="Verdana"/>
          <w:i/>
          <w:iCs/>
          <w:sz w:val="20"/>
          <w:szCs w:val="20"/>
        </w:rPr>
      </w:pPr>
      <w:proofErr w:type="spellStart"/>
      <w:r w:rsidRPr="00092714">
        <w:rPr>
          <w:rFonts w:ascii="Verdana" w:hAnsi="Verdana"/>
          <w:b/>
          <w:bCs/>
          <w:i/>
          <w:iCs/>
          <w:sz w:val="20"/>
          <w:szCs w:val="20"/>
        </w:rPr>
        <w:t>Claim</w:t>
      </w:r>
      <w:proofErr w:type="spellEnd"/>
      <w:r w:rsidRPr="00092714">
        <w:rPr>
          <w:rFonts w:ascii="Verdana" w:hAnsi="Verdana"/>
          <w:b/>
          <w:bCs/>
          <w:i/>
          <w:iCs/>
          <w:sz w:val="20"/>
          <w:szCs w:val="20"/>
        </w:rPr>
        <w:t xml:space="preserve"> manager</w:t>
      </w:r>
      <w:r w:rsidRPr="00092714">
        <w:rPr>
          <w:rFonts w:ascii="Verdana" w:hAnsi="Verdana"/>
          <w:i/>
          <w:iCs/>
          <w:sz w:val="20"/>
          <w:szCs w:val="20"/>
        </w:rPr>
        <w:t xml:space="preserve"> – vedoucí týmu, zodpovědný za správnost výstupů a komunikaci s objednatelem, předpokládaná seniorní pozice s maximem zkušeností.</w:t>
      </w:r>
    </w:p>
    <w:p w14:paraId="6E377D9D" w14:textId="77777777" w:rsidR="00092714" w:rsidRPr="00092714" w:rsidRDefault="00092714" w:rsidP="00092714">
      <w:pPr>
        <w:pStyle w:val="Odstavecseseznamem"/>
        <w:numPr>
          <w:ilvl w:val="0"/>
          <w:numId w:val="10"/>
        </w:numPr>
        <w:spacing w:before="120" w:after="120" w:line="276" w:lineRule="auto"/>
        <w:ind w:left="714" w:hanging="357"/>
        <w:contextualSpacing w:val="0"/>
        <w:jc w:val="both"/>
        <w:rPr>
          <w:rFonts w:ascii="Verdana" w:hAnsi="Verdana"/>
          <w:i/>
          <w:iCs/>
          <w:sz w:val="20"/>
          <w:szCs w:val="20"/>
        </w:rPr>
      </w:pPr>
      <w:r w:rsidRPr="00092714">
        <w:rPr>
          <w:rFonts w:ascii="Verdana" w:hAnsi="Verdana"/>
          <w:b/>
          <w:bCs/>
          <w:i/>
          <w:iCs/>
          <w:sz w:val="20"/>
          <w:szCs w:val="20"/>
        </w:rPr>
        <w:t>Ekonom/rozpočtář</w:t>
      </w:r>
      <w:r w:rsidRPr="00092714">
        <w:rPr>
          <w:rFonts w:ascii="Verdana" w:hAnsi="Verdana"/>
          <w:i/>
          <w:iCs/>
          <w:sz w:val="20"/>
          <w:szCs w:val="20"/>
        </w:rPr>
        <w:t xml:space="preserve"> – osoba podílející se na samotném zpracování posouzení zejména požadavků, zejména co se týká kontroly rozpočtů a ekonomicko-technických aspektů variací či </w:t>
      </w:r>
      <w:proofErr w:type="spellStart"/>
      <w:r w:rsidRPr="00092714">
        <w:rPr>
          <w:rFonts w:ascii="Verdana" w:hAnsi="Verdana"/>
          <w:i/>
          <w:iCs/>
          <w:sz w:val="20"/>
          <w:szCs w:val="20"/>
        </w:rPr>
        <w:t>claimů</w:t>
      </w:r>
      <w:proofErr w:type="spellEnd"/>
      <w:r w:rsidRPr="00092714">
        <w:rPr>
          <w:rFonts w:ascii="Verdana" w:hAnsi="Verdana"/>
          <w:i/>
          <w:iCs/>
          <w:sz w:val="20"/>
          <w:szCs w:val="20"/>
        </w:rPr>
        <w:t xml:space="preserve">. </w:t>
      </w:r>
    </w:p>
    <w:p w14:paraId="61DAE466" w14:textId="77777777" w:rsidR="00092714" w:rsidRPr="00092714" w:rsidRDefault="00092714" w:rsidP="00092714">
      <w:pPr>
        <w:pStyle w:val="Odstavecseseznamem"/>
        <w:numPr>
          <w:ilvl w:val="0"/>
          <w:numId w:val="10"/>
        </w:numPr>
        <w:spacing w:before="120" w:after="120" w:line="276" w:lineRule="auto"/>
        <w:ind w:left="714" w:hanging="357"/>
        <w:contextualSpacing w:val="0"/>
        <w:jc w:val="both"/>
        <w:rPr>
          <w:rFonts w:ascii="Verdana" w:hAnsi="Verdana"/>
          <w:i/>
          <w:iCs/>
          <w:sz w:val="20"/>
          <w:szCs w:val="20"/>
        </w:rPr>
      </w:pPr>
      <w:r w:rsidRPr="00092714">
        <w:rPr>
          <w:rFonts w:ascii="Verdana" w:hAnsi="Verdana"/>
          <w:b/>
          <w:bCs/>
          <w:i/>
          <w:iCs/>
          <w:sz w:val="20"/>
          <w:szCs w:val="20"/>
        </w:rPr>
        <w:t>Osoba odpovědná za posouzení oprávněnosti nároků</w:t>
      </w:r>
      <w:r w:rsidRPr="00092714" w:rsidDel="00F53187">
        <w:rPr>
          <w:rFonts w:ascii="Verdana" w:hAnsi="Verdana"/>
          <w:b/>
          <w:bCs/>
          <w:i/>
          <w:iCs/>
          <w:sz w:val="20"/>
          <w:szCs w:val="20"/>
        </w:rPr>
        <w:t xml:space="preserve"> </w:t>
      </w:r>
      <w:r w:rsidRPr="00092714">
        <w:rPr>
          <w:rFonts w:ascii="Verdana" w:hAnsi="Verdana"/>
          <w:i/>
          <w:iCs/>
          <w:sz w:val="20"/>
          <w:szCs w:val="20"/>
        </w:rPr>
        <w:t xml:space="preserve">– osoba zodpovědná za správnost právních výstupů, vypracování právních posouzení a podpory celkového řešení v rámci </w:t>
      </w:r>
      <w:proofErr w:type="spellStart"/>
      <w:r w:rsidRPr="00092714">
        <w:rPr>
          <w:rFonts w:ascii="Verdana" w:hAnsi="Verdana"/>
          <w:i/>
          <w:iCs/>
          <w:sz w:val="20"/>
          <w:szCs w:val="20"/>
        </w:rPr>
        <w:t>claim</w:t>
      </w:r>
      <w:proofErr w:type="spellEnd"/>
      <w:r w:rsidRPr="00092714">
        <w:rPr>
          <w:rFonts w:ascii="Verdana" w:hAnsi="Verdana"/>
          <w:i/>
          <w:iCs/>
          <w:sz w:val="20"/>
          <w:szCs w:val="20"/>
        </w:rPr>
        <w:t xml:space="preserve"> managementu.</w:t>
      </w:r>
    </w:p>
    <w:p w14:paraId="2578FA58" w14:textId="77777777" w:rsidR="00092714" w:rsidRPr="00092714" w:rsidRDefault="00092714" w:rsidP="00092714">
      <w:pPr>
        <w:jc w:val="both"/>
        <w:rPr>
          <w:rFonts w:ascii="Verdana" w:hAnsi="Verdana"/>
          <w:b/>
          <w:bCs/>
          <w:sz w:val="20"/>
          <w:szCs w:val="20"/>
        </w:rPr>
      </w:pPr>
      <w:r w:rsidRPr="00092714">
        <w:rPr>
          <w:rFonts w:ascii="Verdana" w:hAnsi="Verdana"/>
          <w:b/>
          <w:bCs/>
          <w:sz w:val="20"/>
          <w:szCs w:val="20"/>
        </w:rPr>
        <w:t>Je dle Vašich znalostí a zkušeností výše uvedené rozdělení činností mezi uvedené osoby obvyklé? Pokud ne, je pro Vás možné plnit Veřejnou zakázku prostřednictvím výše uvedených osob, a to případně i za pomoci poddodavatelů? Pokud se na poskytování poradenství, které je předmětem Veřejné zakázky, zpravidla významně podílejí i další osoby v jiném postavení, uveďte prosím jejich výčet a stručný popis jejich činností. Existují jiné či další osoby, které považujete za nutné zmínit v realizačním týmu nebo naopak je tým příliš široký?</w:t>
      </w:r>
    </w:p>
    <w:p w14:paraId="2D28BAEA" w14:textId="77777777" w:rsidR="00092714" w:rsidRPr="00092714" w:rsidRDefault="00092714" w:rsidP="00092714">
      <w:pPr>
        <w:jc w:val="both"/>
        <w:rPr>
          <w:rFonts w:ascii="Verdana" w:hAnsi="Verdana"/>
          <w:b/>
          <w:bCs/>
          <w:sz w:val="20"/>
          <w:szCs w:val="20"/>
          <w:u w:val="single"/>
        </w:rPr>
      </w:pPr>
      <w:r w:rsidRPr="00092714">
        <w:rPr>
          <w:rFonts w:ascii="Verdana" w:hAnsi="Verdana"/>
          <w:b/>
          <w:bCs/>
          <w:sz w:val="20"/>
          <w:szCs w:val="20"/>
          <w:u w:val="single"/>
        </w:rPr>
        <w:t>Dotaz č. 3:</w:t>
      </w:r>
    </w:p>
    <w:p w14:paraId="0E977EA6" w14:textId="77777777" w:rsidR="00092714" w:rsidRPr="00092714" w:rsidRDefault="00092714" w:rsidP="00092714">
      <w:pPr>
        <w:jc w:val="both"/>
        <w:rPr>
          <w:rFonts w:ascii="Verdana" w:hAnsi="Verdana"/>
          <w:sz w:val="20"/>
          <w:szCs w:val="20"/>
        </w:rPr>
      </w:pPr>
      <w:r w:rsidRPr="00092714">
        <w:rPr>
          <w:rFonts w:ascii="Verdana" w:hAnsi="Verdana"/>
          <w:sz w:val="20"/>
          <w:szCs w:val="20"/>
        </w:rPr>
        <w:t>Zadavatel předpokládá, že na plnění Veřejné zakázky uzavře rámcovou dohodu s více než jedním dodavatelem. V rámci plnění Veřejné zakázky by se tak střídalo více dodavatelů, a to na principu jejich rotace (první zakázku získá dodavatel, který získal v rámci zadávacího řízení nejvyšší počet bodů, další zakázku dodavatel, který se umístil na druhém místě atd.).</w:t>
      </w:r>
    </w:p>
    <w:p w14:paraId="64E25F66" w14:textId="77777777" w:rsidR="00092714" w:rsidRPr="00092714" w:rsidRDefault="00092714" w:rsidP="00092714">
      <w:pPr>
        <w:jc w:val="both"/>
        <w:rPr>
          <w:rFonts w:ascii="Verdana" w:hAnsi="Verdana"/>
          <w:sz w:val="20"/>
          <w:szCs w:val="20"/>
        </w:rPr>
      </w:pPr>
      <w:r w:rsidRPr="00092714">
        <w:rPr>
          <w:rFonts w:ascii="Verdana" w:hAnsi="Verdana"/>
          <w:sz w:val="20"/>
          <w:szCs w:val="20"/>
        </w:rPr>
        <w:t>Předpokládá se rotace dodavatelů jedním z následujících způsobů:</w:t>
      </w:r>
    </w:p>
    <w:p w14:paraId="5B72B5A1" w14:textId="77777777" w:rsidR="00092714" w:rsidRPr="00092714" w:rsidRDefault="00092714" w:rsidP="00092714">
      <w:pPr>
        <w:pStyle w:val="Odstavecseseznamem"/>
        <w:numPr>
          <w:ilvl w:val="0"/>
          <w:numId w:val="10"/>
        </w:numPr>
        <w:spacing w:before="120" w:after="120" w:line="276" w:lineRule="auto"/>
        <w:ind w:left="714" w:hanging="357"/>
        <w:contextualSpacing w:val="0"/>
        <w:jc w:val="both"/>
        <w:rPr>
          <w:rFonts w:ascii="Verdana" w:hAnsi="Verdana"/>
          <w:sz w:val="20"/>
          <w:szCs w:val="20"/>
        </w:rPr>
      </w:pPr>
      <w:r w:rsidRPr="00092714">
        <w:rPr>
          <w:rFonts w:ascii="Verdana" w:hAnsi="Verdana"/>
          <w:sz w:val="20"/>
          <w:szCs w:val="20"/>
        </w:rPr>
        <w:t>Rotace po jednotlivých stavbách (1 dodavatel poskytuje činnosti ke všem činnostem vázajícím se k 1 stavbě), nebo</w:t>
      </w:r>
    </w:p>
    <w:p w14:paraId="5AAEB8B4" w14:textId="77777777" w:rsidR="00092714" w:rsidRPr="00092714" w:rsidRDefault="00092714" w:rsidP="00092714">
      <w:pPr>
        <w:pStyle w:val="Odstavecseseznamem"/>
        <w:numPr>
          <w:ilvl w:val="0"/>
          <w:numId w:val="10"/>
        </w:numPr>
        <w:spacing w:before="120" w:after="120" w:line="276" w:lineRule="auto"/>
        <w:ind w:left="714" w:hanging="357"/>
        <w:contextualSpacing w:val="0"/>
        <w:jc w:val="both"/>
        <w:rPr>
          <w:rFonts w:ascii="Verdana" w:hAnsi="Verdana"/>
          <w:sz w:val="20"/>
          <w:szCs w:val="20"/>
        </w:rPr>
      </w:pPr>
      <w:r w:rsidRPr="00092714">
        <w:rPr>
          <w:rFonts w:ascii="Verdana" w:hAnsi="Verdana"/>
          <w:sz w:val="20"/>
          <w:szCs w:val="20"/>
        </w:rPr>
        <w:t xml:space="preserve">Rotace po jednotlivých uplatněných nárocích/změnách díla, tedy jednoduše co </w:t>
      </w:r>
      <w:proofErr w:type="spellStart"/>
      <w:r w:rsidRPr="00092714">
        <w:rPr>
          <w:rFonts w:ascii="Verdana" w:hAnsi="Verdana"/>
          <w:sz w:val="20"/>
          <w:szCs w:val="20"/>
        </w:rPr>
        <w:t>Claim</w:t>
      </w:r>
      <w:proofErr w:type="spellEnd"/>
      <w:r w:rsidRPr="00092714">
        <w:rPr>
          <w:rFonts w:ascii="Verdana" w:hAnsi="Verdana"/>
          <w:sz w:val="20"/>
          <w:szCs w:val="20"/>
        </w:rPr>
        <w:t>, co to jiný poskytovatel.</w:t>
      </w:r>
    </w:p>
    <w:p w14:paraId="7BF0BBB6" w14:textId="77777777" w:rsidR="00092714" w:rsidRPr="00092714" w:rsidRDefault="00092714" w:rsidP="00092714">
      <w:pPr>
        <w:spacing w:before="120" w:after="120" w:line="276" w:lineRule="auto"/>
        <w:jc w:val="both"/>
        <w:rPr>
          <w:rFonts w:ascii="Verdana" w:hAnsi="Verdana"/>
          <w:b/>
          <w:bCs/>
          <w:sz w:val="20"/>
          <w:szCs w:val="20"/>
        </w:rPr>
      </w:pPr>
      <w:r w:rsidRPr="00092714">
        <w:rPr>
          <w:rFonts w:ascii="Verdana" w:hAnsi="Verdana"/>
          <w:b/>
          <w:bCs/>
          <w:sz w:val="20"/>
          <w:szCs w:val="20"/>
        </w:rPr>
        <w:t xml:space="preserve">Který z výše uvedených způsobů je dle Vašich zkušeností pro Zadavatele vhodnější, zejm. z hlediska rychlosti, ekonomičnosti a kvality poskytovaných služeb? Pokud možno, uveďte výhody a nevýhody uvedených způsobů rotace dodavatelů. Zadavatel sděluje, že nelze dopředu anticipovat, kolik práce bude na každé dotčené stavbě. Vzhledem k tomu, že by zadavatel rád zajistil rovnoměrné </w:t>
      </w:r>
      <w:r w:rsidRPr="00092714">
        <w:rPr>
          <w:rFonts w:ascii="Verdana" w:hAnsi="Verdana"/>
          <w:b/>
          <w:bCs/>
          <w:sz w:val="20"/>
          <w:szCs w:val="20"/>
        </w:rPr>
        <w:lastRenderedPageBreak/>
        <w:t>rozdělní prací, zadavatel uvítá návrhy na rozdělní práce mezi jednotlivé dodavatele. Zadavatel by však také rád zachoval kontinuitu prací a znalost dodavatele konkrétní stavby či její části.</w:t>
      </w:r>
    </w:p>
    <w:p w14:paraId="5D5E2BA7" w14:textId="77777777" w:rsidR="00092714" w:rsidRPr="00092714" w:rsidRDefault="00092714" w:rsidP="00092714">
      <w:pPr>
        <w:jc w:val="both"/>
        <w:rPr>
          <w:rFonts w:ascii="Verdana" w:hAnsi="Verdana"/>
          <w:b/>
          <w:bCs/>
          <w:sz w:val="20"/>
          <w:szCs w:val="20"/>
          <w:u w:val="single"/>
        </w:rPr>
      </w:pPr>
      <w:r w:rsidRPr="00092714">
        <w:rPr>
          <w:rFonts w:ascii="Verdana" w:hAnsi="Verdana"/>
          <w:b/>
          <w:bCs/>
          <w:sz w:val="20"/>
          <w:szCs w:val="20"/>
          <w:u w:val="single"/>
        </w:rPr>
        <w:t>Dotaz č. 4:</w:t>
      </w:r>
    </w:p>
    <w:p w14:paraId="00BD8D4C" w14:textId="77777777" w:rsidR="00092714" w:rsidRPr="00092714" w:rsidRDefault="00092714" w:rsidP="00092714">
      <w:pPr>
        <w:spacing w:before="120" w:after="120" w:line="276" w:lineRule="auto"/>
        <w:jc w:val="both"/>
        <w:rPr>
          <w:rFonts w:ascii="Verdana" w:hAnsi="Verdana"/>
          <w:sz w:val="20"/>
          <w:szCs w:val="20"/>
        </w:rPr>
      </w:pPr>
      <w:r w:rsidRPr="00092714">
        <w:rPr>
          <w:rFonts w:ascii="Verdana" w:hAnsi="Verdana"/>
          <w:sz w:val="20"/>
          <w:szCs w:val="20"/>
        </w:rPr>
        <w:t xml:space="preserve">Ohledně ceny za poskytování služeb Zadavatel uvažuje o stanovení odměny dodavatele ve formě hodinové odměny nebo ve formě tzv. man </w:t>
      </w:r>
      <w:proofErr w:type="spellStart"/>
      <w:r w:rsidRPr="00092714">
        <w:rPr>
          <w:rFonts w:ascii="Verdana" w:hAnsi="Verdana"/>
          <w:sz w:val="20"/>
          <w:szCs w:val="20"/>
        </w:rPr>
        <w:t>day</w:t>
      </w:r>
      <w:proofErr w:type="spellEnd"/>
      <w:r w:rsidRPr="00092714">
        <w:rPr>
          <w:rFonts w:ascii="Verdana" w:hAnsi="Verdana"/>
          <w:sz w:val="20"/>
          <w:szCs w:val="20"/>
        </w:rPr>
        <w:t xml:space="preserve"> (práce jednoho konkrétního pracovníka za jeden pracovní den). Zároveň Zadavatel uvažuje nad tím, zda bude stanovena jednotná cena za činnosti všech členů realizačního týmu, nebo za každého člena realizačního týmu zvlášť. Zadavatel si je však vědom, že ocenění může být i paušální za daný </w:t>
      </w:r>
      <w:proofErr w:type="spellStart"/>
      <w:r w:rsidRPr="00092714">
        <w:rPr>
          <w:rFonts w:ascii="Verdana" w:hAnsi="Verdana"/>
          <w:sz w:val="20"/>
          <w:szCs w:val="20"/>
        </w:rPr>
        <w:t>claim</w:t>
      </w:r>
      <w:proofErr w:type="spellEnd"/>
      <w:r w:rsidRPr="00092714">
        <w:rPr>
          <w:rFonts w:ascii="Verdana" w:hAnsi="Verdana"/>
          <w:sz w:val="20"/>
          <w:szCs w:val="20"/>
        </w:rPr>
        <w:t xml:space="preserve"> či paušální platbu za služby například za měsíc činnosti, nicméně toto </w:t>
      </w:r>
      <w:r w:rsidRPr="00092714">
        <w:rPr>
          <w:rFonts w:ascii="Verdana" w:hAnsi="Verdana"/>
          <w:i/>
          <w:iCs/>
          <w:sz w:val="20"/>
          <w:szCs w:val="20"/>
        </w:rPr>
        <w:t>a priori</w:t>
      </w:r>
      <w:r w:rsidRPr="00092714">
        <w:rPr>
          <w:rFonts w:ascii="Verdana" w:hAnsi="Verdana"/>
          <w:sz w:val="20"/>
          <w:szCs w:val="20"/>
        </w:rPr>
        <w:t xml:space="preserve"> nepreferuje.</w:t>
      </w:r>
    </w:p>
    <w:p w14:paraId="02E2581B" w14:textId="77777777" w:rsidR="00092714" w:rsidRPr="00092714" w:rsidRDefault="00092714" w:rsidP="00092714">
      <w:pPr>
        <w:spacing w:before="120" w:after="120" w:line="276" w:lineRule="auto"/>
        <w:jc w:val="both"/>
        <w:rPr>
          <w:rFonts w:ascii="Verdana" w:hAnsi="Verdana"/>
          <w:b/>
          <w:bCs/>
          <w:sz w:val="20"/>
          <w:szCs w:val="20"/>
        </w:rPr>
      </w:pPr>
      <w:r w:rsidRPr="00092714">
        <w:rPr>
          <w:rFonts w:ascii="Verdana" w:hAnsi="Verdana"/>
          <w:b/>
          <w:bCs/>
          <w:sz w:val="20"/>
          <w:szCs w:val="20"/>
        </w:rPr>
        <w:t xml:space="preserve">Jak je, na základě Vašich zkušeností, v případě služeb, které budou předmětem Veřejné zakázky, nastaveno obvykle odměňování dodavatele? Přihlédněte, prosíme, k údajům uvedeným výše. Zadavatel si dovoluje požádat o předložení Vašich návrhů na odměňování vč. předpokládaných cen, které můžete v jednotlivých variantách nabídnout. K metodě odměňovaní a cenotvorby Zadavatel žádá o maximálně konkrétní vyjádření. Zadavatel věří, že pokud bude mít aktuální tržní informace, bude schopen nastavit zadávací podmínky tak, aby maximálně odpovídaly tržním standardům. </w:t>
      </w:r>
    </w:p>
    <w:p w14:paraId="405ABFD4" w14:textId="77777777" w:rsidR="00092714" w:rsidRPr="00092714" w:rsidRDefault="00092714" w:rsidP="00092714">
      <w:pPr>
        <w:jc w:val="both"/>
        <w:rPr>
          <w:rFonts w:ascii="Verdana" w:hAnsi="Verdana"/>
          <w:b/>
          <w:bCs/>
          <w:sz w:val="20"/>
          <w:szCs w:val="20"/>
          <w:u w:val="single"/>
        </w:rPr>
      </w:pPr>
      <w:r w:rsidRPr="00092714">
        <w:rPr>
          <w:rFonts w:ascii="Verdana" w:hAnsi="Verdana"/>
          <w:b/>
          <w:bCs/>
          <w:sz w:val="20"/>
          <w:szCs w:val="20"/>
          <w:u w:val="single"/>
        </w:rPr>
        <w:t>Dotaz č. 5:</w:t>
      </w:r>
    </w:p>
    <w:p w14:paraId="747DF9F2" w14:textId="77777777" w:rsidR="00092714" w:rsidRPr="00092714" w:rsidRDefault="00092714" w:rsidP="00092714">
      <w:pPr>
        <w:spacing w:before="120" w:after="120" w:line="276" w:lineRule="auto"/>
        <w:jc w:val="both"/>
        <w:rPr>
          <w:rFonts w:ascii="Verdana" w:hAnsi="Verdana"/>
          <w:b/>
          <w:bCs/>
          <w:sz w:val="20"/>
          <w:szCs w:val="20"/>
        </w:rPr>
      </w:pPr>
      <w:r w:rsidRPr="00092714">
        <w:rPr>
          <w:rFonts w:ascii="Verdana" w:hAnsi="Verdana"/>
          <w:b/>
          <w:bCs/>
          <w:sz w:val="20"/>
          <w:szCs w:val="20"/>
        </w:rPr>
        <w:t>Je, na základě Vašich zkušeností, vhodné doplnění inflační doložky do Rámcové dohody? Odůvodněte a navrhněte případné řešení. Rámcová dohoda by měla být uzavřena na období 4 let.</w:t>
      </w:r>
    </w:p>
    <w:p w14:paraId="1FEAA6E9" w14:textId="77777777" w:rsidR="00092714" w:rsidRPr="00092714" w:rsidRDefault="00092714" w:rsidP="00092714">
      <w:pPr>
        <w:jc w:val="both"/>
        <w:rPr>
          <w:rFonts w:ascii="Verdana" w:hAnsi="Verdana"/>
          <w:b/>
          <w:bCs/>
          <w:sz w:val="20"/>
          <w:szCs w:val="20"/>
          <w:u w:val="single"/>
        </w:rPr>
      </w:pPr>
      <w:r w:rsidRPr="00092714">
        <w:rPr>
          <w:rFonts w:ascii="Verdana" w:hAnsi="Verdana"/>
          <w:b/>
          <w:bCs/>
          <w:sz w:val="20"/>
          <w:szCs w:val="20"/>
          <w:u w:val="single"/>
        </w:rPr>
        <w:t>Dotaz č. 6:</w:t>
      </w:r>
    </w:p>
    <w:p w14:paraId="08120500" w14:textId="77777777" w:rsidR="00092714" w:rsidRPr="00092714" w:rsidRDefault="00092714" w:rsidP="00092714">
      <w:pPr>
        <w:spacing w:before="120" w:after="120" w:line="276" w:lineRule="auto"/>
        <w:jc w:val="both"/>
        <w:rPr>
          <w:rFonts w:ascii="Verdana" w:hAnsi="Verdana"/>
          <w:sz w:val="20"/>
          <w:szCs w:val="20"/>
        </w:rPr>
      </w:pPr>
      <w:r w:rsidRPr="00092714">
        <w:rPr>
          <w:rFonts w:ascii="Verdana" w:hAnsi="Verdana"/>
          <w:sz w:val="20"/>
          <w:szCs w:val="20"/>
        </w:rPr>
        <w:t xml:space="preserve">Zadavatel v rámci úvah o nastavení způsobu odměňování zvažuje rovněž možnost ocenění služeb spočívajících v posouzení jednotlivých </w:t>
      </w:r>
      <w:proofErr w:type="spellStart"/>
      <w:r w:rsidRPr="00092714">
        <w:rPr>
          <w:rFonts w:ascii="Verdana" w:hAnsi="Verdana"/>
          <w:sz w:val="20"/>
          <w:szCs w:val="20"/>
        </w:rPr>
        <w:t>claimů</w:t>
      </w:r>
      <w:proofErr w:type="spellEnd"/>
      <w:r w:rsidRPr="00092714">
        <w:rPr>
          <w:rFonts w:ascii="Verdana" w:hAnsi="Verdana"/>
          <w:sz w:val="20"/>
          <w:szCs w:val="20"/>
        </w:rPr>
        <w:t xml:space="preserve"> formou paušální odměny za poskytování služeb v rámci celého jednoho </w:t>
      </w:r>
      <w:proofErr w:type="spellStart"/>
      <w:r w:rsidRPr="00092714">
        <w:rPr>
          <w:rFonts w:ascii="Verdana" w:hAnsi="Verdana"/>
          <w:sz w:val="20"/>
          <w:szCs w:val="20"/>
        </w:rPr>
        <w:t>claimu</w:t>
      </w:r>
      <w:proofErr w:type="spellEnd"/>
      <w:r w:rsidRPr="00092714">
        <w:rPr>
          <w:rFonts w:ascii="Verdana" w:hAnsi="Verdana"/>
          <w:sz w:val="20"/>
          <w:szCs w:val="20"/>
        </w:rPr>
        <w:t xml:space="preserve">, a to s rozlišením podle finanční hodnoty uplatněného </w:t>
      </w:r>
      <w:proofErr w:type="spellStart"/>
      <w:r w:rsidRPr="00092714">
        <w:rPr>
          <w:rFonts w:ascii="Verdana" w:hAnsi="Verdana"/>
          <w:sz w:val="20"/>
          <w:szCs w:val="20"/>
        </w:rPr>
        <w:t>claimu</w:t>
      </w:r>
      <w:proofErr w:type="spellEnd"/>
      <w:r w:rsidRPr="00092714">
        <w:rPr>
          <w:rFonts w:ascii="Verdana" w:hAnsi="Verdana"/>
          <w:sz w:val="20"/>
          <w:szCs w:val="20"/>
        </w:rPr>
        <w:t xml:space="preserve">. Dodavatelé by tedy nabídli ceny za kompletní provedení služeb v rámci jednoho </w:t>
      </w:r>
      <w:proofErr w:type="spellStart"/>
      <w:r w:rsidRPr="00092714">
        <w:rPr>
          <w:rFonts w:ascii="Verdana" w:hAnsi="Verdana"/>
          <w:sz w:val="20"/>
          <w:szCs w:val="20"/>
        </w:rPr>
        <w:t>claimu</w:t>
      </w:r>
      <w:proofErr w:type="spellEnd"/>
      <w:r w:rsidRPr="00092714">
        <w:rPr>
          <w:rFonts w:ascii="Verdana" w:hAnsi="Verdana"/>
          <w:sz w:val="20"/>
          <w:szCs w:val="20"/>
        </w:rPr>
        <w:t xml:space="preserve">, a obdrželi by za splnění služby předem stanovenou paušální odměnu, nezávisle na tom, kolik času dodavateli vyřešení </w:t>
      </w:r>
      <w:proofErr w:type="spellStart"/>
      <w:r w:rsidRPr="00092714">
        <w:rPr>
          <w:rFonts w:ascii="Verdana" w:hAnsi="Verdana"/>
          <w:sz w:val="20"/>
          <w:szCs w:val="20"/>
        </w:rPr>
        <w:t>claimu</w:t>
      </w:r>
      <w:proofErr w:type="spellEnd"/>
      <w:r w:rsidRPr="00092714">
        <w:rPr>
          <w:rFonts w:ascii="Verdana" w:hAnsi="Verdana"/>
          <w:sz w:val="20"/>
          <w:szCs w:val="20"/>
        </w:rPr>
        <w:t xml:space="preserve"> zabralo. Na tomto základě by mohly být </w:t>
      </w:r>
      <w:proofErr w:type="spellStart"/>
      <w:r w:rsidRPr="00092714">
        <w:rPr>
          <w:rFonts w:ascii="Verdana" w:hAnsi="Verdana"/>
          <w:sz w:val="20"/>
          <w:szCs w:val="20"/>
        </w:rPr>
        <w:t>claimy</w:t>
      </w:r>
      <w:proofErr w:type="spellEnd"/>
      <w:r w:rsidRPr="00092714">
        <w:rPr>
          <w:rFonts w:ascii="Verdana" w:hAnsi="Verdana"/>
          <w:sz w:val="20"/>
          <w:szCs w:val="20"/>
        </w:rPr>
        <w:t xml:space="preserve"> zařazovány do předem definovaných hodnotových pásem (např. do 1 mil. Kč, 1–10 mil. Kč, 10–50 mil. Kč, 50–100 mil. Kč, nad 100 mil. Kč), přičemž pro každé pásmo by byla stanovena paušální cena za kompletní posouzení jednoho </w:t>
      </w:r>
      <w:proofErr w:type="spellStart"/>
      <w:r w:rsidRPr="00092714">
        <w:rPr>
          <w:rFonts w:ascii="Verdana" w:hAnsi="Verdana"/>
          <w:sz w:val="20"/>
          <w:szCs w:val="20"/>
        </w:rPr>
        <w:t>claimu</w:t>
      </w:r>
      <w:proofErr w:type="spellEnd"/>
      <w:r w:rsidRPr="00092714">
        <w:rPr>
          <w:rFonts w:ascii="Verdana" w:hAnsi="Verdana"/>
          <w:sz w:val="20"/>
          <w:szCs w:val="20"/>
        </w:rPr>
        <w:t xml:space="preserve">. Případně Zadavatel uvažuje o tom, že by se odměna dodavatele určila podle předem stanoveného koeficientu, tj. nikoliv konkrétním „pásmem“, ale výpočtem, ve kterém by mohla být zohledněna nejen hodnota </w:t>
      </w:r>
      <w:proofErr w:type="spellStart"/>
      <w:r w:rsidRPr="00092714">
        <w:rPr>
          <w:rFonts w:ascii="Verdana" w:hAnsi="Verdana"/>
          <w:sz w:val="20"/>
          <w:szCs w:val="20"/>
        </w:rPr>
        <w:t>claimu</w:t>
      </w:r>
      <w:proofErr w:type="spellEnd"/>
      <w:r w:rsidRPr="00092714">
        <w:rPr>
          <w:rFonts w:ascii="Verdana" w:hAnsi="Verdana"/>
          <w:sz w:val="20"/>
          <w:szCs w:val="20"/>
        </w:rPr>
        <w:t>, ale například i jeho složitost.</w:t>
      </w:r>
    </w:p>
    <w:p w14:paraId="36568800" w14:textId="77777777" w:rsidR="00092714" w:rsidRPr="00092714" w:rsidRDefault="00092714" w:rsidP="00092714">
      <w:pPr>
        <w:spacing w:before="120" w:after="120" w:line="276" w:lineRule="auto"/>
        <w:jc w:val="both"/>
        <w:rPr>
          <w:rFonts w:ascii="Verdana" w:hAnsi="Verdana"/>
          <w:b/>
          <w:bCs/>
          <w:sz w:val="20"/>
          <w:szCs w:val="20"/>
        </w:rPr>
      </w:pPr>
      <w:r w:rsidRPr="00092714">
        <w:rPr>
          <w:rFonts w:ascii="Verdana" w:hAnsi="Verdana"/>
          <w:b/>
          <w:bCs/>
          <w:sz w:val="20"/>
          <w:szCs w:val="20"/>
        </w:rPr>
        <w:t>Je dle Vašich zkušeností takový způsob ocenění realizovatelný, obvyklý a funkční, zejména z hlediska spravedlivého rozložení rizik mezi Zadavatele a dodavatele, předvídatelnosti nákladů a kvality poskytovaných výstupů? Vedl by tento model k tomu, že byste v konkrétních situacích odmítli akceptovat objednávku? Jaké výhody a nevýhody by podle Vašeho názoru tento model přinesl?</w:t>
      </w:r>
    </w:p>
    <w:p w14:paraId="4A8121A1" w14:textId="77777777" w:rsidR="00092714" w:rsidRPr="00092714" w:rsidRDefault="00092714" w:rsidP="00014B53">
      <w:pPr>
        <w:keepNext/>
        <w:keepLines/>
        <w:pBdr>
          <w:top w:val="single" w:sz="4" w:space="1" w:color="00A1E0"/>
        </w:pBdr>
        <w:spacing w:before="240"/>
        <w:outlineLvl w:val="1"/>
        <w:rPr>
          <w:rFonts w:ascii="Verdana" w:eastAsia="MS Gothic" w:hAnsi="Verdana" w:cs="Times New Roman"/>
          <w:b/>
          <w:color w:val="00A1E0"/>
          <w:sz w:val="20"/>
          <w:szCs w:val="20"/>
        </w:rPr>
      </w:pPr>
    </w:p>
    <w:sectPr w:rsidR="00092714" w:rsidRPr="00092714">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BDF2" w14:textId="77777777" w:rsidR="006140BF" w:rsidRDefault="006140BF" w:rsidP="000F5011">
      <w:pPr>
        <w:spacing w:after="0" w:line="240" w:lineRule="auto"/>
      </w:pPr>
      <w:r>
        <w:separator/>
      </w:r>
    </w:p>
  </w:endnote>
  <w:endnote w:type="continuationSeparator" w:id="0">
    <w:p w14:paraId="3D7085B6" w14:textId="77777777" w:rsidR="006140BF" w:rsidRDefault="006140BF" w:rsidP="000F5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F181" w14:textId="77777777" w:rsidR="006140BF" w:rsidRDefault="006140BF" w:rsidP="000F5011">
      <w:pPr>
        <w:spacing w:after="0" w:line="240" w:lineRule="auto"/>
      </w:pPr>
      <w:r>
        <w:separator/>
      </w:r>
    </w:p>
  </w:footnote>
  <w:footnote w:type="continuationSeparator" w:id="0">
    <w:p w14:paraId="3E5E7DE3" w14:textId="77777777" w:rsidR="006140BF" w:rsidRDefault="006140BF" w:rsidP="000F5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23C6" w14:textId="75FC987C" w:rsidR="000F5011" w:rsidRDefault="000F5011">
    <w:pPr>
      <w:pStyle w:val="Zhlav"/>
    </w:pPr>
    <w:r>
      <w:rPr>
        <w:noProof/>
      </w:rPr>
      <mc:AlternateContent>
        <mc:Choice Requires="wps">
          <w:drawing>
            <wp:anchor distT="0" distB="0" distL="0" distR="0" simplePos="0" relativeHeight="251659264" behindDoc="0" locked="0" layoutInCell="1" allowOverlap="1" wp14:anchorId="7672C621" wp14:editId="7168EC14">
              <wp:simplePos x="635" y="635"/>
              <wp:positionH relativeFrom="page">
                <wp:align>center</wp:align>
              </wp:positionH>
              <wp:positionV relativeFrom="page">
                <wp:align>top</wp:align>
              </wp:positionV>
              <wp:extent cx="494030" cy="309245"/>
              <wp:effectExtent l="0" t="0" r="1270" b="14605"/>
              <wp:wrapNone/>
              <wp:docPr id="212372977"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49365A75" w14:textId="45391DC9" w:rsidR="000F5011" w:rsidRPr="000F5011" w:rsidRDefault="000F5011" w:rsidP="000F5011">
                          <w:pPr>
                            <w:spacing w:after="0"/>
                            <w:rPr>
                              <w:rFonts w:ascii="Verdana" w:eastAsia="Verdana" w:hAnsi="Verdana" w:cs="Verdana"/>
                              <w:noProof/>
                              <w:color w:val="000000"/>
                              <w:sz w:val="14"/>
                              <w:szCs w:val="14"/>
                            </w:rPr>
                          </w:pPr>
                          <w:r w:rsidRPr="000F5011">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2C621" id="_x0000_t202" coordsize="21600,21600" o:spt="202" path="m,l,21600r21600,l21600,xe">
              <v:stroke joinstyle="miter"/>
              <v:path gradientshapeok="t" o:connecttype="rect"/>
            </v:shapetype>
            <v:shape id="Textové pole 2" o:spid="_x0000_s1026" type="#_x0000_t202" alt="SŽ: Interní" style="position:absolute;margin-left:0;margin-top:0;width:38.9pt;height:24.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BYCQIAABU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" filled="f" stroked="f">
              <v:textbox style="mso-fit-shape-to-text:t" inset="0,15pt,0,0">
                <w:txbxContent>
                  <w:p w14:paraId="49365A75" w14:textId="45391DC9" w:rsidR="000F5011" w:rsidRPr="000F5011" w:rsidRDefault="000F5011" w:rsidP="000F5011">
                    <w:pPr>
                      <w:spacing w:after="0"/>
                      <w:rPr>
                        <w:rFonts w:ascii="Verdana" w:eastAsia="Verdana" w:hAnsi="Verdana" w:cs="Verdana"/>
                        <w:noProof/>
                        <w:color w:val="000000"/>
                        <w:sz w:val="14"/>
                        <w:szCs w:val="14"/>
                      </w:rPr>
                    </w:pPr>
                    <w:r w:rsidRPr="000F5011">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2ED3" w14:textId="65AD9908" w:rsidR="000F5011" w:rsidRDefault="000F5011">
    <w:pPr>
      <w:pStyle w:val="Zhlav"/>
    </w:pPr>
    <w:r>
      <w:rPr>
        <w:noProof/>
      </w:rPr>
      <mc:AlternateContent>
        <mc:Choice Requires="wps">
          <w:drawing>
            <wp:anchor distT="0" distB="0" distL="0" distR="0" simplePos="0" relativeHeight="251660288" behindDoc="0" locked="0" layoutInCell="1" allowOverlap="1" wp14:anchorId="4FD4AD5C" wp14:editId="2D2A1CE4">
              <wp:simplePos x="904875" y="447675"/>
              <wp:positionH relativeFrom="page">
                <wp:align>center</wp:align>
              </wp:positionH>
              <wp:positionV relativeFrom="page">
                <wp:align>top</wp:align>
              </wp:positionV>
              <wp:extent cx="494030" cy="309245"/>
              <wp:effectExtent l="0" t="0" r="1270" b="14605"/>
              <wp:wrapNone/>
              <wp:docPr id="1571063405" name="Textové pole 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47532BC2" w14:textId="5CC29AD3" w:rsidR="000F5011" w:rsidRPr="000F5011" w:rsidRDefault="000F5011" w:rsidP="000F5011">
                          <w:pPr>
                            <w:spacing w:after="0"/>
                            <w:rPr>
                              <w:rFonts w:ascii="Verdana" w:eastAsia="Verdana" w:hAnsi="Verdana" w:cs="Verdana"/>
                              <w:noProof/>
                              <w:color w:val="000000"/>
                              <w:sz w:val="14"/>
                              <w:szCs w:val="14"/>
                            </w:rPr>
                          </w:pPr>
                          <w:r w:rsidRPr="000F5011">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D4AD5C" id="_x0000_t202" coordsize="21600,21600" o:spt="202" path="m,l,21600r21600,l21600,xe">
              <v:stroke joinstyle="miter"/>
              <v:path gradientshapeok="t" o:connecttype="rect"/>
            </v:shapetype>
            <v:shape id="Textové pole 3" o:spid="_x0000_s1027" type="#_x0000_t202" alt="SŽ: Interní" style="position:absolute;margin-left:0;margin-top:0;width:38.9pt;height:24.3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NUCw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" filled="f" stroked="f">
              <v:textbox style="mso-fit-shape-to-text:t" inset="0,15pt,0,0">
                <w:txbxContent>
                  <w:p w14:paraId="47532BC2" w14:textId="5CC29AD3" w:rsidR="000F5011" w:rsidRPr="000F5011" w:rsidRDefault="000F5011" w:rsidP="000F5011">
                    <w:pPr>
                      <w:spacing w:after="0"/>
                      <w:rPr>
                        <w:rFonts w:ascii="Verdana" w:eastAsia="Verdana" w:hAnsi="Verdana" w:cs="Verdana"/>
                        <w:noProof/>
                        <w:color w:val="000000"/>
                        <w:sz w:val="14"/>
                        <w:szCs w:val="14"/>
                      </w:rPr>
                    </w:pPr>
                    <w:r w:rsidRPr="000F5011">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FBDD" w14:textId="621092AE" w:rsidR="000F5011" w:rsidRDefault="000F5011">
    <w:pPr>
      <w:pStyle w:val="Zhlav"/>
    </w:pPr>
    <w:r>
      <w:rPr>
        <w:noProof/>
      </w:rPr>
      <mc:AlternateContent>
        <mc:Choice Requires="wps">
          <w:drawing>
            <wp:anchor distT="0" distB="0" distL="0" distR="0" simplePos="0" relativeHeight="251658240" behindDoc="0" locked="0" layoutInCell="1" allowOverlap="1" wp14:anchorId="30D80031" wp14:editId="0DE960EC">
              <wp:simplePos x="635" y="635"/>
              <wp:positionH relativeFrom="page">
                <wp:align>center</wp:align>
              </wp:positionH>
              <wp:positionV relativeFrom="page">
                <wp:align>top</wp:align>
              </wp:positionV>
              <wp:extent cx="494030" cy="309245"/>
              <wp:effectExtent l="0" t="0" r="1270" b="14605"/>
              <wp:wrapNone/>
              <wp:docPr id="186875918" name="Textové pole 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517C6F97" w14:textId="2DD1DE54" w:rsidR="000F5011" w:rsidRPr="000F5011" w:rsidRDefault="000F5011" w:rsidP="000F5011">
                          <w:pPr>
                            <w:spacing w:after="0"/>
                            <w:rPr>
                              <w:rFonts w:ascii="Verdana" w:eastAsia="Verdana" w:hAnsi="Verdana" w:cs="Verdana"/>
                              <w:noProof/>
                              <w:color w:val="000000"/>
                              <w:sz w:val="14"/>
                              <w:szCs w:val="14"/>
                            </w:rPr>
                          </w:pPr>
                          <w:r w:rsidRPr="000F5011">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D80031" id="_x0000_t202" coordsize="21600,21600" o:spt="202" path="m,l,21600r21600,l21600,xe">
              <v:stroke joinstyle="miter"/>
              <v:path gradientshapeok="t" o:connecttype="rect"/>
            </v:shapetype>
            <v:shape id="Textové pole 1" o:spid="_x0000_s1028" type="#_x0000_t202" alt="SŽ: Interní" style="position:absolute;margin-left:0;margin-top:0;width:38.9pt;height:24.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SDQ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QlnY3d76E641AO+n17yzcNlt4yH56ZwwVjtyja&#10;8ISHVNCWFAaLkhrcz7/5Yz7yjlFKWhRMSQ0qmhL13eA+oraSMV3ktzne3Ojej4Y56ntAGU7xRVie&#10;zJgX1GhKB/oV5byOhTDEDMdyJQ2jeR965eJz4GK9TkkoI8vC1uwsj9CRrsjlS/fKnB0ID7ipRxjV&#10;xIp3vPe58U9v18eA7KelRGp7IgfGUYJprcNziRp/e09Z10e9+gU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OEz5BINAgAAHAQA&#10;AA4AAAAAAAAAAAAAAAAALgIAAGRycy9lMm9Eb2MueG1sUEsBAi0AFAAGAAgAAAAhALoWS1faAAAA&#10;AwEAAA8AAAAAAAAAAAAAAAAAZwQAAGRycy9kb3ducmV2LnhtbFBLBQYAAAAABAAEAPMAAABuBQAA&#10;AAA=&#10;" filled="f" stroked="f">
              <v:textbox style="mso-fit-shape-to-text:t" inset="0,15pt,0,0">
                <w:txbxContent>
                  <w:p w14:paraId="517C6F97" w14:textId="2DD1DE54" w:rsidR="000F5011" w:rsidRPr="000F5011" w:rsidRDefault="000F5011" w:rsidP="000F5011">
                    <w:pPr>
                      <w:spacing w:after="0"/>
                      <w:rPr>
                        <w:rFonts w:ascii="Verdana" w:eastAsia="Verdana" w:hAnsi="Verdana" w:cs="Verdana"/>
                        <w:noProof/>
                        <w:color w:val="000000"/>
                        <w:sz w:val="14"/>
                        <w:szCs w:val="14"/>
                      </w:rPr>
                    </w:pPr>
                    <w:r w:rsidRPr="000F5011">
                      <w:rPr>
                        <w:rFonts w:ascii="Verdana" w:eastAsia="Verdana" w:hAnsi="Verdana" w:cs="Verdana"/>
                        <w:noProof/>
                        <w:color w:val="000000"/>
                        <w:sz w:val="14"/>
                        <w:szCs w:val="14"/>
                      </w:rPr>
                      <w:t>SŽ: 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4DEE"/>
    <w:multiLevelType w:val="hybridMultilevel"/>
    <w:tmpl w:val="AB7E9C12"/>
    <w:lvl w:ilvl="0" w:tplc="0405000F">
      <w:start w:val="1"/>
      <w:numFmt w:val="decimal"/>
      <w:lvlText w:val="%1."/>
      <w:lvlJc w:val="left"/>
      <w:pPr>
        <w:ind w:left="720" w:hanging="360"/>
      </w:pPr>
    </w:lvl>
    <w:lvl w:ilvl="1" w:tplc="2A0A28FA">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091052"/>
    <w:multiLevelType w:val="hybridMultilevel"/>
    <w:tmpl w:val="94C4AF92"/>
    <w:lvl w:ilvl="0" w:tplc="126CFD3E">
      <w:numFmt w:val="bullet"/>
      <w:lvlText w:val="•"/>
      <w:lvlJc w:val="left"/>
      <w:pPr>
        <w:ind w:left="1068" w:hanging="708"/>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691A2C"/>
    <w:multiLevelType w:val="hybridMultilevel"/>
    <w:tmpl w:val="D070D664"/>
    <w:lvl w:ilvl="0" w:tplc="126CFD3E">
      <w:numFmt w:val="bullet"/>
      <w:lvlText w:val="•"/>
      <w:lvlJc w:val="left"/>
      <w:pPr>
        <w:ind w:left="720" w:hanging="360"/>
      </w:pPr>
      <w:rPr>
        <w:rFonts w:ascii="Verdana" w:eastAsiaTheme="minorHAnsi" w:hAnsi="Verdana" w:cstheme="minorBidi" w:hint="default"/>
      </w:rPr>
    </w:lvl>
    <w:lvl w:ilvl="1" w:tplc="369C8DEA">
      <w:numFmt w:val="bullet"/>
      <w:lvlText w:val="-"/>
      <w:lvlJc w:val="left"/>
      <w:pPr>
        <w:ind w:left="1440" w:hanging="360"/>
      </w:pPr>
      <w:rPr>
        <w:rFonts w:ascii="Verdana" w:eastAsiaTheme="minorHAnsi" w:hAnsi="Verdan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75777D"/>
    <w:multiLevelType w:val="hybridMultilevel"/>
    <w:tmpl w:val="A7EC895E"/>
    <w:lvl w:ilvl="0" w:tplc="126CFD3E">
      <w:numFmt w:val="bullet"/>
      <w:lvlText w:val="•"/>
      <w:lvlJc w:val="left"/>
      <w:pPr>
        <w:ind w:left="1134" w:hanging="708"/>
      </w:pPr>
      <w:rPr>
        <w:rFonts w:ascii="Verdana" w:eastAsiaTheme="minorHAnsi" w:hAnsi="Verdana" w:cstheme="minorBid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3B014905"/>
    <w:multiLevelType w:val="hybridMultilevel"/>
    <w:tmpl w:val="55FC04F8"/>
    <w:lvl w:ilvl="0" w:tplc="126CFD3E">
      <w:numFmt w:val="bullet"/>
      <w:lvlText w:val="•"/>
      <w:lvlJc w:val="left"/>
      <w:pPr>
        <w:ind w:left="1068" w:hanging="708"/>
      </w:pPr>
      <w:rPr>
        <w:rFonts w:ascii="Verdana" w:eastAsiaTheme="minorHAnsi" w:hAnsi="Verdana" w:cstheme="minorBidi" w:hint="default"/>
      </w:rPr>
    </w:lvl>
    <w:lvl w:ilvl="1" w:tplc="E1DA0504">
      <w:numFmt w:val="bullet"/>
      <w:lvlText w:val="-"/>
      <w:lvlJc w:val="left"/>
      <w:pPr>
        <w:ind w:left="1440" w:hanging="360"/>
      </w:pPr>
      <w:rPr>
        <w:rFonts w:ascii="Verdana" w:eastAsiaTheme="minorHAnsi" w:hAnsi="Verdan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8FB0321"/>
    <w:multiLevelType w:val="hybridMultilevel"/>
    <w:tmpl w:val="75408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D520B6"/>
    <w:multiLevelType w:val="hybridMultilevel"/>
    <w:tmpl w:val="97F078E2"/>
    <w:lvl w:ilvl="0" w:tplc="126CFD3E">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AC6418"/>
    <w:multiLevelType w:val="hybridMultilevel"/>
    <w:tmpl w:val="E13A3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17426D"/>
    <w:multiLevelType w:val="hybridMultilevel"/>
    <w:tmpl w:val="A8B81B4E"/>
    <w:lvl w:ilvl="0" w:tplc="126CFD3E">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2DC39B7"/>
    <w:multiLevelType w:val="hybridMultilevel"/>
    <w:tmpl w:val="CB588EE2"/>
    <w:lvl w:ilvl="0" w:tplc="04050001">
      <w:start w:val="1"/>
      <w:numFmt w:val="bullet"/>
      <w:lvlText w:val=""/>
      <w:lvlJc w:val="left"/>
      <w:pPr>
        <w:ind w:left="720" w:hanging="360"/>
      </w:pPr>
      <w:rPr>
        <w:rFonts w:ascii="Symbol" w:hAnsi="Symbol" w:hint="default"/>
      </w:rPr>
    </w:lvl>
    <w:lvl w:ilvl="1" w:tplc="33349846">
      <w:numFmt w:val="bullet"/>
      <w:lvlText w:val="-"/>
      <w:lvlJc w:val="left"/>
      <w:pPr>
        <w:ind w:left="1440" w:hanging="360"/>
      </w:pPr>
      <w:rPr>
        <w:rFonts w:ascii="Verdana" w:eastAsiaTheme="minorHAnsi" w:hAnsi="Verdan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6209040">
    <w:abstractNumId w:val="1"/>
  </w:num>
  <w:num w:numId="2" w16cid:durableId="763454238">
    <w:abstractNumId w:val="3"/>
  </w:num>
  <w:num w:numId="3" w16cid:durableId="50230275">
    <w:abstractNumId w:val="9"/>
  </w:num>
  <w:num w:numId="4" w16cid:durableId="1854761925">
    <w:abstractNumId w:val="4"/>
  </w:num>
  <w:num w:numId="5" w16cid:durableId="573510895">
    <w:abstractNumId w:val="8"/>
  </w:num>
  <w:num w:numId="6" w16cid:durableId="410590037">
    <w:abstractNumId w:val="2"/>
  </w:num>
  <w:num w:numId="7" w16cid:durableId="421532144">
    <w:abstractNumId w:val="6"/>
  </w:num>
  <w:num w:numId="8" w16cid:durableId="798914524">
    <w:abstractNumId w:val="0"/>
  </w:num>
  <w:num w:numId="9" w16cid:durableId="863321881">
    <w:abstractNumId w:val="7"/>
  </w:num>
  <w:num w:numId="10" w16cid:durableId="518667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11"/>
    <w:rsid w:val="00014B53"/>
    <w:rsid w:val="00092714"/>
    <w:rsid w:val="000F5011"/>
    <w:rsid w:val="00127826"/>
    <w:rsid w:val="003727EC"/>
    <w:rsid w:val="003953BE"/>
    <w:rsid w:val="006140BF"/>
    <w:rsid w:val="00BF6A6B"/>
    <w:rsid w:val="00E54F97"/>
    <w:rsid w:val="00FF3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DF2D"/>
  <w15:chartTrackingRefBased/>
  <w15:docId w15:val="{F9369990-1C6A-4BE6-AAA7-E84AB4CF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5011"/>
    <w:pPr>
      <w:spacing w:after="240" w:line="264" w:lineRule="auto"/>
    </w:pPr>
    <w:rPr>
      <w:rFonts w:asciiTheme="minorHAnsi" w:hAnsiTheme="minorHAnsi"/>
      <w:sz w:val="18"/>
      <w:szCs w:val="18"/>
    </w:rPr>
  </w:style>
  <w:style w:type="paragraph" w:styleId="Nadpis1">
    <w:name w:val="heading 1"/>
    <w:basedOn w:val="Normln"/>
    <w:next w:val="Normln"/>
    <w:link w:val="Nadpis1Char"/>
    <w:uiPriority w:val="9"/>
    <w:qFormat/>
    <w:rsid w:val="00BF6A6B"/>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F6A6B"/>
    <w:pPr>
      <w:keepNext/>
      <w:keepLines/>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127826"/>
    <w:pPr>
      <w:keepNext/>
      <w:keepLines/>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unhideWhenUsed/>
    <w:qFormat/>
    <w:rsid w:val="00127826"/>
    <w:pPr>
      <w:keepNext/>
      <w:keepLines/>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unhideWhenUsed/>
    <w:qFormat/>
    <w:rsid w:val="00127826"/>
    <w:pPr>
      <w:keepNext/>
      <w:keepLines/>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unhideWhenUsed/>
    <w:qFormat/>
    <w:rsid w:val="00127826"/>
    <w:pPr>
      <w:keepNext/>
      <w:keepLines/>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127826"/>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127826"/>
    <w:pPr>
      <w:keepNext/>
      <w:keepLines/>
      <w:spacing w:before="200" w:after="0"/>
      <w:outlineLvl w:val="7"/>
    </w:pPr>
    <w:rPr>
      <w:rFonts w:eastAsiaTheme="majorEastAsia" w:cstheme="majorBidi"/>
      <w:color w:val="404040" w:themeColor="text1" w:themeTint="BF"/>
      <w:szCs w:val="20"/>
    </w:rPr>
  </w:style>
  <w:style w:type="paragraph" w:styleId="Nadpis9">
    <w:name w:val="heading 9"/>
    <w:basedOn w:val="Normln"/>
    <w:next w:val="Normln"/>
    <w:link w:val="Nadpis9Char"/>
    <w:uiPriority w:val="9"/>
    <w:unhideWhenUsed/>
    <w:qFormat/>
    <w:rsid w:val="00127826"/>
    <w:pPr>
      <w:keepNext/>
      <w:keepLines/>
      <w:spacing w:before="200" w:after="0"/>
      <w:outlineLvl w:val="8"/>
    </w:pPr>
    <w:rPr>
      <w:rFonts w:eastAsiaTheme="majorEastAsia"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A6B"/>
    <w:rPr>
      <w:rFonts w:ascii="Verdana" w:eastAsiaTheme="majorEastAsia" w:hAnsi="Verdana" w:cstheme="majorBidi"/>
      <w:b/>
      <w:bCs/>
      <w:color w:val="365F91" w:themeColor="accent1" w:themeShade="BF"/>
      <w:sz w:val="28"/>
      <w:szCs w:val="28"/>
    </w:rPr>
  </w:style>
  <w:style w:type="paragraph" w:styleId="Bezmezer">
    <w:name w:val="No Spacing"/>
    <w:uiPriority w:val="1"/>
    <w:qFormat/>
    <w:rsid w:val="00BF6A6B"/>
    <w:pPr>
      <w:spacing w:after="0" w:line="240" w:lineRule="auto"/>
    </w:pPr>
  </w:style>
  <w:style w:type="character" w:customStyle="1" w:styleId="Nadpis2Char">
    <w:name w:val="Nadpis 2 Char"/>
    <w:basedOn w:val="Standardnpsmoodstavce"/>
    <w:link w:val="Nadpis2"/>
    <w:uiPriority w:val="9"/>
    <w:rsid w:val="00BF6A6B"/>
    <w:rPr>
      <w:rFonts w:ascii="Verdana" w:eastAsiaTheme="majorEastAsia" w:hAnsi="Verdana" w:cstheme="majorBidi"/>
      <w:b/>
      <w:bCs/>
      <w:color w:val="4F81BD" w:themeColor="accent1"/>
      <w:sz w:val="26"/>
      <w:szCs w:val="26"/>
    </w:rPr>
  </w:style>
  <w:style w:type="paragraph" w:styleId="Nzev">
    <w:name w:val="Title"/>
    <w:basedOn w:val="Normln"/>
    <w:next w:val="Normln"/>
    <w:link w:val="NzevChar"/>
    <w:uiPriority w:val="10"/>
    <w:qFormat/>
    <w:rsid w:val="00BF6A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F6A6B"/>
    <w:pPr>
      <w:numPr>
        <w:ilvl w:val="1"/>
      </w:numPr>
    </w:pPr>
    <w:rPr>
      <w:rFonts w:eastAsiaTheme="majorEastAsia"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rPr>
      <w:i/>
      <w:iCs/>
      <w:color w:val="000000" w:themeColor="text1"/>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basedOn w:val="Normln"/>
    <w:uiPriority w:val="34"/>
    <w:qFormat/>
    <w:rsid w:val="00BF6A6B"/>
    <w:pPr>
      <w:ind w:left="720"/>
      <w:contextualSpacing/>
    </w:pPr>
  </w:style>
  <w:style w:type="character" w:customStyle="1" w:styleId="Nadpis3Char">
    <w:name w:val="Nadpis 3 Char"/>
    <w:basedOn w:val="Standardnpsmoodstavce"/>
    <w:link w:val="Nadpis3"/>
    <w:uiPriority w:val="9"/>
    <w:rsid w:val="00127826"/>
    <w:rPr>
      <w:rFonts w:eastAsiaTheme="majorEastAsia" w:cstheme="majorBidi"/>
      <w:b/>
      <w:bCs/>
      <w:color w:val="4F81BD" w:themeColor="accent1"/>
    </w:rPr>
  </w:style>
  <w:style w:type="character" w:customStyle="1" w:styleId="Nadpis4Char">
    <w:name w:val="Nadpis 4 Char"/>
    <w:basedOn w:val="Standardnpsmoodstavce"/>
    <w:link w:val="Nadpis4"/>
    <w:uiPriority w:val="9"/>
    <w:rsid w:val="00127826"/>
    <w:rPr>
      <w:rFonts w:eastAsiaTheme="majorEastAsia" w:cstheme="majorBidi"/>
      <w:b/>
      <w:bCs/>
      <w:i/>
      <w:iCs/>
      <w:color w:val="4F81BD" w:themeColor="accent1"/>
    </w:rPr>
  </w:style>
  <w:style w:type="character" w:customStyle="1" w:styleId="Nadpis5Char">
    <w:name w:val="Nadpis 5 Char"/>
    <w:basedOn w:val="Standardnpsmoodstavce"/>
    <w:link w:val="Nadpis5"/>
    <w:uiPriority w:val="9"/>
    <w:rsid w:val="00127826"/>
    <w:rPr>
      <w:rFonts w:eastAsiaTheme="majorEastAsia" w:cstheme="majorBidi"/>
      <w:color w:val="243F60" w:themeColor="accent1" w:themeShade="7F"/>
    </w:rPr>
  </w:style>
  <w:style w:type="character" w:customStyle="1" w:styleId="Nadpis6Char">
    <w:name w:val="Nadpis 6 Char"/>
    <w:basedOn w:val="Standardnpsmoodstavce"/>
    <w:link w:val="Nadpis6"/>
    <w:uiPriority w:val="9"/>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uiPriority w:val="9"/>
    <w:semiHidden/>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uiPriority w:val="9"/>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uiPriority w:val="9"/>
    <w:rsid w:val="00127826"/>
    <w:rPr>
      <w:rFonts w:eastAsiaTheme="majorEastAsia" w:cstheme="majorBidi"/>
      <w:i/>
      <w:iCs/>
      <w:color w:val="404040" w:themeColor="text1" w:themeTint="BF"/>
      <w:szCs w:val="20"/>
    </w:rPr>
  </w:style>
  <w:style w:type="character" w:styleId="Zdraznnintenzivn">
    <w:name w:val="Intense Emphasis"/>
    <w:basedOn w:val="Standardnpsmoodstavce"/>
    <w:uiPriority w:val="21"/>
    <w:qFormat/>
    <w:rsid w:val="000F5011"/>
    <w:rPr>
      <w:i/>
      <w:iCs/>
      <w:color w:val="365F91" w:themeColor="accent1" w:themeShade="BF"/>
    </w:rPr>
  </w:style>
  <w:style w:type="character" w:styleId="Odkazintenzivn">
    <w:name w:val="Intense Reference"/>
    <w:basedOn w:val="Standardnpsmoodstavce"/>
    <w:uiPriority w:val="32"/>
    <w:qFormat/>
    <w:rsid w:val="000F5011"/>
    <w:rPr>
      <w:b/>
      <w:bCs/>
      <w:smallCaps/>
      <w:color w:val="365F91" w:themeColor="accent1" w:themeShade="BF"/>
      <w:spacing w:val="5"/>
    </w:rPr>
  </w:style>
  <w:style w:type="character" w:styleId="Siln">
    <w:name w:val="Strong"/>
    <w:aliases w:val="Zvýraznění"/>
    <w:basedOn w:val="Standardnpsmoodstavce"/>
    <w:uiPriority w:val="2"/>
    <w:qFormat/>
    <w:rsid w:val="000F5011"/>
    <w:rPr>
      <w:b/>
      <w:bCs/>
    </w:rPr>
  </w:style>
  <w:style w:type="paragraph" w:styleId="Zhlav">
    <w:name w:val="header"/>
    <w:basedOn w:val="Normln"/>
    <w:link w:val="ZhlavChar"/>
    <w:uiPriority w:val="99"/>
    <w:unhideWhenUsed/>
    <w:rsid w:val="000F50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5011"/>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18760-4064-4DFB-A6AD-807A85C8C66C}">
  <ds:schemaRefs>
    <ds:schemaRef ds:uri="http://schemas.openxmlformats.org/officeDocument/2006/bibliography"/>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7131</Characters>
  <Application>Microsoft Office Word</Application>
  <DocSecurity>0</DocSecurity>
  <Lines>59</Lines>
  <Paragraphs>16</Paragraphs>
  <ScaleCrop>false</ScaleCrop>
  <Company>Sprava zeleznic, statni organizace</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Mecerová Klára</dc:creator>
  <cp:keywords/>
  <dc:description/>
  <cp:lastModifiedBy>Chyba Radim, Ing. PhDr.</cp:lastModifiedBy>
  <cp:revision>2</cp:revision>
  <dcterms:created xsi:type="dcterms:W3CDTF">2026-04-27T11:08:00Z</dcterms:created>
  <dcterms:modified xsi:type="dcterms:W3CDTF">2026-04-27T11:08:00Z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b23800e,ca88df1,5da4866d</vt:lpwstr>
  </property>
  <property fmtid="{D5CDD505-2E9C-101B-9397-08002B2CF9AE}" pid="3" name="ClassificationContentMarkingHeaderFontProps">
    <vt:lpwstr>#000000,7,Verdana</vt:lpwstr>
  </property>
  <property fmtid="{D5CDD505-2E9C-101B-9397-08002B2CF9AE}" pid="4" name="ClassificationContentMarkingHeaderText">
    <vt:lpwstr>SŽ: Interní</vt:lpwstr>
  </property>
</Properties>
</file>