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0021A39F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9D0A2C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9D0A2C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9D0A2C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9D0A2C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9D0A2C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9D0A2C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9D0A2C">
        <w:rPr>
          <w:highlight w:val="green"/>
          <w:lang w:eastAsia="cs-CZ"/>
        </w:rPr>
        <w:t>]</w:t>
      </w:r>
    </w:p>
    <w:p w14:paraId="61DBAC12" w14:textId="3BDE0194" w:rsidR="00E75DBE" w:rsidRDefault="00E75DBE" w:rsidP="00B172C0">
      <w:pPr>
        <w:pStyle w:val="Identifikace"/>
      </w:pPr>
      <w:r>
        <w:t>Zastoupen</w:t>
      </w:r>
      <w:r w:rsidR="00EA2AD8">
        <w:tab/>
      </w:r>
      <w:r w:rsidR="00EB1A48" w:rsidRPr="009D0A2C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9D0A2C">
        <w:rPr>
          <w:highlight w:val="green"/>
        </w:rPr>
        <w:t>]</w:t>
      </w:r>
    </w:p>
    <w:p w14:paraId="765C8C85" w14:textId="24A046D2" w:rsidR="00E75DBE" w:rsidRDefault="00EB1A48" w:rsidP="00E75DBE">
      <w:r w:rsidRPr="009D0A2C">
        <w:rPr>
          <w:lang w:eastAsia="cs-CZ"/>
        </w:rPr>
        <w:t xml:space="preserve">který podává žádost o účast na nadlimitní sektorovou veřejnou zakázku s názvem </w:t>
      </w:r>
      <w:bookmarkStart w:id="0" w:name="_Toc403053768"/>
      <w:r w:rsidRPr="009D0A2C">
        <w:t>„</w:t>
      </w:r>
      <w:bookmarkEnd w:id="0"/>
      <w:r w:rsidR="009D0A2C" w:rsidRPr="009D0A2C">
        <w:rPr>
          <w:rStyle w:val="Tun0"/>
          <w:rFonts w:eastAsiaTheme="minorHAnsi"/>
        </w:rPr>
        <w:t>Doplnění palubních jednotek ETCS do SHV – MVTV 2</w:t>
      </w:r>
      <w:r w:rsidRPr="009D0A2C">
        <w:t>“</w:t>
      </w:r>
      <w:r w:rsidRPr="009D0A2C">
        <w:rPr>
          <w:lang w:eastAsia="cs-CZ"/>
        </w:rPr>
        <w:t xml:space="preserve">, tímto </w:t>
      </w:r>
      <w:r w:rsidR="00E75DBE" w:rsidRPr="009D0A2C">
        <w:rPr>
          <w:rStyle w:val="tun"/>
          <w:rFonts w:eastAsiaTheme="minorHAnsi"/>
          <w:b w:val="0"/>
        </w:rPr>
        <w:t>čestně prohlašuje</w:t>
      </w:r>
      <w:r w:rsidR="00E75DBE" w:rsidRPr="009D0A2C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9D0A2C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9D0A2C">
        <w:rPr>
          <w:highlight w:val="green"/>
        </w:rPr>
        <w:t>]</w:t>
      </w:r>
      <w:r>
        <w:t xml:space="preserve"> dne </w:t>
      </w:r>
      <w:r w:rsidR="00EB1A48" w:rsidRPr="009D0A2C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9D0A2C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8A6B" w14:textId="77777777" w:rsidR="00923DE9" w:rsidRDefault="00923DE9" w:rsidP="00962258">
      <w:pPr>
        <w:spacing w:after="0" w:line="240" w:lineRule="auto"/>
      </w:pPr>
      <w:r>
        <w:separator/>
      </w:r>
    </w:p>
  </w:endnote>
  <w:endnote w:type="continuationSeparator" w:id="0">
    <w:p w14:paraId="61AF7C45" w14:textId="77777777" w:rsidR="00923DE9" w:rsidRDefault="00923DE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2016" w14:textId="77777777" w:rsidR="00923DE9" w:rsidRDefault="00923DE9" w:rsidP="00962258">
      <w:pPr>
        <w:spacing w:after="0" w:line="240" w:lineRule="auto"/>
      </w:pPr>
      <w:r>
        <w:separator/>
      </w:r>
    </w:p>
  </w:footnote>
  <w:footnote w:type="continuationSeparator" w:id="0">
    <w:p w14:paraId="108BF0B7" w14:textId="77777777" w:rsidR="00923DE9" w:rsidRDefault="00923DE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70AF" w14:textId="60EB53BE" w:rsidR="009D0A2C" w:rsidRDefault="009D0A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33A520E2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486A5E01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2E2B10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B67B6"/>
    <w:rsid w:val="007C589B"/>
    <w:rsid w:val="007E4A6E"/>
    <w:rsid w:val="007F56A7"/>
    <w:rsid w:val="00807DD0"/>
    <w:rsid w:val="00836488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40D8A"/>
    <w:rsid w:val="00961F32"/>
    <w:rsid w:val="00962258"/>
    <w:rsid w:val="009678B7"/>
    <w:rsid w:val="009833E1"/>
    <w:rsid w:val="00992D9C"/>
    <w:rsid w:val="00996CB8"/>
    <w:rsid w:val="009B14A9"/>
    <w:rsid w:val="009B2E97"/>
    <w:rsid w:val="009B5194"/>
    <w:rsid w:val="009D0A2C"/>
    <w:rsid w:val="009D7CF4"/>
    <w:rsid w:val="009E07F4"/>
    <w:rsid w:val="009F392E"/>
    <w:rsid w:val="00A6177B"/>
    <w:rsid w:val="00A66136"/>
    <w:rsid w:val="00AA4CBB"/>
    <w:rsid w:val="00AA65FA"/>
    <w:rsid w:val="00AA7351"/>
    <w:rsid w:val="00AD056F"/>
    <w:rsid w:val="00AD6731"/>
    <w:rsid w:val="00B15D0D"/>
    <w:rsid w:val="00B172C0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3</cp:revision>
  <cp:lastPrinted>2025-09-26T10:10:00Z</cp:lastPrinted>
  <dcterms:created xsi:type="dcterms:W3CDTF">2025-09-02T04:32:00Z</dcterms:created>
  <dcterms:modified xsi:type="dcterms:W3CDTF">2025-09-26T10:10:00Z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