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0F7AC7F"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VBLgIAAFUEAAAOAAAAZHJzL2Uyb0RvYy54bWysVE1v2zAMvQ/YfxB0X2ynSdMZcYosRYYB&#10;RVsgHXpWZCk2IIuapMTOfv0o2flYt9Owi0yK1BP5+OT5fdcochDW1aALmo1SSoTmUNZ6V9Dvr+tP&#10;d5Q4z3TJFGhR0KNw9H7x8cO8NbkYQwWqFJYgiHZ5awpaeW/yJHG8Eg1zIzBCY1CCbZhH1+6S0rIW&#10;0RuVjNP0NmnBlsYCF87h7kMfpIuIL6Xg/llKJzxRBcXafFxtXLdhTRZzlu8sM1XNhzLYP1TRsFrj&#10;pWeoB+YZ2dv6D6im5hYcSD/i0CQgZc1F7AG7ydJ33WwqZkTsBclx5kyT+3+w/OmwMS+W+O4LdDjA&#10;QEhrXO5wM/TTSduEL1ZKMI4UHs+0ic4TjpvjSZbNbjDEMZal6Ww2mQac5HLcWOe/CmhIMApqcS6R&#10;LnZ4dL5PPaWE2xyoulzXSkUnaEGslCUHhlPc7mKRCP5bltKkLejtzTSNwBrC8R5Zaazl0lSwfLft&#10;hk63UB6RAAu9Npzh6xqLfGTOvzCLYsDGUOD+GRepAC+BwaKkAvvzb/shH2eEUUpaFFdB3Y89s4IS&#10;9U3j9D5nk0lQY3Qm09kYHXsd2V5H9L5ZAXae4VMyPJoh36uTKS00b/gOluFWDDHN8e6C+pO58r3k&#10;8R1xsVzGJNSfYf5RbwwP0IHpMILX7o1ZM8zJ44if4CRDlr8bV58bTmpY7j3IOs4yENyzOvCO2o1q&#10;GN5ZeBzXfsy6/A0WvwAAAP//AwBQSwMEFAAGAAgAAAAhAMhQl5fdAAAACgEAAA8AAABkcnMvZG93&#10;bnJldi54bWxMjz1PwzAQhnck/oN1SGzULrQlhDhVQXSuSBgY3fhIQuNzFLttyK/nmMp49z56P7L1&#10;6DpxwiG0njTMZwoEUuVtS7WGj3J7l4AI0ZA1nSfU8IMB1vn1VWZS68/0jqci1oJNKKRGQxNjn0oZ&#10;qgadCTPfI7H25QdnIp9DLe1gzmzuOnmv1Eo60xInNKbH1warQ3F0nOvLt8O0ibLcVli82OX0vfuc&#10;tL69GTfPICKO8QLDX32uDjl32vsj2SA6DQuVLBllQS1AMPCYJA8g9vxYPc1B5pn8PyH/BQAA//8D&#10;AFBLAQItABQABgAIAAAAIQC2gziS/gAAAOEBAAATAAAAAAAAAAAAAAAAAAAAAABbQ29udGVudF9U&#10;eXBlc10ueG1sUEsBAi0AFAAGAAgAAAAhADj9If/WAAAAlAEAAAsAAAAAAAAAAAAAAAAALwEAAF9y&#10;ZWxzLy5yZWxzUEsBAi0AFAAGAAgAAAAhAJtl9UEuAgAAVQQAAA4AAAAAAAAAAAAAAAAALgIAAGRy&#10;cy9lMm9Eb2MueG1sUEsBAi0AFAAGAAgAAAAhAMhQl5fdAAAACgEAAA8AAAAAAAAAAAAAAAAAiAQA&#10;AGRycy9kb3ducmV2LnhtbFBLBQYAAAAABAAEAPMAAACSBQAAAAA=&#10;" o:allowincell="f" fillcolor="white [3212]" stroked="f" strokeweight=".5pt">
                      <v:textbox>
                        <w:txbxContent>
                          <w:p w14:paraId="54BD1E75" w14:textId="00F7AC7F"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D16406" w:rsidRDefault="002B4FA4" w:rsidP="002B4FA4">
            <w:r w:rsidRPr="00D16406">
              <w:t>Naše zn.</w:t>
            </w:r>
          </w:p>
        </w:tc>
        <w:tc>
          <w:tcPr>
            <w:tcW w:w="2552" w:type="dxa"/>
          </w:tcPr>
          <w:p w14:paraId="12B38D34" w14:textId="055DD7C0" w:rsidR="002B4FA4" w:rsidRPr="00CD463D" w:rsidRDefault="001264A3" w:rsidP="002B4FA4">
            <w:pPr>
              <w:rPr>
                <w:highlight w:val="yellow"/>
              </w:rPr>
            </w:pPr>
            <w:r w:rsidRPr="001264A3">
              <w:t>14870/2025-SŽ-SSZ-OVZ</w:t>
            </w:r>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D16406" w:rsidRDefault="002B4FA4" w:rsidP="002B4FA4"/>
        </w:tc>
        <w:tc>
          <w:tcPr>
            <w:tcW w:w="2552" w:type="dxa"/>
          </w:tcPr>
          <w:p w14:paraId="3DDD4239" w14:textId="77777777" w:rsidR="002B4FA4" w:rsidRPr="00CD463D" w:rsidRDefault="002B4FA4" w:rsidP="002B4FA4">
            <w:pPr>
              <w:rPr>
                <w:highlight w:val="yellow"/>
              </w:rPr>
            </w:pPr>
          </w:p>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14:paraId="2CF10EC6" w14:textId="77777777" w:rsidTr="002B4FA4">
        <w:tc>
          <w:tcPr>
            <w:tcW w:w="1020" w:type="dxa"/>
          </w:tcPr>
          <w:p w14:paraId="19196881" w14:textId="77777777" w:rsidR="002B4FA4" w:rsidRPr="00D16406" w:rsidRDefault="002B4FA4" w:rsidP="002B4FA4">
            <w:r w:rsidRPr="00D16406">
              <w:t>Vyřizuje</w:t>
            </w:r>
          </w:p>
        </w:tc>
        <w:tc>
          <w:tcPr>
            <w:tcW w:w="2552" w:type="dxa"/>
          </w:tcPr>
          <w:p w14:paraId="7ECAD3EF" w14:textId="6D945968" w:rsidR="002B4FA4" w:rsidRPr="001264A3" w:rsidRDefault="001264A3" w:rsidP="002B4FA4">
            <w:r w:rsidRPr="001264A3">
              <w:t>Kateřina Jungová</w:t>
            </w:r>
          </w:p>
        </w:tc>
        <w:tc>
          <w:tcPr>
            <w:tcW w:w="823" w:type="dxa"/>
          </w:tcPr>
          <w:p w14:paraId="46316512" w14:textId="77777777" w:rsidR="002B4FA4" w:rsidRDefault="002B4FA4" w:rsidP="002B4FA4"/>
        </w:tc>
        <w:tc>
          <w:tcPr>
            <w:tcW w:w="3685" w:type="dxa"/>
            <w:vMerge/>
          </w:tcPr>
          <w:p w14:paraId="6FFF3715" w14:textId="77777777" w:rsidR="002B4FA4" w:rsidRDefault="002B4FA4" w:rsidP="002B4FA4"/>
        </w:tc>
      </w:tr>
      <w:tr w:rsidR="002B4FA4" w14:paraId="5779585A" w14:textId="77777777" w:rsidTr="002B4FA4">
        <w:tc>
          <w:tcPr>
            <w:tcW w:w="1020" w:type="dxa"/>
          </w:tcPr>
          <w:p w14:paraId="36D09C5E" w14:textId="77777777" w:rsidR="002B4FA4" w:rsidRPr="00D16406" w:rsidRDefault="002B4FA4" w:rsidP="002B4FA4">
            <w:r w:rsidRPr="00D16406">
              <w:t>Mobil</w:t>
            </w:r>
          </w:p>
        </w:tc>
        <w:tc>
          <w:tcPr>
            <w:tcW w:w="2552" w:type="dxa"/>
          </w:tcPr>
          <w:p w14:paraId="7C0BA533" w14:textId="4C2455EB" w:rsidR="002B4FA4" w:rsidRPr="001264A3" w:rsidRDefault="001264A3" w:rsidP="002B4FA4">
            <w:r w:rsidRPr="001264A3">
              <w:t>+420 720 071 563</w:t>
            </w:r>
          </w:p>
        </w:tc>
        <w:tc>
          <w:tcPr>
            <w:tcW w:w="823" w:type="dxa"/>
          </w:tcPr>
          <w:p w14:paraId="65CD9AAC" w14:textId="77777777" w:rsidR="002B4FA4" w:rsidRDefault="002B4FA4" w:rsidP="002B4FA4"/>
        </w:tc>
        <w:tc>
          <w:tcPr>
            <w:tcW w:w="3685" w:type="dxa"/>
            <w:vMerge/>
          </w:tcPr>
          <w:p w14:paraId="1BB3B026" w14:textId="77777777" w:rsidR="002B4FA4" w:rsidRDefault="002B4FA4" w:rsidP="002B4FA4"/>
        </w:tc>
      </w:tr>
      <w:tr w:rsidR="002B4FA4" w14:paraId="4AA17FD3" w14:textId="77777777" w:rsidTr="002B4FA4">
        <w:tc>
          <w:tcPr>
            <w:tcW w:w="1020" w:type="dxa"/>
          </w:tcPr>
          <w:p w14:paraId="653F5786" w14:textId="77777777" w:rsidR="002B4FA4" w:rsidRPr="00D16406" w:rsidRDefault="002B4FA4" w:rsidP="002B4FA4">
            <w:r w:rsidRPr="00D16406">
              <w:t>E-mail</w:t>
            </w:r>
          </w:p>
        </w:tc>
        <w:tc>
          <w:tcPr>
            <w:tcW w:w="2552" w:type="dxa"/>
          </w:tcPr>
          <w:p w14:paraId="4A0D9FEC" w14:textId="2DCEFBEB" w:rsidR="002B4FA4" w:rsidRPr="001264A3" w:rsidRDefault="001264A3" w:rsidP="002B4FA4">
            <w:r w:rsidRPr="001264A3">
              <w:t>jungovak@spravazeleznic.cz</w:t>
            </w:r>
          </w:p>
        </w:tc>
        <w:tc>
          <w:tcPr>
            <w:tcW w:w="823" w:type="dxa"/>
          </w:tcPr>
          <w:p w14:paraId="07BCFE53" w14:textId="77777777" w:rsidR="002B4FA4" w:rsidRDefault="002B4FA4" w:rsidP="002B4FA4"/>
        </w:tc>
        <w:tc>
          <w:tcPr>
            <w:tcW w:w="3685" w:type="dxa"/>
            <w:vMerge/>
          </w:tcPr>
          <w:p w14:paraId="7875649B" w14:textId="77777777" w:rsidR="002B4FA4" w:rsidRDefault="002B4FA4" w:rsidP="002B4FA4"/>
        </w:tc>
      </w:tr>
      <w:tr w:rsidR="002B4FA4" w14:paraId="51F4B5FD" w14:textId="77777777" w:rsidTr="002B4FA4">
        <w:tc>
          <w:tcPr>
            <w:tcW w:w="1020" w:type="dxa"/>
          </w:tcPr>
          <w:p w14:paraId="30B1A2B0" w14:textId="77777777" w:rsidR="002B4FA4" w:rsidRDefault="002B4FA4" w:rsidP="002B4FA4"/>
        </w:tc>
        <w:tc>
          <w:tcPr>
            <w:tcW w:w="2552" w:type="dxa"/>
          </w:tcPr>
          <w:p w14:paraId="29BAF608" w14:textId="77777777" w:rsidR="002B4FA4" w:rsidRDefault="002B4FA4" w:rsidP="002B4FA4"/>
        </w:tc>
        <w:tc>
          <w:tcPr>
            <w:tcW w:w="823" w:type="dxa"/>
          </w:tcPr>
          <w:p w14:paraId="047D5E50" w14:textId="77777777" w:rsidR="002B4FA4" w:rsidRDefault="002B4FA4" w:rsidP="002B4FA4"/>
        </w:tc>
        <w:tc>
          <w:tcPr>
            <w:tcW w:w="3685" w:type="dxa"/>
          </w:tcPr>
          <w:p w14:paraId="5897C887" w14:textId="77777777" w:rsidR="002B4FA4" w:rsidRDefault="002B4FA4" w:rsidP="002B4FA4"/>
        </w:tc>
      </w:tr>
      <w:tr w:rsidR="002B4FA4" w14:paraId="3680BED7" w14:textId="77777777" w:rsidTr="002B4FA4">
        <w:tc>
          <w:tcPr>
            <w:tcW w:w="1020" w:type="dxa"/>
          </w:tcPr>
          <w:p w14:paraId="33F687AC" w14:textId="77777777" w:rsidR="002B4FA4" w:rsidRDefault="002B4FA4" w:rsidP="002B4FA4"/>
        </w:tc>
        <w:tc>
          <w:tcPr>
            <w:tcW w:w="2552" w:type="dxa"/>
          </w:tcPr>
          <w:p w14:paraId="13BFA662" w14:textId="77777777" w:rsidR="002B4FA4" w:rsidRDefault="002B4FA4" w:rsidP="002B4FA4"/>
        </w:tc>
        <w:tc>
          <w:tcPr>
            <w:tcW w:w="823" w:type="dxa"/>
          </w:tcPr>
          <w:p w14:paraId="3A5EA95C" w14:textId="77777777" w:rsidR="002B4FA4" w:rsidRDefault="002B4FA4" w:rsidP="002B4FA4"/>
        </w:tc>
        <w:tc>
          <w:tcPr>
            <w:tcW w:w="3685" w:type="dxa"/>
          </w:tcPr>
          <w:p w14:paraId="5C940B42" w14:textId="77777777" w:rsidR="002B4FA4" w:rsidRDefault="002B4FA4" w:rsidP="002B4FA4"/>
        </w:tc>
      </w:tr>
      <w:tr w:rsidR="002B4FA4" w14:paraId="670B4CF7" w14:textId="77777777" w:rsidTr="002B4FA4">
        <w:trPr>
          <w:trHeight w:val="794"/>
        </w:trPr>
        <w:tc>
          <w:tcPr>
            <w:tcW w:w="1020" w:type="dxa"/>
          </w:tcPr>
          <w:p w14:paraId="04260C1C" w14:textId="77777777" w:rsidR="002B4FA4" w:rsidRDefault="002B4FA4" w:rsidP="002B4FA4"/>
        </w:tc>
        <w:tc>
          <w:tcPr>
            <w:tcW w:w="2552" w:type="dxa"/>
          </w:tcPr>
          <w:p w14:paraId="42AB4505" w14:textId="77777777" w:rsidR="002B4FA4" w:rsidRDefault="002B4FA4" w:rsidP="002B4FA4"/>
        </w:tc>
        <w:tc>
          <w:tcPr>
            <w:tcW w:w="823" w:type="dxa"/>
          </w:tcPr>
          <w:p w14:paraId="3F83A928" w14:textId="77777777" w:rsidR="002B4FA4" w:rsidRDefault="002B4FA4" w:rsidP="002B4FA4"/>
        </w:tc>
        <w:tc>
          <w:tcPr>
            <w:tcW w:w="3685" w:type="dxa"/>
          </w:tcPr>
          <w:p w14:paraId="38FD434A" w14:textId="77777777" w:rsidR="002B4FA4" w:rsidRDefault="002B4FA4" w:rsidP="002B4FA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 xml:space="preserve">Budova </w:t>
      </w:r>
      <w:proofErr w:type="spellStart"/>
      <w:r w:rsidR="0008038B" w:rsidRPr="0008038B">
        <w:rPr>
          <w:rFonts w:asciiTheme="minorHAnsi" w:hAnsiTheme="minorHAnsi" w:cs="Arial"/>
          <w:sz w:val="18"/>
          <w:szCs w:val="18"/>
        </w:rPr>
        <w:t>Diamond</w:t>
      </w:r>
      <w:proofErr w:type="spellEnd"/>
      <w:r w:rsidR="0008038B" w:rsidRPr="0008038B">
        <w:rPr>
          <w:rFonts w:asciiTheme="minorHAnsi" w:hAnsiTheme="minorHAnsi" w:cs="Arial"/>
          <w:sz w:val="18"/>
          <w:szCs w:val="18"/>
        </w:rPr>
        <w:t xml:space="preserve">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2161BD84" w:rsidR="004850CE" w:rsidRPr="001264A3" w:rsidRDefault="004850CE" w:rsidP="00E4561F">
      <w:pPr>
        <w:suppressAutoHyphens/>
        <w:spacing w:after="120"/>
        <w:jc w:val="center"/>
        <w:rPr>
          <w:rFonts w:cs="Arial"/>
          <w:i/>
          <w:iCs/>
        </w:rPr>
      </w:pPr>
      <w:r w:rsidRPr="001264A3">
        <w:rPr>
          <w:rFonts w:cs="Arial"/>
          <w:i/>
          <w:iCs/>
        </w:rPr>
        <w:t xml:space="preserve">k účasti </w:t>
      </w:r>
      <w:r w:rsidR="00D15600" w:rsidRPr="001264A3">
        <w:rPr>
          <w:rFonts w:cs="Arial"/>
          <w:i/>
          <w:iCs/>
        </w:rPr>
        <w:t>ve výběrovém</w:t>
      </w:r>
      <w:r w:rsidRPr="001264A3">
        <w:rPr>
          <w:rFonts w:cs="Arial"/>
          <w:i/>
          <w:iCs/>
        </w:rPr>
        <w:t xml:space="preserve"> řízení a k podání nabídky na veřejnou zakázku</w:t>
      </w:r>
      <w:r w:rsidRPr="001264A3">
        <w:rPr>
          <w:rFonts w:cs="Arial"/>
          <w:i/>
          <w:iCs/>
          <w:color w:val="00B050"/>
        </w:rPr>
        <w:t xml:space="preserve"> </w:t>
      </w:r>
      <w:r w:rsidRPr="001264A3">
        <w:rPr>
          <w:rFonts w:cs="Arial"/>
          <w:i/>
          <w:iCs/>
        </w:rPr>
        <w:t xml:space="preserve">na </w:t>
      </w:r>
    </w:p>
    <w:p w14:paraId="564F0044" w14:textId="4FC6460A" w:rsidR="00B43526" w:rsidRPr="001264A3" w:rsidRDefault="001264A3" w:rsidP="00B43526">
      <w:pPr>
        <w:tabs>
          <w:tab w:val="center" w:pos="4961"/>
          <w:tab w:val="right" w:pos="9923"/>
        </w:tabs>
        <w:suppressAutoHyphens/>
        <w:spacing w:before="240" w:after="0"/>
        <w:jc w:val="center"/>
        <w:rPr>
          <w:rFonts w:cs="Arial"/>
          <w:b/>
          <w:bCs/>
          <w:i/>
        </w:rPr>
      </w:pPr>
      <w:bookmarkStart w:id="0" w:name="_Hlk145492321"/>
      <w:r w:rsidRPr="001264A3">
        <w:rPr>
          <w:rFonts w:cs="Arial"/>
          <w:b/>
          <w:bCs/>
          <w:i/>
        </w:rPr>
        <w:t>zhotovení Záměru projektu a Doprovodné dokumentace</w:t>
      </w:r>
    </w:p>
    <w:p w14:paraId="7F9D3FB7" w14:textId="3F4E7624" w:rsidR="00E4561F" w:rsidRPr="001264A3" w:rsidRDefault="00E4561F" w:rsidP="00E4561F">
      <w:pPr>
        <w:autoSpaceDE w:val="0"/>
        <w:autoSpaceDN w:val="0"/>
        <w:adjustRightInd w:val="0"/>
        <w:spacing w:before="120" w:line="240" w:lineRule="auto"/>
        <w:jc w:val="center"/>
        <w:rPr>
          <w:rFonts w:cs="Verdana-BoldItalic"/>
          <w:b/>
          <w:bCs/>
          <w:i/>
          <w:iCs/>
          <w:sz w:val="28"/>
          <w:szCs w:val="28"/>
        </w:rPr>
      </w:pPr>
      <w:r w:rsidRPr="001264A3">
        <w:rPr>
          <w:rFonts w:cs="Verdana-BoldItalic"/>
          <w:b/>
          <w:bCs/>
          <w:i/>
          <w:iCs/>
          <w:sz w:val="28"/>
          <w:szCs w:val="28"/>
        </w:rPr>
        <w:t>„</w:t>
      </w:r>
      <w:bookmarkStart w:id="1" w:name="_Hlk205877186"/>
      <w:r w:rsidR="001264A3" w:rsidRPr="001264A3">
        <w:rPr>
          <w:b/>
          <w:sz w:val="28"/>
          <w:szCs w:val="28"/>
        </w:rPr>
        <w:t xml:space="preserve">ETCS Kladno – Kralupy n. </w:t>
      </w:r>
      <w:proofErr w:type="spellStart"/>
      <w:r w:rsidR="001264A3" w:rsidRPr="001264A3">
        <w:rPr>
          <w:b/>
          <w:sz w:val="28"/>
          <w:szCs w:val="28"/>
        </w:rPr>
        <w:t>Vlt</w:t>
      </w:r>
      <w:proofErr w:type="spellEnd"/>
      <w:r w:rsidR="001264A3" w:rsidRPr="001264A3">
        <w:rPr>
          <w:b/>
          <w:sz w:val="28"/>
          <w:szCs w:val="28"/>
        </w:rPr>
        <w:t>.</w:t>
      </w:r>
      <w:bookmarkEnd w:id="1"/>
      <w:r w:rsidRPr="001264A3">
        <w:rPr>
          <w:rFonts w:cs="Verdana-BoldItalic"/>
          <w:b/>
          <w:bCs/>
          <w:i/>
          <w:iCs/>
          <w:sz w:val="28"/>
          <w:szCs w:val="28"/>
        </w:rPr>
        <w:t>“</w:t>
      </w:r>
      <w:bookmarkEnd w:id="0"/>
    </w:p>
    <w:p w14:paraId="1DD84ECD" w14:textId="5991E956" w:rsidR="00B43526" w:rsidRPr="001264A3" w:rsidRDefault="00E4561F" w:rsidP="00B43526">
      <w:pPr>
        <w:tabs>
          <w:tab w:val="right" w:pos="-3402"/>
        </w:tabs>
        <w:suppressAutoHyphens/>
        <w:spacing w:before="240" w:after="0"/>
        <w:rPr>
          <w:rFonts w:cs="Arial"/>
          <w:b/>
          <w:i/>
          <w:sz w:val="28"/>
          <w:szCs w:val="28"/>
        </w:rPr>
      </w:pPr>
      <w:r w:rsidRPr="001264A3">
        <w:rPr>
          <w:rFonts w:cs="Verdana"/>
        </w:rPr>
        <w:t>ISPROFO</w:t>
      </w:r>
      <w:r w:rsidR="002F4996" w:rsidRPr="001264A3">
        <w:rPr>
          <w:rFonts w:cs="Verdana"/>
        </w:rPr>
        <w:t>N</w:t>
      </w:r>
      <w:r w:rsidRPr="001264A3">
        <w:rPr>
          <w:rFonts w:cs="Verdana"/>
        </w:rPr>
        <w:t>D / S</w:t>
      </w:r>
      <w:r w:rsidR="002170E8" w:rsidRPr="001264A3">
        <w:rPr>
          <w:rFonts w:cs="Verdana"/>
        </w:rPr>
        <w:t xml:space="preserve">ub. </w:t>
      </w:r>
      <w:r w:rsidRPr="001264A3">
        <w:rPr>
          <w:rFonts w:cs="Verdana"/>
        </w:rPr>
        <w:t xml:space="preserve">ISPROFIN: </w:t>
      </w:r>
      <w:r w:rsidR="00167963" w:rsidRPr="001264A3">
        <w:rPr>
          <w:rFonts w:cs="Verdana"/>
        </w:rPr>
        <w:tab/>
      </w:r>
      <w:r w:rsidR="002170E8" w:rsidRPr="001264A3">
        <w:rPr>
          <w:rFonts w:cs="Verdana"/>
        </w:rPr>
        <w:tab/>
      </w:r>
      <w:r w:rsidR="001264A3" w:rsidRPr="001264A3">
        <w:rPr>
          <w:rFonts w:cs="Verdana"/>
        </w:rPr>
        <w:t>5213520119/</w:t>
      </w:r>
      <w:r w:rsidR="001264A3" w:rsidRPr="001264A3">
        <w:rPr>
          <w:rFonts w:cs="Arial"/>
        </w:rPr>
        <w:t>3273214901</w:t>
      </w:r>
    </w:p>
    <w:p w14:paraId="6E7CA863" w14:textId="03E4B026" w:rsidR="004850CE" w:rsidRPr="001264A3" w:rsidRDefault="00E4561F" w:rsidP="00E4561F">
      <w:pPr>
        <w:tabs>
          <w:tab w:val="left" w:pos="2835"/>
          <w:tab w:val="center" w:pos="4961"/>
          <w:tab w:val="right" w:pos="9923"/>
        </w:tabs>
        <w:suppressAutoHyphens/>
        <w:spacing w:after="0"/>
        <w:rPr>
          <w:rFonts w:cs="Arial"/>
        </w:rPr>
      </w:pPr>
      <w:r w:rsidRPr="001264A3">
        <w:rPr>
          <w:rFonts w:cs="Verdana"/>
        </w:rPr>
        <w:t xml:space="preserve">Evidenční číslo zakázky: </w:t>
      </w:r>
      <w:r w:rsidR="00167963" w:rsidRPr="001264A3">
        <w:rPr>
          <w:rFonts w:cs="Verdana"/>
        </w:rPr>
        <w:tab/>
        <w:t xml:space="preserve">           </w:t>
      </w:r>
      <w:r w:rsidR="001264A3" w:rsidRPr="001264A3">
        <w:rPr>
          <w:rFonts w:cs="Arial"/>
        </w:rPr>
        <w:t>61825121</w:t>
      </w:r>
    </w:p>
    <w:p w14:paraId="57884BE8" w14:textId="2C680AA2" w:rsidR="007A1217" w:rsidRPr="001264A3" w:rsidRDefault="007A1217" w:rsidP="00F345CA">
      <w:pPr>
        <w:suppressAutoHyphens/>
        <w:spacing w:after="0" w:line="240" w:lineRule="auto"/>
        <w:jc w:val="both"/>
        <w:rPr>
          <w:rFonts w:cs="Arial"/>
        </w:rPr>
      </w:pPr>
      <w:r w:rsidRPr="001264A3">
        <w:rPr>
          <w:rFonts w:cs="Arial"/>
        </w:rPr>
        <w:t>Druh veřejné zakázky:</w:t>
      </w:r>
      <w:r w:rsidRPr="001264A3">
        <w:rPr>
          <w:rFonts w:cs="Arial"/>
        </w:rPr>
        <w:tab/>
      </w:r>
      <w:r w:rsidRPr="001264A3">
        <w:rPr>
          <w:rFonts w:cs="Arial"/>
        </w:rPr>
        <w:tab/>
      </w:r>
      <w:r w:rsidR="00167963" w:rsidRPr="001264A3">
        <w:rPr>
          <w:rFonts w:cs="Arial"/>
        </w:rPr>
        <w:tab/>
      </w:r>
      <w:r w:rsidRPr="001264A3">
        <w:rPr>
          <w:rFonts w:cs="Arial"/>
        </w:rPr>
        <w:t>služby</w:t>
      </w:r>
    </w:p>
    <w:p w14:paraId="7BF76D40" w14:textId="77777777" w:rsidR="0098775A" w:rsidRPr="001264A3" w:rsidRDefault="0098775A" w:rsidP="00F345CA">
      <w:pPr>
        <w:suppressAutoHyphens/>
        <w:spacing w:after="0" w:line="240" w:lineRule="auto"/>
        <w:jc w:val="both"/>
        <w:rPr>
          <w:rFonts w:cs="Arial"/>
        </w:rPr>
      </w:pPr>
      <w:r w:rsidRPr="001264A3">
        <w:rPr>
          <w:rFonts w:cs="Arial"/>
        </w:rPr>
        <w:t>Charakteristika veřejné zakázky:</w:t>
      </w:r>
      <w:r w:rsidRPr="001264A3">
        <w:rPr>
          <w:rFonts w:cs="Arial"/>
        </w:rPr>
        <w:tab/>
        <w:t>podlimitní sektorová</w:t>
      </w:r>
    </w:p>
    <w:p w14:paraId="32E22BB7" w14:textId="35D05D6C" w:rsidR="005F2A51" w:rsidRPr="001264A3" w:rsidRDefault="004850CE" w:rsidP="00E4561F">
      <w:pPr>
        <w:spacing w:before="240"/>
        <w:jc w:val="both"/>
        <w:rPr>
          <w:rFonts w:cs="Arial"/>
        </w:rPr>
      </w:pPr>
      <w:r w:rsidRPr="001264A3">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1264A3">
        <w:rPr>
          <w:rFonts w:cs="Arial"/>
          <w:color w:val="FF0000"/>
        </w:rPr>
        <w:t xml:space="preserve"> </w:t>
      </w:r>
      <w:r w:rsidRPr="001264A3">
        <w:rPr>
          <w:rFonts w:cs="Arial"/>
        </w:rPr>
        <w:t>veřejnou zakázku, v souladu s ustanovením § 158 odst. 1 nezadává v zadávacím řízení podle „zákona“.</w:t>
      </w:r>
      <w:r w:rsidR="00BD2851" w:rsidRPr="001264A3">
        <w:rPr>
          <w:rFonts w:cs="Arial"/>
        </w:rPr>
        <w:t xml:space="preserve"> </w:t>
      </w:r>
      <w:r w:rsidR="00BD2851" w:rsidRPr="001264A3">
        <w:t xml:space="preserve">Veřejná zakázka byla zadávána </w:t>
      </w:r>
      <w:r w:rsidR="00BD2851" w:rsidRPr="001264A3">
        <w:rPr>
          <w:rFonts w:cs="Arial"/>
        </w:rPr>
        <w:t>podle požadavků a podmínek stanovených Směrnicí „</w:t>
      </w:r>
      <w:r w:rsidR="00255410" w:rsidRPr="001264A3">
        <w:rPr>
          <w:rFonts w:cs="Arial"/>
        </w:rPr>
        <w:t>SŽ SM0</w:t>
      </w:r>
      <w:r w:rsidR="009B20BD" w:rsidRPr="001264A3">
        <w:rPr>
          <w:rFonts w:cs="Arial"/>
        </w:rPr>
        <w:t>53 Z</w:t>
      </w:r>
      <w:r w:rsidR="00255410" w:rsidRPr="001264A3">
        <w:rPr>
          <w:rFonts w:cs="Arial"/>
        </w:rPr>
        <w:t>adávání veřejných zakázek</w:t>
      </w:r>
      <w:r w:rsidR="00BD2851" w:rsidRPr="001264A3">
        <w:rPr>
          <w:rFonts w:cs="Arial"/>
        </w:rPr>
        <w:t>“, která upravuje postupy při aplikaci zákona v podmínkách Správy železnic, státní organizace.</w:t>
      </w:r>
    </w:p>
    <w:p w14:paraId="7465F87C" w14:textId="77777777" w:rsidR="004850CE" w:rsidRPr="001264A3" w:rsidRDefault="004850CE" w:rsidP="00EE0D22">
      <w:pPr>
        <w:pStyle w:val="Odstavecseseznamem"/>
        <w:numPr>
          <w:ilvl w:val="0"/>
          <w:numId w:val="9"/>
        </w:numPr>
        <w:suppressAutoHyphens/>
        <w:spacing w:after="0"/>
        <w:ind w:left="391" w:hanging="391"/>
        <w:contextualSpacing w:val="0"/>
        <w:jc w:val="both"/>
        <w:rPr>
          <w:b/>
          <w:bCs/>
          <w:u w:val="single"/>
        </w:rPr>
      </w:pPr>
      <w:r w:rsidRPr="001264A3">
        <w:rPr>
          <w:b/>
          <w:bCs/>
          <w:u w:val="single"/>
        </w:rPr>
        <w:t>Identifikační údaje zadavatele:</w:t>
      </w:r>
    </w:p>
    <w:p w14:paraId="06FAAC6E" w14:textId="77777777" w:rsidR="004850CE" w:rsidRPr="001264A3" w:rsidRDefault="004850CE" w:rsidP="004850CE">
      <w:pPr>
        <w:suppressAutoHyphens/>
        <w:spacing w:after="0"/>
        <w:jc w:val="both"/>
        <w:rPr>
          <w:rFonts w:cs="Arial"/>
        </w:rPr>
      </w:pPr>
      <w:r w:rsidRPr="001264A3">
        <w:rPr>
          <w:rFonts w:cs="Arial"/>
        </w:rPr>
        <w:t xml:space="preserve">Správa </w:t>
      </w:r>
      <w:r w:rsidR="00623B77" w:rsidRPr="001264A3">
        <w:rPr>
          <w:rFonts w:cs="Arial"/>
        </w:rPr>
        <w:t>železnic</w:t>
      </w:r>
      <w:r w:rsidRPr="001264A3">
        <w:rPr>
          <w:rFonts w:cs="Arial"/>
        </w:rPr>
        <w:t xml:space="preserve">, státní organizace, </w:t>
      </w:r>
    </w:p>
    <w:p w14:paraId="59B5A358" w14:textId="77777777" w:rsidR="004850CE" w:rsidRPr="001264A3" w:rsidRDefault="004850CE" w:rsidP="004850CE">
      <w:pPr>
        <w:suppressAutoHyphens/>
        <w:spacing w:after="0"/>
        <w:jc w:val="both"/>
        <w:rPr>
          <w:rFonts w:cs="Arial"/>
        </w:rPr>
      </w:pPr>
      <w:r w:rsidRPr="001264A3">
        <w:rPr>
          <w:rFonts w:cs="Arial"/>
        </w:rPr>
        <w:t>Praha 1, Nové Město, Dlážděná 1003/7, PSČ 110 00</w:t>
      </w:r>
    </w:p>
    <w:p w14:paraId="28484754" w14:textId="5306E824" w:rsidR="004850CE" w:rsidRPr="001264A3" w:rsidRDefault="004850CE" w:rsidP="004850CE">
      <w:pPr>
        <w:suppressAutoHyphens/>
        <w:spacing w:after="0"/>
        <w:jc w:val="both"/>
        <w:rPr>
          <w:rFonts w:cs="Arial"/>
        </w:rPr>
      </w:pPr>
      <w:r w:rsidRPr="001264A3">
        <w:rPr>
          <w:rFonts w:cs="Arial"/>
        </w:rPr>
        <w:t>IČ</w:t>
      </w:r>
      <w:r w:rsidR="0058529B" w:rsidRPr="001264A3">
        <w:rPr>
          <w:rFonts w:cs="Arial"/>
        </w:rPr>
        <w:t>O</w:t>
      </w:r>
      <w:r w:rsidRPr="001264A3">
        <w:rPr>
          <w:rFonts w:cs="Arial"/>
        </w:rPr>
        <w:t>: 70 99 42 34, DIČ: CZ70994234</w:t>
      </w:r>
    </w:p>
    <w:p w14:paraId="77E52B9E" w14:textId="77777777" w:rsidR="003B0589" w:rsidRPr="001264A3" w:rsidRDefault="003B0589" w:rsidP="004850CE">
      <w:pPr>
        <w:suppressAutoHyphens/>
        <w:spacing w:after="0"/>
        <w:jc w:val="both"/>
        <w:rPr>
          <w:noProof/>
        </w:rPr>
      </w:pPr>
      <w:r w:rsidRPr="001264A3">
        <w:rPr>
          <w:noProof/>
        </w:rPr>
        <w:t>Zápis v OR: MS v Praze, spisová značka A 48384</w:t>
      </w:r>
    </w:p>
    <w:p w14:paraId="2DC73EE4" w14:textId="77777777" w:rsidR="004850CE" w:rsidRPr="00AD7C32" w:rsidRDefault="004850CE" w:rsidP="004850CE">
      <w:pPr>
        <w:suppressAutoHyphens/>
        <w:spacing w:after="0"/>
        <w:jc w:val="both"/>
        <w:rPr>
          <w:rFonts w:cs="Arial"/>
        </w:rPr>
      </w:pPr>
      <w:r w:rsidRPr="001264A3">
        <w:rPr>
          <w:rFonts w:cs="Arial"/>
        </w:rPr>
        <w:t xml:space="preserve">zastoupená Ing. Petrem </w:t>
      </w:r>
      <w:proofErr w:type="spellStart"/>
      <w:r w:rsidRPr="001264A3">
        <w:rPr>
          <w:rFonts w:cs="Arial"/>
        </w:rPr>
        <w:t>Hofhanzlem</w:t>
      </w:r>
      <w:proofErr w:type="spellEnd"/>
      <w:r w:rsidRPr="001264A3">
        <w:rPr>
          <w:rFonts w:cs="Arial"/>
        </w:rPr>
        <w:t>, ředitelem</w:t>
      </w:r>
      <w:r w:rsidRPr="00AD7C32">
        <w:rPr>
          <w:rFonts w:cs="Arial"/>
        </w:rPr>
        <w:t xml:space="preserve"> Stavební správy západ</w:t>
      </w:r>
    </w:p>
    <w:p w14:paraId="4FC47948" w14:textId="77777777" w:rsidR="004850CE" w:rsidRPr="00AD7C32" w:rsidRDefault="004850CE" w:rsidP="004850CE">
      <w:pPr>
        <w:suppressAutoHyphens/>
        <w:spacing w:after="0"/>
        <w:jc w:val="both"/>
        <w:rPr>
          <w:rFonts w:cs="Arial"/>
        </w:rPr>
      </w:pPr>
      <w:r w:rsidRPr="00AD7C32">
        <w:rPr>
          <w:rFonts w:cs="Arial"/>
        </w:rPr>
        <w:t xml:space="preserve">Identifikátor datové schránky: </w:t>
      </w:r>
      <w:proofErr w:type="spellStart"/>
      <w:r w:rsidRPr="00AD7C32">
        <w:rPr>
          <w:rFonts w:cs="Arial"/>
        </w:rPr>
        <w:t>uccchjm</w:t>
      </w:r>
      <w:proofErr w:type="spellEnd"/>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068B9BDA" w:rsidR="00A957D9" w:rsidRDefault="00A957D9" w:rsidP="00A957D9">
      <w:pPr>
        <w:suppressAutoHyphens/>
        <w:spacing w:after="0"/>
        <w:jc w:val="both"/>
        <w:rPr>
          <w:rFonts w:cs="Arial"/>
        </w:rPr>
      </w:pPr>
      <w:r w:rsidRPr="00A957D9">
        <w:rPr>
          <w:rFonts w:cs="Arial"/>
        </w:rPr>
        <w:t xml:space="preserve">Budova </w:t>
      </w:r>
      <w:proofErr w:type="spellStart"/>
      <w:r w:rsidRPr="00A957D9">
        <w:rPr>
          <w:rFonts w:cs="Arial"/>
        </w:rPr>
        <w:t>Diamond</w:t>
      </w:r>
      <w:proofErr w:type="spellEnd"/>
      <w:r w:rsidRPr="00A957D9">
        <w:rPr>
          <w:rFonts w:cs="Arial"/>
        </w:rPr>
        <w:t xml:space="preserve">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AD7C32" w:rsidRDefault="004850CE" w:rsidP="004850CE">
      <w:pPr>
        <w:suppressAutoHyphens/>
        <w:spacing w:before="120" w:after="0"/>
        <w:jc w:val="both"/>
        <w:rPr>
          <w:rFonts w:cs="Arial"/>
        </w:rPr>
      </w:pPr>
      <w:r w:rsidRPr="00AD7C32">
        <w:rPr>
          <w:rFonts w:cs="Arial"/>
        </w:rPr>
        <w:t xml:space="preserve">Kontaktní osobou pro </w:t>
      </w:r>
      <w:r w:rsidR="00D15600">
        <w:rPr>
          <w:rFonts w:cs="Arial"/>
        </w:rPr>
        <w:t>výběrové</w:t>
      </w:r>
      <w:r w:rsidRPr="00AD7C32">
        <w:rPr>
          <w:rFonts w:cs="Arial"/>
        </w:rPr>
        <w:t xml:space="preserve"> řízení je:</w:t>
      </w:r>
    </w:p>
    <w:p w14:paraId="5CD343E0" w14:textId="2622F8C6" w:rsidR="00D27EAE" w:rsidRDefault="001264A3" w:rsidP="004850CE">
      <w:pPr>
        <w:suppressAutoHyphens/>
        <w:spacing w:after="0"/>
        <w:jc w:val="both"/>
        <w:rPr>
          <w:rStyle w:val="Hypertextovodkaz"/>
          <w:rFonts w:cs="Arial"/>
        </w:rPr>
      </w:pPr>
      <w:r w:rsidRPr="001264A3">
        <w:rPr>
          <w:rFonts w:cs="Arial"/>
        </w:rPr>
        <w:t>Kateřina Jungová</w:t>
      </w:r>
      <w:r w:rsidR="00235851" w:rsidRPr="001264A3">
        <w:rPr>
          <w:rFonts w:cs="Arial"/>
        </w:rPr>
        <w:t xml:space="preserve">, </w:t>
      </w:r>
      <w:r w:rsidR="00046D36" w:rsidRPr="001264A3">
        <w:rPr>
          <w:rFonts w:cs="Arial"/>
        </w:rPr>
        <w:t xml:space="preserve">mobil: </w:t>
      </w:r>
      <w:r w:rsidR="00B43526" w:rsidRPr="001264A3">
        <w:rPr>
          <w:rFonts w:cs="Arial"/>
        </w:rPr>
        <w:t>+420</w:t>
      </w:r>
      <w:r w:rsidRPr="001264A3">
        <w:rPr>
          <w:rFonts w:cs="Arial"/>
        </w:rPr>
        <w:t> 720 071 563</w:t>
      </w:r>
      <w:r w:rsidR="00B43526" w:rsidRPr="001264A3">
        <w:rPr>
          <w:rFonts w:cs="Arial"/>
        </w:rPr>
        <w:t>,</w:t>
      </w:r>
      <w:r w:rsidR="00B43526" w:rsidRPr="00D57767">
        <w:rPr>
          <w:rFonts w:cs="Arial"/>
        </w:rPr>
        <w:t xml:space="preserve"> e-mail: </w:t>
      </w:r>
      <w:hyperlink r:id="rId11" w:history="1">
        <w:r w:rsidRPr="00197380">
          <w:rPr>
            <w:rStyle w:val="Hypertextovodkaz"/>
            <w:rFonts w:cs="Arial"/>
          </w:rPr>
          <w:t>jungovak@spravazeleznic.cz</w:t>
        </w:r>
      </w:hyperlink>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lastRenderedPageBreak/>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1411AF">
      <w:pPr>
        <w:pStyle w:val="Odstavecseseznamem"/>
        <w:numPr>
          <w:ilvl w:val="1"/>
          <w:numId w:val="27"/>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1411AF">
      <w:pPr>
        <w:pStyle w:val="Odstavecseseznamem"/>
        <w:numPr>
          <w:ilvl w:val="1"/>
          <w:numId w:val="27"/>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1411AF">
      <w:pPr>
        <w:pStyle w:val="Odstavecseseznamem"/>
        <w:numPr>
          <w:ilvl w:val="1"/>
          <w:numId w:val="27"/>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1411AF">
      <w:pPr>
        <w:pStyle w:val="Odstavecseseznamem"/>
        <w:numPr>
          <w:ilvl w:val="0"/>
          <w:numId w:val="27"/>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226857">
      <w:pPr>
        <w:pStyle w:val="Odstavecseseznamem"/>
        <w:numPr>
          <w:ilvl w:val="1"/>
          <w:numId w:val="26"/>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77777777" w:rsidR="007F5796" w:rsidRPr="007F5796" w:rsidRDefault="007F5796" w:rsidP="00226857">
      <w:pPr>
        <w:pStyle w:val="Odstavecseseznamem"/>
        <w:numPr>
          <w:ilvl w:val="1"/>
          <w:numId w:val="26"/>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2" w:history="1">
        <w:r w:rsidRPr="00CD463D">
          <w:rPr>
            <w:rFonts w:cs="Arial"/>
          </w:rPr>
          <w:t>https://www.spravazeleznic.cz/o-nas/sdeleni-o-zpracovani-osobnich-udaju-pro-verejnost</w:t>
        </w:r>
      </w:hyperlink>
      <w:r w:rsidRPr="007F5796">
        <w:rPr>
          <w:rFonts w:cs="Arial"/>
        </w:rPr>
        <w:t>.</w:t>
      </w:r>
    </w:p>
    <w:p w14:paraId="32718D7A" w14:textId="580A1B89" w:rsidR="004850CE" w:rsidRPr="000F2373" w:rsidRDefault="004850CE" w:rsidP="00226857">
      <w:pPr>
        <w:pStyle w:val="Odstavecseseznamem"/>
        <w:numPr>
          <w:ilvl w:val="0"/>
          <w:numId w:val="26"/>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34424D03" w14:textId="4E671A14" w:rsidR="004850CE" w:rsidRDefault="007F5796" w:rsidP="0057152F">
      <w:pPr>
        <w:pStyle w:val="Odstavecseseznamem"/>
        <w:numPr>
          <w:ilvl w:val="1"/>
          <w:numId w:val="15"/>
        </w:numPr>
        <w:suppressAutoHyphens/>
        <w:spacing w:after="120"/>
        <w:contextualSpacing w:val="0"/>
        <w:jc w:val="both"/>
        <w:rPr>
          <w:rFonts w:cs="Arial"/>
        </w:rPr>
      </w:pPr>
      <w:r w:rsidRPr="000F2373">
        <w:rPr>
          <w:rFonts w:cs="Arial"/>
        </w:rPr>
        <w:t xml:space="preserve">Předmětem plnění </w:t>
      </w:r>
      <w:r w:rsidR="001264A3" w:rsidRPr="001264A3">
        <w:rPr>
          <w:rFonts w:cs="Arial"/>
        </w:rPr>
        <w:t xml:space="preserve">díla </w:t>
      </w:r>
      <w:r w:rsidR="001264A3" w:rsidRPr="001264A3">
        <w:rPr>
          <w:rFonts w:cs="Arial"/>
          <w:b/>
          <w:bCs/>
        </w:rPr>
        <w:t xml:space="preserve">„ETCS Kladno – Kralupy n. </w:t>
      </w:r>
      <w:proofErr w:type="spellStart"/>
      <w:r w:rsidR="001264A3" w:rsidRPr="001264A3">
        <w:rPr>
          <w:rFonts w:cs="Arial"/>
          <w:b/>
          <w:bCs/>
        </w:rPr>
        <w:t>Vlt</w:t>
      </w:r>
      <w:proofErr w:type="spellEnd"/>
      <w:r w:rsidR="001264A3" w:rsidRPr="001264A3">
        <w:rPr>
          <w:rFonts w:cs="Arial"/>
          <w:b/>
          <w:bCs/>
        </w:rPr>
        <w:t>.“</w:t>
      </w:r>
      <w:r w:rsidR="001264A3" w:rsidRPr="001264A3">
        <w:rPr>
          <w:rFonts w:cs="Arial"/>
        </w:rPr>
        <w:t xml:space="preserve"> je vypracování </w:t>
      </w:r>
      <w:r w:rsidR="001264A3" w:rsidRPr="001264A3">
        <w:rPr>
          <w:rFonts w:cs="Arial"/>
          <w:b/>
          <w:bCs/>
        </w:rPr>
        <w:t>Záměru projektu</w:t>
      </w:r>
      <w:r w:rsidR="001264A3" w:rsidRPr="001264A3">
        <w:rPr>
          <w:rFonts w:cs="Arial"/>
        </w:rPr>
        <w:t xml:space="preserve"> podle dokumentu MD „Pravidla přípravy a realizace akcí dopravní infrastruktury financovaných Státním fondem dopravní infrastruktury, čj.: MD-46506/2024-910/1, 08/2024 a </w:t>
      </w:r>
      <w:r w:rsidR="001264A3" w:rsidRPr="001264A3">
        <w:rPr>
          <w:rFonts w:cs="Arial"/>
          <w:b/>
          <w:bCs/>
        </w:rPr>
        <w:t>Doprovodné dokumentace</w:t>
      </w:r>
      <w:r w:rsidR="001264A3">
        <w:rPr>
          <w:rFonts w:cs="Arial"/>
        </w:rPr>
        <w:t>.</w:t>
      </w:r>
    </w:p>
    <w:p w14:paraId="6E913C69" w14:textId="663707D9" w:rsidR="004850CE" w:rsidRDefault="004850CE" w:rsidP="0057152F">
      <w:pPr>
        <w:pStyle w:val="Odstavecseseznamem"/>
        <w:numPr>
          <w:ilvl w:val="1"/>
          <w:numId w:val="15"/>
        </w:numPr>
        <w:suppressAutoHyphens/>
        <w:spacing w:after="120"/>
        <w:contextualSpacing w:val="0"/>
        <w:jc w:val="both"/>
        <w:rPr>
          <w:rFonts w:cs="Arial"/>
        </w:rPr>
      </w:pPr>
      <w:r w:rsidRPr="00CD463D">
        <w:rPr>
          <w:rFonts w:cs="Arial"/>
        </w:rPr>
        <w:t xml:space="preserve">Bližší specifikace předmětu plnění veřejné zakázky je </w:t>
      </w:r>
      <w:r w:rsidR="00BA39FE" w:rsidRPr="000F2373">
        <w:rPr>
          <w:rFonts w:cs="Arial"/>
        </w:rPr>
        <w:t>uvedena</w:t>
      </w:r>
      <w:r w:rsidR="00BA39FE" w:rsidRPr="00CD463D">
        <w:rPr>
          <w:rFonts w:cs="Arial"/>
        </w:rPr>
        <w:t xml:space="preserve"> </w:t>
      </w:r>
      <w:r w:rsidRPr="00CD463D">
        <w:rPr>
          <w:rFonts w:cs="Arial"/>
        </w:rPr>
        <w:t>v dalších částech zadávací dokumentace.</w:t>
      </w:r>
    </w:p>
    <w:p w14:paraId="44E2AB2F" w14:textId="1C56001A" w:rsidR="000F2373"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Předpokládaná hodnota zakázky:</w:t>
      </w:r>
    </w:p>
    <w:p w14:paraId="2227F049" w14:textId="7CA2B752" w:rsidR="00F30C22" w:rsidRPr="001264A3" w:rsidRDefault="004850CE" w:rsidP="0057152F">
      <w:pPr>
        <w:pStyle w:val="Odstavecseseznamem"/>
        <w:numPr>
          <w:ilvl w:val="1"/>
          <w:numId w:val="15"/>
        </w:numPr>
        <w:suppressAutoHyphens/>
        <w:spacing w:after="120"/>
        <w:contextualSpacing w:val="0"/>
        <w:jc w:val="both"/>
        <w:rPr>
          <w:rFonts w:cs="Arial"/>
        </w:rPr>
      </w:pPr>
      <w:r w:rsidRPr="001264A3">
        <w:rPr>
          <w:rFonts w:cs="Arial"/>
        </w:rPr>
        <w:t>Zadavatelem stanovená předpokládaná hodnota zakázky činí </w:t>
      </w:r>
      <w:r w:rsidR="001264A3" w:rsidRPr="001264A3">
        <w:rPr>
          <w:rFonts w:cs="Arial"/>
          <w:b/>
          <w:bCs/>
        </w:rPr>
        <w:t xml:space="preserve">4 554 000 </w:t>
      </w:r>
      <w:r w:rsidRPr="001264A3">
        <w:rPr>
          <w:rFonts w:cs="Arial"/>
          <w:b/>
          <w:bCs/>
        </w:rPr>
        <w:t>Kč (bez DPH)</w:t>
      </w:r>
      <w:r w:rsidRPr="001264A3">
        <w:rPr>
          <w:rFonts w:cs="Arial"/>
        </w:rPr>
        <w:t>.</w:t>
      </w:r>
    </w:p>
    <w:p w14:paraId="25F69F5F" w14:textId="10FA6523"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Zadávací dokumentaci tvoří:</w:t>
      </w:r>
    </w:p>
    <w:p w14:paraId="014CBA09" w14:textId="77777777" w:rsidR="00736392" w:rsidRPr="00EA2B6B" w:rsidRDefault="00736392" w:rsidP="0057152F">
      <w:pPr>
        <w:pStyle w:val="Odstavecseseznamem"/>
        <w:numPr>
          <w:ilvl w:val="1"/>
          <w:numId w:val="15"/>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3" w:history="1">
        <w:r w:rsidRPr="00EA2B6B">
          <w:rPr>
            <w:rStyle w:val="Hypertextovodkaz"/>
            <w:lang w:eastAsia="cs-CZ"/>
          </w:rPr>
          <w:t>https://zakazky.spravazeleznic.cz/</w:t>
        </w:r>
      </w:hyperlink>
    </w:p>
    <w:p w14:paraId="7789996C" w14:textId="77777777" w:rsidR="004850CE" w:rsidRPr="000F2373" w:rsidRDefault="004850CE" w:rsidP="0057152F">
      <w:pPr>
        <w:pStyle w:val="Odstavecseseznamem"/>
        <w:numPr>
          <w:ilvl w:val="1"/>
          <w:numId w:val="15"/>
        </w:numPr>
        <w:suppressAutoHyphens/>
        <w:spacing w:after="120"/>
        <w:contextualSpacing w:val="0"/>
        <w:jc w:val="both"/>
        <w:rPr>
          <w:rFonts w:cs="Arial"/>
        </w:rPr>
      </w:pPr>
      <w:r w:rsidRPr="00066DAE">
        <w:rPr>
          <w:rFonts w:cs="Arial"/>
        </w:rPr>
        <w:t>Součástí zadávací dokumentace je:</w:t>
      </w:r>
    </w:p>
    <w:p w14:paraId="74CFC03D" w14:textId="342347C4" w:rsidR="004850CE" w:rsidRPr="00E26C30" w:rsidRDefault="004850CE" w:rsidP="0057152F">
      <w:pPr>
        <w:pStyle w:val="Odstavecseseznamem"/>
        <w:numPr>
          <w:ilvl w:val="0"/>
          <w:numId w:val="14"/>
        </w:numPr>
        <w:suppressAutoHyphens/>
        <w:spacing w:after="120"/>
        <w:contextualSpacing w:val="0"/>
        <w:jc w:val="both"/>
        <w:rPr>
          <w:rFonts w:cs="Arial"/>
        </w:rPr>
      </w:pPr>
      <w:r w:rsidRPr="00E26C30">
        <w:rPr>
          <w:rFonts w:cs="Arial"/>
        </w:rPr>
        <w:t xml:space="preserve">Výzva k podání nabídky </w:t>
      </w:r>
      <w:r w:rsidR="00F96C6E" w:rsidRPr="00E26C30">
        <w:rPr>
          <w:rFonts w:cs="Arial"/>
        </w:rPr>
        <w:t xml:space="preserve">vč. </w:t>
      </w:r>
      <w:r w:rsidR="000F2373" w:rsidRPr="00E26C30">
        <w:rPr>
          <w:rFonts w:cs="Arial"/>
        </w:rPr>
        <w:t>P</w:t>
      </w:r>
      <w:r w:rsidR="00F96C6E" w:rsidRPr="00E26C30">
        <w:rPr>
          <w:rFonts w:cs="Arial"/>
        </w:rPr>
        <w:t>říloh</w:t>
      </w:r>
    </w:p>
    <w:p w14:paraId="610EE137" w14:textId="78964383" w:rsidR="004850CE" w:rsidRPr="00815AD7" w:rsidRDefault="004850CE" w:rsidP="005A4239">
      <w:pPr>
        <w:pStyle w:val="Odstavecseseznamem"/>
        <w:numPr>
          <w:ilvl w:val="0"/>
          <w:numId w:val="14"/>
        </w:numPr>
        <w:suppressAutoHyphens/>
        <w:spacing w:after="120"/>
        <w:contextualSpacing w:val="0"/>
        <w:jc w:val="both"/>
        <w:rPr>
          <w:rFonts w:cs="Arial"/>
        </w:rPr>
      </w:pPr>
      <w:r w:rsidRPr="00815AD7">
        <w:rPr>
          <w:rFonts w:cs="Arial"/>
        </w:rPr>
        <w:lastRenderedPageBreak/>
        <w:t>Návrh Smlouvy o dílo vč. příloh</w:t>
      </w:r>
      <w:r w:rsidR="003C79A1" w:rsidRPr="00815AD7">
        <w:rPr>
          <w:rFonts w:cs="Arial"/>
        </w:rPr>
        <w:t xml:space="preserve"> </w:t>
      </w:r>
    </w:p>
    <w:p w14:paraId="23F7035C" w14:textId="77777777" w:rsidR="004850CE" w:rsidRDefault="006B110C" w:rsidP="008D6B3E">
      <w:pPr>
        <w:pStyle w:val="Odstavecseseznamem"/>
        <w:numPr>
          <w:ilvl w:val="1"/>
          <w:numId w:val="15"/>
        </w:numPr>
        <w:suppressAutoHyphens/>
        <w:spacing w:after="120"/>
        <w:contextualSpacing w:val="0"/>
        <w:jc w:val="both"/>
        <w:rPr>
          <w:rFonts w:cs="Arial"/>
        </w:rPr>
      </w:pPr>
      <w:r w:rsidRPr="000F2373">
        <w:rPr>
          <w:rFonts w:cs="Arial"/>
        </w:rPr>
        <w:t xml:space="preserve">Zadavatel umožňuje dodavateli přístup ke všem svým interním předpisům následujícím způsobem: </w:t>
      </w:r>
      <w:hyperlink r:id="rId14"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5"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56489ACA"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52020D" w:rsidRDefault="00113538" w:rsidP="00024041">
      <w:pPr>
        <w:pStyle w:val="Odstavecseseznamem"/>
        <w:numPr>
          <w:ilvl w:val="1"/>
          <w:numId w:val="15"/>
        </w:numPr>
        <w:suppressAutoHyphens/>
        <w:spacing w:after="120"/>
        <w:ind w:left="426" w:hanging="426"/>
        <w:contextualSpacing w:val="0"/>
        <w:jc w:val="both"/>
        <w:rPr>
          <w:rFonts w:cs="Arial"/>
          <w:b/>
          <w:bCs/>
        </w:rPr>
      </w:pPr>
      <w:r w:rsidRPr="0052020D">
        <w:rPr>
          <w:rFonts w:cs="Arial"/>
        </w:rPr>
        <w:t xml:space="preserve"> </w:t>
      </w:r>
      <w:r w:rsidR="004850CE" w:rsidRPr="0052020D">
        <w:rPr>
          <w:rFonts w:cs="Arial"/>
          <w:b/>
          <w:bCs/>
        </w:rPr>
        <w:t>Doba plnění:</w:t>
      </w:r>
    </w:p>
    <w:p w14:paraId="7ED4842C" w14:textId="3C1BBD91" w:rsidR="00B43526" w:rsidRPr="00B43526" w:rsidRDefault="00B43526" w:rsidP="00EE0D22">
      <w:pPr>
        <w:pStyle w:val="Odstavecseseznamem"/>
        <w:numPr>
          <w:ilvl w:val="0"/>
          <w:numId w:val="16"/>
        </w:numPr>
        <w:spacing w:before="120" w:after="120"/>
        <w:ind w:left="709" w:hanging="425"/>
        <w:contextualSpacing w:val="0"/>
        <w:jc w:val="both"/>
        <w:rPr>
          <w:rFonts w:ascii="Verdana" w:hAnsi="Verdana" w:cs="Arial"/>
        </w:rPr>
      </w:pPr>
      <w:r w:rsidRPr="00B43526">
        <w:rPr>
          <w:rFonts w:ascii="Verdana" w:hAnsi="Verdana" w:cs="Arial"/>
        </w:rPr>
        <w:t xml:space="preserve">Termín zahájení plnění: </w:t>
      </w:r>
      <w:r w:rsidR="00147E09" w:rsidRPr="00EE4926">
        <w:rPr>
          <w:rFonts w:ascii="Verdana" w:hAnsi="Verdana" w:cs="Arial"/>
          <w:b/>
          <w:bCs/>
        </w:rPr>
        <w:t>po nabytí účinnosti SOD</w:t>
      </w:r>
    </w:p>
    <w:p w14:paraId="4AFD6D7C" w14:textId="1F871E6F" w:rsidR="000F2373" w:rsidRPr="00B43526" w:rsidRDefault="00B43526" w:rsidP="0041115C">
      <w:pPr>
        <w:pStyle w:val="Odstavecseseznamem"/>
        <w:numPr>
          <w:ilvl w:val="0"/>
          <w:numId w:val="16"/>
        </w:numPr>
        <w:suppressAutoHyphens/>
        <w:spacing w:before="120" w:after="0"/>
        <w:ind w:left="709" w:hanging="425"/>
        <w:contextualSpacing w:val="0"/>
        <w:jc w:val="both"/>
        <w:rPr>
          <w:rFonts w:cs="Arial"/>
        </w:rPr>
      </w:pPr>
      <w:r w:rsidRPr="00B43526">
        <w:rPr>
          <w:rFonts w:ascii="Verdana" w:hAnsi="Verdana" w:cs="Arial"/>
        </w:rPr>
        <w:t xml:space="preserve">Termín ukončení plnění: </w:t>
      </w:r>
      <w:r w:rsidR="00654F7D">
        <w:rPr>
          <w:rFonts w:ascii="Verdana" w:hAnsi="Verdana" w:cs="Arial"/>
          <w:b/>
          <w:bCs/>
        </w:rPr>
        <w:t xml:space="preserve">do </w:t>
      </w:r>
      <w:r w:rsidR="006F0AAB" w:rsidRPr="006F0AAB">
        <w:rPr>
          <w:rFonts w:ascii="Verdana" w:hAnsi="Verdana" w:cs="Arial"/>
          <w:b/>
          <w:bCs/>
        </w:rPr>
        <w:t>6 měsíců od předložení ZP na MD</w:t>
      </w:r>
    </w:p>
    <w:tbl>
      <w:tblPr>
        <w:tblW w:w="5000" w:type="pct"/>
        <w:tblInd w:w="-142" w:type="dxa"/>
        <w:tblCellMar>
          <w:left w:w="70" w:type="dxa"/>
          <w:right w:w="70" w:type="dxa"/>
        </w:tblCellMar>
        <w:tblLook w:val="04A0" w:firstRow="1" w:lastRow="0" w:firstColumn="1" w:lastColumn="0" w:noHBand="0" w:noVBand="1"/>
      </w:tblPr>
      <w:tblGrid>
        <w:gridCol w:w="210"/>
        <w:gridCol w:w="1869"/>
        <w:gridCol w:w="2261"/>
        <w:gridCol w:w="2428"/>
        <w:gridCol w:w="1934"/>
      </w:tblGrid>
      <w:tr w:rsidR="00453910" w:rsidRPr="00AD7C32" w14:paraId="708A2C7A" w14:textId="77777777" w:rsidTr="00305632">
        <w:trPr>
          <w:gridBefore w:val="1"/>
          <w:wBefore w:w="121" w:type="pct"/>
          <w:trHeight w:val="393"/>
        </w:trPr>
        <w:tc>
          <w:tcPr>
            <w:tcW w:w="4879" w:type="pct"/>
            <w:gridSpan w:val="4"/>
            <w:tcBorders>
              <w:top w:val="nil"/>
              <w:left w:val="nil"/>
              <w:bottom w:val="nil"/>
              <w:right w:val="nil"/>
            </w:tcBorders>
            <w:noWrap/>
            <w:vAlign w:val="bottom"/>
            <w:hideMark/>
          </w:tcPr>
          <w:p w14:paraId="4C9E50AF" w14:textId="77777777" w:rsidR="00453910" w:rsidRPr="00453910" w:rsidRDefault="00453910" w:rsidP="00B205AE">
            <w:pPr>
              <w:spacing w:before="120" w:after="120"/>
              <w:jc w:val="both"/>
              <w:rPr>
                <w:rFonts w:ascii="Verdana" w:hAnsi="Verdana" w:cs="Arial"/>
                <w:highlight w:val="yellow"/>
              </w:rPr>
            </w:pPr>
            <w:r w:rsidRPr="00EE4926">
              <w:rPr>
                <w:rFonts w:ascii="Verdana" w:hAnsi="Verdana" w:cs="Arial"/>
                <w:b/>
                <w:bCs/>
              </w:rPr>
              <w:t>Harmonogram plnění</w:t>
            </w:r>
          </w:p>
        </w:tc>
      </w:tr>
      <w:tr w:rsidR="00152EAB" w:rsidRPr="00CA2F8F" w14:paraId="2534EFEA" w14:textId="77777777" w:rsidTr="006A5854">
        <w:trPr>
          <w:trHeight w:val="300"/>
        </w:trPr>
        <w:tc>
          <w:tcPr>
            <w:tcW w:w="1195" w:type="pct"/>
            <w:gridSpan w:val="2"/>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FD93B87" w14:textId="25431CFE" w:rsidR="00152EAB" w:rsidRPr="00EE4926" w:rsidRDefault="00152EAB" w:rsidP="00152EAB">
            <w:pPr>
              <w:spacing w:after="0"/>
              <w:jc w:val="center"/>
              <w:rPr>
                <w:rFonts w:ascii="Verdana" w:hAnsi="Verdana" w:cs="Arial"/>
                <w:b/>
                <w:bCs/>
                <w:i/>
                <w:iCs/>
                <w:u w:val="single"/>
              </w:rPr>
            </w:pPr>
            <w:r w:rsidRPr="00EE4926">
              <w:rPr>
                <w:rFonts w:ascii="Verdana" w:hAnsi="Verdana" w:cs="Arial"/>
                <w:b/>
                <w:bCs/>
                <w:i/>
                <w:iCs/>
                <w:u w:val="single"/>
              </w:rPr>
              <w:t>Dílo</w:t>
            </w:r>
          </w:p>
        </w:tc>
        <w:tc>
          <w:tcPr>
            <w:tcW w:w="1299" w:type="pct"/>
            <w:tcBorders>
              <w:top w:val="single" w:sz="8" w:space="0" w:color="auto"/>
              <w:left w:val="nil"/>
              <w:bottom w:val="nil"/>
              <w:right w:val="single" w:sz="8" w:space="0" w:color="auto"/>
            </w:tcBorders>
            <w:shd w:val="clear" w:color="000000" w:fill="C0C0C0"/>
            <w:vAlign w:val="center"/>
            <w:hideMark/>
          </w:tcPr>
          <w:p w14:paraId="4BCDA9F2" w14:textId="3750E5C4" w:rsidR="00152EAB" w:rsidRPr="00EE4926" w:rsidRDefault="00152EAB" w:rsidP="00152EAB">
            <w:pPr>
              <w:spacing w:before="240" w:after="120"/>
              <w:jc w:val="center"/>
              <w:rPr>
                <w:rFonts w:ascii="Verdana" w:hAnsi="Verdana" w:cs="Arial"/>
                <w:b/>
                <w:bCs/>
                <w:i/>
                <w:iCs/>
                <w:u w:val="single"/>
              </w:rPr>
            </w:pPr>
            <w:r w:rsidRPr="00EE4926">
              <w:rPr>
                <w:rFonts w:ascii="Verdana" w:hAnsi="Verdana" w:cs="Arial"/>
                <w:b/>
                <w:bCs/>
                <w:i/>
                <w:iCs/>
                <w:u w:val="single"/>
              </w:rPr>
              <w:t>Termín plnění</w:t>
            </w:r>
          </w:p>
        </w:tc>
        <w:tc>
          <w:tcPr>
            <w:tcW w:w="1395"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BFD8527" w14:textId="412231A6" w:rsidR="00152EAB" w:rsidRPr="00EE4926" w:rsidRDefault="00152EAB" w:rsidP="00152EAB">
            <w:pPr>
              <w:spacing w:after="0"/>
              <w:jc w:val="center"/>
              <w:rPr>
                <w:rFonts w:ascii="Verdana" w:hAnsi="Verdana" w:cs="Arial"/>
                <w:b/>
                <w:bCs/>
                <w:i/>
                <w:iCs/>
                <w:u w:val="single"/>
              </w:rPr>
            </w:pPr>
            <w:r w:rsidRPr="00EE4926">
              <w:rPr>
                <w:rFonts w:ascii="Verdana" w:hAnsi="Verdana" w:cs="Arial"/>
                <w:b/>
                <w:bCs/>
                <w:i/>
                <w:iCs/>
                <w:u w:val="single"/>
              </w:rPr>
              <w:t>Popis činností prováděných v Dílčí etapě</w:t>
            </w:r>
          </w:p>
        </w:tc>
        <w:tc>
          <w:tcPr>
            <w:tcW w:w="111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7E9F3A6" w14:textId="044B5264" w:rsidR="00152EAB" w:rsidRPr="00EE4926" w:rsidRDefault="00152EAB" w:rsidP="00152EAB">
            <w:pPr>
              <w:spacing w:after="0"/>
              <w:jc w:val="center"/>
              <w:rPr>
                <w:rFonts w:ascii="Verdana" w:hAnsi="Verdana" w:cs="Arial"/>
                <w:b/>
                <w:bCs/>
                <w:i/>
                <w:iCs/>
                <w:u w:val="single"/>
              </w:rPr>
            </w:pPr>
            <w:r w:rsidRPr="00EE4926">
              <w:rPr>
                <w:rFonts w:ascii="Verdana" w:hAnsi="Verdana" w:cs="Arial"/>
                <w:b/>
                <w:bCs/>
                <w:i/>
                <w:iCs/>
                <w:u w:val="single"/>
              </w:rPr>
              <w:t>Podmínky dokončení Dílčí etapy</w:t>
            </w:r>
          </w:p>
        </w:tc>
      </w:tr>
      <w:tr w:rsidR="00152EAB" w:rsidRPr="00CA2F8F" w14:paraId="4AD17DAB" w14:textId="77777777" w:rsidTr="00305632">
        <w:trPr>
          <w:trHeight w:val="424"/>
        </w:trPr>
        <w:tc>
          <w:tcPr>
            <w:tcW w:w="1195" w:type="pct"/>
            <w:gridSpan w:val="2"/>
            <w:vMerge/>
            <w:tcBorders>
              <w:top w:val="single" w:sz="8" w:space="0" w:color="auto"/>
              <w:left w:val="single" w:sz="8" w:space="0" w:color="auto"/>
              <w:bottom w:val="single" w:sz="8" w:space="0" w:color="000000"/>
              <w:right w:val="single" w:sz="8" w:space="0" w:color="auto"/>
            </w:tcBorders>
            <w:vAlign w:val="center"/>
            <w:hideMark/>
          </w:tcPr>
          <w:p w14:paraId="7AE497DB" w14:textId="77777777" w:rsidR="00152EAB" w:rsidRPr="00EE4926" w:rsidRDefault="00152EAB" w:rsidP="00152EAB">
            <w:pPr>
              <w:jc w:val="center"/>
              <w:rPr>
                <w:rFonts w:ascii="Verdana" w:hAnsi="Verdana" w:cs="Arial"/>
                <w:b/>
                <w:bCs/>
                <w:i/>
                <w:iCs/>
                <w:u w:val="single"/>
              </w:rPr>
            </w:pPr>
          </w:p>
        </w:tc>
        <w:tc>
          <w:tcPr>
            <w:tcW w:w="1299" w:type="pct"/>
            <w:tcBorders>
              <w:top w:val="nil"/>
              <w:left w:val="nil"/>
              <w:bottom w:val="single" w:sz="8" w:space="0" w:color="auto"/>
              <w:right w:val="single" w:sz="8" w:space="0" w:color="auto"/>
            </w:tcBorders>
            <w:shd w:val="clear" w:color="000000" w:fill="C0C0C0"/>
            <w:hideMark/>
          </w:tcPr>
          <w:p w14:paraId="2EA2A113" w14:textId="388B6963" w:rsidR="00152EAB" w:rsidRPr="00EE4926" w:rsidRDefault="00152EAB" w:rsidP="00152EAB">
            <w:pPr>
              <w:spacing w:after="120"/>
              <w:jc w:val="center"/>
              <w:rPr>
                <w:rFonts w:ascii="Verdana" w:hAnsi="Verdana" w:cs="Arial"/>
                <w:i/>
                <w:iCs/>
              </w:rPr>
            </w:pPr>
            <w:r w:rsidRPr="00EE4926">
              <w:rPr>
                <w:rFonts w:ascii="Verdana" w:hAnsi="Verdana" w:cs="Arial"/>
                <w:i/>
                <w:iCs/>
              </w:rPr>
              <w:t>(nejzazší termín pro předání příslušné části Díla)</w:t>
            </w:r>
          </w:p>
        </w:tc>
        <w:tc>
          <w:tcPr>
            <w:tcW w:w="1395" w:type="pct"/>
            <w:vMerge/>
            <w:tcBorders>
              <w:top w:val="single" w:sz="8" w:space="0" w:color="auto"/>
              <w:left w:val="single" w:sz="8" w:space="0" w:color="auto"/>
              <w:bottom w:val="single" w:sz="8" w:space="0" w:color="000000"/>
              <w:right w:val="single" w:sz="8" w:space="0" w:color="auto"/>
            </w:tcBorders>
            <w:vAlign w:val="center"/>
            <w:hideMark/>
          </w:tcPr>
          <w:p w14:paraId="300A1AC3" w14:textId="77777777" w:rsidR="00152EAB" w:rsidRPr="00EE4926" w:rsidRDefault="00152EAB" w:rsidP="00152EAB">
            <w:pPr>
              <w:jc w:val="center"/>
              <w:rPr>
                <w:rFonts w:ascii="Verdana" w:hAnsi="Verdana" w:cs="Arial"/>
                <w:b/>
                <w:bCs/>
                <w:i/>
                <w:iCs/>
                <w:u w:val="single"/>
              </w:rPr>
            </w:pPr>
          </w:p>
        </w:tc>
        <w:tc>
          <w:tcPr>
            <w:tcW w:w="1111" w:type="pct"/>
            <w:vMerge/>
            <w:tcBorders>
              <w:top w:val="single" w:sz="8" w:space="0" w:color="auto"/>
              <w:left w:val="single" w:sz="8" w:space="0" w:color="auto"/>
              <w:bottom w:val="single" w:sz="8" w:space="0" w:color="000000"/>
              <w:right w:val="single" w:sz="8" w:space="0" w:color="auto"/>
            </w:tcBorders>
            <w:vAlign w:val="center"/>
            <w:hideMark/>
          </w:tcPr>
          <w:p w14:paraId="0EB181E9" w14:textId="77777777" w:rsidR="00152EAB" w:rsidRPr="00EE4926" w:rsidRDefault="00152EAB" w:rsidP="00152EAB">
            <w:pPr>
              <w:jc w:val="center"/>
              <w:rPr>
                <w:rFonts w:ascii="Verdana" w:hAnsi="Verdana" w:cs="Arial"/>
                <w:b/>
                <w:bCs/>
                <w:i/>
                <w:iCs/>
                <w:u w:val="single"/>
              </w:rPr>
            </w:pPr>
          </w:p>
        </w:tc>
      </w:tr>
      <w:tr w:rsidR="00B62908" w:rsidRPr="00CA2F8F" w14:paraId="2C13E93E" w14:textId="77777777" w:rsidTr="00C8422F">
        <w:trPr>
          <w:trHeight w:val="919"/>
        </w:trPr>
        <w:tc>
          <w:tcPr>
            <w:tcW w:w="1195" w:type="pct"/>
            <w:gridSpan w:val="2"/>
            <w:tcBorders>
              <w:top w:val="nil"/>
              <w:left w:val="single" w:sz="8" w:space="0" w:color="auto"/>
              <w:bottom w:val="single" w:sz="8" w:space="0" w:color="auto"/>
              <w:right w:val="single" w:sz="8" w:space="0" w:color="auto"/>
            </w:tcBorders>
            <w:shd w:val="clear" w:color="000000" w:fill="FFFFFF"/>
          </w:tcPr>
          <w:p w14:paraId="322DC387" w14:textId="75C8C55E" w:rsidR="00B62908" w:rsidRPr="00EE4926" w:rsidRDefault="00B62908" w:rsidP="00B62908">
            <w:pPr>
              <w:spacing w:after="0"/>
              <w:jc w:val="center"/>
              <w:rPr>
                <w:rFonts w:ascii="Verdana" w:hAnsi="Verdana" w:cs="Arial"/>
                <w:b/>
                <w:bCs/>
              </w:rPr>
            </w:pPr>
            <w:bookmarkStart w:id="2" w:name="_Hlk180099685"/>
            <w:r w:rsidRPr="00EE4926">
              <w:rPr>
                <w:rFonts w:ascii="Verdana" w:hAnsi="Verdana" w:cs="Arial"/>
                <w:b/>
                <w:bCs/>
              </w:rPr>
              <w:t>1. dílčí etapa</w:t>
            </w:r>
          </w:p>
        </w:tc>
        <w:tc>
          <w:tcPr>
            <w:tcW w:w="1299" w:type="pct"/>
            <w:tcBorders>
              <w:top w:val="nil"/>
              <w:left w:val="nil"/>
              <w:bottom w:val="single" w:sz="8" w:space="0" w:color="auto"/>
              <w:right w:val="single" w:sz="8" w:space="0" w:color="auto"/>
            </w:tcBorders>
            <w:shd w:val="clear" w:color="000000" w:fill="FFFFFF"/>
          </w:tcPr>
          <w:p w14:paraId="06C8E00D" w14:textId="0C3FDEAE" w:rsidR="00B62908" w:rsidRPr="00EE4926" w:rsidRDefault="00B62908" w:rsidP="00B62908">
            <w:pPr>
              <w:spacing w:after="0"/>
              <w:jc w:val="center"/>
              <w:rPr>
                <w:rFonts w:ascii="Verdana" w:hAnsi="Verdana" w:cs="Arial"/>
                <w:b/>
                <w:bCs/>
              </w:rPr>
            </w:pPr>
            <w:r w:rsidRPr="00EE4926">
              <w:rPr>
                <w:rFonts w:ascii="Verdana" w:hAnsi="Verdana" w:cs="Arial"/>
                <w:b/>
                <w:bCs/>
              </w:rPr>
              <w:t xml:space="preserve">do </w:t>
            </w:r>
            <w:r w:rsidR="001264A3" w:rsidRPr="00EE4926">
              <w:rPr>
                <w:rFonts w:ascii="Verdana" w:hAnsi="Verdana" w:cs="Arial"/>
                <w:b/>
                <w:bCs/>
              </w:rPr>
              <w:t>8</w:t>
            </w:r>
            <w:r w:rsidRPr="00EE4926">
              <w:rPr>
                <w:rFonts w:ascii="Verdana" w:hAnsi="Verdana" w:cs="Arial"/>
                <w:b/>
                <w:bCs/>
              </w:rPr>
              <w:t xml:space="preserve"> měsíců od nabytí účinnosti SOD</w:t>
            </w:r>
          </w:p>
        </w:tc>
        <w:tc>
          <w:tcPr>
            <w:tcW w:w="1395" w:type="pct"/>
            <w:tcBorders>
              <w:top w:val="nil"/>
              <w:left w:val="nil"/>
              <w:bottom w:val="single" w:sz="8" w:space="0" w:color="auto"/>
              <w:right w:val="single" w:sz="8" w:space="0" w:color="auto"/>
            </w:tcBorders>
            <w:shd w:val="clear" w:color="000000" w:fill="FFFFFF"/>
          </w:tcPr>
          <w:p w14:paraId="5CA709C2" w14:textId="4F633341" w:rsidR="00B62908" w:rsidRPr="00EE4926" w:rsidRDefault="001264A3" w:rsidP="00B62908">
            <w:pPr>
              <w:pStyle w:val="TPText-3neslovan"/>
              <w:tabs>
                <w:tab w:val="num" w:pos="851"/>
              </w:tabs>
              <w:spacing w:before="0"/>
              <w:ind w:left="0"/>
              <w:jc w:val="center"/>
              <w:rPr>
                <w:rFonts w:ascii="Verdana" w:hAnsi="Verdana"/>
              </w:rPr>
            </w:pPr>
            <w:r w:rsidRPr="00EE4926">
              <w:rPr>
                <w:rFonts w:ascii="Verdana" w:hAnsi="Verdana"/>
                <w:bCs/>
                <w:sz w:val="18"/>
                <w:szCs w:val="18"/>
              </w:rPr>
              <w:t xml:space="preserve">Návrh technického řešení ZP </w:t>
            </w:r>
          </w:p>
        </w:tc>
        <w:tc>
          <w:tcPr>
            <w:tcW w:w="1111" w:type="pct"/>
            <w:tcBorders>
              <w:top w:val="nil"/>
              <w:left w:val="nil"/>
              <w:bottom w:val="single" w:sz="8" w:space="0" w:color="auto"/>
              <w:right w:val="single" w:sz="8" w:space="0" w:color="auto"/>
            </w:tcBorders>
            <w:shd w:val="clear" w:color="000000" w:fill="FFFFFF"/>
          </w:tcPr>
          <w:p w14:paraId="337BB678" w14:textId="31986388" w:rsidR="00B62908" w:rsidRPr="00EE4926" w:rsidRDefault="00B62908" w:rsidP="00B62908">
            <w:pPr>
              <w:spacing w:after="0"/>
              <w:ind w:left="73" w:right="-54"/>
              <w:jc w:val="center"/>
              <w:rPr>
                <w:rFonts w:ascii="Verdana" w:hAnsi="Verdana" w:cs="Arial"/>
              </w:rPr>
            </w:pPr>
            <w:r w:rsidRPr="00EE4926">
              <w:rPr>
                <w:rFonts w:ascii="Verdana" w:hAnsi="Verdana" w:cs="Arial"/>
              </w:rPr>
              <w:t>Předávací protokol podepsaný oběma stranami</w:t>
            </w:r>
          </w:p>
        </w:tc>
      </w:tr>
      <w:tr w:rsidR="00B62908" w:rsidRPr="00CA2F8F" w14:paraId="1D397C32" w14:textId="77777777" w:rsidTr="00EE4926">
        <w:trPr>
          <w:trHeight w:val="1440"/>
        </w:trPr>
        <w:tc>
          <w:tcPr>
            <w:tcW w:w="1195" w:type="pct"/>
            <w:gridSpan w:val="2"/>
            <w:tcBorders>
              <w:top w:val="nil"/>
              <w:left w:val="single" w:sz="8" w:space="0" w:color="auto"/>
              <w:bottom w:val="single" w:sz="8" w:space="0" w:color="auto"/>
              <w:right w:val="single" w:sz="8" w:space="0" w:color="auto"/>
            </w:tcBorders>
            <w:shd w:val="clear" w:color="000000" w:fill="FFFFFF"/>
          </w:tcPr>
          <w:p w14:paraId="12E7CC96" w14:textId="335CAFEC" w:rsidR="00B62908" w:rsidRPr="00EE4926" w:rsidRDefault="00B62908" w:rsidP="00B62908">
            <w:pPr>
              <w:spacing w:after="0"/>
              <w:jc w:val="center"/>
              <w:rPr>
                <w:rFonts w:ascii="Verdana" w:hAnsi="Verdana" w:cs="Arial"/>
                <w:b/>
                <w:bCs/>
              </w:rPr>
            </w:pPr>
            <w:r w:rsidRPr="00EE4926">
              <w:rPr>
                <w:rFonts w:ascii="Verdana" w:hAnsi="Verdana" w:cs="Arial"/>
                <w:b/>
                <w:bCs/>
              </w:rPr>
              <w:t>2. dílčí etapa</w:t>
            </w:r>
          </w:p>
        </w:tc>
        <w:tc>
          <w:tcPr>
            <w:tcW w:w="1299" w:type="pct"/>
            <w:tcBorders>
              <w:top w:val="nil"/>
              <w:left w:val="nil"/>
              <w:bottom w:val="single" w:sz="8" w:space="0" w:color="auto"/>
              <w:right w:val="single" w:sz="8" w:space="0" w:color="auto"/>
            </w:tcBorders>
            <w:shd w:val="clear" w:color="000000" w:fill="FFFFFF"/>
          </w:tcPr>
          <w:p w14:paraId="60B21931" w14:textId="49097974" w:rsidR="00B62908" w:rsidRPr="00EE4926" w:rsidRDefault="00B62908" w:rsidP="00B62908">
            <w:pPr>
              <w:spacing w:after="0"/>
              <w:jc w:val="center"/>
              <w:rPr>
                <w:rFonts w:ascii="Verdana" w:hAnsi="Verdana" w:cs="Arial"/>
                <w:b/>
                <w:bCs/>
              </w:rPr>
            </w:pPr>
            <w:r w:rsidRPr="00EE4926">
              <w:rPr>
                <w:rFonts w:ascii="Verdana" w:hAnsi="Verdana" w:cs="Arial"/>
                <w:b/>
                <w:bCs/>
              </w:rPr>
              <w:t xml:space="preserve">do </w:t>
            </w:r>
            <w:r w:rsidR="001264A3" w:rsidRPr="00EE4926">
              <w:rPr>
                <w:rFonts w:ascii="Verdana" w:hAnsi="Verdana" w:cs="Arial"/>
                <w:b/>
                <w:bCs/>
              </w:rPr>
              <w:t>10</w:t>
            </w:r>
            <w:r w:rsidRPr="00EE4926">
              <w:rPr>
                <w:rFonts w:ascii="Verdana" w:hAnsi="Verdana" w:cs="Arial"/>
                <w:b/>
                <w:bCs/>
              </w:rPr>
              <w:t xml:space="preserve"> měsíců od nabytí účinnosti SOD</w:t>
            </w:r>
          </w:p>
        </w:tc>
        <w:tc>
          <w:tcPr>
            <w:tcW w:w="1395" w:type="pct"/>
            <w:tcBorders>
              <w:top w:val="nil"/>
              <w:left w:val="nil"/>
              <w:bottom w:val="single" w:sz="8" w:space="0" w:color="auto"/>
              <w:right w:val="single" w:sz="8" w:space="0" w:color="auto"/>
            </w:tcBorders>
            <w:shd w:val="clear" w:color="000000" w:fill="FFFFFF"/>
          </w:tcPr>
          <w:p w14:paraId="2B7D4B23" w14:textId="3D8749B2" w:rsidR="00B62908" w:rsidRPr="00EE4926" w:rsidRDefault="001264A3" w:rsidP="00B62908">
            <w:pPr>
              <w:pStyle w:val="TPText-3neslovan"/>
              <w:tabs>
                <w:tab w:val="num" w:pos="851"/>
              </w:tabs>
              <w:spacing w:before="0"/>
              <w:ind w:left="0"/>
              <w:jc w:val="center"/>
              <w:rPr>
                <w:rFonts w:ascii="Verdana" w:hAnsi="Verdana"/>
                <w:bCs/>
                <w:sz w:val="18"/>
                <w:szCs w:val="18"/>
              </w:rPr>
            </w:pPr>
            <w:r w:rsidRPr="00EE4926">
              <w:rPr>
                <w:rFonts w:ascii="Verdana" w:hAnsi="Verdana"/>
                <w:sz w:val="18"/>
                <w:szCs w:val="18"/>
              </w:rPr>
              <w:t xml:space="preserve">Předložení technického řešení ZP se zapracovanými připomínkami + náklady a EH + DD k připomínkám </w:t>
            </w:r>
          </w:p>
        </w:tc>
        <w:tc>
          <w:tcPr>
            <w:tcW w:w="1111" w:type="pct"/>
            <w:tcBorders>
              <w:top w:val="nil"/>
              <w:left w:val="nil"/>
              <w:bottom w:val="single" w:sz="8" w:space="0" w:color="auto"/>
              <w:right w:val="single" w:sz="8" w:space="0" w:color="auto"/>
            </w:tcBorders>
            <w:shd w:val="clear" w:color="000000" w:fill="FFFFFF"/>
          </w:tcPr>
          <w:p w14:paraId="3DDE88F9" w14:textId="20ACCF98" w:rsidR="00B62908" w:rsidRPr="00EE4926" w:rsidRDefault="00B62908" w:rsidP="001264A3">
            <w:pPr>
              <w:jc w:val="both"/>
              <w:rPr>
                <w:rFonts w:ascii="Verdana" w:hAnsi="Verdana" w:cs="Arial"/>
              </w:rPr>
            </w:pPr>
            <w:r w:rsidRPr="00EE4926">
              <w:rPr>
                <w:rFonts w:ascii="Verdana" w:hAnsi="Verdana" w:cs="Arial"/>
              </w:rPr>
              <w:t>Předávací protokol podepsaný oběma stranami</w:t>
            </w:r>
          </w:p>
        </w:tc>
      </w:tr>
      <w:tr w:rsidR="00C44E70" w:rsidRPr="00CA2F8F" w14:paraId="0059BFEC" w14:textId="77777777" w:rsidTr="0066240A">
        <w:trPr>
          <w:trHeight w:val="965"/>
        </w:trPr>
        <w:tc>
          <w:tcPr>
            <w:tcW w:w="1195" w:type="pct"/>
            <w:gridSpan w:val="2"/>
            <w:tcBorders>
              <w:top w:val="nil"/>
              <w:left w:val="single" w:sz="8" w:space="0" w:color="auto"/>
              <w:bottom w:val="single" w:sz="8" w:space="0" w:color="auto"/>
              <w:right w:val="single" w:sz="8" w:space="0" w:color="auto"/>
            </w:tcBorders>
            <w:shd w:val="clear" w:color="000000" w:fill="FFFFFF"/>
          </w:tcPr>
          <w:p w14:paraId="034C9A85" w14:textId="47C887AA" w:rsidR="00C44E70" w:rsidRPr="00654F7D" w:rsidRDefault="00C44E70" w:rsidP="00C44E70">
            <w:pPr>
              <w:pStyle w:val="Odstavecseseznamem"/>
              <w:spacing w:after="0"/>
              <w:ind w:left="390" w:hanging="173"/>
              <w:rPr>
                <w:rFonts w:ascii="Verdana" w:hAnsi="Verdana" w:cs="Arial"/>
                <w:b/>
                <w:bCs/>
              </w:rPr>
            </w:pPr>
            <w:r w:rsidRPr="00654F7D">
              <w:rPr>
                <w:rFonts w:ascii="Verdana" w:hAnsi="Verdana" w:cs="Arial"/>
                <w:b/>
                <w:bCs/>
              </w:rPr>
              <w:t xml:space="preserve">3. dílčí etapa </w:t>
            </w:r>
          </w:p>
        </w:tc>
        <w:tc>
          <w:tcPr>
            <w:tcW w:w="1299" w:type="pct"/>
            <w:tcBorders>
              <w:top w:val="nil"/>
              <w:left w:val="nil"/>
              <w:bottom w:val="single" w:sz="8" w:space="0" w:color="auto"/>
              <w:right w:val="single" w:sz="8" w:space="0" w:color="auto"/>
            </w:tcBorders>
            <w:shd w:val="clear" w:color="000000" w:fill="FFFFFF"/>
          </w:tcPr>
          <w:p w14:paraId="2CD08124" w14:textId="2EE13CFD" w:rsidR="00C44E70" w:rsidRPr="00654F7D" w:rsidRDefault="00C44E70" w:rsidP="00C44E70">
            <w:pPr>
              <w:jc w:val="center"/>
              <w:rPr>
                <w:rFonts w:ascii="Verdana" w:hAnsi="Verdana" w:cs="Arial"/>
                <w:b/>
                <w:bCs/>
              </w:rPr>
            </w:pPr>
            <w:r w:rsidRPr="00654F7D">
              <w:rPr>
                <w:rFonts w:ascii="Verdana" w:hAnsi="Verdana" w:cs="Arial"/>
                <w:b/>
                <w:bCs/>
              </w:rPr>
              <w:t xml:space="preserve">Do 12 měsíců od </w:t>
            </w:r>
            <w:r w:rsidRPr="00654F7D">
              <w:rPr>
                <w:rFonts w:cs="Arial"/>
                <w:b/>
                <w:bCs/>
              </w:rPr>
              <w:t xml:space="preserve">účinnosti SOD </w:t>
            </w:r>
          </w:p>
        </w:tc>
        <w:tc>
          <w:tcPr>
            <w:tcW w:w="1395" w:type="pct"/>
            <w:tcBorders>
              <w:top w:val="nil"/>
              <w:left w:val="nil"/>
              <w:bottom w:val="single" w:sz="8" w:space="0" w:color="auto"/>
              <w:right w:val="single" w:sz="8" w:space="0" w:color="auto"/>
            </w:tcBorders>
            <w:shd w:val="clear" w:color="000000" w:fill="FFFFFF"/>
          </w:tcPr>
          <w:p w14:paraId="55F6FB9E" w14:textId="552DD3B1" w:rsidR="00C44E70" w:rsidRPr="00654F7D" w:rsidRDefault="00C44E70" w:rsidP="00C44E70">
            <w:pPr>
              <w:pStyle w:val="TSlneksmlouvy"/>
              <w:spacing w:before="0" w:after="0" w:line="240" w:lineRule="auto"/>
              <w:ind w:left="0" w:right="-54"/>
              <w:rPr>
                <w:rFonts w:ascii="Verdana" w:hAnsi="Verdana" w:cs="Arial"/>
                <w:b w:val="0"/>
                <w:sz w:val="18"/>
                <w:szCs w:val="18"/>
                <w:u w:val="none"/>
                <w:lang w:val="cs-CZ"/>
              </w:rPr>
            </w:pPr>
            <w:r w:rsidRPr="00654F7D">
              <w:rPr>
                <w:rFonts w:ascii="Verdana" w:hAnsi="Verdana" w:cs="Arial"/>
                <w:b w:val="0"/>
                <w:sz w:val="18"/>
                <w:szCs w:val="18"/>
                <w:u w:val="none"/>
                <w:lang w:val="cs-CZ"/>
              </w:rPr>
              <w:t>Čistopis ZP +DD</w:t>
            </w:r>
          </w:p>
        </w:tc>
        <w:tc>
          <w:tcPr>
            <w:tcW w:w="1111" w:type="pct"/>
            <w:tcBorders>
              <w:top w:val="nil"/>
              <w:left w:val="nil"/>
              <w:bottom w:val="single" w:sz="8" w:space="0" w:color="auto"/>
              <w:right w:val="single" w:sz="8" w:space="0" w:color="auto"/>
            </w:tcBorders>
            <w:shd w:val="clear" w:color="000000" w:fill="FFFFFF"/>
          </w:tcPr>
          <w:p w14:paraId="7F1FC1C6" w14:textId="5A1F16A6" w:rsidR="00C44E70" w:rsidRPr="00654F7D" w:rsidRDefault="00C44E70" w:rsidP="00C44E70">
            <w:pPr>
              <w:jc w:val="both"/>
              <w:rPr>
                <w:rFonts w:ascii="Verdana" w:hAnsi="Verdana" w:cs="Arial"/>
              </w:rPr>
            </w:pPr>
            <w:r w:rsidRPr="00654F7D">
              <w:rPr>
                <w:rFonts w:ascii="Verdana" w:hAnsi="Verdana" w:cs="Arial"/>
              </w:rPr>
              <w:t>Předávací protokol podepsaný oběma stranami</w:t>
            </w:r>
          </w:p>
        </w:tc>
      </w:tr>
      <w:tr w:rsidR="00C44E70" w:rsidRPr="00CA2F8F" w14:paraId="67006774" w14:textId="77777777" w:rsidTr="00654F7D">
        <w:trPr>
          <w:trHeight w:val="776"/>
        </w:trPr>
        <w:tc>
          <w:tcPr>
            <w:tcW w:w="1195" w:type="pct"/>
            <w:gridSpan w:val="2"/>
            <w:tcBorders>
              <w:top w:val="nil"/>
              <w:left w:val="single" w:sz="8" w:space="0" w:color="auto"/>
              <w:bottom w:val="single" w:sz="8" w:space="0" w:color="auto"/>
              <w:right w:val="single" w:sz="8" w:space="0" w:color="auto"/>
            </w:tcBorders>
            <w:shd w:val="clear" w:color="000000" w:fill="FFFFFF"/>
          </w:tcPr>
          <w:p w14:paraId="225FD5DD" w14:textId="54367237" w:rsidR="00C44E70" w:rsidRPr="00654F7D" w:rsidRDefault="00C44E70" w:rsidP="00C44E70">
            <w:pPr>
              <w:pStyle w:val="Odstavecseseznamem"/>
              <w:spacing w:after="0"/>
              <w:ind w:left="390" w:hanging="173"/>
              <w:rPr>
                <w:rFonts w:ascii="Verdana" w:hAnsi="Verdana" w:cs="Arial"/>
                <w:b/>
                <w:bCs/>
              </w:rPr>
            </w:pPr>
            <w:r w:rsidRPr="00654F7D">
              <w:rPr>
                <w:rFonts w:ascii="Verdana" w:hAnsi="Verdana" w:cs="Arial"/>
                <w:b/>
                <w:bCs/>
              </w:rPr>
              <w:t>4. dílčí etapa – ukončení díla</w:t>
            </w:r>
          </w:p>
        </w:tc>
        <w:tc>
          <w:tcPr>
            <w:tcW w:w="1299" w:type="pct"/>
            <w:tcBorders>
              <w:top w:val="nil"/>
              <w:left w:val="nil"/>
              <w:bottom w:val="single" w:sz="8" w:space="0" w:color="auto"/>
              <w:right w:val="single" w:sz="8" w:space="0" w:color="auto"/>
            </w:tcBorders>
            <w:shd w:val="clear" w:color="000000" w:fill="FFFFFF"/>
          </w:tcPr>
          <w:p w14:paraId="519C5288" w14:textId="3EF93119" w:rsidR="00C44E70" w:rsidRPr="00654F7D" w:rsidRDefault="00C44E70" w:rsidP="00C44E70">
            <w:pPr>
              <w:jc w:val="center"/>
              <w:rPr>
                <w:rFonts w:ascii="Verdana" w:hAnsi="Verdana" w:cs="Arial"/>
                <w:b/>
                <w:bCs/>
              </w:rPr>
            </w:pPr>
            <w:r w:rsidRPr="00654F7D">
              <w:rPr>
                <w:rFonts w:ascii="Verdana" w:hAnsi="Verdana" w:cs="Arial"/>
                <w:b/>
                <w:bCs/>
              </w:rPr>
              <w:t>Do 6 měsíců od předložení ZP na MD</w:t>
            </w:r>
            <w:r w:rsidRPr="00654F7D">
              <w:rPr>
                <w:rFonts w:cs="Arial"/>
                <w:b/>
                <w:bCs/>
              </w:rPr>
              <w:t xml:space="preserve"> </w:t>
            </w:r>
          </w:p>
        </w:tc>
        <w:tc>
          <w:tcPr>
            <w:tcW w:w="1395" w:type="pct"/>
            <w:tcBorders>
              <w:top w:val="nil"/>
              <w:left w:val="nil"/>
              <w:bottom w:val="single" w:sz="8" w:space="0" w:color="auto"/>
              <w:right w:val="single" w:sz="8" w:space="0" w:color="auto"/>
            </w:tcBorders>
            <w:shd w:val="clear" w:color="000000" w:fill="FFFFFF"/>
          </w:tcPr>
          <w:p w14:paraId="7516FDAD" w14:textId="4EFF000F" w:rsidR="00C44E70" w:rsidRPr="00654F7D" w:rsidRDefault="00C44E70" w:rsidP="00C44E70">
            <w:pPr>
              <w:pStyle w:val="TSlneksmlouvy"/>
              <w:spacing w:before="0" w:after="0" w:line="240" w:lineRule="auto"/>
              <w:ind w:left="0" w:right="-54"/>
              <w:rPr>
                <w:rFonts w:ascii="Verdana" w:hAnsi="Verdana" w:cs="Arial"/>
                <w:b w:val="0"/>
                <w:sz w:val="18"/>
                <w:szCs w:val="18"/>
                <w:u w:val="none"/>
                <w:lang w:val="cs-CZ"/>
              </w:rPr>
            </w:pPr>
            <w:r w:rsidRPr="00654F7D">
              <w:rPr>
                <w:rFonts w:ascii="Verdana" w:hAnsi="Verdana" w:cs="Arial"/>
                <w:b w:val="0"/>
                <w:sz w:val="18"/>
                <w:szCs w:val="18"/>
                <w:u w:val="none"/>
                <w:lang w:val="cs-CZ"/>
              </w:rPr>
              <w:t xml:space="preserve">Součinnost </w:t>
            </w:r>
            <w:r w:rsidR="00DD1EB8" w:rsidRPr="00654F7D">
              <w:rPr>
                <w:rFonts w:ascii="Verdana" w:hAnsi="Verdana" w:cs="Arial"/>
                <w:b w:val="0"/>
                <w:sz w:val="18"/>
                <w:szCs w:val="18"/>
                <w:u w:val="none"/>
                <w:lang w:val="cs-CZ"/>
              </w:rPr>
              <w:t>pro schválení ZP na MD</w:t>
            </w:r>
          </w:p>
        </w:tc>
        <w:tc>
          <w:tcPr>
            <w:tcW w:w="1111" w:type="pct"/>
            <w:tcBorders>
              <w:top w:val="nil"/>
              <w:left w:val="nil"/>
              <w:bottom w:val="single" w:sz="8" w:space="0" w:color="auto"/>
              <w:right w:val="single" w:sz="8" w:space="0" w:color="auto"/>
            </w:tcBorders>
            <w:shd w:val="clear" w:color="000000" w:fill="FFFFFF"/>
          </w:tcPr>
          <w:p w14:paraId="0E0EC0A0" w14:textId="27B216AB" w:rsidR="00C44E70" w:rsidRPr="00654F7D" w:rsidRDefault="00C44E70" w:rsidP="00C44E70">
            <w:pPr>
              <w:jc w:val="both"/>
              <w:rPr>
                <w:rFonts w:ascii="Verdana" w:hAnsi="Verdana" w:cs="Arial"/>
              </w:rPr>
            </w:pPr>
          </w:p>
        </w:tc>
      </w:tr>
    </w:tbl>
    <w:bookmarkEnd w:id="2"/>
    <w:p w14:paraId="618C463C" w14:textId="45403350" w:rsidR="004850CE" w:rsidRPr="0052020D" w:rsidRDefault="004850CE" w:rsidP="00024041">
      <w:pPr>
        <w:pStyle w:val="Odstavecseseznamem"/>
        <w:numPr>
          <w:ilvl w:val="1"/>
          <w:numId w:val="15"/>
        </w:numPr>
        <w:suppressAutoHyphens/>
        <w:spacing w:before="240" w:after="120"/>
        <w:ind w:left="425" w:hanging="425"/>
        <w:contextualSpacing w:val="0"/>
        <w:jc w:val="both"/>
        <w:rPr>
          <w:rFonts w:cs="Arial"/>
          <w:b/>
          <w:bCs/>
        </w:rPr>
      </w:pPr>
      <w:r w:rsidRPr="0052020D">
        <w:rPr>
          <w:rFonts w:cs="Arial"/>
          <w:b/>
          <w:bCs/>
        </w:rPr>
        <w:t xml:space="preserve">Místo plnění: </w:t>
      </w:r>
    </w:p>
    <w:p w14:paraId="5D6F5DB0" w14:textId="3F9A3F2B" w:rsidR="004850CE" w:rsidRDefault="004850CE" w:rsidP="00024041">
      <w:pPr>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 xml:space="preserve">Budova </w:t>
      </w:r>
      <w:proofErr w:type="spellStart"/>
      <w:r w:rsidR="007947BF" w:rsidRPr="007947BF">
        <w:rPr>
          <w:rFonts w:eastAsia="Times New Roman" w:cs="Arial"/>
          <w:lang w:eastAsia="cs-CZ"/>
        </w:rPr>
        <w:t>Diamond</w:t>
      </w:r>
      <w:proofErr w:type="spellEnd"/>
      <w:r w:rsidR="007947BF" w:rsidRPr="007947BF">
        <w:rPr>
          <w:rFonts w:eastAsia="Times New Roman" w:cs="Arial"/>
          <w:lang w:eastAsia="cs-CZ"/>
        </w:rPr>
        <w:t xml:space="preserve">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186 00 Praha 8 – Karlín</w:t>
      </w:r>
      <w:r w:rsidRPr="000B5E93">
        <w:rPr>
          <w:rFonts w:cs="Arial"/>
        </w:rPr>
        <w:t>.</w:t>
      </w:r>
    </w:p>
    <w:p w14:paraId="428357C2" w14:textId="77777777" w:rsidR="004850CE" w:rsidRPr="000F2373" w:rsidRDefault="004850CE" w:rsidP="00815AD7">
      <w:pPr>
        <w:pStyle w:val="Odstavecseseznamem"/>
        <w:numPr>
          <w:ilvl w:val="0"/>
          <w:numId w:val="15"/>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DA795A">
      <w:pPr>
        <w:spacing w:before="120" w:after="120"/>
        <w:jc w:val="both"/>
        <w:rPr>
          <w:rFonts w:cs="Arial"/>
        </w:rPr>
      </w:pPr>
      <w:r>
        <w:rPr>
          <w:rFonts w:cs="Arial"/>
        </w:rPr>
        <w:t>Splněním kvalifikace se rozumí, že účastník doloží následující doklady, jimiž svou kvalifikaci prokáže:</w:t>
      </w:r>
    </w:p>
    <w:p w14:paraId="148705E1" w14:textId="4E3E3975" w:rsidR="004850CE" w:rsidRPr="000F2373" w:rsidRDefault="004850CE" w:rsidP="00815AD7">
      <w:pPr>
        <w:pStyle w:val="Odstavecseseznamem"/>
        <w:numPr>
          <w:ilvl w:val="1"/>
          <w:numId w:val="15"/>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republice splnění </w:t>
      </w:r>
      <w:r w:rsidRPr="009E5989">
        <w:rPr>
          <w:rFonts w:cs="Arial"/>
          <w:i/>
        </w:rPr>
        <w:t xml:space="preserve">základní </w:t>
      </w:r>
      <w:r>
        <w:rPr>
          <w:rFonts w:cs="Arial"/>
          <w:i/>
        </w:rPr>
        <w:t>způsobilost</w:t>
      </w:r>
      <w:r w:rsidR="009D2A1C">
        <w:rPr>
          <w:rFonts w:cs="Arial"/>
          <w:i/>
        </w:rPr>
        <w:t>i předložením</w:t>
      </w:r>
      <w:r w:rsidRPr="009E5989">
        <w:rPr>
          <w:rFonts w:cs="Arial"/>
          <w:i/>
        </w:rPr>
        <w:t xml:space="preserve"> </w:t>
      </w:r>
      <w:r>
        <w:rPr>
          <w:rFonts w:cs="Arial"/>
          <w:i/>
        </w:rPr>
        <w:t>čestn</w:t>
      </w:r>
      <w:r w:rsidR="009D2A1C">
        <w:rPr>
          <w:rFonts w:cs="Arial"/>
          <w:i/>
        </w:rPr>
        <w:t>ého</w:t>
      </w:r>
      <w:r w:rsidRPr="009E5989">
        <w:rPr>
          <w:rFonts w:cs="Arial"/>
          <w:i/>
        </w:rPr>
        <w:t xml:space="preserve"> prohlášení</w:t>
      </w:r>
      <w:r w:rsidR="009D2A1C">
        <w:rPr>
          <w:rFonts w:cs="Arial"/>
          <w:i/>
        </w:rPr>
        <w:t xml:space="preserve"> zpracovaného v</w:t>
      </w:r>
      <w:r w:rsidR="00D72E25">
        <w:rPr>
          <w:rFonts w:cs="Arial"/>
          <w:i/>
        </w:rPr>
        <w:t> </w:t>
      </w:r>
      <w:r w:rsidR="009D2A1C">
        <w:rPr>
          <w:rFonts w:cs="Arial"/>
          <w:i/>
        </w:rPr>
        <w:t>souladu s</w:t>
      </w:r>
      <w:r w:rsidR="00D72E25">
        <w:rPr>
          <w:rFonts w:cs="Arial"/>
          <w:i/>
        </w:rPr>
        <w:t> </w:t>
      </w:r>
      <w:r w:rsidR="009D2A1C" w:rsidRPr="00EE4926">
        <w:rPr>
          <w:rFonts w:cs="Arial"/>
          <w:i/>
        </w:rPr>
        <w:t xml:space="preserve">přílohou č. </w:t>
      </w:r>
      <w:r w:rsidR="00873BFC" w:rsidRPr="00EE4926">
        <w:rPr>
          <w:rFonts w:cs="Arial"/>
          <w:i/>
        </w:rPr>
        <w:t>3</w:t>
      </w:r>
      <w:r w:rsidR="009D2A1C" w:rsidRPr="00EE4926">
        <w:rPr>
          <w:rFonts w:cs="Arial"/>
          <w:i/>
        </w:rPr>
        <w:t xml:space="preserve"> této Výzvy</w:t>
      </w:r>
      <w:r w:rsidRPr="00EE4926">
        <w:rPr>
          <w:rFonts w:cs="Arial"/>
          <w:i/>
        </w:rPr>
        <w:t>, ze kterého musí být zřejmé, že:</w:t>
      </w:r>
      <w:r w:rsidRPr="009E5989">
        <w:rPr>
          <w:rFonts w:cs="Arial"/>
          <w:i/>
        </w:rPr>
        <w:t xml:space="preserv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byl v</w:t>
      </w:r>
      <w:r w:rsidR="00D72E25">
        <w:rPr>
          <w:rFonts w:cs="Arial"/>
        </w:rPr>
        <w:t> </w:t>
      </w:r>
      <w:r w:rsidRPr="00154C07">
        <w:rPr>
          <w:rFonts w:cs="Arial"/>
        </w:rPr>
        <w:t>zemi svého sídla v</w:t>
      </w:r>
      <w:r w:rsidR="00D72E25">
        <w:rPr>
          <w:rFonts w:cs="Arial"/>
        </w:rPr>
        <w:t> </w:t>
      </w:r>
      <w:r w:rsidRPr="00154C07">
        <w:rPr>
          <w:rFonts w:cs="Arial"/>
        </w:rPr>
        <w:t xml:space="preserve">posledních 5 letech před zahájením </w:t>
      </w:r>
      <w:r w:rsidR="00D15600">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w:t>
      </w:r>
      <w:r w:rsidRPr="00154C07">
        <w:rPr>
          <w:rFonts w:cs="Arial"/>
        </w:rPr>
        <w:lastRenderedPageBreak/>
        <w:t xml:space="preserve">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757BAF">
      <w:pPr>
        <w:suppressAutoHyphens/>
        <w:spacing w:before="120" w:after="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E36254">
      <w:pPr>
        <w:pStyle w:val="Odstavecseseznamem"/>
        <w:numPr>
          <w:ilvl w:val="1"/>
          <w:numId w:val="15"/>
        </w:numPr>
        <w:suppressAutoHyphens/>
        <w:spacing w:after="120"/>
        <w:ind w:left="426" w:hanging="426"/>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6FC8529B" w:rsidR="004850CE" w:rsidRPr="00997172"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p>
    <w:p w14:paraId="650E90B0" w14:textId="77777777" w:rsidR="004850CE" w:rsidRPr="00997172"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7AD18FEB" w14:textId="1AB6A84E" w:rsidR="004850CE" w:rsidRPr="00EE4926" w:rsidRDefault="004850CE" w:rsidP="00931326">
      <w:pPr>
        <w:suppressAutoHyphens/>
        <w:spacing w:before="120"/>
        <w:ind w:left="709" w:hanging="1"/>
        <w:jc w:val="both"/>
        <w:rPr>
          <w:rFonts w:cs="Arial"/>
          <w:b/>
          <w:i/>
        </w:rPr>
      </w:pPr>
      <w:r w:rsidRPr="00EE4926">
        <w:rPr>
          <w:rFonts w:cs="Arial"/>
          <w:b/>
          <w:i/>
        </w:rPr>
        <w:t xml:space="preserve">Účastník </w:t>
      </w:r>
      <w:r w:rsidR="00D15600" w:rsidRPr="00EE4926">
        <w:rPr>
          <w:rFonts w:cs="Arial"/>
          <w:b/>
          <w:i/>
        </w:rPr>
        <w:t>výběrového</w:t>
      </w:r>
      <w:r w:rsidRPr="00EE4926">
        <w:rPr>
          <w:rFonts w:cs="Arial"/>
          <w:b/>
          <w:i/>
        </w:rPr>
        <w:t xml:space="preserve"> řízení doloží doklad, </w:t>
      </w:r>
      <w:r w:rsidR="00622B3E" w:rsidRPr="00EE4926">
        <w:rPr>
          <w:rFonts w:cs="Arial"/>
          <w:b/>
          <w:i/>
        </w:rPr>
        <w:t xml:space="preserve">na </w:t>
      </w:r>
      <w:r w:rsidR="00EA2B6B" w:rsidRPr="00EE4926">
        <w:rPr>
          <w:rFonts w:cs="Arial"/>
          <w:b/>
          <w:i/>
        </w:rPr>
        <w:t>základě,</w:t>
      </w:r>
      <w:r w:rsidR="00622B3E" w:rsidRPr="00EE4926">
        <w:rPr>
          <w:rFonts w:cs="Arial"/>
          <w:b/>
          <w:i/>
        </w:rPr>
        <w:t xml:space="preserve"> kterého </w:t>
      </w:r>
      <w:r w:rsidRPr="00EE4926">
        <w:rPr>
          <w:rFonts w:cs="Arial"/>
          <w:b/>
          <w:i/>
        </w:rPr>
        <w:t>je oprávněn podnikat v rozsahu odpovídajícímu předmětu veřejné zakázky:</w:t>
      </w:r>
      <w:r w:rsidRPr="00EE4926">
        <w:rPr>
          <w:rFonts w:cs="Arial"/>
          <w:b/>
          <w:i/>
        </w:rPr>
        <w:tab/>
      </w:r>
    </w:p>
    <w:p w14:paraId="615F151D" w14:textId="478AD700" w:rsidR="004850CE" w:rsidRPr="00EE4926" w:rsidRDefault="004850CE" w:rsidP="00680A7A">
      <w:pPr>
        <w:suppressAutoHyphens/>
        <w:spacing w:after="0"/>
        <w:ind w:left="1418" w:hanging="425"/>
        <w:jc w:val="both"/>
        <w:rPr>
          <w:rFonts w:cs="Arial"/>
          <w:b/>
          <w:i/>
        </w:rPr>
      </w:pPr>
      <w:r w:rsidRPr="00EE4926">
        <w:rPr>
          <w:rFonts w:cs="Arial"/>
          <w:b/>
          <w:i/>
        </w:rPr>
        <w:t xml:space="preserve">- </w:t>
      </w:r>
      <w:r w:rsidR="00EE4926" w:rsidRPr="00EE4926">
        <w:rPr>
          <w:rFonts w:cs="Arial"/>
          <w:b/>
          <w:i/>
        </w:rPr>
        <w:t>Projektová činnost ve výstavbě</w:t>
      </w:r>
      <w:r w:rsidR="00A8684F" w:rsidRPr="00EE4926">
        <w:rPr>
          <w:rFonts w:cs="Arial"/>
          <w:b/>
          <w:i/>
        </w:rPr>
        <w:t>.</w:t>
      </w:r>
    </w:p>
    <w:p w14:paraId="17B9D793" w14:textId="77777777" w:rsidR="004850CE" w:rsidRPr="00EE4926" w:rsidRDefault="004850CE" w:rsidP="00EE0D22">
      <w:pPr>
        <w:numPr>
          <w:ilvl w:val="0"/>
          <w:numId w:val="7"/>
        </w:numPr>
        <w:suppressAutoHyphens/>
        <w:spacing w:before="120" w:after="0" w:line="240" w:lineRule="auto"/>
        <w:ind w:left="709" w:hanging="425"/>
        <w:jc w:val="both"/>
        <w:rPr>
          <w:rFonts w:cs="Arial"/>
        </w:rPr>
      </w:pPr>
      <w:r w:rsidRPr="00EE4926">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EE4926" w:rsidRDefault="004850CE" w:rsidP="00931326">
      <w:pPr>
        <w:suppressAutoHyphens/>
        <w:spacing w:before="60" w:after="120"/>
        <w:ind w:left="709" w:hanging="1"/>
        <w:jc w:val="both"/>
        <w:rPr>
          <w:rFonts w:cs="Arial"/>
          <w:b/>
          <w:i/>
        </w:rPr>
      </w:pPr>
      <w:r w:rsidRPr="00EE4926">
        <w:rPr>
          <w:rFonts w:cs="Arial"/>
          <w:b/>
          <w:i/>
        </w:rPr>
        <w:t>Účastník přiloží doklad o splnění zák. č.360/1992 Sb.,</w:t>
      </w:r>
      <w:r w:rsidRPr="00EE4926">
        <w:rPr>
          <w:rFonts w:cs="Arial"/>
          <w:b/>
        </w:rPr>
        <w:t xml:space="preserve"> </w:t>
      </w:r>
      <w:r w:rsidRPr="00EE4926">
        <w:rPr>
          <w:rFonts w:cs="Arial"/>
          <w:b/>
          <w:i/>
        </w:rPr>
        <w:t xml:space="preserve">o výkonu povolání </w:t>
      </w:r>
      <w:r w:rsidR="00622B3E" w:rsidRPr="00EE4926">
        <w:rPr>
          <w:rFonts w:cs="Arial"/>
          <w:b/>
          <w:i/>
        </w:rPr>
        <w:t xml:space="preserve">autorizovaných architektů a výkonu povolání </w:t>
      </w:r>
      <w:r w:rsidRPr="00EE4926">
        <w:rPr>
          <w:rFonts w:cs="Arial"/>
          <w:b/>
          <w:i/>
        </w:rPr>
        <w:t xml:space="preserve">autorizovaných inženýrů a techniků </w:t>
      </w:r>
      <w:r w:rsidR="00622B3E" w:rsidRPr="00EE4926">
        <w:rPr>
          <w:rFonts w:cs="Arial"/>
          <w:b/>
          <w:i/>
        </w:rPr>
        <w:t xml:space="preserve">činných </w:t>
      </w:r>
      <w:r w:rsidRPr="00EE4926">
        <w:rPr>
          <w:rFonts w:cs="Arial"/>
          <w:b/>
          <w:i/>
        </w:rPr>
        <w:t xml:space="preserve">ve výstavbě, </w:t>
      </w:r>
      <w:r w:rsidR="00622B3E" w:rsidRPr="00EE4926">
        <w:rPr>
          <w:rFonts w:cs="Arial"/>
          <w:b/>
          <w:i/>
        </w:rPr>
        <w:t xml:space="preserve">ve znění pozdějších předpisů, </w:t>
      </w:r>
      <w:r w:rsidRPr="00EE4926">
        <w:rPr>
          <w:rFonts w:cs="Arial"/>
          <w:b/>
          <w:i/>
        </w:rPr>
        <w:t>autorizaci dle výše citovaného zákona podle § 5 odst. 3 písm.:</w:t>
      </w:r>
    </w:p>
    <w:p w14:paraId="5F8CB3AC" w14:textId="4BA2EC89" w:rsidR="00A8684F" w:rsidRPr="00EE4926" w:rsidRDefault="00EE4926" w:rsidP="00680A7A">
      <w:pPr>
        <w:suppressAutoHyphens/>
        <w:spacing w:before="60" w:after="0"/>
        <w:ind w:left="993"/>
        <w:jc w:val="both"/>
        <w:rPr>
          <w:rFonts w:cs="Arial"/>
          <w:b/>
          <w:i/>
        </w:rPr>
      </w:pPr>
      <w:r w:rsidRPr="00EE4926">
        <w:rPr>
          <w:rFonts w:cs="Arial"/>
          <w:b/>
          <w:i/>
        </w:rPr>
        <w:t>e</w:t>
      </w:r>
      <w:r w:rsidR="00A8684F" w:rsidRPr="00EE4926">
        <w:rPr>
          <w:rFonts w:cs="Arial"/>
          <w:b/>
          <w:i/>
        </w:rPr>
        <w:t xml:space="preserve">) </w:t>
      </w:r>
      <w:r w:rsidRPr="00EE4926">
        <w:rPr>
          <w:rFonts w:cs="Arial"/>
          <w:b/>
          <w:i/>
        </w:rPr>
        <w:t>technologická zařízení staveb.</w:t>
      </w:r>
    </w:p>
    <w:p w14:paraId="0DDC1B35" w14:textId="77777777" w:rsidR="009D2A1C" w:rsidRDefault="009D2A1C" w:rsidP="00D72E25">
      <w:pPr>
        <w:suppressAutoHyphens/>
        <w:spacing w:after="0"/>
        <w:jc w:val="both"/>
        <w:rPr>
          <w:rFonts w:cs="Arial"/>
          <w:b/>
          <w:i/>
        </w:rPr>
      </w:pPr>
    </w:p>
    <w:p w14:paraId="24084A12" w14:textId="13297575" w:rsidR="004850CE" w:rsidRPr="00FA396D" w:rsidRDefault="00FA396D" w:rsidP="00815AD7">
      <w:pPr>
        <w:pStyle w:val="Odstavecseseznamem"/>
        <w:numPr>
          <w:ilvl w:val="1"/>
          <w:numId w:val="15"/>
        </w:numPr>
        <w:suppressAutoHyphens/>
        <w:spacing w:after="120"/>
        <w:ind w:left="425" w:hanging="425"/>
        <w:contextualSpacing w:val="0"/>
        <w:jc w:val="both"/>
        <w:rPr>
          <w:rFonts w:cs="Arial"/>
          <w:b/>
          <w:iCs/>
        </w:rPr>
      </w:pPr>
      <w:bookmarkStart w:id="3" w:name="_Hlk146179413"/>
      <w:r>
        <w:rPr>
          <w:rFonts w:cs="Arial"/>
          <w:b/>
        </w:rPr>
        <w:t>Technická kvalifikace</w:t>
      </w:r>
    </w:p>
    <w:p w14:paraId="260886C8" w14:textId="77777777" w:rsidR="00FA396D" w:rsidRPr="002317DA" w:rsidRDefault="00FA396D" w:rsidP="002317DA">
      <w:pPr>
        <w:spacing w:before="120" w:after="120"/>
        <w:jc w:val="both"/>
        <w:rPr>
          <w:rFonts w:cs="Arial"/>
        </w:rPr>
      </w:pPr>
      <w:r w:rsidRPr="002317DA">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30276213" w14:textId="57113B52" w:rsidR="00FA396D" w:rsidRPr="0066240A" w:rsidRDefault="00FA396D" w:rsidP="002317DA">
      <w:pPr>
        <w:tabs>
          <w:tab w:val="left" w:pos="426"/>
        </w:tabs>
        <w:spacing w:before="120" w:after="120"/>
        <w:jc w:val="both"/>
        <w:rPr>
          <w:rFonts w:cs="Arial"/>
        </w:rPr>
      </w:pPr>
      <w:r w:rsidRPr="002317DA">
        <w:rPr>
          <w:rFonts w:cs="Arial"/>
        </w:rPr>
        <w:t xml:space="preserve">Účastník předloží seznam významných ukončených služeb obdobného charakteru poskytnutých dodavatelem v posledních 5 letech před zahájením výběrového řízení. Za služby obdobného charakteru se pokládají </w:t>
      </w:r>
      <w:r w:rsidRPr="00EE4926">
        <w:t>projektové práce spočívající ve zhotovení</w:t>
      </w:r>
      <w:r w:rsidR="00EE4926" w:rsidRPr="00EE4926">
        <w:t xml:space="preserve"> Záměru projektu (ZP), </w:t>
      </w:r>
      <w:r w:rsidRPr="00EE4926">
        <w:t xml:space="preserve"> projektové dokumentace ve stupni projektové dokumentace pro stavební povolení (DSP) nebo </w:t>
      </w:r>
      <w:r w:rsidRPr="00EE4926">
        <w:lastRenderedPageBreak/>
        <w:t>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EE4926">
        <w:rPr>
          <w:rFonts w:cs="Arial"/>
        </w:rPr>
        <w:t xml:space="preserve">, pro stavby železničních drah ve smyslu § 5 odst. 1 a § 3 odst. 1 zákona č.266/1994 Sb., o drahách, ve znění pozdějších předpisů, </w:t>
      </w:r>
      <w:r w:rsidRPr="00DC6EC2">
        <w:rPr>
          <w:rFonts w:cs="Arial"/>
        </w:rPr>
        <w:t xml:space="preserve">jejichž předmětem </w:t>
      </w:r>
      <w:r w:rsidR="00EE4926" w:rsidRPr="00DC6EC2">
        <w:rPr>
          <w:rFonts w:cs="Arial"/>
        </w:rPr>
        <w:t xml:space="preserve">byla dokumentace pro sdělovací a dálkově ovládané zabezpečovací zařízení (DOZ) </w:t>
      </w:r>
      <w:r w:rsidR="00DC6EC2" w:rsidRPr="0066240A">
        <w:rPr>
          <w:rFonts w:cs="Arial"/>
        </w:rPr>
        <w:t xml:space="preserve">a </w:t>
      </w:r>
      <w:r w:rsidR="00EE4926" w:rsidRPr="0066240A">
        <w:rPr>
          <w:rFonts w:cs="Arial"/>
        </w:rPr>
        <w:t xml:space="preserve">vybavení tratě interoperabilním </w:t>
      </w:r>
      <w:r w:rsidR="0098156C" w:rsidRPr="0066240A">
        <w:rPr>
          <w:rFonts w:cs="Arial"/>
        </w:rPr>
        <w:t xml:space="preserve">systémem </w:t>
      </w:r>
      <w:r w:rsidR="00EE4926" w:rsidRPr="0066240A">
        <w:rPr>
          <w:rFonts w:cs="Arial"/>
        </w:rPr>
        <w:t>evropsk</w:t>
      </w:r>
      <w:r w:rsidR="0098156C" w:rsidRPr="0066240A">
        <w:rPr>
          <w:rFonts w:cs="Arial"/>
        </w:rPr>
        <w:t>ého</w:t>
      </w:r>
      <w:r w:rsidR="00EE4926" w:rsidRPr="0066240A">
        <w:rPr>
          <w:rFonts w:cs="Arial"/>
        </w:rPr>
        <w:t xml:space="preserve"> vlakov</w:t>
      </w:r>
      <w:r w:rsidR="0098156C" w:rsidRPr="0066240A">
        <w:rPr>
          <w:rFonts w:cs="Arial"/>
        </w:rPr>
        <w:t>ého</w:t>
      </w:r>
      <w:r w:rsidR="00EE4926" w:rsidRPr="0066240A">
        <w:rPr>
          <w:rFonts w:cs="Arial"/>
        </w:rPr>
        <w:t xml:space="preserve"> zabezpečovače ETCS.</w:t>
      </w:r>
    </w:p>
    <w:p w14:paraId="71EA4E50" w14:textId="4CBBE735" w:rsidR="00FA396D" w:rsidRDefault="00FA396D" w:rsidP="002317DA">
      <w:pPr>
        <w:tabs>
          <w:tab w:val="left" w:pos="426"/>
        </w:tabs>
        <w:spacing w:before="120" w:after="120"/>
        <w:jc w:val="both"/>
      </w:pPr>
      <w:r w:rsidRPr="002317DA">
        <w:rPr>
          <w:rFonts w:cs="Arial"/>
        </w:rPr>
        <w:t xml:space="preserve">Účastník musí informacemi </w:t>
      </w:r>
      <w:r w:rsidRPr="0066240A">
        <w:rPr>
          <w:rFonts w:cs="Arial"/>
        </w:rPr>
        <w:t xml:space="preserve">uvedenými v předloženém seznamu významných služeb prokázat, že v uvedeném období poskytl alespoň 2 služby obdobného charakteru, </w:t>
      </w:r>
      <w:r w:rsidRPr="0066240A">
        <w:t xml:space="preserve">které v souhrnu dosahují minimálně hodnoty </w:t>
      </w:r>
      <w:r w:rsidR="00EE4926" w:rsidRPr="0066240A">
        <w:rPr>
          <w:b/>
        </w:rPr>
        <w:t>4</w:t>
      </w:r>
      <w:r w:rsidRPr="0066240A">
        <w:rPr>
          <w:b/>
        </w:rPr>
        <w:t> </w:t>
      </w:r>
      <w:r w:rsidR="00EE4926" w:rsidRPr="0066240A">
        <w:rPr>
          <w:b/>
        </w:rPr>
        <w:t>0</w:t>
      </w:r>
      <w:r w:rsidRPr="0066240A">
        <w:rPr>
          <w:b/>
        </w:rPr>
        <w:t>00 000,- Kč bez DPH</w:t>
      </w:r>
      <w:r w:rsidRPr="0066240A">
        <w:t xml:space="preserve">, </w:t>
      </w:r>
      <w:r w:rsidRPr="0066240A">
        <w:rPr>
          <w:rFonts w:cs="Arial"/>
        </w:rPr>
        <w:t xml:space="preserve">přičemž alespoň jedna služba musí dosahovat ceny nejméně </w:t>
      </w:r>
      <w:r w:rsidR="00EE4926" w:rsidRPr="0066240A">
        <w:rPr>
          <w:rFonts w:cs="Arial"/>
          <w:b/>
        </w:rPr>
        <w:t>2 0</w:t>
      </w:r>
      <w:r w:rsidRPr="0066240A">
        <w:rPr>
          <w:rFonts w:cs="Arial"/>
          <w:b/>
        </w:rPr>
        <w:t>00 000,- Kč bez DPH</w:t>
      </w:r>
      <w:r w:rsidRPr="0066240A">
        <w:t>.</w:t>
      </w:r>
    </w:p>
    <w:p w14:paraId="29B7826C" w14:textId="3F4392A3" w:rsidR="00FA396D" w:rsidRPr="00FA396D" w:rsidRDefault="00FA396D" w:rsidP="002317DA">
      <w:pPr>
        <w:spacing w:before="120" w:after="120"/>
        <w:jc w:val="both"/>
        <w:rPr>
          <w:rFonts w:cs="Arial"/>
        </w:rPr>
      </w:pPr>
      <w:r w:rsidRPr="002317DA">
        <w:rPr>
          <w:rFonts w:cs="Arial"/>
        </w:rPr>
        <w:t>Seznam významných služeb bude předložen ve formě obsažené v </w:t>
      </w:r>
      <w:r w:rsidRPr="00EE4926">
        <w:rPr>
          <w:rFonts w:cs="Arial"/>
        </w:rPr>
        <w:t xml:space="preserve">Příloze č. </w:t>
      </w:r>
      <w:r w:rsidR="00873BFC" w:rsidRPr="00EE4926">
        <w:rPr>
          <w:rFonts w:cs="Arial"/>
        </w:rPr>
        <w:t>4</w:t>
      </w:r>
      <w:r w:rsidRPr="00EE4926">
        <w:rPr>
          <w:rFonts w:cs="Arial"/>
        </w:rPr>
        <w:t xml:space="preserve"> této Výzvy.</w:t>
      </w:r>
      <w:r w:rsidRPr="002317DA">
        <w:rPr>
          <w:rFonts w:cs="Arial"/>
        </w:rPr>
        <w:t xml:space="preserve">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63AFBCEC" w14:textId="44FBC3D5" w:rsidR="00FA396D" w:rsidRPr="002317DA" w:rsidRDefault="00FA396D" w:rsidP="00047C8F">
      <w:pPr>
        <w:suppressAutoHyphens/>
        <w:jc w:val="both"/>
        <w:rPr>
          <w:rFonts w:cs="Arial"/>
          <w:b/>
          <w:iCs/>
        </w:rPr>
      </w:pPr>
      <w:r w:rsidRPr="002317DA">
        <w:rPr>
          <w:rFonts w:cs="Arial"/>
        </w:rPr>
        <w:t>Doba 5 let se považuje za splněnou, pokud byly služby v průběhu této doby dokončeny.</w:t>
      </w:r>
    </w:p>
    <w:p w14:paraId="52CBF4D9" w14:textId="1521E1A0" w:rsidR="004850CE" w:rsidRPr="00D619B6" w:rsidRDefault="004850CE" w:rsidP="002F4996">
      <w:pPr>
        <w:pStyle w:val="Odstavecseseznamem"/>
        <w:numPr>
          <w:ilvl w:val="1"/>
          <w:numId w:val="15"/>
        </w:numPr>
        <w:suppressAutoHyphens/>
        <w:spacing w:after="120"/>
        <w:ind w:left="425" w:hanging="425"/>
        <w:contextualSpacing w:val="0"/>
        <w:jc w:val="both"/>
        <w:rPr>
          <w:b/>
        </w:rPr>
      </w:pPr>
      <w:bookmarkStart w:id="4" w:name="_Hlk146179398"/>
      <w:bookmarkEnd w:id="3"/>
      <w:r w:rsidRPr="00D619B6">
        <w:rPr>
          <w:b/>
        </w:rPr>
        <w:t>Prokázání kvalifikace prostřednictvím jiných osob</w:t>
      </w:r>
    </w:p>
    <w:p w14:paraId="757D00DF" w14:textId="54326E68" w:rsidR="004850CE" w:rsidRPr="009D2A1C" w:rsidRDefault="004850CE" w:rsidP="00E36254">
      <w:pPr>
        <w:suppressAutoHyphens/>
        <w:spacing w:before="120" w:after="12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t xml:space="preserve"> a technické kvalifikace</w:t>
      </w:r>
      <w:r w:rsidRPr="009D2A1C">
        <w:t xml:space="preserve"> prostřednictvím jiných osob. V</w:t>
      </w:r>
      <w:r w:rsidR="009D2A1C">
        <w:t> </w:t>
      </w:r>
      <w:r w:rsidRPr="009D2A1C">
        <w:t>takovém</w:t>
      </w:r>
      <w:r w:rsidR="009D2A1C">
        <w:t xml:space="preserve"> </w:t>
      </w:r>
      <w:r w:rsidRPr="009D2A1C">
        <w:t>případě je dodavatel povinen zadavateli předložit:</w:t>
      </w:r>
    </w:p>
    <w:p w14:paraId="57975542" w14:textId="22347455"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proofErr w:type="gramStart"/>
      <w:r w:rsidRPr="00F30C22">
        <w:rPr>
          <w:bCs/>
          <w:iCs/>
        </w:rPr>
        <w:t xml:space="preserve">vyžaduje </w:t>
      </w:r>
      <w:r w:rsidR="00113538" w:rsidRPr="00F30C22">
        <w:rPr>
          <w:bCs/>
          <w:iCs/>
        </w:rPr>
        <w:t>- jiné</w:t>
      </w:r>
      <w:proofErr w:type="gramEnd"/>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4"/>
    <w:p w14:paraId="606F540B" w14:textId="21D4310C"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w:t>
      </w:r>
    </w:p>
    <w:p w14:paraId="621C47AB" w14:textId="0363A4AA" w:rsidR="00F37D40" w:rsidRPr="00E81471" w:rsidRDefault="00F37D40" w:rsidP="00C36EBB">
      <w:pPr>
        <w:spacing w:before="120"/>
        <w:jc w:val="both"/>
        <w:rPr>
          <w:b/>
          <w:iCs/>
        </w:rPr>
      </w:pPr>
      <w:bookmarkStart w:id="5" w:name="_Hlk150846795"/>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EE0D22">
      <w:pPr>
        <w:pStyle w:val="Odstavecseseznamem"/>
        <w:numPr>
          <w:ilvl w:val="1"/>
          <w:numId w:val="15"/>
        </w:numPr>
        <w:suppressAutoHyphens/>
        <w:spacing w:after="120"/>
        <w:ind w:left="425" w:hanging="425"/>
        <w:contextualSpacing w:val="0"/>
        <w:jc w:val="both"/>
        <w:rPr>
          <w:rFonts w:cs="Arial"/>
          <w:b/>
        </w:rPr>
      </w:pPr>
      <w:bookmarkStart w:id="6" w:name="_Hlk146179538"/>
      <w:bookmarkEnd w:id="5"/>
      <w:r>
        <w:rPr>
          <w:rFonts w:cs="Arial"/>
          <w:b/>
        </w:rPr>
        <w:t>Obecně k prokazování splnění kvalifikace</w:t>
      </w:r>
      <w:r w:rsidRPr="002C690A">
        <w:rPr>
          <w:rFonts w:cs="Arial"/>
          <w:b/>
        </w:rPr>
        <w:t>:</w:t>
      </w:r>
    </w:p>
    <w:p w14:paraId="7A58C92C"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680A7A">
      <w:pPr>
        <w:pStyle w:val="Odstavecseseznamem"/>
        <w:numPr>
          <w:ilvl w:val="2"/>
          <w:numId w:val="15"/>
        </w:numPr>
        <w:suppressAutoHyphens/>
        <w:spacing w:before="120" w:after="120"/>
        <w:contextualSpacing w:val="0"/>
        <w:jc w:val="both"/>
      </w:pPr>
      <w:r w:rsidRPr="00F30C22">
        <w:lastRenderedPageBreak/>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680A7A">
      <w:pPr>
        <w:pStyle w:val="Odstavecseseznamem"/>
        <w:numPr>
          <w:ilvl w:val="2"/>
          <w:numId w:val="15"/>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680A7A">
      <w:pPr>
        <w:pStyle w:val="Odstavecseseznamem"/>
        <w:numPr>
          <w:ilvl w:val="2"/>
          <w:numId w:val="15"/>
        </w:numPr>
        <w:suppressAutoHyphens/>
        <w:spacing w:before="120" w:after="120"/>
        <w:contextualSpacing w:val="0"/>
        <w:jc w:val="both"/>
      </w:pPr>
      <w:r w:rsidRPr="00F30C22">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C36EBB">
      <w:pPr>
        <w:pStyle w:val="Odstavecseseznamem"/>
        <w:numPr>
          <w:ilvl w:val="2"/>
          <w:numId w:val="15"/>
        </w:numPr>
        <w:suppressAutoHyphens/>
        <w:spacing w:before="120" w:after="120"/>
        <w:contextualSpacing w:val="0"/>
        <w:jc w:val="both"/>
        <w:rPr>
          <w:u w:val="single"/>
        </w:rPr>
      </w:pPr>
      <w:r w:rsidRPr="00427416">
        <w:rPr>
          <w:u w:val="single"/>
        </w:rPr>
        <w:t>Doložení podmínek účasti zahraničními osobami podle zvláštních právních předpisů:</w:t>
      </w:r>
    </w:p>
    <w:bookmarkEnd w:id="6"/>
    <w:p w14:paraId="2C5E458F" w14:textId="77777777" w:rsidR="000F3124" w:rsidRPr="000F3124" w:rsidRDefault="000F3124" w:rsidP="000F3124">
      <w:pPr>
        <w:pStyle w:val="Odstavecseseznamem"/>
        <w:numPr>
          <w:ilvl w:val="1"/>
          <w:numId w:val="28"/>
        </w:numPr>
        <w:jc w:val="both"/>
      </w:pPr>
      <w:r w:rsidRPr="000F3124">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06C5B26" w14:textId="14F45CD4" w:rsidR="004850CE" w:rsidRPr="00102EFE" w:rsidRDefault="00102EFE" w:rsidP="00ED2251">
      <w:pPr>
        <w:pStyle w:val="Odstavecseseznamem"/>
        <w:numPr>
          <w:ilvl w:val="0"/>
          <w:numId w:val="15"/>
        </w:numPr>
        <w:suppressAutoHyphens/>
        <w:spacing w:after="120"/>
        <w:ind w:left="567" w:hanging="567"/>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D20E8A9" w14:textId="0CD3F19A" w:rsidR="00312B24" w:rsidRPr="00CD463D" w:rsidRDefault="00312B24" w:rsidP="00ED2251">
      <w:pPr>
        <w:pStyle w:val="Odstavecseseznamem"/>
        <w:numPr>
          <w:ilvl w:val="1"/>
          <w:numId w:val="15"/>
        </w:numPr>
        <w:suppressAutoHyphens/>
        <w:spacing w:after="120"/>
        <w:ind w:left="567" w:hanging="567"/>
        <w:contextualSpacing w:val="0"/>
        <w:jc w:val="both"/>
        <w:rPr>
          <w:rFonts w:cs="Arial"/>
          <w:u w:val="single"/>
        </w:rPr>
      </w:pPr>
      <w:bookmarkStart w:id="7" w:name="_Hlk146179579"/>
      <w:r w:rsidRPr="00CD463D">
        <w:rPr>
          <w:rFonts w:cs="Arial"/>
          <w:u w:val="single"/>
        </w:rPr>
        <w:t>Zadavatel požaduje, aby účastník výběrového řízení v nabídce:</w:t>
      </w:r>
    </w:p>
    <w:p w14:paraId="128A5864" w14:textId="3D11C33F"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určil části veřejné zakázky, které hodlá plnit prostřednictvím poddodavatelů, a</w:t>
      </w:r>
    </w:p>
    <w:p w14:paraId="606DADC2" w14:textId="016457F7"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lastRenderedPageBreak/>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7C7903DC" w:rsidR="00E26C30" w:rsidRPr="00EE4926" w:rsidRDefault="00E26C30" w:rsidP="00ED2251">
      <w:pPr>
        <w:pStyle w:val="Odstavecseseznamem"/>
        <w:numPr>
          <w:ilvl w:val="1"/>
          <w:numId w:val="15"/>
        </w:numPr>
        <w:suppressAutoHyphens/>
        <w:spacing w:after="120"/>
        <w:ind w:left="567" w:hanging="567"/>
        <w:contextualSpacing w:val="0"/>
        <w:jc w:val="both"/>
        <w:rPr>
          <w:rFonts w:cs="Arial"/>
        </w:rPr>
      </w:pPr>
      <w:r w:rsidRPr="00910BF5">
        <w:rPr>
          <w:rFonts w:cs="Arial"/>
        </w:rPr>
        <w:t xml:space="preserve">Účastník výběrového řízení prokáže splnění bodu </w:t>
      </w:r>
      <w:r w:rsidR="00910BF5">
        <w:rPr>
          <w:rFonts w:cs="Arial"/>
        </w:rPr>
        <w:t>9</w:t>
      </w:r>
      <w:r w:rsidRPr="00910BF5">
        <w:rPr>
          <w:rFonts w:cs="Arial"/>
        </w:rPr>
        <w:t xml:space="preserve">.1 této Výzvy předložením </w:t>
      </w:r>
      <w:r w:rsidR="00650A61">
        <w:rPr>
          <w:rFonts w:cs="Arial"/>
        </w:rPr>
        <w:t xml:space="preserve">seznamu poddodavatelů </w:t>
      </w:r>
      <w:r w:rsidRPr="00910BF5">
        <w:rPr>
          <w:rFonts w:cs="Arial"/>
        </w:rPr>
        <w:t>zpracovaného v souladu s přílohou č</w:t>
      </w:r>
      <w:r w:rsidRPr="00EE4926">
        <w:rPr>
          <w:rFonts w:cs="Arial"/>
        </w:rPr>
        <w:t xml:space="preserve">. </w:t>
      </w:r>
      <w:r w:rsidR="004C5845" w:rsidRPr="00EE4926">
        <w:rPr>
          <w:rFonts w:cs="Arial"/>
        </w:rPr>
        <w:t>7</w:t>
      </w:r>
      <w:r w:rsidR="00E6642D" w:rsidRPr="00EE4926">
        <w:rPr>
          <w:rFonts w:cs="Arial"/>
        </w:rPr>
        <w:t xml:space="preserve"> </w:t>
      </w:r>
      <w:r w:rsidRPr="00EE4926">
        <w:rPr>
          <w:rFonts w:cs="Arial"/>
        </w:rPr>
        <w:t>této Výzvy</w:t>
      </w:r>
      <w:r w:rsidR="00ED214B" w:rsidRPr="00EE4926">
        <w:rPr>
          <w:rFonts w:cs="Arial"/>
        </w:rPr>
        <w:t>.</w:t>
      </w:r>
    </w:p>
    <w:bookmarkEnd w:id="7"/>
    <w:p w14:paraId="17F1879D" w14:textId="557A4229" w:rsidR="00102EFE" w:rsidRPr="00EE4926" w:rsidRDefault="00102EFE" w:rsidP="00ED2251">
      <w:pPr>
        <w:pStyle w:val="Odstavecseseznamem"/>
        <w:numPr>
          <w:ilvl w:val="1"/>
          <w:numId w:val="15"/>
        </w:numPr>
        <w:suppressAutoHyphens/>
        <w:spacing w:after="120"/>
        <w:ind w:left="567" w:hanging="567"/>
        <w:contextualSpacing w:val="0"/>
        <w:jc w:val="both"/>
        <w:rPr>
          <w:rFonts w:cs="Arial"/>
        </w:rPr>
      </w:pPr>
      <w:r w:rsidRPr="00EE4926">
        <w:rPr>
          <w:rFonts w:cs="Arial"/>
        </w:rPr>
        <w:t>Zadavatel nevymezuje žádné činnosti při plnění veřejné zakázky, které musí být plněny přímo vybraným dodavatelem.</w:t>
      </w:r>
    </w:p>
    <w:p w14:paraId="27EC5E77" w14:textId="77777777" w:rsidR="00102EFE" w:rsidRPr="00BE1865" w:rsidRDefault="00554227" w:rsidP="00ED2251">
      <w:pPr>
        <w:pStyle w:val="Odstavecseseznamem"/>
        <w:numPr>
          <w:ilvl w:val="0"/>
          <w:numId w:val="15"/>
        </w:numPr>
        <w:suppressAutoHyphens/>
        <w:spacing w:after="120"/>
        <w:ind w:left="567" w:hanging="567"/>
        <w:contextualSpacing w:val="0"/>
        <w:jc w:val="both"/>
        <w:rPr>
          <w:rFonts w:cs="Arial"/>
          <w:b/>
          <w:bCs/>
          <w:u w:val="single"/>
        </w:rPr>
      </w:pPr>
      <w:r w:rsidRPr="00131C05">
        <w:rPr>
          <w:rFonts w:cs="Arial"/>
          <w:b/>
          <w:bCs/>
          <w:u w:val="single"/>
        </w:rPr>
        <w:t>Obchodní a platební podmínky:</w:t>
      </w:r>
    </w:p>
    <w:p w14:paraId="31F0B933" w14:textId="0693E823" w:rsidR="004850CE" w:rsidRPr="008042F5" w:rsidRDefault="004850CE" w:rsidP="00ED2251">
      <w:pPr>
        <w:pStyle w:val="Odstavecseseznamem"/>
        <w:numPr>
          <w:ilvl w:val="1"/>
          <w:numId w:val="21"/>
        </w:numPr>
        <w:suppressAutoHyphens/>
        <w:spacing w:after="0"/>
        <w:ind w:left="567" w:hanging="567"/>
        <w:contextualSpacing w:val="0"/>
        <w:jc w:val="both"/>
        <w:rPr>
          <w:rFonts w:cs="Arial"/>
          <w:b/>
          <w:bCs/>
        </w:rPr>
      </w:pPr>
      <w:r w:rsidRPr="00D761E8">
        <w:rPr>
          <w:b/>
        </w:rPr>
        <w:t>Obchodní</w:t>
      </w:r>
      <w:r w:rsidRPr="008042F5">
        <w:rPr>
          <w:rFonts w:cs="Arial"/>
          <w:b/>
          <w:bCs/>
        </w:rPr>
        <w:t xml:space="preserve"> podmínky:</w:t>
      </w:r>
    </w:p>
    <w:p w14:paraId="7AFD9551" w14:textId="623FEC66"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tvoří součást zadávací dokumentace.</w:t>
      </w:r>
    </w:p>
    <w:p w14:paraId="6D5642AD" w14:textId="7A22ED90" w:rsidR="004850CE" w:rsidRPr="00D761E8" w:rsidRDefault="004850CE" w:rsidP="00ED2251">
      <w:pPr>
        <w:pStyle w:val="Odstavecseseznamem"/>
        <w:numPr>
          <w:ilvl w:val="1"/>
          <w:numId w:val="21"/>
        </w:numPr>
        <w:suppressAutoHyphens/>
        <w:spacing w:after="0"/>
        <w:ind w:left="567" w:hanging="567"/>
        <w:contextualSpacing w:val="0"/>
        <w:jc w:val="both"/>
        <w:rPr>
          <w:b/>
        </w:rPr>
      </w:pPr>
      <w:r w:rsidRPr="00D761E8">
        <w:rPr>
          <w:b/>
        </w:rPr>
        <w:t>Platební podmínky:</w:t>
      </w:r>
    </w:p>
    <w:p w14:paraId="2148E99A" w14:textId="3BE365B8" w:rsidR="004850CE" w:rsidRPr="00E81471" w:rsidRDefault="004850CE" w:rsidP="00C447E7">
      <w:pPr>
        <w:suppressAutoHyphens/>
        <w:spacing w:after="120"/>
        <w:jc w:val="both"/>
        <w:rPr>
          <w:rFonts w:cs="Arial"/>
        </w:rPr>
      </w:pPr>
      <w:r w:rsidRPr="00E81471">
        <w:rPr>
          <w:rFonts w:cs="Arial"/>
        </w:rPr>
        <w:t>Platební podmínky jsou upraveny v návrhu Smlouvy o dílo, který tvoří součást zadávací dokumentace</w:t>
      </w:r>
    </w:p>
    <w:p w14:paraId="0EC7F8AD" w14:textId="77777777" w:rsidR="00910BF5" w:rsidRPr="00910BF5" w:rsidRDefault="004850CE" w:rsidP="00087852">
      <w:pPr>
        <w:pStyle w:val="Odstavecseseznamem"/>
        <w:numPr>
          <w:ilvl w:val="1"/>
          <w:numId w:val="21"/>
        </w:numPr>
        <w:suppressAutoHyphens/>
        <w:spacing w:after="0"/>
        <w:ind w:left="567" w:hanging="567"/>
        <w:contextualSpacing w:val="0"/>
        <w:jc w:val="both"/>
        <w:rPr>
          <w:rFonts w:cs="Arial"/>
        </w:rPr>
      </w:pPr>
      <w:r w:rsidRPr="00910BF5">
        <w:rPr>
          <w:b/>
        </w:rPr>
        <w:t>Způsob</w:t>
      </w:r>
      <w:r w:rsidRPr="00910BF5">
        <w:rPr>
          <w:rFonts w:cs="Arial"/>
          <w:b/>
          <w:bCs/>
        </w:rPr>
        <w:t xml:space="preserve"> financování:</w:t>
      </w:r>
    </w:p>
    <w:p w14:paraId="13B67F3D" w14:textId="73B8ACBE" w:rsidR="004850CE" w:rsidRPr="00EE4926" w:rsidRDefault="004850CE" w:rsidP="00A05B82">
      <w:pPr>
        <w:suppressAutoHyphens/>
        <w:spacing w:after="120"/>
        <w:jc w:val="both"/>
        <w:rPr>
          <w:rFonts w:cs="Arial"/>
        </w:rPr>
      </w:pPr>
      <w:r w:rsidRPr="00A43F09">
        <w:rPr>
          <w:rFonts w:cs="Arial"/>
        </w:rPr>
        <w:t xml:space="preserve">Předpokládá se, že zakázka bude financována </w:t>
      </w:r>
      <w:r w:rsidRPr="00A43F09">
        <w:rPr>
          <w:rStyle w:val="Siln"/>
          <w:rFonts w:cs="Arial"/>
          <w:b w:val="0"/>
          <w:shd w:val="clear" w:color="auto" w:fill="FFFFFF"/>
        </w:rPr>
        <w:t>z prostředků</w:t>
      </w:r>
      <w:r w:rsidRPr="00A43F09">
        <w:rPr>
          <w:rFonts w:cs="Arial"/>
        </w:rPr>
        <w:t xml:space="preserve"> </w:t>
      </w:r>
      <w:r w:rsidRPr="00EE4926">
        <w:rPr>
          <w:rFonts w:cs="Arial"/>
          <w:b/>
        </w:rPr>
        <w:t>Státního fondu dopravní infrastruktury</w:t>
      </w:r>
      <w:r w:rsidRPr="00EE4926">
        <w:rPr>
          <w:rFonts w:cs="Arial"/>
        </w:rPr>
        <w:t xml:space="preserve"> </w:t>
      </w:r>
      <w:r w:rsidRPr="00EE4926">
        <w:rPr>
          <w:rFonts w:cs="Arial"/>
          <w:b/>
        </w:rPr>
        <w:t>(SFDI)</w:t>
      </w:r>
      <w:r w:rsidRPr="00EE4926">
        <w:rPr>
          <w:rFonts w:cs="Arial"/>
        </w:rPr>
        <w:t>.</w:t>
      </w:r>
    </w:p>
    <w:p w14:paraId="5B3BF7A3" w14:textId="0CC3ACED" w:rsidR="004850CE" w:rsidRPr="009E5989" w:rsidRDefault="004850CE" w:rsidP="00087852">
      <w:pPr>
        <w:pStyle w:val="Odstavecseseznamem"/>
        <w:numPr>
          <w:ilvl w:val="0"/>
          <w:numId w:val="21"/>
        </w:numPr>
        <w:suppressAutoHyphens/>
        <w:spacing w:after="120"/>
        <w:ind w:left="567" w:hanging="567"/>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087852">
      <w:pPr>
        <w:pStyle w:val="Odstavecseseznamem"/>
        <w:numPr>
          <w:ilvl w:val="1"/>
          <w:numId w:val="12"/>
        </w:numPr>
        <w:suppressAutoHyphens/>
        <w:spacing w:after="120"/>
        <w:ind w:left="567" w:hanging="567"/>
        <w:contextualSpacing w:val="0"/>
        <w:jc w:val="both"/>
        <w:rPr>
          <w:rFonts w:cs="Arial"/>
          <w:b/>
          <w:bCs/>
        </w:rPr>
      </w:pPr>
      <w:r w:rsidRPr="009E5989">
        <w:rPr>
          <w:rFonts w:cs="Arial"/>
          <w:b/>
          <w:bCs/>
        </w:rPr>
        <w:t>Způsob zpracování nabídky:</w:t>
      </w:r>
    </w:p>
    <w:p w14:paraId="3393223B" w14:textId="03317D1C"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řízení prokazuje kvalifikaci. Nabídka musí být podána elektronicky prostřednictvím elektronického nástroje E-ZAK, který je profilem zadavatele, a to v českém jazyce s výjimkami uvedenými v </w:t>
      </w:r>
      <w:r w:rsidRPr="00EE4926">
        <w:rPr>
          <w:rFonts w:cs="Arial"/>
        </w:rPr>
        <w:t>bodě 8.5</w:t>
      </w:r>
      <w:r w:rsidR="00567944" w:rsidRPr="00EE4926">
        <w:rPr>
          <w:rFonts w:cs="Arial"/>
        </w:rPr>
        <w:t>.6</w:t>
      </w:r>
      <w:r w:rsidRPr="00EE4926">
        <w:rPr>
          <w:rFonts w:cs="Arial"/>
        </w:rPr>
        <w:t xml:space="preserve"> této Výzvy</w:t>
      </w:r>
      <w:r w:rsidRPr="00A43F09">
        <w:rPr>
          <w:rFonts w:cs="Arial"/>
        </w:rPr>
        <w:t xml:space="preserve">. Zadavatel 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6"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6A2563A0" w:rsidR="004850CE" w:rsidRPr="00A43F09" w:rsidRDefault="004850CE" w:rsidP="0057152F">
      <w:pPr>
        <w:suppressAutoHyphens/>
        <w:spacing w:after="120"/>
        <w:jc w:val="both"/>
        <w:rPr>
          <w:rFonts w:cs="Arial"/>
        </w:rPr>
      </w:pPr>
      <w:r w:rsidRPr="00A43F09">
        <w:rPr>
          <w:rFonts w:cs="Arial"/>
        </w:rPr>
        <w:t>Údaje uvedené v textu nesmí být přepisovány ani škrtány.</w:t>
      </w:r>
    </w:p>
    <w:p w14:paraId="22E1DC04" w14:textId="1F0D4CA1" w:rsidR="004850CE" w:rsidRPr="00A43F09" w:rsidRDefault="004850CE" w:rsidP="00DA6DB0">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A43F09">
        <w:rPr>
          <w:rFonts w:cs="Arial"/>
          <w:highlight w:val="yellow"/>
        </w:rPr>
        <w:t>„VLOŽÍ ZHOTOVITEL“</w:t>
      </w:r>
      <w:r w:rsidR="00EC50FF" w:rsidRPr="00A43F09">
        <w:rPr>
          <w:rFonts w:cs="Arial"/>
        </w:rPr>
        <w:t>)</w:t>
      </w:r>
      <w:r w:rsidRPr="00A43F09">
        <w:rPr>
          <w:rFonts w:cs="Arial"/>
        </w:rPr>
        <w:t>. Návrh smlouvy nemusí být dodavatelem v nabídce podepsán.</w:t>
      </w:r>
    </w:p>
    <w:p w14:paraId="4DC23DA6" w14:textId="77777777" w:rsidR="004850CE" w:rsidRPr="00113538" w:rsidRDefault="004850CE" w:rsidP="00113538">
      <w:pPr>
        <w:suppressAutoHyphens/>
        <w:spacing w:after="120"/>
        <w:jc w:val="both"/>
        <w:rPr>
          <w:rFonts w:cs="Arial"/>
          <w:u w:val="single"/>
        </w:rPr>
      </w:pPr>
      <w:r w:rsidRPr="00113538">
        <w:rPr>
          <w:rFonts w:cs="Arial"/>
          <w:u w:val="single"/>
        </w:rPr>
        <w:t>Nabídka bude předložena v následující struktuře:</w:t>
      </w:r>
    </w:p>
    <w:p w14:paraId="31879965" w14:textId="77777777" w:rsidR="00ED214B" w:rsidRPr="00EE4926"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8" w:name="_Hlk150426940"/>
      <w:r w:rsidRPr="00EE4926">
        <w:rPr>
          <w:rFonts w:asciiTheme="minorHAnsi" w:hAnsiTheme="minorHAnsi"/>
          <w:sz w:val="18"/>
          <w:szCs w:val="18"/>
        </w:rPr>
        <w:t>Informace o účastníkovi, jeho identifikační údaje (příloha č. 1 Výzvy),</w:t>
      </w:r>
    </w:p>
    <w:p w14:paraId="3A14785B" w14:textId="711C5464" w:rsidR="00ED214B" w:rsidRPr="00EE4926" w:rsidRDefault="00976AF9" w:rsidP="00976AF9">
      <w:pPr>
        <w:pStyle w:val="Seznam"/>
        <w:numPr>
          <w:ilvl w:val="0"/>
          <w:numId w:val="22"/>
        </w:numPr>
        <w:spacing w:line="264" w:lineRule="auto"/>
        <w:ind w:left="782" w:hanging="391"/>
        <w:jc w:val="both"/>
        <w:rPr>
          <w:rFonts w:asciiTheme="minorHAnsi" w:hAnsiTheme="minorHAnsi"/>
          <w:sz w:val="18"/>
          <w:szCs w:val="18"/>
        </w:rPr>
      </w:pPr>
      <w:r w:rsidRPr="00EE4926">
        <w:rPr>
          <w:rFonts w:asciiTheme="minorHAnsi" w:hAnsiTheme="minorHAnsi"/>
          <w:sz w:val="18"/>
          <w:szCs w:val="18"/>
        </w:rPr>
        <w:t>V</w:t>
      </w:r>
      <w:r w:rsidR="00ED214B" w:rsidRPr="00EE4926">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EE4926" w:rsidRDefault="00ED214B" w:rsidP="00976AF9">
      <w:pPr>
        <w:pStyle w:val="Seznam"/>
        <w:numPr>
          <w:ilvl w:val="0"/>
          <w:numId w:val="22"/>
        </w:numPr>
        <w:spacing w:line="264" w:lineRule="auto"/>
        <w:ind w:left="782" w:hanging="391"/>
        <w:jc w:val="both"/>
        <w:rPr>
          <w:rFonts w:asciiTheme="minorHAnsi" w:hAnsiTheme="minorHAnsi"/>
          <w:sz w:val="18"/>
          <w:szCs w:val="18"/>
        </w:rPr>
      </w:pPr>
      <w:r w:rsidRPr="00EE4926">
        <w:rPr>
          <w:rFonts w:asciiTheme="minorHAnsi" w:hAnsiTheme="minorHAnsi"/>
          <w:sz w:val="18"/>
          <w:szCs w:val="18"/>
        </w:rPr>
        <w:t>Plná moc nebo pověření, je-li tohoto dokumentu potřeba,</w:t>
      </w:r>
    </w:p>
    <w:p w14:paraId="1F793D65" w14:textId="77777777" w:rsidR="00ED214B" w:rsidRPr="00EE4926" w:rsidRDefault="00ED214B" w:rsidP="00976AF9">
      <w:pPr>
        <w:pStyle w:val="Seznam"/>
        <w:numPr>
          <w:ilvl w:val="0"/>
          <w:numId w:val="22"/>
        </w:numPr>
        <w:spacing w:line="264" w:lineRule="auto"/>
        <w:ind w:left="782" w:hanging="391"/>
        <w:jc w:val="both"/>
        <w:rPr>
          <w:rFonts w:asciiTheme="minorHAnsi" w:hAnsiTheme="minorHAnsi"/>
          <w:sz w:val="18"/>
          <w:szCs w:val="18"/>
        </w:rPr>
      </w:pPr>
      <w:r w:rsidRPr="00EE4926">
        <w:rPr>
          <w:rFonts w:asciiTheme="minorHAnsi" w:hAnsiTheme="minorHAnsi"/>
          <w:sz w:val="18"/>
          <w:szCs w:val="18"/>
        </w:rPr>
        <w:t>Smlouva o společnosti (sdružení) resp. jiná obdobná listina,</w:t>
      </w:r>
    </w:p>
    <w:p w14:paraId="09350F21" w14:textId="1DC22840" w:rsidR="00ED214B" w:rsidRPr="00EE4926" w:rsidRDefault="00ED214B" w:rsidP="00976AF9">
      <w:pPr>
        <w:pStyle w:val="Seznam"/>
        <w:numPr>
          <w:ilvl w:val="0"/>
          <w:numId w:val="22"/>
        </w:numPr>
        <w:spacing w:line="264" w:lineRule="auto"/>
        <w:ind w:left="782" w:hanging="391"/>
        <w:jc w:val="both"/>
        <w:rPr>
          <w:rFonts w:asciiTheme="minorHAnsi" w:hAnsiTheme="minorHAnsi"/>
          <w:sz w:val="18"/>
          <w:szCs w:val="18"/>
        </w:rPr>
      </w:pPr>
      <w:r w:rsidRPr="00EE4926">
        <w:rPr>
          <w:rFonts w:asciiTheme="minorHAnsi" w:hAnsiTheme="minorHAnsi"/>
          <w:sz w:val="18"/>
          <w:szCs w:val="18"/>
        </w:rPr>
        <w:t xml:space="preserve">Doklady k prokázání základní způsobilosti, </w:t>
      </w:r>
      <w:r w:rsidR="00873DE2" w:rsidRPr="00EE4926">
        <w:rPr>
          <w:rFonts w:asciiTheme="minorHAnsi" w:hAnsiTheme="minorHAnsi"/>
          <w:sz w:val="18"/>
          <w:szCs w:val="18"/>
        </w:rPr>
        <w:t xml:space="preserve">vzor </w:t>
      </w:r>
      <w:r w:rsidRPr="00EE4926">
        <w:rPr>
          <w:rFonts w:asciiTheme="minorHAnsi" w:hAnsiTheme="minorHAnsi"/>
          <w:sz w:val="18"/>
          <w:szCs w:val="18"/>
        </w:rPr>
        <w:t>čestné</w:t>
      </w:r>
      <w:r w:rsidR="00873DE2" w:rsidRPr="00EE4926">
        <w:rPr>
          <w:rFonts w:asciiTheme="minorHAnsi" w:hAnsiTheme="minorHAnsi"/>
          <w:sz w:val="18"/>
          <w:szCs w:val="18"/>
        </w:rPr>
        <w:t>ho</w:t>
      </w:r>
      <w:r w:rsidRPr="00EE4926">
        <w:rPr>
          <w:rFonts w:asciiTheme="minorHAnsi" w:hAnsiTheme="minorHAnsi"/>
          <w:sz w:val="18"/>
          <w:szCs w:val="18"/>
        </w:rPr>
        <w:t xml:space="preserve"> prohlášení </w:t>
      </w:r>
      <w:r w:rsidR="00873DE2" w:rsidRPr="00EE4926">
        <w:rPr>
          <w:rFonts w:asciiTheme="minorHAnsi" w:hAnsiTheme="minorHAnsi"/>
          <w:sz w:val="18"/>
          <w:szCs w:val="18"/>
        </w:rPr>
        <w:t>je uveden</w:t>
      </w:r>
      <w:r w:rsidRPr="00EE4926">
        <w:rPr>
          <w:rFonts w:asciiTheme="minorHAnsi" w:hAnsiTheme="minorHAnsi"/>
          <w:sz w:val="18"/>
          <w:szCs w:val="18"/>
        </w:rPr>
        <w:t xml:space="preserve"> v Příloze č. </w:t>
      </w:r>
      <w:r w:rsidR="00976AF9" w:rsidRPr="00EE4926">
        <w:rPr>
          <w:rFonts w:asciiTheme="minorHAnsi" w:hAnsiTheme="minorHAnsi"/>
          <w:sz w:val="18"/>
          <w:szCs w:val="18"/>
        </w:rPr>
        <w:t>3</w:t>
      </w:r>
      <w:r w:rsidRPr="00EE4926">
        <w:rPr>
          <w:rFonts w:asciiTheme="minorHAnsi" w:hAnsiTheme="minorHAnsi"/>
          <w:sz w:val="18"/>
          <w:szCs w:val="18"/>
        </w:rPr>
        <w:t xml:space="preserve"> této Výzvy,</w:t>
      </w:r>
    </w:p>
    <w:p w14:paraId="53922ABF" w14:textId="77777777" w:rsidR="00ED214B" w:rsidRPr="00EE4926" w:rsidRDefault="00ED214B" w:rsidP="00976AF9">
      <w:pPr>
        <w:pStyle w:val="Seznam"/>
        <w:numPr>
          <w:ilvl w:val="0"/>
          <w:numId w:val="22"/>
        </w:numPr>
        <w:spacing w:line="264" w:lineRule="auto"/>
        <w:ind w:left="782" w:hanging="391"/>
        <w:jc w:val="both"/>
        <w:rPr>
          <w:rFonts w:asciiTheme="minorHAnsi" w:hAnsiTheme="minorHAnsi"/>
          <w:sz w:val="18"/>
          <w:szCs w:val="18"/>
        </w:rPr>
      </w:pPr>
      <w:r w:rsidRPr="00EE4926">
        <w:rPr>
          <w:rFonts w:asciiTheme="minorHAnsi" w:hAnsiTheme="minorHAnsi"/>
          <w:sz w:val="18"/>
          <w:szCs w:val="18"/>
        </w:rPr>
        <w:t>Doklady k prokázání profesní způsobilosti,</w:t>
      </w:r>
    </w:p>
    <w:p w14:paraId="76C21AEF" w14:textId="710C2C97" w:rsidR="00656B34" w:rsidRPr="00EE4926" w:rsidRDefault="00976AF9" w:rsidP="00976AF9">
      <w:pPr>
        <w:pStyle w:val="Seznam"/>
        <w:numPr>
          <w:ilvl w:val="0"/>
          <w:numId w:val="22"/>
        </w:numPr>
        <w:spacing w:line="264" w:lineRule="auto"/>
        <w:ind w:left="782" w:hanging="391"/>
        <w:jc w:val="both"/>
        <w:rPr>
          <w:rFonts w:asciiTheme="minorHAnsi" w:hAnsiTheme="minorHAnsi"/>
          <w:sz w:val="18"/>
          <w:szCs w:val="18"/>
        </w:rPr>
      </w:pPr>
      <w:r w:rsidRPr="00EE4926">
        <w:rPr>
          <w:rFonts w:asciiTheme="minorHAnsi" w:hAnsiTheme="minorHAnsi"/>
          <w:sz w:val="18"/>
          <w:szCs w:val="18"/>
        </w:rPr>
        <w:t>Doklady k prokázání technické kvalifikace – Seznam</w:t>
      </w:r>
      <w:r w:rsidR="00656B34" w:rsidRPr="00EE4926">
        <w:rPr>
          <w:rFonts w:asciiTheme="minorHAnsi" w:hAnsiTheme="minorHAnsi"/>
          <w:sz w:val="18"/>
          <w:szCs w:val="18"/>
        </w:rPr>
        <w:t xml:space="preserve"> významných služeb (příloha č. </w:t>
      </w:r>
      <w:r w:rsidRPr="00EE4926">
        <w:rPr>
          <w:rFonts w:asciiTheme="minorHAnsi" w:hAnsiTheme="minorHAnsi"/>
          <w:sz w:val="18"/>
          <w:szCs w:val="18"/>
        </w:rPr>
        <w:t>4</w:t>
      </w:r>
      <w:r w:rsidR="00656B34" w:rsidRPr="00EE4926">
        <w:rPr>
          <w:rFonts w:asciiTheme="minorHAnsi" w:hAnsiTheme="minorHAnsi"/>
          <w:sz w:val="18"/>
          <w:szCs w:val="18"/>
        </w:rPr>
        <w:t xml:space="preserve"> Výzvy),</w:t>
      </w:r>
    </w:p>
    <w:p w14:paraId="4542C573" w14:textId="1DAFB58C" w:rsidR="00873BFC" w:rsidRPr="00EE4926" w:rsidRDefault="00873BFC" w:rsidP="00976AF9">
      <w:pPr>
        <w:pStyle w:val="Seznam"/>
        <w:numPr>
          <w:ilvl w:val="0"/>
          <w:numId w:val="22"/>
        </w:numPr>
        <w:spacing w:line="264" w:lineRule="auto"/>
        <w:ind w:left="782" w:hanging="391"/>
        <w:jc w:val="both"/>
        <w:rPr>
          <w:rFonts w:asciiTheme="minorHAnsi" w:hAnsiTheme="minorHAnsi"/>
          <w:sz w:val="18"/>
          <w:szCs w:val="18"/>
        </w:rPr>
      </w:pPr>
      <w:r w:rsidRPr="00EE4926">
        <w:rPr>
          <w:rFonts w:asciiTheme="minorHAnsi" w:hAnsiTheme="minorHAnsi"/>
          <w:sz w:val="18"/>
          <w:szCs w:val="18"/>
        </w:rPr>
        <w:t>Seznam osob prokazující profesní a odbornou způsobilost (příloha č. 5 Výzvy)</w:t>
      </w:r>
    </w:p>
    <w:p w14:paraId="297EBF59" w14:textId="0C749D3D" w:rsidR="00ED214B" w:rsidRPr="00EE4926" w:rsidRDefault="00ED214B" w:rsidP="00976AF9">
      <w:pPr>
        <w:pStyle w:val="Seznam"/>
        <w:numPr>
          <w:ilvl w:val="0"/>
          <w:numId w:val="22"/>
        </w:numPr>
        <w:spacing w:line="264" w:lineRule="auto"/>
        <w:ind w:left="782" w:hanging="391"/>
        <w:jc w:val="both"/>
        <w:rPr>
          <w:rFonts w:asciiTheme="minorHAnsi" w:hAnsiTheme="minorHAnsi"/>
          <w:sz w:val="18"/>
          <w:szCs w:val="18"/>
        </w:rPr>
      </w:pPr>
      <w:r w:rsidRPr="00EE4926">
        <w:rPr>
          <w:rFonts w:asciiTheme="minorHAnsi" w:hAnsiTheme="minorHAnsi"/>
          <w:sz w:val="18"/>
          <w:szCs w:val="18"/>
        </w:rPr>
        <w:lastRenderedPageBreak/>
        <w:t xml:space="preserve">Seznam jiných osob, jejichž prostřednictvím prokazuje dodavatel určitou část kvalifikace a doklady vztahující se k těmto jiným osobám (příloha č. </w:t>
      </w:r>
      <w:r w:rsidR="00873BFC" w:rsidRPr="00EE4926">
        <w:rPr>
          <w:rFonts w:asciiTheme="minorHAnsi" w:hAnsiTheme="minorHAnsi"/>
          <w:sz w:val="18"/>
          <w:szCs w:val="18"/>
        </w:rPr>
        <w:t>6</w:t>
      </w:r>
      <w:r w:rsidRPr="00EE4926">
        <w:rPr>
          <w:rFonts w:asciiTheme="minorHAnsi" w:hAnsiTheme="minorHAnsi"/>
          <w:sz w:val="18"/>
          <w:szCs w:val="18"/>
        </w:rPr>
        <w:t xml:space="preserve"> Výzvy),</w:t>
      </w:r>
    </w:p>
    <w:p w14:paraId="7DF61F65" w14:textId="358FFB32" w:rsidR="00ED214B" w:rsidRPr="00EE4926" w:rsidRDefault="00ED214B" w:rsidP="00976AF9">
      <w:pPr>
        <w:pStyle w:val="Seznam"/>
        <w:numPr>
          <w:ilvl w:val="0"/>
          <w:numId w:val="22"/>
        </w:numPr>
        <w:spacing w:line="264" w:lineRule="auto"/>
        <w:ind w:left="782" w:hanging="391"/>
        <w:jc w:val="both"/>
        <w:rPr>
          <w:rFonts w:asciiTheme="minorHAnsi" w:hAnsiTheme="minorHAnsi"/>
          <w:sz w:val="18"/>
          <w:szCs w:val="18"/>
        </w:rPr>
      </w:pPr>
      <w:r w:rsidRPr="00EE4926">
        <w:rPr>
          <w:rFonts w:asciiTheme="minorHAnsi" w:hAnsiTheme="minorHAnsi"/>
          <w:sz w:val="18"/>
          <w:szCs w:val="18"/>
        </w:rPr>
        <w:t xml:space="preserve">Seznam poddodavatelů (příloha č.  </w:t>
      </w:r>
      <w:r w:rsidR="00873BFC" w:rsidRPr="00EE4926">
        <w:rPr>
          <w:rFonts w:asciiTheme="minorHAnsi" w:hAnsiTheme="minorHAnsi"/>
          <w:sz w:val="18"/>
          <w:szCs w:val="18"/>
        </w:rPr>
        <w:t>7</w:t>
      </w:r>
      <w:r w:rsidR="00587190" w:rsidRPr="00EE4926">
        <w:rPr>
          <w:rFonts w:asciiTheme="minorHAnsi" w:hAnsiTheme="minorHAnsi"/>
          <w:sz w:val="18"/>
          <w:szCs w:val="18"/>
        </w:rPr>
        <w:t xml:space="preserve"> </w:t>
      </w:r>
      <w:r w:rsidRPr="00EE4926">
        <w:rPr>
          <w:rFonts w:asciiTheme="minorHAnsi" w:hAnsiTheme="minorHAnsi"/>
          <w:sz w:val="18"/>
          <w:szCs w:val="18"/>
        </w:rPr>
        <w:t>Výzvy),</w:t>
      </w:r>
    </w:p>
    <w:p w14:paraId="661F6EE2" w14:textId="597FD6D8" w:rsidR="00ED214B" w:rsidRPr="00EE4926" w:rsidRDefault="00587190" w:rsidP="00976AF9">
      <w:pPr>
        <w:pStyle w:val="Seznam"/>
        <w:numPr>
          <w:ilvl w:val="0"/>
          <w:numId w:val="22"/>
        </w:numPr>
        <w:spacing w:line="264" w:lineRule="auto"/>
        <w:ind w:left="782" w:hanging="391"/>
        <w:jc w:val="both"/>
        <w:rPr>
          <w:rFonts w:asciiTheme="minorHAnsi" w:hAnsiTheme="minorHAnsi"/>
          <w:sz w:val="18"/>
          <w:szCs w:val="18"/>
        </w:rPr>
      </w:pPr>
      <w:r w:rsidRPr="00EE4926">
        <w:rPr>
          <w:rFonts w:asciiTheme="minorHAnsi" w:hAnsiTheme="minorHAnsi"/>
          <w:sz w:val="18"/>
          <w:szCs w:val="18"/>
        </w:rPr>
        <w:t xml:space="preserve">Čestné prohlášení o splnění podmínek v souvislosti </w:t>
      </w:r>
      <w:r w:rsidR="008B7B05" w:rsidRPr="00EE4926">
        <w:rPr>
          <w:rFonts w:asciiTheme="minorHAnsi" w:hAnsiTheme="minorHAnsi"/>
          <w:sz w:val="18"/>
          <w:szCs w:val="18"/>
        </w:rPr>
        <w:t xml:space="preserve">s mezinárodními </w:t>
      </w:r>
      <w:proofErr w:type="gramStart"/>
      <w:r w:rsidR="008B7B05" w:rsidRPr="00EE4926">
        <w:rPr>
          <w:rFonts w:asciiTheme="minorHAnsi" w:hAnsiTheme="minorHAnsi"/>
          <w:sz w:val="18"/>
          <w:szCs w:val="18"/>
        </w:rPr>
        <w:t xml:space="preserve">sankcemi </w:t>
      </w:r>
      <w:r w:rsidRPr="00EE4926">
        <w:rPr>
          <w:rFonts w:asciiTheme="minorHAnsi" w:hAnsiTheme="minorHAnsi"/>
          <w:sz w:val="18"/>
          <w:szCs w:val="18"/>
        </w:rPr>
        <w:t xml:space="preserve"> </w:t>
      </w:r>
      <w:r w:rsidR="00ED214B" w:rsidRPr="00EE4926">
        <w:rPr>
          <w:rFonts w:asciiTheme="minorHAnsi" w:hAnsiTheme="minorHAnsi"/>
          <w:sz w:val="18"/>
          <w:szCs w:val="18"/>
        </w:rPr>
        <w:t>(</w:t>
      </w:r>
      <w:proofErr w:type="gramEnd"/>
      <w:r w:rsidR="00ED214B" w:rsidRPr="00EE4926">
        <w:rPr>
          <w:rFonts w:asciiTheme="minorHAnsi" w:hAnsiTheme="minorHAnsi"/>
          <w:sz w:val="18"/>
          <w:szCs w:val="18"/>
        </w:rPr>
        <w:t xml:space="preserve">příloha č. </w:t>
      </w:r>
      <w:r w:rsidR="00873BFC" w:rsidRPr="00EE4926">
        <w:rPr>
          <w:rFonts w:asciiTheme="minorHAnsi" w:hAnsiTheme="minorHAnsi"/>
          <w:sz w:val="18"/>
          <w:szCs w:val="18"/>
        </w:rPr>
        <w:t>8</w:t>
      </w:r>
      <w:r w:rsidRPr="00EE4926">
        <w:rPr>
          <w:rFonts w:asciiTheme="minorHAnsi" w:hAnsiTheme="minorHAnsi"/>
          <w:sz w:val="18"/>
          <w:szCs w:val="18"/>
        </w:rPr>
        <w:t xml:space="preserve"> </w:t>
      </w:r>
      <w:r w:rsidR="00ED214B" w:rsidRPr="00EE4926">
        <w:rPr>
          <w:rFonts w:asciiTheme="minorHAnsi" w:hAnsiTheme="minorHAnsi"/>
          <w:sz w:val="18"/>
          <w:szCs w:val="18"/>
        </w:rPr>
        <w:t>Výzvy)</w:t>
      </w:r>
    </w:p>
    <w:p w14:paraId="5EEDC46B" w14:textId="68011CDD" w:rsidR="00ED214B" w:rsidRPr="00EE4926" w:rsidRDefault="00ED214B" w:rsidP="00967468">
      <w:pPr>
        <w:pStyle w:val="Seznam"/>
        <w:numPr>
          <w:ilvl w:val="0"/>
          <w:numId w:val="22"/>
        </w:numPr>
        <w:spacing w:after="120" w:line="264" w:lineRule="auto"/>
        <w:ind w:left="782" w:hanging="391"/>
        <w:jc w:val="both"/>
        <w:rPr>
          <w:rFonts w:asciiTheme="minorHAnsi" w:hAnsiTheme="minorHAnsi"/>
          <w:sz w:val="18"/>
          <w:szCs w:val="18"/>
        </w:rPr>
      </w:pPr>
      <w:r w:rsidRPr="00EE4926">
        <w:rPr>
          <w:rFonts w:asciiTheme="minorHAnsi" w:hAnsiTheme="minorHAnsi"/>
          <w:sz w:val="18"/>
          <w:szCs w:val="18"/>
        </w:rPr>
        <w:t>Návrh Smlouvy o dílo</w:t>
      </w:r>
      <w:r w:rsidR="00976AF9" w:rsidRPr="00EE4926">
        <w:rPr>
          <w:rFonts w:asciiTheme="minorHAnsi" w:hAnsiTheme="minorHAnsi"/>
          <w:sz w:val="18"/>
          <w:szCs w:val="18"/>
        </w:rPr>
        <w:t xml:space="preserve"> včetně příloh</w:t>
      </w:r>
      <w:r w:rsidRPr="00EE4926">
        <w:rPr>
          <w:rFonts w:asciiTheme="minorHAnsi" w:hAnsiTheme="minorHAnsi"/>
          <w:sz w:val="18"/>
          <w:szCs w:val="18"/>
        </w:rPr>
        <w:t>.</w:t>
      </w:r>
    </w:p>
    <w:bookmarkEnd w:id="8"/>
    <w:p w14:paraId="4AA5C9C9" w14:textId="0EED218B" w:rsidR="004850CE" w:rsidRPr="00AD7C32" w:rsidRDefault="004850CE" w:rsidP="00047C8F">
      <w:pPr>
        <w:pStyle w:val="Odstavecseseznamem"/>
        <w:numPr>
          <w:ilvl w:val="1"/>
          <w:numId w:val="12"/>
        </w:numPr>
        <w:suppressAutoHyphens/>
        <w:spacing w:after="120"/>
        <w:ind w:left="567" w:hanging="567"/>
        <w:contextualSpacing w:val="0"/>
        <w:jc w:val="both"/>
        <w:rPr>
          <w:b/>
          <w:bCs/>
        </w:rPr>
      </w:pPr>
      <w:r w:rsidRPr="00AD7C3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77777777"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7777777" w:rsidR="004850CE" w:rsidRPr="00F345CA" w:rsidRDefault="004850CE" w:rsidP="0057152F">
      <w:pPr>
        <w:suppressAutoHyphens/>
        <w:spacing w:after="120"/>
        <w:jc w:val="both"/>
        <w:rPr>
          <w:b/>
          <w:bCs/>
        </w:rPr>
      </w:pPr>
      <w:r w:rsidRPr="00F345CA">
        <w:rPr>
          <w:b/>
          <w:bCs/>
        </w:rPr>
        <w:t>Nabídková cena bude zahrnovat veškeré požadované činnosti související s předmětem díla.</w:t>
      </w:r>
    </w:p>
    <w:p w14:paraId="16B6014F" w14:textId="77777777" w:rsidR="00760E29"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46E1A">
        <w:rPr>
          <w:rFonts w:cs="Arial"/>
        </w:rPr>
        <w:t>rar</w:t>
      </w:r>
      <w:proofErr w:type="spellEnd"/>
      <w:r w:rsidRPr="00F46E1A">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 xml:space="preserve">se soubory o velikosti nejvýše </w:t>
      </w:r>
      <w:proofErr w:type="gramStart"/>
      <w:r w:rsidR="00293D1D" w:rsidRPr="00F46E1A">
        <w:rPr>
          <w:rFonts w:cs="Arial"/>
        </w:rPr>
        <w:t>50</w:t>
      </w:r>
      <w:r w:rsidRPr="00F46E1A">
        <w:rPr>
          <w:rFonts w:cs="Arial"/>
        </w:rPr>
        <w:t>MB</w:t>
      </w:r>
      <w:proofErr w:type="gramEnd"/>
      <w:r w:rsidRPr="00F46E1A">
        <w:rPr>
          <w:rFonts w:cs="Arial"/>
        </w:rPr>
        <w:t xml:space="preserve">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680A7A">
      <w:pPr>
        <w:suppressAutoHyphens/>
        <w:spacing w:after="120"/>
        <w:jc w:val="both"/>
        <w:rPr>
          <w:b/>
          <w:bCs/>
        </w:rPr>
      </w:pPr>
      <w:r w:rsidRPr="00F46E1A">
        <w:rPr>
          <w:rFonts w:cs="Arial"/>
        </w:rPr>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398BA9C5" w:rsidR="004850CE" w:rsidRPr="00427416" w:rsidRDefault="004850CE" w:rsidP="006C319F">
      <w:pPr>
        <w:pStyle w:val="Odstavecseseznamem"/>
        <w:numPr>
          <w:ilvl w:val="0"/>
          <w:numId w:val="21"/>
        </w:numPr>
        <w:suppressAutoHyphens/>
        <w:spacing w:after="120"/>
        <w:ind w:left="567" w:hanging="567"/>
        <w:contextualSpacing w:val="0"/>
        <w:jc w:val="both"/>
        <w:rPr>
          <w:b/>
          <w:bCs/>
          <w:u w:val="single"/>
        </w:rPr>
      </w:pPr>
      <w:r w:rsidRPr="00427416">
        <w:rPr>
          <w:b/>
          <w:bCs/>
          <w:u w:val="single"/>
        </w:rPr>
        <w:t>Lhůta k podání nabídky:</w:t>
      </w:r>
    </w:p>
    <w:p w14:paraId="014223D6" w14:textId="5FFD3ECB" w:rsidR="001674E9" w:rsidRPr="002317DA" w:rsidRDefault="001674E9" w:rsidP="00680A7A">
      <w:pPr>
        <w:suppressAutoHyphens/>
        <w:spacing w:after="120"/>
        <w:jc w:val="both"/>
        <w:rPr>
          <w:rFonts w:cs="Arial"/>
        </w:rPr>
      </w:pPr>
      <w:r w:rsidRPr="002317DA">
        <w:rPr>
          <w:rFonts w:cs="Arial"/>
        </w:rPr>
        <w:t>Nabídku lze podat v</w:t>
      </w:r>
      <w:r w:rsidR="00731D0B">
        <w:rPr>
          <w:rFonts w:cs="Arial"/>
        </w:rPr>
        <w:t xml:space="preserve"> </w:t>
      </w:r>
      <w:r w:rsidRPr="002317DA">
        <w:rPr>
          <w:rFonts w:cs="Arial"/>
        </w:rPr>
        <w:t xml:space="preserve">termínu uvedeném na profilu zadavatele: </w:t>
      </w:r>
      <w:hyperlink r:id="rId18"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115ED302"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Pr="002317DA" w:rsidRDefault="001B5CED" w:rsidP="002317DA">
      <w:pPr>
        <w:suppressAutoHyphens/>
        <w:spacing w:after="120"/>
        <w:jc w:val="both"/>
        <w:rPr>
          <w:rFonts w:cs="Arial"/>
          <w:b/>
          <w:bCs/>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9"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57152F">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 xml:space="preserve">návrhu Smlouvy o dílo. Jako nejvýhodnější bude hodnocena nabídka s nejnižší nabídkovou cenou v Kč bez DPH uvedenou v návrhu Smlouvy o dílo ze všech hodnocených nabídek. Ostatní </w:t>
      </w:r>
      <w:r w:rsidRPr="00F46E1A">
        <w:rPr>
          <w:rFonts w:cs="Arial"/>
        </w:rPr>
        <w:lastRenderedPageBreak/>
        <w:t>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047C8F">
      <w:pPr>
        <w:pStyle w:val="Odstavecseseznamem"/>
        <w:numPr>
          <w:ilvl w:val="0"/>
          <w:numId w:val="21"/>
        </w:numPr>
        <w:suppressAutoHyphens/>
        <w:spacing w:after="120"/>
        <w:ind w:left="567" w:hanging="567"/>
        <w:contextualSpacing w:val="0"/>
        <w:jc w:val="both"/>
        <w:rPr>
          <w:rFonts w:eastAsia="Batang" w:cs="Arial"/>
          <w:b/>
          <w:u w:val="single"/>
        </w:rPr>
      </w:pPr>
      <w:r w:rsidRPr="00427416">
        <w:rPr>
          <w:b/>
          <w:bCs/>
          <w:u w:val="single"/>
        </w:rPr>
        <w:t>Vysvětlení, změny a doplnění zadávací dokumentace (dodatečné informace)</w:t>
      </w:r>
    </w:p>
    <w:p w14:paraId="2F8929FC" w14:textId="798677F2" w:rsidR="004850CE" w:rsidRPr="00F46E1A" w:rsidRDefault="004850CE" w:rsidP="00F46E1A">
      <w:pPr>
        <w:suppressAutoHyphens/>
        <w:spacing w:after="120"/>
        <w:jc w:val="both"/>
        <w:rPr>
          <w:rFonts w:cs="Arial"/>
        </w:rPr>
      </w:pPr>
      <w:r w:rsidRPr="00F46E1A">
        <w:rPr>
          <w:rFonts w:cs="Arial"/>
        </w:rPr>
        <w:t>Účastník je oprávněn podávat žádosti o</w:t>
      </w:r>
      <w:r w:rsidR="00731D0B">
        <w:rPr>
          <w:rFonts w:cs="Arial"/>
        </w:rPr>
        <w:t xml:space="preserve"> </w:t>
      </w:r>
      <w:r w:rsidRPr="00F46E1A">
        <w:rPr>
          <w:rFonts w:cs="Arial"/>
        </w:rPr>
        <w:t>vysvětlení zadávací dokumentace prostřednictvím elektronického nástroje E-ZA</w:t>
      </w:r>
      <w:r w:rsidR="00DE4ED4" w:rsidRPr="00F46E1A">
        <w:rPr>
          <w:rFonts w:cs="Arial"/>
        </w:rPr>
        <w:t xml:space="preserve">K na adrese: </w:t>
      </w:r>
      <w:hyperlink r:id="rId20"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1" w:history="1">
        <w:r w:rsidR="00731D0B" w:rsidRPr="00F268FF">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4 pracovní dny </w:t>
      </w:r>
      <w:r w:rsidRPr="00F46E1A">
        <w:rPr>
          <w:rFonts w:cs="Arial"/>
        </w:rPr>
        <w:t>před uplynutím lhůty pro podání nabídek. Vysvětlení zadávací dokumentace může zadavatel poskytnout i bez</w:t>
      </w:r>
      <w:r w:rsidR="00760E29" w:rsidRPr="00F46E1A">
        <w:rPr>
          <w:rFonts w:cs="Arial"/>
        </w:rPr>
        <w:t xml:space="preserve"> </w:t>
      </w:r>
      <w:r w:rsidRPr="00F46E1A">
        <w:rPr>
          <w:rFonts w:cs="Arial"/>
        </w:rPr>
        <w:t>předchozí žádosti.</w:t>
      </w:r>
    </w:p>
    <w:p w14:paraId="3C1C696F" w14:textId="7F3E2C1C" w:rsidR="004850CE" w:rsidRPr="00F46E1A" w:rsidRDefault="004850CE" w:rsidP="00F46E1A">
      <w:pPr>
        <w:suppressAutoHyphens/>
        <w:spacing w:after="120"/>
        <w:jc w:val="both"/>
        <w:rPr>
          <w:rFonts w:cs="Arial"/>
        </w:rPr>
      </w:pPr>
      <w:r w:rsidRPr="00F46E1A">
        <w:rPr>
          <w:rFonts w:cs="Arial"/>
        </w:rPr>
        <w:t xml:space="preserve">Zadavatel poskytne vysvětlení zadávací </w:t>
      </w:r>
      <w:r w:rsidRPr="00F46E1A">
        <w:rPr>
          <w:rFonts w:cs="Arial"/>
          <w:b/>
          <w:bCs/>
        </w:rPr>
        <w:t xml:space="preserve">dokumentace nejpozději do 2 pracovních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Pr="00F46E1A"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2"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77777777" w:rsidR="004850CE" w:rsidRPr="00F46E1A" w:rsidRDefault="004850CE" w:rsidP="00F46E1A">
      <w:pPr>
        <w:suppressAutoHyphens/>
        <w:spacing w:after="120"/>
        <w:jc w:val="both"/>
        <w:rPr>
          <w:rFonts w:cs="Arial"/>
        </w:rPr>
      </w:pPr>
      <w:r w:rsidRPr="00F46E1A">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2FEAD8D8" w14:textId="5582511F" w:rsidR="00EE0D22" w:rsidRPr="00EE0D22"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Další podmínky:</w:t>
      </w:r>
    </w:p>
    <w:p w14:paraId="08C656D1" w14:textId="7FA29CB0" w:rsidR="00B3167A" w:rsidRPr="00052EBF" w:rsidRDefault="00B3167A" w:rsidP="00703A25">
      <w:pPr>
        <w:pStyle w:val="Odstavecseseznamem"/>
        <w:numPr>
          <w:ilvl w:val="0"/>
          <w:numId w:val="23"/>
        </w:numPr>
        <w:spacing w:after="120"/>
        <w:ind w:left="426" w:hanging="426"/>
        <w:contextualSpacing w:val="0"/>
      </w:pPr>
      <w:r w:rsidRPr="00052EBF">
        <w:t>Zadavatel nepřipouští variant</w:t>
      </w:r>
      <w:r w:rsidR="009C03CD" w:rsidRPr="00052EBF">
        <w:t>y nabídek.</w:t>
      </w:r>
    </w:p>
    <w:p w14:paraId="3BFD407B" w14:textId="0D6C4ADB" w:rsidR="000F6D92" w:rsidRPr="00052EBF" w:rsidRDefault="000F6D92" w:rsidP="00703A25">
      <w:pPr>
        <w:pStyle w:val="Odstavecseseznamem"/>
        <w:numPr>
          <w:ilvl w:val="0"/>
          <w:numId w:val="23"/>
        </w:numPr>
        <w:spacing w:after="120"/>
        <w:ind w:left="426" w:hanging="426"/>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703A25">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34462928" w:rsidR="00DC00B4" w:rsidRPr="00052EBF" w:rsidRDefault="000F6D92" w:rsidP="00703A25">
      <w:pPr>
        <w:pStyle w:val="Odstavecseseznamem"/>
        <w:numPr>
          <w:ilvl w:val="0"/>
          <w:numId w:val="24"/>
        </w:numPr>
        <w:spacing w:after="120"/>
        <w:ind w:left="709" w:hanging="284"/>
        <w:contextualSpacing w:val="0"/>
        <w:jc w:val="both"/>
      </w:pPr>
      <w:r w:rsidRPr="00052EBF">
        <w:t xml:space="preserve">Zadavatel si mimo jiné vyhrazuje právo zrušit </w:t>
      </w:r>
      <w:r w:rsidR="00735EB7" w:rsidRPr="00052EBF">
        <w:t>výběrové</w:t>
      </w:r>
      <w:r w:rsidRPr="00052EBF">
        <w:t xml:space="preserve"> řízení v případě, že k</w:t>
      </w:r>
      <w:r w:rsidR="00731D0B">
        <w:t xml:space="preserve"> </w:t>
      </w:r>
      <w:r w:rsidRPr="00052EBF">
        <w:t>hodnocení připadnou pouze nabídky s nabídkovou cenou převyšující</w:t>
      </w:r>
      <w:r w:rsidR="00FB135B" w:rsidRPr="00052EBF">
        <w:t xml:space="preserve"> předpokládanou hodnotu zakázky</w:t>
      </w:r>
      <w:r w:rsidR="008042F5" w:rsidRPr="00052EBF">
        <w:t>.</w:t>
      </w:r>
      <w:r w:rsidR="00DC00B4" w:rsidRPr="00052EBF">
        <w:t xml:space="preserve"> </w:t>
      </w:r>
    </w:p>
    <w:p w14:paraId="461BB723" w14:textId="7BBE1C1F" w:rsidR="00887D67" w:rsidRPr="00052EBF" w:rsidRDefault="00887D67" w:rsidP="00703A25">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Pr="00052EBF" w:rsidRDefault="003852E7" w:rsidP="00703A25">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703A25">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703A25">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703A25">
      <w:pPr>
        <w:pStyle w:val="Odstavecseseznamem"/>
        <w:numPr>
          <w:ilvl w:val="0"/>
          <w:numId w:val="23"/>
        </w:numPr>
        <w:spacing w:after="120"/>
        <w:ind w:left="426" w:hanging="426"/>
        <w:contextualSpacing w:val="0"/>
        <w:jc w:val="both"/>
      </w:pPr>
      <w:r w:rsidRPr="00052EBF">
        <w:t xml:space="preserve">Podává-li nabídku více dodavatelů společně, požaduje zadavatel předložení smlouvy, z níž vyplývá, že všichni tito dodavatelé budou vůči zadavateli a jakýmkoliv třetím osobám z </w:t>
      </w:r>
      <w:r w:rsidRPr="00052EBF">
        <w:lastRenderedPageBreak/>
        <w:t>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703A25">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703A25">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703A25">
      <w:pPr>
        <w:pStyle w:val="Odstavecseseznamem"/>
        <w:numPr>
          <w:ilvl w:val="0"/>
          <w:numId w:val="23"/>
        </w:numPr>
        <w:spacing w:after="120"/>
        <w:ind w:left="426" w:hanging="426"/>
        <w:contextualSpacing w:val="0"/>
        <w:jc w:val="both"/>
      </w:pPr>
      <w:r w:rsidRPr="00052EBF">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047C8F">
      <w:pPr>
        <w:pStyle w:val="Odstavecseseznamem"/>
        <w:numPr>
          <w:ilvl w:val="0"/>
          <w:numId w:val="23"/>
        </w:numPr>
        <w:spacing w:after="120"/>
        <w:ind w:left="426" w:hanging="426"/>
        <w:contextualSpacing w:val="0"/>
        <w:jc w:val="both"/>
      </w:pPr>
      <w:r w:rsidRPr="00052EBF">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047C8F">
      <w:pPr>
        <w:pStyle w:val="Odstavecseseznamem"/>
        <w:numPr>
          <w:ilvl w:val="0"/>
          <w:numId w:val="21"/>
        </w:numPr>
        <w:spacing w:after="120"/>
        <w:ind w:left="567" w:hanging="567"/>
        <w:contextualSpacing w:val="0"/>
        <w:rPr>
          <w:b/>
          <w:bCs/>
          <w:u w:val="single"/>
        </w:rPr>
      </w:pPr>
      <w:r w:rsidRPr="00EE0D22">
        <w:rPr>
          <w:b/>
          <w:bCs/>
          <w:u w:val="single"/>
        </w:rPr>
        <w:t>Sociálně a environmentálně odpovědné zadávání:</w:t>
      </w:r>
    </w:p>
    <w:p w14:paraId="05F3891F" w14:textId="6E18CA48" w:rsidR="00775706" w:rsidRDefault="00775706" w:rsidP="00047C8F">
      <w:pPr>
        <w:pStyle w:val="Odstavecseseznamem"/>
        <w:numPr>
          <w:ilvl w:val="1"/>
          <w:numId w:val="21"/>
        </w:numPr>
        <w:suppressAutoHyphens/>
        <w:spacing w:after="120"/>
        <w:contextualSpacing w:val="0"/>
        <w:jc w:val="both"/>
      </w:pPr>
      <w:r w:rsidRPr="00052EBF">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AE0150B" w14:textId="5B767C04"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 </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3E866301" w14:textId="7E26465F" w:rsidR="000F3124" w:rsidRDefault="00775706" w:rsidP="00EE4926">
      <w:pPr>
        <w:pStyle w:val="Odstavecseseznamem"/>
        <w:numPr>
          <w:ilvl w:val="0"/>
          <w:numId w:val="25"/>
        </w:numPr>
        <w:spacing w:after="120"/>
        <w:ind w:left="1134"/>
      </w:pPr>
      <w:r w:rsidRPr="00052EBF">
        <w:t xml:space="preserve">porady a jednání vedená primárně distančním způsobem, </w:t>
      </w:r>
      <w:bookmarkStart w:id="9" w:name="_Hlk180099962"/>
    </w:p>
    <w:p w14:paraId="2B534EB5" w14:textId="77777777" w:rsidR="00EE4926" w:rsidRDefault="00EE4926" w:rsidP="00EE4926">
      <w:pPr>
        <w:pStyle w:val="Odstavecseseznamem"/>
        <w:spacing w:before="240"/>
        <w:ind w:left="1134"/>
      </w:pPr>
    </w:p>
    <w:bookmarkEnd w:id="9"/>
    <w:p w14:paraId="5066983C" w14:textId="1DA06A58" w:rsidR="00775706" w:rsidRPr="00052EBF" w:rsidRDefault="00775706" w:rsidP="00731D0B">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článku </w:t>
      </w:r>
      <w:r w:rsidR="006A2B02" w:rsidRPr="00EE4926">
        <w:t>10</w:t>
      </w:r>
      <w:r w:rsidRPr="00EE4926">
        <w:t>.</w:t>
      </w:r>
      <w:r w:rsidR="00F011EE" w:rsidRPr="00EE4926">
        <w:t>10</w:t>
      </w:r>
      <w:r w:rsidRPr="00EE4926">
        <w:t xml:space="preserve"> závazného vzoru smlouvy</w:t>
      </w:r>
      <w:r w:rsidRPr="00052EBF">
        <w:t xml:space="preserve">, který je dílem 2 zadávací dokumentace. </w:t>
      </w:r>
    </w:p>
    <w:p w14:paraId="6DF9DD79" w14:textId="11236399" w:rsidR="00A83E19" w:rsidRPr="00C045D7" w:rsidRDefault="00587190" w:rsidP="00047C8F">
      <w:pPr>
        <w:pStyle w:val="Odstavecseseznamem"/>
        <w:numPr>
          <w:ilvl w:val="0"/>
          <w:numId w:val="21"/>
        </w:numPr>
        <w:suppressAutoHyphens/>
        <w:spacing w:after="120"/>
        <w:ind w:left="567" w:hanging="567"/>
        <w:contextualSpacing w:val="0"/>
        <w:jc w:val="both"/>
        <w:rPr>
          <w:b/>
          <w:bCs/>
          <w:u w:val="single"/>
        </w:rPr>
      </w:pPr>
      <w:bookmarkStart w:id="10" w:name="_Toc147153729"/>
      <w:r w:rsidRPr="00C045D7">
        <w:rPr>
          <w:b/>
          <w:bCs/>
          <w:u w:val="single"/>
        </w:rPr>
        <w:t>Další zadávací podmínky v návaznosti na mezinárodní sankce, zákaz zadání veřejné zakázky</w:t>
      </w:r>
      <w:bookmarkEnd w:id="10"/>
    </w:p>
    <w:p w14:paraId="746F4577" w14:textId="47CB81F8" w:rsidR="00CD04B6" w:rsidRDefault="00CD04B6" w:rsidP="00CD04B6">
      <w:pPr>
        <w:pStyle w:val="Default"/>
        <w:numPr>
          <w:ilvl w:val="1"/>
          <w:numId w:val="21"/>
        </w:numPr>
        <w:jc w:val="both"/>
        <w:rPr>
          <w:rFonts w:asciiTheme="minorHAnsi" w:hAnsiTheme="minorHAnsi" w:cs="Arial"/>
          <w:color w:val="auto"/>
          <w:sz w:val="18"/>
          <w:szCs w:val="18"/>
        </w:rPr>
      </w:pPr>
      <w:r w:rsidRPr="00CD04B6">
        <w:rPr>
          <w:rFonts w:asciiTheme="minorHAnsi" w:hAnsiTheme="minorHAnsi" w:cs="Arial"/>
          <w:color w:val="auto"/>
          <w:sz w:val="18"/>
          <w:szCs w:val="18"/>
        </w:rPr>
        <w:t>Zadavatel v tomto řízení postupuje</w:t>
      </w:r>
      <w:r w:rsidR="00301641">
        <w:rPr>
          <w:rFonts w:asciiTheme="minorHAnsi" w:hAnsiTheme="minorHAnsi" w:cs="Arial"/>
          <w:color w:val="auto"/>
          <w:sz w:val="18"/>
          <w:szCs w:val="18"/>
        </w:rPr>
        <w:t xml:space="preserve"> analogicky</w:t>
      </w:r>
      <w:r w:rsidRPr="00CD04B6">
        <w:rPr>
          <w:rFonts w:asciiTheme="minorHAnsi" w:hAnsiTheme="minorHAnsi" w:cs="Arial"/>
          <w:color w:val="auto"/>
          <w:sz w:val="18"/>
          <w:szCs w:val="18"/>
        </w:rPr>
        <w:t xml:space="preserve"> v souladu s § 48a ZZVZ. Zadavatel nezadá veřejnou zakázku účastníku </w:t>
      </w:r>
      <w:r w:rsidR="00595467">
        <w:rPr>
          <w:rFonts w:asciiTheme="minorHAnsi" w:hAnsiTheme="minorHAnsi" w:cs="Arial"/>
          <w:color w:val="auto"/>
          <w:sz w:val="18"/>
          <w:szCs w:val="18"/>
        </w:rPr>
        <w:t>výběrového řízení</w:t>
      </w:r>
      <w:r w:rsidRPr="00CD04B6">
        <w:rPr>
          <w:rFonts w:asciiTheme="minorHAnsi" w:hAnsiTheme="minorHAnsi" w:cs="Arial"/>
          <w:color w:val="auto"/>
          <w:sz w:val="18"/>
          <w:szCs w:val="18"/>
        </w:rPr>
        <w:t>, pokud je to v rozporu s mezinárodními sankcemi podle zákona upravujícího provádění mezinárodních sankcí.</w:t>
      </w:r>
    </w:p>
    <w:p w14:paraId="10C479A4" w14:textId="77777777" w:rsidR="00417D1C" w:rsidRDefault="00417D1C" w:rsidP="00417D1C">
      <w:pPr>
        <w:pStyle w:val="Default"/>
        <w:ind w:left="720"/>
        <w:jc w:val="both"/>
        <w:rPr>
          <w:rFonts w:asciiTheme="minorHAnsi" w:hAnsiTheme="minorHAnsi" w:cs="Arial"/>
          <w:color w:val="auto"/>
          <w:sz w:val="18"/>
          <w:szCs w:val="18"/>
        </w:rPr>
      </w:pPr>
    </w:p>
    <w:p w14:paraId="0BDF06A4" w14:textId="77777777" w:rsidR="00417D1C" w:rsidRPr="00BF1F34" w:rsidRDefault="00417D1C" w:rsidP="00417D1C">
      <w:pPr>
        <w:pStyle w:val="Default"/>
        <w:numPr>
          <w:ilvl w:val="1"/>
          <w:numId w:val="21"/>
        </w:numPr>
        <w:jc w:val="both"/>
        <w:rPr>
          <w:b/>
          <w:bCs/>
        </w:rPr>
      </w:pPr>
      <w:r w:rsidRPr="00417D1C">
        <w:rPr>
          <w:rFonts w:asciiTheme="minorHAnsi" w:hAnsiTheme="minorHAnsi" w:cs="Arial"/>
          <w:color w:val="auto"/>
          <w:sz w:val="18"/>
          <w:szCs w:val="18"/>
        </w:rPr>
        <w:t>Pokud se mezinárodní sankce vztahuje na:</w:t>
      </w:r>
    </w:p>
    <w:p w14:paraId="060E8A7D" w14:textId="77777777" w:rsidR="00417D1C" w:rsidRPr="00C45BDD" w:rsidRDefault="00417D1C" w:rsidP="00417D1C">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76E386C4" w14:textId="77777777" w:rsidR="00417D1C" w:rsidRDefault="00417D1C" w:rsidP="00417D1C">
      <w:pPr>
        <w:pStyle w:val="Odrka1-1"/>
      </w:pPr>
      <w:r w:rsidRPr="00C45BDD">
        <w:t xml:space="preserve">vybraného dodavatele, vyloučí ho zadavatel z účasti </w:t>
      </w:r>
      <w:r>
        <w:t>ve výběrovém</w:t>
      </w:r>
      <w:r w:rsidRPr="00C45BDD">
        <w:t xml:space="preserve"> řízení.</w:t>
      </w:r>
    </w:p>
    <w:p w14:paraId="11B61799" w14:textId="77777777" w:rsidR="00417D1C" w:rsidRPr="00417D1C" w:rsidRDefault="00417D1C" w:rsidP="00417D1C">
      <w:pPr>
        <w:pStyle w:val="Default"/>
        <w:numPr>
          <w:ilvl w:val="1"/>
          <w:numId w:val="21"/>
        </w:numPr>
        <w:jc w:val="both"/>
        <w:rPr>
          <w:rFonts w:asciiTheme="minorHAnsi" w:hAnsiTheme="minorHAnsi" w:cs="Arial"/>
          <w:color w:val="auto"/>
          <w:sz w:val="18"/>
          <w:szCs w:val="18"/>
        </w:rPr>
      </w:pPr>
      <w:r w:rsidRPr="00417D1C">
        <w:rPr>
          <w:rFonts w:asciiTheme="minorHAnsi" w:hAnsiTheme="minorHAnsi" w:cs="Arial"/>
          <w:color w:val="auto"/>
          <w:sz w:val="18"/>
          <w:szCs w:val="18"/>
        </w:rPr>
        <w:t>Pokud se mezinárodní sankce vztahuje na poddodavatele:</w:t>
      </w:r>
    </w:p>
    <w:p w14:paraId="11B40EF1" w14:textId="77777777" w:rsidR="00417D1C" w:rsidRPr="00C45BDD" w:rsidRDefault="00417D1C" w:rsidP="00417D1C">
      <w:pPr>
        <w:pStyle w:val="Odrka1-1"/>
      </w:pPr>
      <w:r w:rsidRPr="00C45BDD">
        <w:t xml:space="preserve">účastníka </w:t>
      </w:r>
      <w:r>
        <w:t>výběrového</w:t>
      </w:r>
      <w:r w:rsidRPr="00C45BDD">
        <w:t xml:space="preserve"> řízení, může zadavatel požadovat nahrazení poddodavatele, nebo</w:t>
      </w:r>
    </w:p>
    <w:p w14:paraId="43ADFC88" w14:textId="77777777" w:rsidR="00417D1C" w:rsidRDefault="00417D1C" w:rsidP="00417D1C">
      <w:pPr>
        <w:pStyle w:val="Odrka1-1"/>
      </w:pPr>
      <w:r w:rsidRPr="00C45BDD">
        <w:t>vybraného dodavatele, musí zadavatel požadovat nahrazení poddodavatele</w:t>
      </w:r>
      <w:r>
        <w:t>.</w:t>
      </w:r>
    </w:p>
    <w:p w14:paraId="5575D36E" w14:textId="77777777" w:rsidR="00417D1C" w:rsidRDefault="00417D1C" w:rsidP="00417D1C">
      <w:pPr>
        <w:pStyle w:val="Odrka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27D1997F" w14:textId="77777777" w:rsidR="0037279D" w:rsidRPr="00CD04B6" w:rsidRDefault="0037279D" w:rsidP="0037279D">
      <w:pPr>
        <w:pStyle w:val="Default"/>
        <w:numPr>
          <w:ilvl w:val="1"/>
          <w:numId w:val="21"/>
        </w:numPr>
        <w:spacing w:before="240" w:after="240"/>
        <w:jc w:val="both"/>
        <w:rPr>
          <w:rFonts w:asciiTheme="minorHAnsi" w:hAnsiTheme="minorHAnsi" w:cs="Arial"/>
          <w:color w:val="auto"/>
          <w:sz w:val="18"/>
          <w:szCs w:val="18"/>
        </w:rPr>
      </w:pPr>
      <w:bookmarkStart w:id="11" w:name="_Hlk180100094"/>
      <w:r w:rsidRPr="00CD04B6">
        <w:rPr>
          <w:rFonts w:asciiTheme="minorHAnsi" w:hAnsiTheme="minorHAnsi" w:cs="Arial"/>
          <w:color w:val="auto"/>
          <w:sz w:val="18"/>
          <w:szCs w:val="18"/>
        </w:rPr>
        <w:t xml:space="preserve">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w:t>
      </w:r>
      <w:r>
        <w:rPr>
          <w:rFonts w:asciiTheme="minorHAnsi" w:hAnsiTheme="minorHAnsi" w:cs="Arial"/>
          <w:color w:val="auto"/>
          <w:sz w:val="18"/>
          <w:szCs w:val="18"/>
        </w:rPr>
        <w:t>právních předpisů nebo jiných aktů uvedených v článku 5k Nařízení č. 833/2014 následujícím</w:t>
      </w:r>
      <w:r w:rsidRPr="00CD04B6">
        <w:rPr>
          <w:rFonts w:asciiTheme="minorHAnsi" w:hAnsiTheme="minorHAnsi" w:cs="Arial"/>
          <w:color w:val="auto"/>
          <w:sz w:val="18"/>
          <w:szCs w:val="18"/>
        </w:rPr>
        <w:t xml:space="preserve"> osobám, subjektům nebo orgánům, nebo pokračovat v jejich plnění s následujícími osobami, subjekty a orgány:</w:t>
      </w:r>
    </w:p>
    <w:p w14:paraId="1317FAB3" w14:textId="77777777" w:rsidR="00CD04B6" w:rsidRPr="00CD04B6" w:rsidRDefault="00CD04B6" w:rsidP="00CD04B6">
      <w:pPr>
        <w:pStyle w:val="Default"/>
        <w:numPr>
          <w:ilvl w:val="4"/>
          <w:numId w:val="30"/>
        </w:numPr>
        <w:jc w:val="both"/>
        <w:rPr>
          <w:rFonts w:asciiTheme="minorHAnsi" w:hAnsiTheme="minorHAnsi" w:cs="Arial"/>
          <w:color w:val="auto"/>
          <w:sz w:val="18"/>
          <w:szCs w:val="18"/>
        </w:rPr>
      </w:pPr>
      <w:r w:rsidRPr="00CD04B6">
        <w:rPr>
          <w:rFonts w:asciiTheme="minorHAnsi" w:hAnsiTheme="minorHAnsi" w:cs="Arial"/>
          <w:color w:val="auto"/>
          <w:sz w:val="18"/>
          <w:szCs w:val="18"/>
        </w:rPr>
        <w:t>jakýkoli ruský státní příslušník, fyzická osoba s bydlištěm v Rusku nebo právnická osoba, subjekt či orgán usazené v Rusku,</w:t>
      </w:r>
    </w:p>
    <w:p w14:paraId="19F96BFD" w14:textId="77777777" w:rsidR="00CD04B6" w:rsidRPr="00CD04B6" w:rsidRDefault="00CD04B6" w:rsidP="00CD04B6">
      <w:pPr>
        <w:pStyle w:val="Default"/>
        <w:numPr>
          <w:ilvl w:val="4"/>
          <w:numId w:val="30"/>
        </w:numPr>
        <w:spacing w:after="240"/>
        <w:jc w:val="both"/>
        <w:rPr>
          <w:rFonts w:asciiTheme="minorHAnsi" w:hAnsiTheme="minorHAnsi" w:cs="Arial"/>
          <w:color w:val="auto"/>
          <w:sz w:val="18"/>
          <w:szCs w:val="18"/>
        </w:rPr>
      </w:pPr>
      <w:r w:rsidRPr="00CD04B6">
        <w:rPr>
          <w:rFonts w:asciiTheme="minorHAnsi" w:hAnsiTheme="minorHAnsi" w:cs="Arial"/>
          <w:color w:val="auto"/>
          <w:sz w:val="18"/>
          <w:szCs w:val="18"/>
        </w:rPr>
        <w:t>právnická osoba, subjekt nebo orgán, které jsou z více než 50 % přímo či nepřímo vlastněny některým ze subjektů uvedených v písmeni a) tohoto odstavce, nebo</w:t>
      </w:r>
    </w:p>
    <w:p w14:paraId="10B07CEA" w14:textId="77777777" w:rsidR="00CD04B6" w:rsidRPr="00CD04B6" w:rsidRDefault="00CD04B6" w:rsidP="00CD04B6">
      <w:pPr>
        <w:pStyle w:val="Default"/>
        <w:numPr>
          <w:ilvl w:val="4"/>
          <w:numId w:val="30"/>
        </w:numPr>
        <w:jc w:val="both"/>
        <w:rPr>
          <w:rFonts w:asciiTheme="minorHAnsi" w:hAnsiTheme="minorHAnsi" w:cs="Arial"/>
          <w:color w:val="auto"/>
          <w:sz w:val="18"/>
          <w:szCs w:val="18"/>
        </w:rPr>
      </w:pPr>
      <w:r w:rsidRPr="00CD04B6">
        <w:rPr>
          <w:rFonts w:asciiTheme="minorHAnsi" w:hAnsiTheme="minorHAnsi" w:cs="Arial"/>
          <w:color w:val="auto"/>
          <w:sz w:val="18"/>
          <w:szCs w:val="18"/>
        </w:rPr>
        <w:t>fyzická nebo právnická osoba, subjekt nebo orgán, které jednají jménem nebo na pokyn některého ze subjektů uvedených v písmeni a) nebo b) tohoto odstavce,</w:t>
      </w:r>
    </w:p>
    <w:p w14:paraId="3486A181" w14:textId="77777777" w:rsidR="00CD04B6" w:rsidRDefault="00CD04B6" w:rsidP="00CD04B6">
      <w:pPr>
        <w:pStyle w:val="Default"/>
        <w:ind w:left="720"/>
        <w:jc w:val="both"/>
        <w:rPr>
          <w:rFonts w:asciiTheme="minorHAnsi" w:hAnsiTheme="minorHAnsi" w:cs="Arial"/>
          <w:color w:val="auto"/>
          <w:sz w:val="18"/>
          <w:szCs w:val="18"/>
        </w:rPr>
      </w:pPr>
    </w:p>
    <w:p w14:paraId="5DB4D2BB" w14:textId="6C6586F3" w:rsidR="00CD04B6" w:rsidRPr="00CD04B6" w:rsidRDefault="00CD04B6" w:rsidP="00CD04B6">
      <w:pPr>
        <w:pStyle w:val="Default"/>
        <w:spacing w:after="240"/>
        <w:ind w:left="720"/>
        <w:jc w:val="both"/>
        <w:rPr>
          <w:rFonts w:asciiTheme="minorHAnsi" w:hAnsiTheme="minorHAnsi" w:cs="Arial"/>
          <w:color w:val="auto"/>
          <w:sz w:val="18"/>
          <w:szCs w:val="18"/>
        </w:rPr>
      </w:pPr>
      <w:r w:rsidRPr="00CD04B6">
        <w:rPr>
          <w:rFonts w:asciiTheme="minorHAnsi" w:hAnsiTheme="minorHAnsi" w:cs="Arial"/>
          <w:color w:val="auto"/>
          <w:sz w:val="18"/>
          <w:szCs w:val="18"/>
        </w:rPr>
        <w:t xml:space="preserve">včetně </w:t>
      </w:r>
      <w:r w:rsidR="0059487C">
        <w:rPr>
          <w:rFonts w:asciiTheme="minorHAnsi" w:hAnsiTheme="minorHAnsi" w:cs="Arial"/>
          <w:color w:val="auto"/>
          <w:sz w:val="18"/>
          <w:szCs w:val="18"/>
        </w:rPr>
        <w:t>pod</w:t>
      </w:r>
      <w:r w:rsidRPr="00CD04B6">
        <w:rPr>
          <w:rFonts w:asciiTheme="minorHAnsi" w:hAnsiTheme="minorHAnsi" w:cs="Arial"/>
          <w:color w:val="auto"/>
          <w:sz w:val="18"/>
          <w:szCs w:val="18"/>
        </w:rPr>
        <w:t>dodavatelů, dodavatelů nebo subjektů, jejichž způsobilost je využívána ve smyslu směrnic o zadávání veřejných zakázek, pokud představují více než 10 % hodnoty zakázky.</w:t>
      </w:r>
    </w:p>
    <w:p w14:paraId="7D0532D6" w14:textId="6899813D" w:rsidR="00CD04B6" w:rsidRPr="00CD04B6" w:rsidRDefault="00CD04B6" w:rsidP="00CD04B6">
      <w:pPr>
        <w:pStyle w:val="Default"/>
        <w:numPr>
          <w:ilvl w:val="1"/>
          <w:numId w:val="21"/>
        </w:numPr>
        <w:spacing w:after="240"/>
        <w:jc w:val="both"/>
        <w:rPr>
          <w:rFonts w:asciiTheme="minorHAnsi" w:hAnsiTheme="minorHAnsi" w:cs="Arial"/>
          <w:color w:val="auto"/>
          <w:sz w:val="18"/>
          <w:szCs w:val="18"/>
        </w:rPr>
      </w:pPr>
      <w:r w:rsidRPr="00CD04B6">
        <w:rPr>
          <w:rFonts w:asciiTheme="minorHAnsi" w:hAnsiTheme="minorHAnsi" w:cs="Arial"/>
          <w:color w:val="auto"/>
          <w:sz w:val="18"/>
          <w:szCs w:val="18"/>
        </w:rPr>
        <w:t xml:space="preserve">Zadavatel požaduje, aby účastník sám jakožto dodavatel, případně dodavatelé v jeho rámci sdružení za účelem účasti </w:t>
      </w:r>
      <w:r w:rsidR="00595467">
        <w:rPr>
          <w:rFonts w:asciiTheme="minorHAnsi" w:hAnsiTheme="minorHAnsi" w:cs="Arial"/>
          <w:color w:val="auto"/>
          <w:sz w:val="18"/>
          <w:szCs w:val="18"/>
        </w:rPr>
        <w:t>ve výběrovém řízení</w:t>
      </w:r>
      <w:r w:rsidRPr="00CD04B6">
        <w:rPr>
          <w:rFonts w:asciiTheme="minorHAnsi" w:hAnsiTheme="minorHAnsi" w:cs="Arial"/>
          <w:color w:val="auto"/>
          <w:sz w:val="18"/>
          <w:szCs w:val="18"/>
        </w:rPr>
        <w:t>, ani žádný z jeho poddodavatelů nebo jiných osob, jejichž způsobilost je využívána ve smyslu směrnic o zadávání veřejných zakázek, nebyli osobami dle předchozího odstavce tohoto článku a Nařízení č. 833/2014.</w:t>
      </w:r>
    </w:p>
    <w:p w14:paraId="3B7C1ADE" w14:textId="77777777" w:rsidR="00417D1C" w:rsidRDefault="00417D1C" w:rsidP="00417D1C">
      <w:pPr>
        <w:pStyle w:val="Odstavecseseznamem"/>
        <w:numPr>
          <w:ilvl w:val="1"/>
          <w:numId w:val="21"/>
        </w:numPr>
        <w:jc w:val="both"/>
        <w:rPr>
          <w:rFonts w:cs="Arial"/>
        </w:rPr>
      </w:pPr>
      <w:r w:rsidRPr="00417D1C">
        <w:rPr>
          <w:rFonts w:cs="Arial"/>
        </w:rPr>
        <w:t xml:space="preserve">Dle čl.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č. 269/2014 ,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dle čl. 2 nařízení Rady (ES) č. 765/2006 ze dne 18. května 2006 o omezujících opatřeních vzhledem k situaci v Bělorusku a k zapojení Běloruska do ruské agrese proti Ukrajině, ve znění </w:t>
      </w:r>
      <w:r w:rsidRPr="00417D1C">
        <w:rPr>
          <w:rFonts w:cs="Arial"/>
        </w:rPr>
        <w:lastRenderedPageBreak/>
        <w:t>pozdějších předpisů, nesmějí být fyzickým nebo právnickým osobám nebo subjektům uvedeným v příloze I tohoto nařízení nebo v jejich prospěch přímo ani nepřímo zpřístupněny žádné finanční prostředky ani hospodářské zdroje; dle čl. 2 nařízení Rady (EU) č. 208/2014 ze dne 5. března 2014 o omezujících opatřeních vůči některým osobám, subjektům a orgánům vzhledem k situaci na Ukrajině, ve znění pozdějších předpisů, nesmějí být fyzickým nebo právnickým osobám nebo subjektům uvedeným v příloze I tohoto nařízení nebo v jejich prospěch přímo ani nepřímo zpřístupněny žádné finanční prostředky ani hospodářské zdroje (dále jen „Osoby vedené na sankčních seznamech“).</w:t>
      </w:r>
    </w:p>
    <w:p w14:paraId="1F33B4E4" w14:textId="77777777" w:rsidR="00417D1C" w:rsidRPr="00417D1C" w:rsidRDefault="00417D1C" w:rsidP="00417D1C">
      <w:pPr>
        <w:pStyle w:val="Odstavecseseznamem"/>
        <w:jc w:val="both"/>
        <w:rPr>
          <w:rFonts w:cs="Arial"/>
        </w:rPr>
      </w:pPr>
    </w:p>
    <w:p w14:paraId="63C4C925" w14:textId="77777777" w:rsidR="00417D1C" w:rsidRPr="00417D1C" w:rsidRDefault="00417D1C" w:rsidP="00417D1C">
      <w:pPr>
        <w:pStyle w:val="Odstavecseseznamem"/>
        <w:numPr>
          <w:ilvl w:val="1"/>
          <w:numId w:val="21"/>
        </w:numPr>
        <w:rPr>
          <w:rFonts w:cs="Arial"/>
        </w:rPr>
      </w:pPr>
      <w:r w:rsidRPr="00417D1C">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vedenými na sankčních seznamech.</w:t>
      </w:r>
    </w:p>
    <w:p w14:paraId="153084E0" w14:textId="14DA3DB9" w:rsidR="00CD04B6" w:rsidRPr="00CD04B6" w:rsidRDefault="00CD04B6" w:rsidP="00CD04B6">
      <w:pPr>
        <w:pStyle w:val="Default"/>
        <w:numPr>
          <w:ilvl w:val="1"/>
          <w:numId w:val="21"/>
        </w:numPr>
        <w:spacing w:after="240"/>
        <w:jc w:val="both"/>
        <w:rPr>
          <w:rFonts w:asciiTheme="minorHAnsi" w:hAnsiTheme="minorHAnsi" w:cs="Arial"/>
          <w:color w:val="auto"/>
          <w:sz w:val="18"/>
          <w:szCs w:val="18"/>
        </w:rPr>
      </w:pPr>
      <w:r w:rsidRPr="00CD04B6">
        <w:rPr>
          <w:rFonts w:asciiTheme="minorHAnsi" w:hAnsiTheme="minorHAnsi" w:cs="Arial"/>
          <w:color w:val="auto"/>
          <w:sz w:val="18"/>
          <w:szCs w:val="18"/>
        </w:rPr>
        <w:t xml:space="preserve">Splnění zadávacích podmínek stanovených zadavatelem dle tohoto článku prokáže účastník předložením čestného prohlášení, jehož vzorové znění je přílohou č. </w:t>
      </w:r>
      <w:r w:rsidR="0037279D" w:rsidRPr="00C97B9D">
        <w:rPr>
          <w:rFonts w:asciiTheme="minorHAnsi" w:hAnsiTheme="minorHAnsi" w:cs="Arial"/>
          <w:color w:val="auto"/>
          <w:sz w:val="18"/>
          <w:szCs w:val="18"/>
        </w:rPr>
        <w:t>8</w:t>
      </w:r>
      <w:r w:rsidRPr="00CD04B6">
        <w:rPr>
          <w:rFonts w:asciiTheme="minorHAnsi" w:hAnsiTheme="minorHAnsi" w:cs="Arial"/>
          <w:color w:val="auto"/>
          <w:sz w:val="18"/>
          <w:szCs w:val="18"/>
        </w:rPr>
        <w:t xml:space="preserve"> t</w:t>
      </w:r>
      <w:r>
        <w:rPr>
          <w:rFonts w:asciiTheme="minorHAnsi" w:hAnsiTheme="minorHAnsi" w:cs="Arial"/>
          <w:color w:val="auto"/>
          <w:sz w:val="18"/>
          <w:szCs w:val="18"/>
        </w:rPr>
        <w:t>ét</w:t>
      </w:r>
      <w:r w:rsidRPr="00CD04B6">
        <w:rPr>
          <w:rFonts w:asciiTheme="minorHAnsi" w:hAnsiTheme="minorHAnsi" w:cs="Arial"/>
          <w:color w:val="auto"/>
          <w:sz w:val="18"/>
          <w:szCs w:val="18"/>
        </w:rPr>
        <w:t xml:space="preserve">o </w:t>
      </w:r>
      <w:r>
        <w:rPr>
          <w:rFonts w:asciiTheme="minorHAnsi" w:hAnsiTheme="minorHAnsi" w:cs="Arial"/>
          <w:color w:val="auto"/>
          <w:sz w:val="18"/>
          <w:szCs w:val="18"/>
        </w:rPr>
        <w:t>Výzvy</w:t>
      </w:r>
      <w:r w:rsidRPr="00CD04B6">
        <w:rPr>
          <w:rFonts w:asciiTheme="minorHAnsi" w:hAnsiTheme="minorHAnsi" w:cs="Arial"/>
          <w:color w:val="auto"/>
          <w:sz w:val="18"/>
          <w:szCs w:val="18"/>
        </w:rPr>
        <w:t>, ve své nabídce.</w:t>
      </w:r>
    </w:p>
    <w:p w14:paraId="7733C48A" w14:textId="77777777" w:rsidR="00417D1C" w:rsidRPr="00417D1C" w:rsidRDefault="00417D1C" w:rsidP="00417D1C">
      <w:pPr>
        <w:pStyle w:val="Odstavecseseznamem"/>
        <w:numPr>
          <w:ilvl w:val="1"/>
          <w:numId w:val="21"/>
        </w:numPr>
        <w:rPr>
          <w:rFonts w:cs="Arial"/>
        </w:rPr>
      </w:pPr>
      <w:r w:rsidRPr="00417D1C">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4C0CB8EF" w14:textId="3FD53319" w:rsidR="00CD04B6" w:rsidRPr="00CD04B6" w:rsidRDefault="00CD04B6" w:rsidP="00CD04B6">
      <w:pPr>
        <w:pStyle w:val="Default"/>
        <w:numPr>
          <w:ilvl w:val="1"/>
          <w:numId w:val="21"/>
        </w:numPr>
        <w:jc w:val="both"/>
        <w:rPr>
          <w:rFonts w:asciiTheme="minorHAnsi" w:hAnsiTheme="minorHAnsi" w:cs="Arial"/>
          <w:color w:val="auto"/>
          <w:sz w:val="18"/>
          <w:szCs w:val="18"/>
        </w:rPr>
      </w:pPr>
      <w:r w:rsidRPr="00CD04B6">
        <w:rPr>
          <w:rFonts w:asciiTheme="minorHAnsi" w:hAnsiTheme="minorHAnsi" w:cs="Arial"/>
          <w:color w:val="auto"/>
          <w:sz w:val="18"/>
          <w:szCs w:val="18"/>
        </w:rPr>
        <w:t xml:space="preserve">V případě postupu vybraného dodavatele v rozporu s tímto článkem bude vybraný dodavatel vyloučen </w:t>
      </w:r>
      <w:r w:rsidR="00844853">
        <w:rPr>
          <w:rFonts w:asciiTheme="minorHAnsi" w:hAnsiTheme="minorHAnsi" w:cs="Arial"/>
          <w:color w:val="auto"/>
          <w:sz w:val="18"/>
          <w:szCs w:val="18"/>
        </w:rPr>
        <w:t>z výběrového</w:t>
      </w:r>
      <w:r w:rsidRPr="00CD04B6">
        <w:rPr>
          <w:rFonts w:asciiTheme="minorHAnsi" w:hAnsiTheme="minorHAnsi" w:cs="Arial"/>
          <w:color w:val="auto"/>
          <w:sz w:val="18"/>
          <w:szCs w:val="18"/>
        </w:rPr>
        <w:t xml:space="preserve"> řízení.</w:t>
      </w:r>
    </w:p>
    <w:bookmarkEnd w:id="11"/>
    <w:p w14:paraId="5A6ADA19" w14:textId="77777777" w:rsidR="00A83E19" w:rsidRPr="00775706" w:rsidRDefault="00A83E19" w:rsidP="00A83E19">
      <w:pPr>
        <w:pStyle w:val="Default"/>
        <w:jc w:val="both"/>
        <w:rPr>
          <w:rFonts w:asciiTheme="minorHAnsi" w:hAnsiTheme="minorHAnsi"/>
          <w:sz w:val="18"/>
          <w:szCs w:val="18"/>
        </w:rPr>
      </w:pPr>
    </w:p>
    <w:p w14:paraId="73461713" w14:textId="55021ACE" w:rsidR="002739A1" w:rsidRDefault="004850CE" w:rsidP="004850CE">
      <w:pPr>
        <w:spacing w:before="120"/>
        <w:rPr>
          <w:rFonts w:eastAsia="Batang" w:cs="Arial"/>
        </w:rPr>
      </w:pPr>
      <w:r w:rsidRPr="00EE4926">
        <w:rPr>
          <w:rFonts w:eastAsia="Batang" w:cs="Arial"/>
        </w:rPr>
        <w:t>Přílohy:</w:t>
      </w:r>
      <w:r>
        <w:rPr>
          <w:rFonts w:eastAsia="Batang" w:cs="Arial"/>
        </w:rPr>
        <w:t xml:space="preserve"> </w:t>
      </w:r>
    </w:p>
    <w:p w14:paraId="6746BECE" w14:textId="55806BD3"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w:t>
      </w:r>
      <w:r w:rsidR="00CE7DEB">
        <w:rPr>
          <w:rFonts w:eastAsia="Batang" w:cs="Arial"/>
        </w:rPr>
        <w:t xml:space="preserve"> </w:t>
      </w:r>
      <w:r w:rsidR="00777DB0">
        <w:rPr>
          <w:rFonts w:eastAsia="Batang" w:cs="Arial"/>
        </w:rPr>
        <w:t>1</w:t>
      </w:r>
      <w:r w:rsidR="00777DB0">
        <w:rPr>
          <w:rFonts w:eastAsia="Batang" w:cs="Arial"/>
        </w:rPr>
        <w:tab/>
      </w:r>
      <w:r w:rsidR="00910BF5" w:rsidRPr="00777DB0">
        <w:rPr>
          <w:rFonts w:eastAsia="Batang" w:cs="Arial"/>
        </w:rPr>
        <w:t>Všeobecné informace o dodavateli</w:t>
      </w:r>
    </w:p>
    <w:p w14:paraId="34D68003" w14:textId="7583E254"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2</w:t>
      </w:r>
      <w:r w:rsidR="00777DB0">
        <w:rPr>
          <w:rFonts w:eastAsia="Batang" w:cs="Arial"/>
        </w:rPr>
        <w:tab/>
      </w:r>
      <w:r w:rsidR="00910BF5" w:rsidRPr="00777DB0">
        <w:rPr>
          <w:rFonts w:eastAsia="Batang" w:cs="Arial"/>
        </w:rPr>
        <w:t>Údaje o společnosti dodavatelů podávající nabídku společně</w:t>
      </w:r>
    </w:p>
    <w:p w14:paraId="2EFD5A92" w14:textId="7C52C04D"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3</w:t>
      </w:r>
      <w:r w:rsidR="00777DB0">
        <w:rPr>
          <w:rFonts w:eastAsia="Batang" w:cs="Arial"/>
        </w:rPr>
        <w:tab/>
      </w:r>
      <w:r w:rsidR="0035206C" w:rsidRPr="00777DB0">
        <w:rPr>
          <w:rFonts w:eastAsia="Batang" w:cs="Arial"/>
        </w:rPr>
        <w:t>Čestné prohlášení o splnění základní způsobilost</w:t>
      </w:r>
    </w:p>
    <w:p w14:paraId="0BE6B41C" w14:textId="0932F48E"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4</w:t>
      </w:r>
      <w:r w:rsidR="00777DB0">
        <w:rPr>
          <w:rFonts w:eastAsia="Batang" w:cs="Arial"/>
        </w:rPr>
        <w:tab/>
      </w:r>
      <w:r w:rsidR="0035206C" w:rsidRPr="00777DB0">
        <w:rPr>
          <w:rFonts w:eastAsia="Batang" w:cs="Arial"/>
        </w:rPr>
        <w:t>Seznam významných služeb</w:t>
      </w:r>
    </w:p>
    <w:p w14:paraId="6829042A" w14:textId="62E93057" w:rsidR="0035206C" w:rsidRPr="00777DB0" w:rsidRDefault="0093577C" w:rsidP="002D417D">
      <w:pPr>
        <w:spacing w:after="0"/>
        <w:ind w:left="567" w:hanging="567"/>
        <w:rPr>
          <w:rFonts w:eastAsia="Batang" w:cs="Arial"/>
        </w:rPr>
      </w:pPr>
      <w:r>
        <w:rPr>
          <w:rFonts w:eastAsia="Batang" w:cs="Arial"/>
        </w:rPr>
        <w:t>Příloha</w:t>
      </w:r>
      <w:r>
        <w:rPr>
          <w:rFonts w:ascii="Verdana" w:hAnsi="Verdana"/>
        </w:rPr>
        <w:t xml:space="preserve"> </w:t>
      </w:r>
      <w:r w:rsidR="00777DB0">
        <w:rPr>
          <w:rFonts w:ascii="Verdana" w:hAnsi="Verdana"/>
        </w:rPr>
        <w:t>č. 5</w:t>
      </w:r>
      <w:r w:rsidR="00777DB0">
        <w:rPr>
          <w:rFonts w:ascii="Verdana" w:hAnsi="Verdana"/>
        </w:rPr>
        <w:tab/>
      </w:r>
      <w:r w:rsidR="0035206C" w:rsidRPr="00777DB0">
        <w:rPr>
          <w:rFonts w:ascii="Verdana" w:hAnsi="Verdana"/>
        </w:rPr>
        <w:t>Seznam osob prokazující profesní a odbornou způsobilost</w:t>
      </w:r>
    </w:p>
    <w:p w14:paraId="32030453" w14:textId="6D8FFBA5"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6</w:t>
      </w:r>
      <w:r w:rsidR="00777DB0">
        <w:rPr>
          <w:rFonts w:eastAsia="Batang" w:cs="Arial"/>
        </w:rPr>
        <w:tab/>
      </w:r>
      <w:r w:rsidR="00910BF5" w:rsidRPr="00777DB0">
        <w:rPr>
          <w:rFonts w:eastAsia="Batang" w:cs="Arial"/>
        </w:rPr>
        <w:t>Seznam jiných osob k prokázání kvalifikace</w:t>
      </w:r>
    </w:p>
    <w:p w14:paraId="5A1A6729" w14:textId="2839C824"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7</w:t>
      </w:r>
      <w:r w:rsidR="00777DB0">
        <w:rPr>
          <w:rFonts w:eastAsia="Batang" w:cs="Arial"/>
        </w:rPr>
        <w:tab/>
      </w:r>
      <w:r w:rsidR="0035206C" w:rsidRPr="00777DB0">
        <w:rPr>
          <w:rFonts w:eastAsia="Batang" w:cs="Arial"/>
        </w:rPr>
        <w:t>Seznam poddodavatelů</w:t>
      </w:r>
    </w:p>
    <w:p w14:paraId="59385AFB" w14:textId="3F476B61" w:rsidR="00910BF5" w:rsidRDefault="0093577C" w:rsidP="00264FA0">
      <w:pPr>
        <w:spacing w:after="0"/>
        <w:ind w:left="1418" w:hanging="1418"/>
        <w:rPr>
          <w:rFonts w:ascii="Verdana" w:hAnsi="Verdana"/>
          <w:lang w:eastAsia="cs-CZ"/>
        </w:rPr>
      </w:pPr>
      <w:r>
        <w:rPr>
          <w:rFonts w:eastAsia="Batang" w:cs="Arial"/>
        </w:rPr>
        <w:t>Příloha</w:t>
      </w:r>
      <w:r>
        <w:rPr>
          <w:rFonts w:ascii="Verdana" w:hAnsi="Verdana"/>
          <w:lang w:eastAsia="cs-CZ"/>
        </w:rPr>
        <w:t xml:space="preserve"> </w:t>
      </w:r>
      <w:r w:rsidR="00777DB0">
        <w:rPr>
          <w:rFonts w:ascii="Verdana" w:hAnsi="Verdana"/>
          <w:lang w:eastAsia="cs-CZ"/>
        </w:rPr>
        <w:t>č. 8</w:t>
      </w:r>
      <w:r w:rsidR="00777DB0">
        <w:rPr>
          <w:rFonts w:ascii="Verdana" w:hAnsi="Verdana"/>
          <w:lang w:eastAsia="cs-CZ"/>
        </w:rPr>
        <w:tab/>
      </w:r>
      <w:r w:rsidR="007C4B6F" w:rsidRPr="00777DB0">
        <w:rPr>
          <w:rFonts w:ascii="Verdana" w:hAnsi="Verdana"/>
          <w:lang w:eastAsia="cs-CZ"/>
        </w:rPr>
        <w:t xml:space="preserve">Čestné prohlášení o splnění podmínek v souvislosti </w:t>
      </w:r>
      <w:r w:rsidR="008B7B05">
        <w:rPr>
          <w:rFonts w:ascii="Verdana" w:hAnsi="Verdana"/>
          <w:lang w:eastAsia="cs-CZ"/>
        </w:rPr>
        <w:t>s mezinárodními sankcemi</w:t>
      </w:r>
    </w:p>
    <w:p w14:paraId="4709C0C9" w14:textId="03DFFF3D" w:rsidR="00F91F1F" w:rsidRPr="00777DB0" w:rsidRDefault="00F91F1F" w:rsidP="00264FA0">
      <w:pPr>
        <w:spacing w:after="0"/>
        <w:ind w:left="1418" w:hanging="1418"/>
        <w:rPr>
          <w:rFonts w:eastAsia="Batang" w:cs="Arial"/>
        </w:rPr>
      </w:pPr>
    </w:p>
    <w:p w14:paraId="2F072BDF" w14:textId="77777777" w:rsidR="002739A1" w:rsidRDefault="002739A1" w:rsidP="004850CE">
      <w:pPr>
        <w:spacing w:before="120"/>
        <w:rPr>
          <w:rFonts w:eastAsia="Batang" w:cs="Arial"/>
        </w:rPr>
      </w:pPr>
    </w:p>
    <w:p w14:paraId="297DA5C2" w14:textId="77777777" w:rsidR="00B923D0" w:rsidRDefault="00B923D0" w:rsidP="004850CE">
      <w:pPr>
        <w:spacing w:before="120"/>
        <w:rPr>
          <w:rFonts w:eastAsia="Batang" w:cs="Arial"/>
        </w:rPr>
      </w:pPr>
    </w:p>
    <w:p w14:paraId="759E68AD" w14:textId="77777777" w:rsidR="00777DB0" w:rsidRDefault="00777DB0" w:rsidP="004850CE">
      <w:pPr>
        <w:spacing w:before="120"/>
        <w:rPr>
          <w:rFonts w:eastAsia="Batang" w:cs="Arial"/>
        </w:rPr>
      </w:pP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FC6389">
      <w:headerReference w:type="even" r:id="rId23"/>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F8408" w14:textId="77777777" w:rsidR="003E48AE" w:rsidRDefault="003E48AE" w:rsidP="00962258">
      <w:pPr>
        <w:spacing w:after="0" w:line="240" w:lineRule="auto"/>
      </w:pPr>
      <w:r>
        <w:separator/>
      </w:r>
    </w:p>
  </w:endnote>
  <w:endnote w:type="continuationSeparator" w:id="0">
    <w:p w14:paraId="5410A90A" w14:textId="77777777" w:rsidR="003E48AE" w:rsidRDefault="003E48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tcMar>
            <w:left w:w="0" w:type="dxa"/>
            <w:right w:w="0" w:type="dxa"/>
          </w:tcMar>
        </w:tcPr>
        <w:p w14:paraId="47D095C0" w14:textId="77777777" w:rsidR="00F1715C" w:rsidRDefault="00F1715C" w:rsidP="00B8518B">
          <w:pPr>
            <w:pStyle w:val="Zpat"/>
          </w:pPr>
        </w:p>
      </w:tc>
      <w:tc>
        <w:tcPr>
          <w:tcW w:w="2835" w:type="dxa"/>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tcMar>
            <w:left w:w="0" w:type="dxa"/>
            <w:right w:w="0" w:type="dxa"/>
          </w:tcMar>
        </w:tcPr>
        <w:p w14:paraId="3834DEE4" w14:textId="77777777" w:rsidR="00F1715C" w:rsidRDefault="00F1715C" w:rsidP="00460660">
          <w:pPr>
            <w:pStyle w:val="Zpat"/>
          </w:pPr>
          <w:r>
            <w:t>Sídlo: Dlážděná 1003/7, 110 00 Praha 1</w:t>
          </w:r>
        </w:p>
        <w:p w14:paraId="5F579516" w14:textId="3F49AD89" w:rsidR="00F1715C" w:rsidRDefault="00F1715C" w:rsidP="00460660">
          <w:pPr>
            <w:pStyle w:val="Zpat"/>
          </w:pPr>
          <w:r>
            <w:t>IČ</w:t>
          </w:r>
          <w:r w:rsidR="0058529B">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 xml:space="preserve">Budova </w:t>
          </w:r>
          <w:proofErr w:type="spellStart"/>
          <w:r w:rsidRPr="002F4996">
            <w:rPr>
              <w:rFonts w:ascii="Verdana" w:hAnsi="Verdana"/>
              <w:bCs/>
              <w:szCs w:val="12"/>
            </w:rPr>
            <w:t>Diamond</w:t>
          </w:r>
          <w:proofErr w:type="spellEnd"/>
          <w:r w:rsidRPr="002F4996">
            <w:rPr>
              <w:rFonts w:ascii="Verdana" w:hAnsi="Verdana"/>
              <w:bCs/>
              <w:szCs w:val="12"/>
            </w:rPr>
            <w:t xml:space="preserve">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6C158" w14:textId="77777777" w:rsidR="003E48AE" w:rsidRDefault="003E48AE" w:rsidP="00962258">
      <w:pPr>
        <w:spacing w:after="0" w:line="240" w:lineRule="auto"/>
      </w:pPr>
      <w:r>
        <w:separator/>
      </w:r>
    </w:p>
  </w:footnote>
  <w:footnote w:type="continuationSeparator" w:id="0">
    <w:p w14:paraId="6A770DAA" w14:textId="77777777" w:rsidR="003E48AE" w:rsidRDefault="003E48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543B3" w14:textId="65F62DDD" w:rsidR="00595467" w:rsidRDefault="0059546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49849" w14:textId="481EF051" w:rsidR="00D8187D" w:rsidRDefault="00D8187D" w:rsidP="00D8187D">
    <w:pPr>
      <w:autoSpaceDE w:val="0"/>
      <w:autoSpaceDN w:val="0"/>
      <w:adjustRightInd w:val="0"/>
      <w:spacing w:after="0" w:line="240" w:lineRule="auto"/>
      <w:jc w:val="right"/>
      <w:rPr>
        <w:rFonts w:ascii="Verdana-Italic" w:hAnsi="Verdana-Italic" w:cs="Verdana-Italic"/>
        <w:i/>
        <w:iCs/>
        <w:sz w:val="16"/>
        <w:szCs w:val="16"/>
      </w:rPr>
    </w:pPr>
    <w:r>
      <w:rPr>
        <w:rFonts w:ascii="Verdana-Italic" w:hAnsi="Verdana-Italic" w:cs="Verdana-Italic"/>
        <w:i/>
        <w:iCs/>
        <w:sz w:val="16"/>
        <w:szCs w:val="16"/>
      </w:rPr>
      <w:t>Výzva k podání nabídky</w:t>
    </w:r>
  </w:p>
  <w:p w14:paraId="6287022E" w14:textId="15A986A8" w:rsidR="00D8187D" w:rsidRPr="001264A3" w:rsidRDefault="00D8187D" w:rsidP="00D8187D">
    <w:pPr>
      <w:autoSpaceDE w:val="0"/>
      <w:autoSpaceDN w:val="0"/>
      <w:adjustRightInd w:val="0"/>
      <w:spacing w:after="0" w:line="240" w:lineRule="auto"/>
      <w:jc w:val="right"/>
      <w:rPr>
        <w:rFonts w:ascii="Verdana-Italic" w:hAnsi="Verdana-Italic" w:cs="Verdana-Italic"/>
        <w:i/>
        <w:iCs/>
        <w:sz w:val="16"/>
        <w:szCs w:val="16"/>
      </w:rPr>
    </w:pPr>
    <w:bookmarkStart w:id="12" w:name="_Hlk145492187"/>
    <w:r w:rsidRPr="001264A3">
      <w:rPr>
        <w:rFonts w:ascii="Verdana-Italic" w:hAnsi="Verdana-Italic" w:cs="Verdana-Italic"/>
        <w:i/>
        <w:iCs/>
        <w:sz w:val="16"/>
        <w:szCs w:val="16"/>
      </w:rPr>
      <w:t>„</w:t>
    </w:r>
    <w:r w:rsidR="001264A3" w:rsidRPr="001264A3">
      <w:rPr>
        <w:rFonts w:ascii="Verdana-Italic" w:hAnsi="Verdana-Italic" w:cs="Verdana-Italic"/>
        <w:i/>
        <w:iCs/>
        <w:sz w:val="16"/>
        <w:szCs w:val="16"/>
      </w:rPr>
      <w:t xml:space="preserve">ETCS Kladno – Kralupy n. </w:t>
    </w:r>
    <w:proofErr w:type="spellStart"/>
    <w:r w:rsidR="001264A3" w:rsidRPr="001264A3">
      <w:rPr>
        <w:rFonts w:ascii="Verdana-Italic" w:hAnsi="Verdana-Italic" w:cs="Verdana-Italic"/>
        <w:i/>
        <w:iCs/>
        <w:sz w:val="16"/>
        <w:szCs w:val="16"/>
      </w:rPr>
      <w:t>Vlt</w:t>
    </w:r>
    <w:proofErr w:type="spellEnd"/>
    <w:r w:rsidR="001264A3" w:rsidRPr="001264A3">
      <w:rPr>
        <w:rFonts w:ascii="Verdana-Italic" w:hAnsi="Verdana-Italic" w:cs="Verdana-Italic"/>
        <w:i/>
        <w:iCs/>
        <w:sz w:val="16"/>
        <w:szCs w:val="16"/>
      </w:rPr>
      <w:t>.</w:t>
    </w:r>
    <w:r w:rsidRPr="001264A3">
      <w:rPr>
        <w:rFonts w:ascii="Verdana-Italic" w:hAnsi="Verdana-Italic" w:cs="Verdana-Italic"/>
        <w:i/>
        <w:iCs/>
        <w:sz w:val="16"/>
        <w:szCs w:val="16"/>
      </w:rPr>
      <w:t>“</w:t>
    </w:r>
  </w:p>
  <w:p w14:paraId="08ED3B78" w14:textId="0B2B11F0" w:rsidR="009C4223" w:rsidRPr="00C0276B" w:rsidRDefault="00D8187D" w:rsidP="00D8187D">
    <w:pPr>
      <w:pStyle w:val="Zhlav"/>
      <w:pBdr>
        <w:bottom w:val="single" w:sz="6" w:space="1" w:color="auto"/>
      </w:pBdr>
      <w:jc w:val="right"/>
      <w:rPr>
        <w:rFonts w:cs="Arial"/>
        <w:i/>
      </w:rPr>
    </w:pPr>
    <w:r w:rsidRPr="001264A3">
      <w:rPr>
        <w:rFonts w:ascii="Verdana-Italic" w:hAnsi="Verdana-Italic" w:cs="Verdana-Italic"/>
        <w:i/>
        <w:iCs/>
        <w:sz w:val="16"/>
        <w:szCs w:val="16"/>
      </w:rPr>
      <w:t xml:space="preserve">– </w:t>
    </w:r>
    <w:bookmarkEnd w:id="12"/>
    <w:r w:rsidR="001264A3" w:rsidRPr="001264A3">
      <w:rPr>
        <w:rFonts w:ascii="Verdana-Italic" w:hAnsi="Verdana-Italic" w:cs="Verdana-Italic"/>
        <w:i/>
        <w:iCs/>
        <w:sz w:val="16"/>
        <w:szCs w:val="16"/>
      </w:rPr>
      <w:t>Záměr projektu</w:t>
    </w:r>
    <w:r w:rsidR="001264A3">
      <w:rPr>
        <w:rFonts w:ascii="Verdana-Italic" w:hAnsi="Verdana-Italic" w:cs="Verdana-Italic"/>
        <w:i/>
        <w:iCs/>
        <w:sz w:val="16"/>
        <w:szCs w:val="16"/>
      </w:rPr>
      <w:t>, Doprovodná dokumentace</w:t>
    </w:r>
  </w:p>
  <w:p w14:paraId="100F0DBD" w14:textId="77777777" w:rsidR="00F1715C" w:rsidRPr="00D6163D" w:rsidRDefault="00F1715C" w:rsidP="009C4223">
    <w:pPr>
      <w:pStyle w:val="Zhlav"/>
      <w:tabs>
        <w:tab w:val="clear" w:pos="4536"/>
      </w:tabs>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6C5D0893"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tcMar>
            <w:left w:w="0" w:type="dxa"/>
            <w:right w:w="0" w:type="dxa"/>
          </w:tcMar>
        </w:tcPr>
        <w:p w14:paraId="19816B31" w14:textId="77777777" w:rsidR="00F1715C" w:rsidRDefault="00F1715C" w:rsidP="00FC6389">
          <w:pPr>
            <w:pStyle w:val="Zpat"/>
          </w:pPr>
        </w:p>
      </w:tc>
      <w:tc>
        <w:tcPr>
          <w:tcW w:w="5698" w:type="dxa"/>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tcMar>
            <w:left w:w="0" w:type="dxa"/>
            <w:right w:w="0" w:type="dxa"/>
          </w:tcMar>
        </w:tcPr>
        <w:p w14:paraId="12A408AB" w14:textId="77777777" w:rsidR="00F64786" w:rsidRDefault="00F64786" w:rsidP="00FC6389">
          <w:pPr>
            <w:pStyle w:val="Zpat"/>
          </w:pPr>
        </w:p>
      </w:tc>
      <w:tc>
        <w:tcPr>
          <w:tcW w:w="5698" w:type="dxa"/>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600EC5"/>
    <w:multiLevelType w:val="multilevel"/>
    <w:tmpl w:val="7A883EE4"/>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7"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9"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4" w15:restartNumberingAfterBreak="0">
    <w:nsid w:val="2BF76403"/>
    <w:multiLevelType w:val="multilevel"/>
    <w:tmpl w:val="0D34D660"/>
    <w:numStyleLink w:val="ListBulletmultileve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18"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9" w15:restartNumberingAfterBreak="0">
    <w:nsid w:val="50A80497"/>
    <w:multiLevelType w:val="multilevel"/>
    <w:tmpl w:val="221034C4"/>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lowerLetter"/>
      <w:lvlText w:val="%3)"/>
      <w:lvlJc w:val="left"/>
      <w:pPr>
        <w:ind w:left="360" w:hanging="360"/>
      </w:pPr>
    </w:lvl>
    <w:lvl w:ilvl="3">
      <w:start w:val="1"/>
      <w:numFmt w:val="decimal"/>
      <w:lvlText w:val="%1.%2.%3.%4."/>
      <w:lvlJc w:val="left"/>
      <w:pPr>
        <w:ind w:left="1080" w:hanging="1080"/>
      </w:pPr>
      <w:rPr>
        <w:rFonts w:eastAsia="Times New Roman" w:hint="default"/>
        <w:u w:val="none"/>
      </w:rPr>
    </w:lvl>
    <w:lvl w:ilvl="4">
      <w:start w:val="1"/>
      <w:numFmt w:val="lowerLetter"/>
      <w:lvlText w:val="%5)"/>
      <w:lvlJc w:val="left"/>
      <w:pPr>
        <w:ind w:left="720" w:hanging="360"/>
      </w:p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0" w15:restartNumberingAfterBreak="0">
    <w:nsid w:val="58586EAD"/>
    <w:multiLevelType w:val="multilevel"/>
    <w:tmpl w:val="0868DC1A"/>
    <w:lvl w:ilvl="0">
      <w:start w:val="3"/>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1"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2" w15:restartNumberingAfterBreak="0">
    <w:nsid w:val="5E117AED"/>
    <w:multiLevelType w:val="multilevel"/>
    <w:tmpl w:val="35AC8CA6"/>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lowerLetter"/>
      <w:lvlText w:val="%3)"/>
      <w:lvlJc w:val="left"/>
      <w:pPr>
        <w:ind w:left="360" w:hanging="360"/>
      </w:p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3" w15:restartNumberingAfterBreak="0">
    <w:nsid w:val="5EAA5D48"/>
    <w:multiLevelType w:val="multilevel"/>
    <w:tmpl w:val="DFA2C848"/>
    <w:lvl w:ilvl="0">
      <w:start w:val="4"/>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4"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5"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070991"/>
    <w:multiLevelType w:val="multilevel"/>
    <w:tmpl w:val="CABE99FC"/>
    <w:numStyleLink w:val="ListNumbermultilevel"/>
  </w:abstractNum>
  <w:abstractNum w:abstractNumId="28"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9"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0" w15:restartNumberingAfterBreak="0">
    <w:nsid w:val="7B4557B8"/>
    <w:multiLevelType w:val="multilevel"/>
    <w:tmpl w:val="76924C40"/>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sz w:val="18"/>
        <w:szCs w:val="18"/>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num w:numId="1" w16cid:durableId="1295866367">
    <w:abstractNumId w:val="11"/>
  </w:num>
  <w:num w:numId="2" w16cid:durableId="1558854608">
    <w:abstractNumId w:val="5"/>
  </w:num>
  <w:num w:numId="3" w16cid:durableId="1481993385">
    <w:abstractNumId w:val="14"/>
  </w:num>
  <w:num w:numId="4" w16cid:durableId="1469205162">
    <w:abstractNumId w:val="27"/>
  </w:num>
  <w:num w:numId="5" w16cid:durableId="1632129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4418770">
    <w:abstractNumId w:val="7"/>
  </w:num>
  <w:num w:numId="7" w16cid:durableId="1277835450">
    <w:abstractNumId w:val="12"/>
  </w:num>
  <w:num w:numId="8" w16cid:durableId="2029790795">
    <w:abstractNumId w:val="1"/>
  </w:num>
  <w:num w:numId="9" w16cid:durableId="1888640907">
    <w:abstractNumId w:val="9"/>
  </w:num>
  <w:num w:numId="10" w16cid:durableId="685906728">
    <w:abstractNumId w:val="26"/>
  </w:num>
  <w:num w:numId="11" w16cid:durableId="1481724184">
    <w:abstractNumId w:val="10"/>
  </w:num>
  <w:num w:numId="12" w16cid:durableId="1106077645">
    <w:abstractNumId w:val="18"/>
  </w:num>
  <w:num w:numId="13" w16cid:durableId="720250628">
    <w:abstractNumId w:val="28"/>
  </w:num>
  <w:num w:numId="14" w16cid:durableId="703288051">
    <w:abstractNumId w:val="16"/>
  </w:num>
  <w:num w:numId="15" w16cid:durableId="1736927066">
    <w:abstractNumId w:val="21"/>
  </w:num>
  <w:num w:numId="16" w16cid:durableId="1082219132">
    <w:abstractNumId w:val="29"/>
  </w:num>
  <w:num w:numId="17" w16cid:durableId="462623110">
    <w:abstractNumId w:val="15"/>
  </w:num>
  <w:num w:numId="18" w16cid:durableId="2068795137">
    <w:abstractNumId w:val="13"/>
  </w:num>
  <w:num w:numId="19" w16cid:durableId="78868589">
    <w:abstractNumId w:val="24"/>
  </w:num>
  <w:num w:numId="20" w16cid:durableId="1482304178">
    <w:abstractNumId w:val="3"/>
  </w:num>
  <w:num w:numId="21" w16cid:durableId="835191036">
    <w:abstractNumId w:val="30"/>
  </w:num>
  <w:num w:numId="22" w16cid:durableId="1959289611">
    <w:abstractNumId w:val="17"/>
  </w:num>
  <w:num w:numId="23" w16cid:durableId="1866402803">
    <w:abstractNumId w:val="4"/>
  </w:num>
  <w:num w:numId="24" w16cid:durableId="1166672785">
    <w:abstractNumId w:val="2"/>
  </w:num>
  <w:num w:numId="25" w16cid:durableId="1758863234">
    <w:abstractNumId w:val="25"/>
  </w:num>
  <w:num w:numId="26" w16cid:durableId="1031537408">
    <w:abstractNumId w:val="20"/>
  </w:num>
  <w:num w:numId="27" w16cid:durableId="485823695">
    <w:abstractNumId w:val="6"/>
  </w:num>
  <w:num w:numId="28" w16cid:durableId="1271281122">
    <w:abstractNumId w:val="23"/>
  </w:num>
  <w:num w:numId="29" w16cid:durableId="533545091">
    <w:abstractNumId w:val="22"/>
  </w:num>
  <w:num w:numId="30" w16cid:durableId="866452833">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117"/>
    <w:rsid w:val="00001D83"/>
    <w:rsid w:val="0000571A"/>
    <w:rsid w:val="00006092"/>
    <w:rsid w:val="00016CDE"/>
    <w:rsid w:val="00024041"/>
    <w:rsid w:val="00033432"/>
    <w:rsid w:val="00046D36"/>
    <w:rsid w:val="00047C8F"/>
    <w:rsid w:val="000514EB"/>
    <w:rsid w:val="00052EBF"/>
    <w:rsid w:val="00063ED8"/>
    <w:rsid w:val="000706A6"/>
    <w:rsid w:val="00072C1E"/>
    <w:rsid w:val="000739F1"/>
    <w:rsid w:val="0008038B"/>
    <w:rsid w:val="00081D1F"/>
    <w:rsid w:val="00083CA7"/>
    <w:rsid w:val="00087852"/>
    <w:rsid w:val="00092171"/>
    <w:rsid w:val="0009220F"/>
    <w:rsid w:val="00092935"/>
    <w:rsid w:val="000A2469"/>
    <w:rsid w:val="000A7788"/>
    <w:rsid w:val="000B6CF4"/>
    <w:rsid w:val="000B7907"/>
    <w:rsid w:val="000D0CC3"/>
    <w:rsid w:val="000E302B"/>
    <w:rsid w:val="000E6C81"/>
    <w:rsid w:val="000F2373"/>
    <w:rsid w:val="000F3124"/>
    <w:rsid w:val="000F6D92"/>
    <w:rsid w:val="00102EFE"/>
    <w:rsid w:val="001047F5"/>
    <w:rsid w:val="00107683"/>
    <w:rsid w:val="0011132B"/>
    <w:rsid w:val="00113538"/>
    <w:rsid w:val="00114472"/>
    <w:rsid w:val="00122937"/>
    <w:rsid w:val="001264A3"/>
    <w:rsid w:val="001411AF"/>
    <w:rsid w:val="00142FDD"/>
    <w:rsid w:val="001454C8"/>
    <w:rsid w:val="00147E09"/>
    <w:rsid w:val="00152EAB"/>
    <w:rsid w:val="001543C5"/>
    <w:rsid w:val="00154AB3"/>
    <w:rsid w:val="00161330"/>
    <w:rsid w:val="0016443F"/>
    <w:rsid w:val="001674E9"/>
    <w:rsid w:val="00167963"/>
    <w:rsid w:val="00170BAA"/>
    <w:rsid w:val="00170EC5"/>
    <w:rsid w:val="00173C5C"/>
    <w:rsid w:val="001747C1"/>
    <w:rsid w:val="00176B6E"/>
    <w:rsid w:val="0018341F"/>
    <w:rsid w:val="00183D20"/>
    <w:rsid w:val="0018596A"/>
    <w:rsid w:val="0018607C"/>
    <w:rsid w:val="001935D2"/>
    <w:rsid w:val="001B366F"/>
    <w:rsid w:val="001B3BE7"/>
    <w:rsid w:val="001B5CED"/>
    <w:rsid w:val="001D4E63"/>
    <w:rsid w:val="001E2AB9"/>
    <w:rsid w:val="001E35EC"/>
    <w:rsid w:val="001E7081"/>
    <w:rsid w:val="001F5CCD"/>
    <w:rsid w:val="002044C0"/>
    <w:rsid w:val="002073F5"/>
    <w:rsid w:val="00207DF5"/>
    <w:rsid w:val="002170E8"/>
    <w:rsid w:val="00226570"/>
    <w:rsid w:val="00226857"/>
    <w:rsid w:val="002317DA"/>
    <w:rsid w:val="00235851"/>
    <w:rsid w:val="002549EA"/>
    <w:rsid w:val="00254BCA"/>
    <w:rsid w:val="00255410"/>
    <w:rsid w:val="00261A45"/>
    <w:rsid w:val="00264FA0"/>
    <w:rsid w:val="0026785D"/>
    <w:rsid w:val="0027208F"/>
    <w:rsid w:val="0027327F"/>
    <w:rsid w:val="002739A1"/>
    <w:rsid w:val="00276551"/>
    <w:rsid w:val="002827EF"/>
    <w:rsid w:val="002838B8"/>
    <w:rsid w:val="00287701"/>
    <w:rsid w:val="00293D1D"/>
    <w:rsid w:val="00297325"/>
    <w:rsid w:val="002A53CA"/>
    <w:rsid w:val="002A6FE2"/>
    <w:rsid w:val="002B00D7"/>
    <w:rsid w:val="002B4714"/>
    <w:rsid w:val="002B4FA4"/>
    <w:rsid w:val="002C31BF"/>
    <w:rsid w:val="002C5945"/>
    <w:rsid w:val="002D417D"/>
    <w:rsid w:val="002E0CD7"/>
    <w:rsid w:val="002E7063"/>
    <w:rsid w:val="002F4996"/>
    <w:rsid w:val="00301641"/>
    <w:rsid w:val="00305632"/>
    <w:rsid w:val="00306482"/>
    <w:rsid w:val="00312B24"/>
    <w:rsid w:val="00326A11"/>
    <w:rsid w:val="00327F80"/>
    <w:rsid w:val="00344AE0"/>
    <w:rsid w:val="003506D2"/>
    <w:rsid w:val="0035206C"/>
    <w:rsid w:val="00352670"/>
    <w:rsid w:val="00354C35"/>
    <w:rsid w:val="00355EE6"/>
    <w:rsid w:val="003561C6"/>
    <w:rsid w:val="00357BC6"/>
    <w:rsid w:val="00366D9D"/>
    <w:rsid w:val="00370849"/>
    <w:rsid w:val="003716B7"/>
    <w:rsid w:val="0037279D"/>
    <w:rsid w:val="00383069"/>
    <w:rsid w:val="003852E7"/>
    <w:rsid w:val="003922A2"/>
    <w:rsid w:val="003956C6"/>
    <w:rsid w:val="003A5422"/>
    <w:rsid w:val="003B0589"/>
    <w:rsid w:val="003B0BD8"/>
    <w:rsid w:val="003B4AA6"/>
    <w:rsid w:val="003C3C80"/>
    <w:rsid w:val="003C79A1"/>
    <w:rsid w:val="003D0011"/>
    <w:rsid w:val="003E2EE5"/>
    <w:rsid w:val="003E48AE"/>
    <w:rsid w:val="003F1731"/>
    <w:rsid w:val="003F261E"/>
    <w:rsid w:val="0041115C"/>
    <w:rsid w:val="00415995"/>
    <w:rsid w:val="00417D1C"/>
    <w:rsid w:val="00423A57"/>
    <w:rsid w:val="00427416"/>
    <w:rsid w:val="0043254C"/>
    <w:rsid w:val="004354A4"/>
    <w:rsid w:val="00444882"/>
    <w:rsid w:val="00450F07"/>
    <w:rsid w:val="00453910"/>
    <w:rsid w:val="00453CD3"/>
    <w:rsid w:val="00455BC7"/>
    <w:rsid w:val="00460660"/>
    <w:rsid w:val="00460CCB"/>
    <w:rsid w:val="00477370"/>
    <w:rsid w:val="004850CE"/>
    <w:rsid w:val="00486107"/>
    <w:rsid w:val="00486AA0"/>
    <w:rsid w:val="00491827"/>
    <w:rsid w:val="004A2DA7"/>
    <w:rsid w:val="004A501C"/>
    <w:rsid w:val="004B09BA"/>
    <w:rsid w:val="004B14A0"/>
    <w:rsid w:val="004B3CDB"/>
    <w:rsid w:val="004C26D8"/>
    <w:rsid w:val="004C4399"/>
    <w:rsid w:val="004C5845"/>
    <w:rsid w:val="004C5C84"/>
    <w:rsid w:val="004C69ED"/>
    <w:rsid w:val="004C787C"/>
    <w:rsid w:val="004E1B8A"/>
    <w:rsid w:val="004E5890"/>
    <w:rsid w:val="004F4B9B"/>
    <w:rsid w:val="00511AB9"/>
    <w:rsid w:val="00520054"/>
    <w:rsid w:val="0052020D"/>
    <w:rsid w:val="00520F08"/>
    <w:rsid w:val="00523EA7"/>
    <w:rsid w:val="00542416"/>
    <w:rsid w:val="00553375"/>
    <w:rsid w:val="00554227"/>
    <w:rsid w:val="00554BB3"/>
    <w:rsid w:val="00555CCF"/>
    <w:rsid w:val="005658A6"/>
    <w:rsid w:val="00567944"/>
    <w:rsid w:val="0057152F"/>
    <w:rsid w:val="005736B7"/>
    <w:rsid w:val="00574905"/>
    <w:rsid w:val="00575E5A"/>
    <w:rsid w:val="00582580"/>
    <w:rsid w:val="0058529B"/>
    <w:rsid w:val="0058562C"/>
    <w:rsid w:val="00587190"/>
    <w:rsid w:val="0059487C"/>
    <w:rsid w:val="00595467"/>
    <w:rsid w:val="00596C7E"/>
    <w:rsid w:val="005A64E9"/>
    <w:rsid w:val="005C392F"/>
    <w:rsid w:val="005D4929"/>
    <w:rsid w:val="005E791D"/>
    <w:rsid w:val="005F1F82"/>
    <w:rsid w:val="005F2A51"/>
    <w:rsid w:val="005F3E54"/>
    <w:rsid w:val="00603B5A"/>
    <w:rsid w:val="0061068E"/>
    <w:rsid w:val="0061452A"/>
    <w:rsid w:val="006229C5"/>
    <w:rsid w:val="00622B3E"/>
    <w:rsid w:val="00623B77"/>
    <w:rsid w:val="00642885"/>
    <w:rsid w:val="00650A61"/>
    <w:rsid w:val="00654F7D"/>
    <w:rsid w:val="00656B34"/>
    <w:rsid w:val="00660AD3"/>
    <w:rsid w:val="0066240A"/>
    <w:rsid w:val="00671132"/>
    <w:rsid w:val="006744FC"/>
    <w:rsid w:val="00680365"/>
    <w:rsid w:val="00680A7A"/>
    <w:rsid w:val="0069381C"/>
    <w:rsid w:val="006A2B02"/>
    <w:rsid w:val="006A3594"/>
    <w:rsid w:val="006A44DB"/>
    <w:rsid w:val="006A5570"/>
    <w:rsid w:val="006A689C"/>
    <w:rsid w:val="006B110C"/>
    <w:rsid w:val="006B3D79"/>
    <w:rsid w:val="006B661F"/>
    <w:rsid w:val="006C319F"/>
    <w:rsid w:val="006E0131"/>
    <w:rsid w:val="006E0578"/>
    <w:rsid w:val="006E314D"/>
    <w:rsid w:val="006E401D"/>
    <w:rsid w:val="006F0AAB"/>
    <w:rsid w:val="006F4918"/>
    <w:rsid w:val="00703A25"/>
    <w:rsid w:val="00706AF9"/>
    <w:rsid w:val="00710723"/>
    <w:rsid w:val="00713953"/>
    <w:rsid w:val="00723ED1"/>
    <w:rsid w:val="00731D0B"/>
    <w:rsid w:val="00735EB7"/>
    <w:rsid w:val="00736392"/>
    <w:rsid w:val="00741A9A"/>
    <w:rsid w:val="00743525"/>
    <w:rsid w:val="00756793"/>
    <w:rsid w:val="00757BAF"/>
    <w:rsid w:val="00760E29"/>
    <w:rsid w:val="0076286B"/>
    <w:rsid w:val="007644A5"/>
    <w:rsid w:val="00764595"/>
    <w:rsid w:val="00766846"/>
    <w:rsid w:val="00775421"/>
    <w:rsid w:val="00775706"/>
    <w:rsid w:val="0077673A"/>
    <w:rsid w:val="00777234"/>
    <w:rsid w:val="00777DB0"/>
    <w:rsid w:val="007846E1"/>
    <w:rsid w:val="007947BF"/>
    <w:rsid w:val="007A1217"/>
    <w:rsid w:val="007A2E90"/>
    <w:rsid w:val="007A3D4F"/>
    <w:rsid w:val="007B2942"/>
    <w:rsid w:val="007B570C"/>
    <w:rsid w:val="007B6E7F"/>
    <w:rsid w:val="007C4B6F"/>
    <w:rsid w:val="007C59B4"/>
    <w:rsid w:val="007D4189"/>
    <w:rsid w:val="007D6E64"/>
    <w:rsid w:val="007E4A6E"/>
    <w:rsid w:val="007F019A"/>
    <w:rsid w:val="007F56A7"/>
    <w:rsid w:val="007F5796"/>
    <w:rsid w:val="00803433"/>
    <w:rsid w:val="008042F5"/>
    <w:rsid w:val="00807DD0"/>
    <w:rsid w:val="00812EDA"/>
    <w:rsid w:val="00813F11"/>
    <w:rsid w:val="008146F5"/>
    <w:rsid w:val="00815AD7"/>
    <w:rsid w:val="008331B4"/>
    <w:rsid w:val="0083386F"/>
    <w:rsid w:val="00835E5E"/>
    <w:rsid w:val="008420F3"/>
    <w:rsid w:val="00844853"/>
    <w:rsid w:val="00847948"/>
    <w:rsid w:val="008509B0"/>
    <w:rsid w:val="0085105C"/>
    <w:rsid w:val="008554F9"/>
    <w:rsid w:val="00861A13"/>
    <w:rsid w:val="0086260D"/>
    <w:rsid w:val="00873BFC"/>
    <w:rsid w:val="00873DE2"/>
    <w:rsid w:val="0088588D"/>
    <w:rsid w:val="00887D67"/>
    <w:rsid w:val="008A3568"/>
    <w:rsid w:val="008B1153"/>
    <w:rsid w:val="008B1C34"/>
    <w:rsid w:val="008B5EB7"/>
    <w:rsid w:val="008B7B05"/>
    <w:rsid w:val="008C3B28"/>
    <w:rsid w:val="008D03B9"/>
    <w:rsid w:val="008D639C"/>
    <w:rsid w:val="008D6B3E"/>
    <w:rsid w:val="008E0D91"/>
    <w:rsid w:val="008E57AD"/>
    <w:rsid w:val="008F150F"/>
    <w:rsid w:val="008F18D6"/>
    <w:rsid w:val="008F2D16"/>
    <w:rsid w:val="00904780"/>
    <w:rsid w:val="009061BE"/>
    <w:rsid w:val="00910BF5"/>
    <w:rsid w:val="00914BC5"/>
    <w:rsid w:val="00916C00"/>
    <w:rsid w:val="009200AC"/>
    <w:rsid w:val="00922385"/>
    <w:rsid w:val="009223DF"/>
    <w:rsid w:val="0092273E"/>
    <w:rsid w:val="00925EDB"/>
    <w:rsid w:val="00931326"/>
    <w:rsid w:val="0093577C"/>
    <w:rsid w:val="00936091"/>
    <w:rsid w:val="0093763F"/>
    <w:rsid w:val="00940D8A"/>
    <w:rsid w:val="00946721"/>
    <w:rsid w:val="00962258"/>
    <w:rsid w:val="00967468"/>
    <w:rsid w:val="009678B7"/>
    <w:rsid w:val="009703F2"/>
    <w:rsid w:val="00970963"/>
    <w:rsid w:val="00972C61"/>
    <w:rsid w:val="00976AF9"/>
    <w:rsid w:val="0098156C"/>
    <w:rsid w:val="00982411"/>
    <w:rsid w:val="0098593E"/>
    <w:rsid w:val="0098775A"/>
    <w:rsid w:val="00992D9C"/>
    <w:rsid w:val="00996885"/>
    <w:rsid w:val="00996CB8"/>
    <w:rsid w:val="0099785A"/>
    <w:rsid w:val="009B20BD"/>
    <w:rsid w:val="009B2E97"/>
    <w:rsid w:val="009B72CC"/>
    <w:rsid w:val="009C03CD"/>
    <w:rsid w:val="009C3BE1"/>
    <w:rsid w:val="009C3ED9"/>
    <w:rsid w:val="009C4223"/>
    <w:rsid w:val="009D058A"/>
    <w:rsid w:val="009D2A1C"/>
    <w:rsid w:val="009D32E0"/>
    <w:rsid w:val="009E07F4"/>
    <w:rsid w:val="009F0895"/>
    <w:rsid w:val="009F392E"/>
    <w:rsid w:val="009F5181"/>
    <w:rsid w:val="00A01716"/>
    <w:rsid w:val="00A05B82"/>
    <w:rsid w:val="00A0698E"/>
    <w:rsid w:val="00A1779C"/>
    <w:rsid w:val="00A21EEE"/>
    <w:rsid w:val="00A21FC3"/>
    <w:rsid w:val="00A33579"/>
    <w:rsid w:val="00A3777D"/>
    <w:rsid w:val="00A406DA"/>
    <w:rsid w:val="00A43F09"/>
    <w:rsid w:val="00A44328"/>
    <w:rsid w:val="00A516AF"/>
    <w:rsid w:val="00A6177B"/>
    <w:rsid w:val="00A66136"/>
    <w:rsid w:val="00A75C2A"/>
    <w:rsid w:val="00A83E19"/>
    <w:rsid w:val="00A8684F"/>
    <w:rsid w:val="00A93D5C"/>
    <w:rsid w:val="00A95239"/>
    <w:rsid w:val="00A957D9"/>
    <w:rsid w:val="00AA4CBB"/>
    <w:rsid w:val="00AA65FA"/>
    <w:rsid w:val="00AA7351"/>
    <w:rsid w:val="00AC1E4C"/>
    <w:rsid w:val="00AD056F"/>
    <w:rsid w:val="00AD6731"/>
    <w:rsid w:val="00AD7C32"/>
    <w:rsid w:val="00AE3022"/>
    <w:rsid w:val="00B0090E"/>
    <w:rsid w:val="00B02838"/>
    <w:rsid w:val="00B03FB6"/>
    <w:rsid w:val="00B0423B"/>
    <w:rsid w:val="00B06997"/>
    <w:rsid w:val="00B13FD9"/>
    <w:rsid w:val="00B15D0D"/>
    <w:rsid w:val="00B31080"/>
    <w:rsid w:val="00B3167A"/>
    <w:rsid w:val="00B43526"/>
    <w:rsid w:val="00B45E9E"/>
    <w:rsid w:val="00B62908"/>
    <w:rsid w:val="00B67207"/>
    <w:rsid w:val="00B75772"/>
    <w:rsid w:val="00B75EE1"/>
    <w:rsid w:val="00B77481"/>
    <w:rsid w:val="00B8518B"/>
    <w:rsid w:val="00B901FA"/>
    <w:rsid w:val="00B923D0"/>
    <w:rsid w:val="00B95CF5"/>
    <w:rsid w:val="00B972F5"/>
    <w:rsid w:val="00BA21A8"/>
    <w:rsid w:val="00BA39FE"/>
    <w:rsid w:val="00BB3740"/>
    <w:rsid w:val="00BB5231"/>
    <w:rsid w:val="00BC2082"/>
    <w:rsid w:val="00BC384A"/>
    <w:rsid w:val="00BD2851"/>
    <w:rsid w:val="00BD7E91"/>
    <w:rsid w:val="00BE1865"/>
    <w:rsid w:val="00BF374D"/>
    <w:rsid w:val="00BF7E53"/>
    <w:rsid w:val="00C0276B"/>
    <w:rsid w:val="00C02D0A"/>
    <w:rsid w:val="00C03A6E"/>
    <w:rsid w:val="00C045D7"/>
    <w:rsid w:val="00C12C72"/>
    <w:rsid w:val="00C152C8"/>
    <w:rsid w:val="00C157DB"/>
    <w:rsid w:val="00C259EB"/>
    <w:rsid w:val="00C36EBB"/>
    <w:rsid w:val="00C40D77"/>
    <w:rsid w:val="00C41FC4"/>
    <w:rsid w:val="00C447E7"/>
    <w:rsid w:val="00C44E70"/>
    <w:rsid w:val="00C44F6A"/>
    <w:rsid w:val="00C46E35"/>
    <w:rsid w:val="00C551DE"/>
    <w:rsid w:val="00C622F0"/>
    <w:rsid w:val="00C65672"/>
    <w:rsid w:val="00C7306A"/>
    <w:rsid w:val="00C75426"/>
    <w:rsid w:val="00C76762"/>
    <w:rsid w:val="00C93C7A"/>
    <w:rsid w:val="00C97B9D"/>
    <w:rsid w:val="00CA2F8F"/>
    <w:rsid w:val="00CC3D93"/>
    <w:rsid w:val="00CC5627"/>
    <w:rsid w:val="00CD04B6"/>
    <w:rsid w:val="00CD1FC4"/>
    <w:rsid w:val="00CD255A"/>
    <w:rsid w:val="00CD463D"/>
    <w:rsid w:val="00CD5CDE"/>
    <w:rsid w:val="00CE371D"/>
    <w:rsid w:val="00CE5C3C"/>
    <w:rsid w:val="00CE7DEB"/>
    <w:rsid w:val="00CF4C8D"/>
    <w:rsid w:val="00D061C9"/>
    <w:rsid w:val="00D06652"/>
    <w:rsid w:val="00D146AB"/>
    <w:rsid w:val="00D146D8"/>
    <w:rsid w:val="00D15600"/>
    <w:rsid w:val="00D16406"/>
    <w:rsid w:val="00D21061"/>
    <w:rsid w:val="00D26285"/>
    <w:rsid w:val="00D26F4A"/>
    <w:rsid w:val="00D27EAE"/>
    <w:rsid w:val="00D316A7"/>
    <w:rsid w:val="00D37FE3"/>
    <w:rsid w:val="00D4108E"/>
    <w:rsid w:val="00D42431"/>
    <w:rsid w:val="00D42CE9"/>
    <w:rsid w:val="00D60762"/>
    <w:rsid w:val="00D6163D"/>
    <w:rsid w:val="00D642D5"/>
    <w:rsid w:val="00D72E25"/>
    <w:rsid w:val="00D761E8"/>
    <w:rsid w:val="00D80129"/>
    <w:rsid w:val="00D8187D"/>
    <w:rsid w:val="00D831A3"/>
    <w:rsid w:val="00D83A20"/>
    <w:rsid w:val="00DA6DB0"/>
    <w:rsid w:val="00DA6FFE"/>
    <w:rsid w:val="00DA795A"/>
    <w:rsid w:val="00DC00B4"/>
    <w:rsid w:val="00DC3110"/>
    <w:rsid w:val="00DC6EC2"/>
    <w:rsid w:val="00DD1EB8"/>
    <w:rsid w:val="00DD2B71"/>
    <w:rsid w:val="00DD391E"/>
    <w:rsid w:val="00DD46F3"/>
    <w:rsid w:val="00DD58A6"/>
    <w:rsid w:val="00DD5DE9"/>
    <w:rsid w:val="00DE4ED4"/>
    <w:rsid w:val="00DE56F2"/>
    <w:rsid w:val="00DF0C72"/>
    <w:rsid w:val="00DF116D"/>
    <w:rsid w:val="00DF7AC1"/>
    <w:rsid w:val="00E01516"/>
    <w:rsid w:val="00E016C1"/>
    <w:rsid w:val="00E065FC"/>
    <w:rsid w:val="00E10559"/>
    <w:rsid w:val="00E13512"/>
    <w:rsid w:val="00E15BA5"/>
    <w:rsid w:val="00E163E2"/>
    <w:rsid w:val="00E26C30"/>
    <w:rsid w:val="00E3035F"/>
    <w:rsid w:val="00E30BA5"/>
    <w:rsid w:val="00E36254"/>
    <w:rsid w:val="00E4561F"/>
    <w:rsid w:val="00E6172C"/>
    <w:rsid w:val="00E64ABE"/>
    <w:rsid w:val="00E6642D"/>
    <w:rsid w:val="00E81471"/>
    <w:rsid w:val="00E8248B"/>
    <w:rsid w:val="00E824F1"/>
    <w:rsid w:val="00E91171"/>
    <w:rsid w:val="00E92D9A"/>
    <w:rsid w:val="00E949D7"/>
    <w:rsid w:val="00EA2B6B"/>
    <w:rsid w:val="00EA6766"/>
    <w:rsid w:val="00EB104F"/>
    <w:rsid w:val="00EB6434"/>
    <w:rsid w:val="00EC50FF"/>
    <w:rsid w:val="00EC726F"/>
    <w:rsid w:val="00ED0286"/>
    <w:rsid w:val="00ED14BD"/>
    <w:rsid w:val="00ED214B"/>
    <w:rsid w:val="00ED2251"/>
    <w:rsid w:val="00ED5F25"/>
    <w:rsid w:val="00EE0D22"/>
    <w:rsid w:val="00EE4926"/>
    <w:rsid w:val="00EF0EF5"/>
    <w:rsid w:val="00EF1FED"/>
    <w:rsid w:val="00EF3AC2"/>
    <w:rsid w:val="00F011EE"/>
    <w:rsid w:val="00F12DEC"/>
    <w:rsid w:val="00F13A64"/>
    <w:rsid w:val="00F1715C"/>
    <w:rsid w:val="00F30C22"/>
    <w:rsid w:val="00F30D3C"/>
    <w:rsid w:val="00F310F8"/>
    <w:rsid w:val="00F31CFF"/>
    <w:rsid w:val="00F345CA"/>
    <w:rsid w:val="00F358F2"/>
    <w:rsid w:val="00F35939"/>
    <w:rsid w:val="00F37D40"/>
    <w:rsid w:val="00F45607"/>
    <w:rsid w:val="00F46E1A"/>
    <w:rsid w:val="00F64786"/>
    <w:rsid w:val="00F659EB"/>
    <w:rsid w:val="00F7752B"/>
    <w:rsid w:val="00F8178C"/>
    <w:rsid w:val="00F8214D"/>
    <w:rsid w:val="00F846A9"/>
    <w:rsid w:val="00F862D6"/>
    <w:rsid w:val="00F86BA6"/>
    <w:rsid w:val="00F91F1F"/>
    <w:rsid w:val="00F93ED0"/>
    <w:rsid w:val="00F96C6E"/>
    <w:rsid w:val="00F974A1"/>
    <w:rsid w:val="00FA396D"/>
    <w:rsid w:val="00FA4EB6"/>
    <w:rsid w:val="00FB135B"/>
    <w:rsid w:val="00FC330C"/>
    <w:rsid w:val="00FC6389"/>
    <w:rsid w:val="00FC7725"/>
    <w:rsid w:val="00FE375B"/>
    <w:rsid w:val="00FE3A87"/>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styleId="Nevyeenzmnka">
    <w:name w:val="Unresolved Mention"/>
    <w:basedOn w:val="Standardnpsmoodstavce"/>
    <w:uiPriority w:val="99"/>
    <w:semiHidden/>
    <w:unhideWhenUsed/>
    <w:rsid w:val="00731D0B"/>
    <w:rPr>
      <w:color w:val="605E5C"/>
      <w:shd w:val="clear" w:color="auto" w:fill="E1DFDD"/>
    </w:rPr>
  </w:style>
  <w:style w:type="character" w:customStyle="1" w:styleId="normaltextrun">
    <w:name w:val="normaltextrun"/>
    <w:basedOn w:val="Standardnpsmoodstavce"/>
    <w:rsid w:val="008B7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yperlink" Target="https://zakazky.spravazeleznic.cz/manual.htm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ungovak@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E12AD26-74BD-4515-9841-18464A13738A}">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hlavičkový papír - SSZ</Template>
  <TotalTime>78</TotalTime>
  <Pages>12</Pages>
  <Words>5909</Words>
  <Characters>34869</Characters>
  <Application>Microsoft Office Word</Application>
  <DocSecurity>0</DocSecurity>
  <Lines>290</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Jungová Kateřina</cp:lastModifiedBy>
  <cp:revision>6</cp:revision>
  <cp:lastPrinted>2025-08-21T05:42:00Z</cp:lastPrinted>
  <dcterms:created xsi:type="dcterms:W3CDTF">2025-08-20T11:24:00Z</dcterms:created>
  <dcterms:modified xsi:type="dcterms:W3CDTF">2025-08-21T12:17:00Z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