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9E8F26D" w14:textId="77777777" w:rsidR="00F451E6" w:rsidRPr="00FA28E8" w:rsidRDefault="00F451E6" w:rsidP="00F451E6">
      <w:pPr>
        <w:pStyle w:val="Titul2"/>
      </w:pPr>
      <w:bookmarkStart w:id="0" w:name="_Hlk204086303"/>
      <w:r w:rsidRPr="00FA28E8">
        <w:rPr>
          <w:rFonts w:asciiTheme="majorHAnsi" w:hAnsiTheme="majorHAnsi" w:cs="Calibri"/>
          <w:lang w:eastAsia="x-none"/>
        </w:rPr>
        <w:t>Zajištění majetkoprávní přípravy stavby dráhy</w:t>
      </w:r>
    </w:p>
    <w:bookmarkEnd w:id="0"/>
    <w:p w14:paraId="78A947AA" w14:textId="4150752E" w:rsidR="00F451E6" w:rsidRPr="00264700" w:rsidRDefault="00F451E6" w:rsidP="00F451E6">
      <w:pPr>
        <w:pStyle w:val="Titul2"/>
        <w:rPr>
          <w:sz w:val="36"/>
          <w:szCs w:val="36"/>
        </w:rPr>
      </w:pPr>
      <w:r w:rsidRPr="00264700">
        <w:rPr>
          <w:sz w:val="36"/>
          <w:szCs w:val="36"/>
        </w:rPr>
        <w:t>„</w:t>
      </w:r>
      <w:r w:rsidRPr="00264700">
        <w:rPr>
          <w:rFonts w:eastAsia="Times New Roman" w:cs="Arial"/>
          <w:color w:val="000000"/>
          <w:sz w:val="36"/>
          <w:szCs w:val="36"/>
          <w:lang w:eastAsia="cs-CZ"/>
        </w:rPr>
        <w:t xml:space="preserve">Modernizace trati Brno-Přerov, </w:t>
      </w:r>
      <w:r>
        <w:rPr>
          <w:rFonts w:eastAsia="Times New Roman" w:cs="Arial"/>
          <w:color w:val="000000"/>
          <w:sz w:val="36"/>
          <w:szCs w:val="36"/>
          <w:lang w:eastAsia="cs-CZ"/>
        </w:rPr>
        <w:t>3</w:t>
      </w:r>
      <w:r w:rsidRPr="00264700">
        <w:rPr>
          <w:rFonts w:eastAsia="Times New Roman" w:cs="Arial"/>
          <w:color w:val="000000"/>
          <w:sz w:val="36"/>
          <w:szCs w:val="36"/>
          <w:lang w:eastAsia="cs-CZ"/>
        </w:rPr>
        <w:t xml:space="preserve">. stavba </w:t>
      </w:r>
      <w:proofErr w:type="gramStart"/>
      <w:r w:rsidRPr="00264700">
        <w:rPr>
          <w:rFonts w:eastAsia="Times New Roman" w:cs="Arial"/>
          <w:color w:val="000000"/>
          <w:sz w:val="36"/>
          <w:szCs w:val="36"/>
          <w:lang w:eastAsia="cs-CZ"/>
        </w:rPr>
        <w:t>Vyškov</w:t>
      </w:r>
      <w:r w:rsidR="005C4E6D">
        <w:rPr>
          <w:rFonts w:eastAsia="Times New Roman" w:cs="Arial"/>
          <w:color w:val="000000"/>
          <w:sz w:val="36"/>
          <w:szCs w:val="36"/>
          <w:lang w:eastAsia="cs-CZ"/>
        </w:rPr>
        <w:t xml:space="preserve"> - Nezamyslice</w:t>
      </w:r>
      <w:proofErr w:type="gramEnd"/>
      <w:r w:rsidRPr="00264700">
        <w:rPr>
          <w:sz w:val="36"/>
          <w:szCs w:val="36"/>
        </w:rPr>
        <w:t>“</w:t>
      </w:r>
    </w:p>
    <w:p w14:paraId="6A0FC324" w14:textId="77777777" w:rsidR="0010250C" w:rsidRDefault="0010250C" w:rsidP="00136BBF">
      <w:pPr>
        <w:pStyle w:val="Text1-1"/>
        <w:numPr>
          <w:ilvl w:val="0"/>
          <w:numId w:val="0"/>
        </w:numPr>
        <w:tabs>
          <w:tab w:val="left" w:pos="708"/>
        </w:tabs>
        <w:spacing w:line="240" w:lineRule="auto"/>
        <w:ind w:left="737" w:hanging="737"/>
      </w:pPr>
    </w:p>
    <w:p w14:paraId="0BFFEB34" w14:textId="77777777" w:rsidR="005C4E6D" w:rsidRDefault="005C4E6D" w:rsidP="00136BBF">
      <w:pPr>
        <w:pStyle w:val="Text1-1"/>
        <w:numPr>
          <w:ilvl w:val="0"/>
          <w:numId w:val="0"/>
        </w:numPr>
        <w:tabs>
          <w:tab w:val="left" w:pos="708"/>
        </w:tabs>
        <w:spacing w:line="240" w:lineRule="auto"/>
        <w:ind w:left="737" w:hanging="737"/>
      </w:pPr>
    </w:p>
    <w:p w14:paraId="335AA076" w14:textId="3D99EA27" w:rsidR="000E125F" w:rsidRDefault="000E125F" w:rsidP="00136BBF">
      <w:pPr>
        <w:pStyle w:val="Text1-1"/>
        <w:numPr>
          <w:ilvl w:val="0"/>
          <w:numId w:val="0"/>
        </w:numPr>
        <w:tabs>
          <w:tab w:val="left" w:pos="708"/>
        </w:tabs>
        <w:spacing w:line="240" w:lineRule="auto"/>
        <w:ind w:left="737" w:hanging="737"/>
      </w:pPr>
      <w:r w:rsidRPr="00434D6F">
        <w:t xml:space="preserve">Č.j. </w:t>
      </w:r>
      <w:r w:rsidR="008C67A9">
        <w:t>9028</w:t>
      </w:r>
      <w:r w:rsidR="005C4E6D" w:rsidRPr="00434D6F">
        <w:t>/202</w:t>
      </w:r>
      <w:r w:rsidR="00434D6F" w:rsidRPr="00434D6F">
        <w:t>5</w:t>
      </w:r>
      <w:r w:rsidR="005C4E6D" w:rsidRPr="00434D6F">
        <w:t>-SŽ-SSV-Ú3</w:t>
      </w:r>
    </w:p>
    <w:p w14:paraId="304FD28F" w14:textId="77777777" w:rsidR="005C4E6D" w:rsidRDefault="005C4E6D" w:rsidP="00136BBF">
      <w:pPr>
        <w:pStyle w:val="Text1-1"/>
        <w:numPr>
          <w:ilvl w:val="0"/>
          <w:numId w:val="0"/>
        </w:numPr>
        <w:tabs>
          <w:tab w:val="left" w:pos="708"/>
        </w:tabs>
        <w:spacing w:line="240" w:lineRule="auto"/>
        <w:ind w:left="737" w:hanging="737"/>
      </w:pPr>
    </w:p>
    <w:p w14:paraId="17044DE3" w14:textId="77777777" w:rsidR="005C4E6D" w:rsidRDefault="005C4E6D" w:rsidP="00136BBF">
      <w:pPr>
        <w:pStyle w:val="Text1-1"/>
        <w:numPr>
          <w:ilvl w:val="0"/>
          <w:numId w:val="0"/>
        </w:numPr>
        <w:tabs>
          <w:tab w:val="left" w:pos="708"/>
        </w:tabs>
        <w:spacing w:line="240" w:lineRule="auto"/>
        <w:ind w:left="737" w:hanging="737"/>
      </w:pPr>
    </w:p>
    <w:p w14:paraId="1D6D20A4" w14:textId="77777777" w:rsidR="005C4E6D" w:rsidRDefault="005C4E6D" w:rsidP="00136BBF">
      <w:pPr>
        <w:pStyle w:val="Text1-1"/>
        <w:numPr>
          <w:ilvl w:val="0"/>
          <w:numId w:val="0"/>
        </w:numPr>
        <w:tabs>
          <w:tab w:val="left" w:pos="708"/>
        </w:tabs>
        <w:spacing w:line="240" w:lineRule="auto"/>
        <w:ind w:left="737" w:hanging="737"/>
      </w:pPr>
    </w:p>
    <w:p w14:paraId="0B64E658" w14:textId="77777777" w:rsidR="005C4E6D" w:rsidRDefault="005C4E6D" w:rsidP="00136BBF">
      <w:pPr>
        <w:pStyle w:val="Text1-1"/>
        <w:numPr>
          <w:ilvl w:val="0"/>
          <w:numId w:val="0"/>
        </w:numPr>
        <w:tabs>
          <w:tab w:val="left" w:pos="708"/>
        </w:tabs>
        <w:spacing w:line="240" w:lineRule="auto"/>
        <w:ind w:left="737" w:hanging="737"/>
      </w:pPr>
    </w:p>
    <w:p w14:paraId="7FFE2CBD" w14:textId="77777777" w:rsidR="00053304" w:rsidRDefault="00053304"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3FBED69F" w14:textId="3E280DE5" w:rsidR="004B62B9" w:rsidRDefault="004B62B9" w:rsidP="004B62B9">
      <w:pPr>
        <w:spacing w:after="0"/>
        <w:rPr>
          <w:i/>
          <w:color w:val="FF0000"/>
        </w:rPr>
      </w:pPr>
    </w:p>
    <w:p w14:paraId="1C7808B8" w14:textId="77777777" w:rsidR="0010250C" w:rsidRDefault="0010250C">
      <w:pPr>
        <w:rPr>
          <w:rFonts w:asciiTheme="majorHAnsi" w:hAnsiTheme="majorHAnsi"/>
          <w:b/>
          <w:caps/>
          <w:sz w:val="22"/>
        </w:rPr>
      </w:pPr>
      <w:r>
        <w:br w:type="page"/>
      </w:r>
    </w:p>
    <w:p w14:paraId="14783ECE" w14:textId="70AC48F6" w:rsidR="00BD7E91" w:rsidRDefault="00BD7E91" w:rsidP="00FE4333">
      <w:pPr>
        <w:pStyle w:val="Nadpisbezsl1-1"/>
      </w:pPr>
      <w:r>
        <w:lastRenderedPageBreak/>
        <w:t>Obsah</w:t>
      </w:r>
      <w:r w:rsidR="00887F36">
        <w:t xml:space="preserve"> </w:t>
      </w:r>
    </w:p>
    <w:p w14:paraId="3ECAE28E" w14:textId="6D0C6ABD"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525DF8">
          <w:rPr>
            <w:noProof/>
            <w:webHidden/>
          </w:rPr>
          <w:t>3</w:t>
        </w:r>
        <w:r w:rsidR="00B104FA">
          <w:rPr>
            <w:noProof/>
            <w:webHidden/>
          </w:rPr>
          <w:fldChar w:fldCharType="end"/>
        </w:r>
      </w:hyperlink>
    </w:p>
    <w:p w14:paraId="086227F3" w14:textId="6DB24D45"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525DF8">
          <w:rPr>
            <w:noProof/>
            <w:webHidden/>
          </w:rPr>
          <w:t>3</w:t>
        </w:r>
        <w:r>
          <w:rPr>
            <w:noProof/>
            <w:webHidden/>
          </w:rPr>
          <w:fldChar w:fldCharType="end"/>
        </w:r>
      </w:hyperlink>
    </w:p>
    <w:p w14:paraId="38A34EE6" w14:textId="1FC65F3A"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525DF8">
          <w:rPr>
            <w:noProof/>
            <w:webHidden/>
          </w:rPr>
          <w:t>4</w:t>
        </w:r>
        <w:r>
          <w:rPr>
            <w:noProof/>
            <w:webHidden/>
          </w:rPr>
          <w:fldChar w:fldCharType="end"/>
        </w:r>
      </w:hyperlink>
    </w:p>
    <w:p w14:paraId="6C169B2E" w14:textId="6A2F0EA9"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525DF8">
          <w:rPr>
            <w:noProof/>
            <w:webHidden/>
          </w:rPr>
          <w:t>4</w:t>
        </w:r>
        <w:r>
          <w:rPr>
            <w:noProof/>
            <w:webHidden/>
          </w:rPr>
          <w:fldChar w:fldCharType="end"/>
        </w:r>
      </w:hyperlink>
    </w:p>
    <w:p w14:paraId="3A4C1472" w14:textId="36E92169"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525DF8">
          <w:rPr>
            <w:noProof/>
            <w:webHidden/>
          </w:rPr>
          <w:t>6</w:t>
        </w:r>
        <w:r>
          <w:rPr>
            <w:noProof/>
            <w:webHidden/>
          </w:rPr>
          <w:fldChar w:fldCharType="end"/>
        </w:r>
      </w:hyperlink>
    </w:p>
    <w:p w14:paraId="13B92013" w14:textId="09F2B80E"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525DF8">
          <w:rPr>
            <w:noProof/>
            <w:webHidden/>
          </w:rPr>
          <w:t>6</w:t>
        </w:r>
        <w:r>
          <w:rPr>
            <w:noProof/>
            <w:webHidden/>
          </w:rPr>
          <w:fldChar w:fldCharType="end"/>
        </w:r>
      </w:hyperlink>
    </w:p>
    <w:p w14:paraId="40103765" w14:textId="68FBD397"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525DF8">
          <w:rPr>
            <w:noProof/>
            <w:webHidden/>
          </w:rPr>
          <w:t>7</w:t>
        </w:r>
        <w:r>
          <w:rPr>
            <w:noProof/>
            <w:webHidden/>
          </w:rPr>
          <w:fldChar w:fldCharType="end"/>
        </w:r>
      </w:hyperlink>
    </w:p>
    <w:p w14:paraId="4929E3E6" w14:textId="0221EA45"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525DF8">
          <w:rPr>
            <w:noProof/>
            <w:webHidden/>
          </w:rPr>
          <w:t>7</w:t>
        </w:r>
        <w:r>
          <w:rPr>
            <w:noProof/>
            <w:webHidden/>
          </w:rPr>
          <w:fldChar w:fldCharType="end"/>
        </w:r>
      </w:hyperlink>
    </w:p>
    <w:p w14:paraId="6718CFF6" w14:textId="29454ED9"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525DF8">
          <w:rPr>
            <w:noProof/>
            <w:webHidden/>
          </w:rPr>
          <w:t>16</w:t>
        </w:r>
        <w:r>
          <w:rPr>
            <w:noProof/>
            <w:webHidden/>
          </w:rPr>
          <w:fldChar w:fldCharType="end"/>
        </w:r>
      </w:hyperlink>
    </w:p>
    <w:p w14:paraId="3DEEEF4D" w14:textId="757FD6BD"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525DF8">
          <w:rPr>
            <w:noProof/>
            <w:webHidden/>
          </w:rPr>
          <w:t>19</w:t>
        </w:r>
        <w:r>
          <w:rPr>
            <w:noProof/>
            <w:webHidden/>
          </w:rPr>
          <w:fldChar w:fldCharType="end"/>
        </w:r>
      </w:hyperlink>
    </w:p>
    <w:p w14:paraId="125F3C22" w14:textId="65B7371B"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525DF8">
          <w:rPr>
            <w:noProof/>
            <w:webHidden/>
          </w:rPr>
          <w:t>19</w:t>
        </w:r>
        <w:r>
          <w:rPr>
            <w:noProof/>
            <w:webHidden/>
          </w:rPr>
          <w:fldChar w:fldCharType="end"/>
        </w:r>
      </w:hyperlink>
    </w:p>
    <w:p w14:paraId="6A92B20D" w14:textId="1CFB23A0"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525DF8">
          <w:rPr>
            <w:noProof/>
            <w:webHidden/>
          </w:rPr>
          <w:t>21</w:t>
        </w:r>
        <w:r>
          <w:rPr>
            <w:noProof/>
            <w:webHidden/>
          </w:rPr>
          <w:fldChar w:fldCharType="end"/>
        </w:r>
      </w:hyperlink>
    </w:p>
    <w:p w14:paraId="18C5846D" w14:textId="3089155A"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525DF8">
          <w:rPr>
            <w:noProof/>
            <w:webHidden/>
          </w:rPr>
          <w:t>22</w:t>
        </w:r>
        <w:r>
          <w:rPr>
            <w:noProof/>
            <w:webHidden/>
          </w:rPr>
          <w:fldChar w:fldCharType="end"/>
        </w:r>
      </w:hyperlink>
    </w:p>
    <w:p w14:paraId="6C760C0F" w14:textId="5465D94C"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525DF8">
          <w:rPr>
            <w:noProof/>
            <w:webHidden/>
          </w:rPr>
          <w:t>22</w:t>
        </w:r>
        <w:r>
          <w:rPr>
            <w:noProof/>
            <w:webHidden/>
          </w:rPr>
          <w:fldChar w:fldCharType="end"/>
        </w:r>
      </w:hyperlink>
    </w:p>
    <w:p w14:paraId="07B979B6" w14:textId="6B9ECF7C"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525DF8">
          <w:rPr>
            <w:noProof/>
            <w:webHidden/>
          </w:rPr>
          <w:t>22</w:t>
        </w:r>
        <w:r>
          <w:rPr>
            <w:noProof/>
            <w:webHidden/>
          </w:rPr>
          <w:fldChar w:fldCharType="end"/>
        </w:r>
      </w:hyperlink>
    </w:p>
    <w:p w14:paraId="717F0212" w14:textId="54033EA6"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525DF8">
          <w:rPr>
            <w:noProof/>
            <w:webHidden/>
          </w:rPr>
          <w:t>22</w:t>
        </w:r>
        <w:r>
          <w:rPr>
            <w:noProof/>
            <w:webHidden/>
          </w:rPr>
          <w:fldChar w:fldCharType="end"/>
        </w:r>
      </w:hyperlink>
    </w:p>
    <w:p w14:paraId="307F6D44" w14:textId="32551358"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525DF8">
          <w:rPr>
            <w:noProof/>
            <w:webHidden/>
          </w:rPr>
          <w:t>26</w:t>
        </w:r>
        <w:r>
          <w:rPr>
            <w:noProof/>
            <w:webHidden/>
          </w:rPr>
          <w:fldChar w:fldCharType="end"/>
        </w:r>
      </w:hyperlink>
    </w:p>
    <w:p w14:paraId="238FA5F1" w14:textId="4DB695D1"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525DF8">
          <w:rPr>
            <w:noProof/>
            <w:webHidden/>
          </w:rPr>
          <w:t>26</w:t>
        </w:r>
        <w:r>
          <w:rPr>
            <w:noProof/>
            <w:webHidden/>
          </w:rPr>
          <w:fldChar w:fldCharType="end"/>
        </w:r>
      </w:hyperlink>
    </w:p>
    <w:p w14:paraId="58DDD907" w14:textId="03D9EE0B"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525DF8">
          <w:rPr>
            <w:noProof/>
            <w:webHidden/>
          </w:rPr>
          <w:t>28</w:t>
        </w:r>
        <w:r>
          <w:rPr>
            <w:noProof/>
            <w:webHidden/>
          </w:rPr>
          <w:fldChar w:fldCharType="end"/>
        </w:r>
      </w:hyperlink>
    </w:p>
    <w:p w14:paraId="51DBD083" w14:textId="0D1DE97A"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525DF8">
          <w:rPr>
            <w:noProof/>
            <w:webHidden/>
          </w:rPr>
          <w:t>29</w:t>
        </w:r>
        <w:r>
          <w:rPr>
            <w:noProof/>
            <w:webHidden/>
          </w:rPr>
          <w:fldChar w:fldCharType="end"/>
        </w:r>
      </w:hyperlink>
    </w:p>
    <w:p w14:paraId="78DB0BCD" w14:textId="4934EC81"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525DF8">
          <w:rPr>
            <w:noProof/>
            <w:webHidden/>
          </w:rPr>
          <w:t>29</w:t>
        </w:r>
        <w:r>
          <w:rPr>
            <w:noProof/>
            <w:webHidden/>
          </w:rPr>
          <w:fldChar w:fldCharType="end"/>
        </w:r>
      </w:hyperlink>
    </w:p>
    <w:p w14:paraId="0660ABFD" w14:textId="5B762415"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525DF8">
          <w:rPr>
            <w:noProof/>
            <w:webHidden/>
          </w:rPr>
          <w:t>30</w:t>
        </w:r>
        <w:r>
          <w:rPr>
            <w:noProof/>
            <w:webHidden/>
          </w:rPr>
          <w:fldChar w:fldCharType="end"/>
        </w:r>
      </w:hyperlink>
    </w:p>
    <w:p w14:paraId="45B2CDC5" w14:textId="34BFAD06"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525DF8">
          <w:rPr>
            <w:noProof/>
            <w:webHidden/>
          </w:rPr>
          <w:t>31</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1" w:name="_Toc178766803"/>
      <w:bookmarkStart w:id="2" w:name="_Toc389559699"/>
      <w:bookmarkStart w:id="3" w:name="_Toc397429847"/>
      <w:bookmarkStart w:id="4" w:name="_Ref433028040"/>
      <w:bookmarkStart w:id="5" w:name="_Toc1048197"/>
      <w:r>
        <w:lastRenderedPageBreak/>
        <w:t>ÚVODNÍ USTANOVENÍ</w:t>
      </w:r>
      <w:bookmarkEnd w:id="1"/>
    </w:p>
    <w:p w14:paraId="4650BAC4" w14:textId="7DE8BAE3"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Podáním nabídky účastník zadávacího řízení zcela a bez výhrad akceptuje zadávací podmínky této veřejné zakázky. </w:t>
      </w:r>
    </w:p>
    <w:p w14:paraId="2219CD5E" w14:textId="149516F7"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6456A4E7"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vyhotoven</w:t>
      </w:r>
      <w:r>
        <w:t xml:space="preserve"> 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6" w:name="_Toc178766804"/>
      <w:r>
        <w:t>IDENTIFIKAČNÍ ÚDAJE ZADAVATELE</w:t>
      </w:r>
      <w:bookmarkEnd w:id="6"/>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1929855A" w14:textId="102B290D" w:rsidR="0035531B" w:rsidRDefault="0035531B" w:rsidP="005C4E6D">
      <w:pPr>
        <w:pStyle w:val="Textbezslovn"/>
        <w:spacing w:after="0"/>
        <w:ind w:left="2127" w:hanging="1390"/>
      </w:pPr>
      <w:r>
        <w:t xml:space="preserve">zastoupená: </w:t>
      </w:r>
      <w:r>
        <w:tab/>
      </w:r>
      <w:r w:rsidRPr="000174E8">
        <w:t>Ing. Mojmírem Nejezchlebem, náměstkem generálního ředitele pro modernizaci dráhy, na základě pověření č. 2372 ze dne 26. 02. 2018.</w:t>
      </w:r>
    </w:p>
    <w:p w14:paraId="68ED8CDC" w14:textId="77777777" w:rsidR="0035531B" w:rsidRDefault="0035531B" w:rsidP="0035531B">
      <w:pPr>
        <w:pStyle w:val="Nadpis1-1"/>
      </w:pPr>
      <w:bookmarkStart w:id="7" w:name="_Toc178766805"/>
      <w:r>
        <w:lastRenderedPageBreak/>
        <w:t>KOMUNIKACE MEZI ZADAVATELEM</w:t>
      </w:r>
      <w:r w:rsidR="00845C50">
        <w:t xml:space="preserve"> a </w:t>
      </w:r>
      <w:r>
        <w:t>DODAVATELEM</w:t>
      </w:r>
      <w:bookmarkEnd w:id="7"/>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35C54F80" w:rsidR="0035531B" w:rsidRDefault="0035531B" w:rsidP="0035531B">
      <w:pPr>
        <w:pStyle w:val="Text1-1"/>
      </w:pPr>
      <w:r>
        <w:t xml:space="preserve">Kontaktní osobou zadavatele pro zadávací řízení je: </w:t>
      </w:r>
      <w:r w:rsidR="005C4E6D">
        <w:t>Mgr. Kateřina Lacigová</w:t>
      </w:r>
    </w:p>
    <w:p w14:paraId="7980012A" w14:textId="188F1EB9" w:rsidR="0035531B" w:rsidRDefault="0035531B" w:rsidP="0035531B">
      <w:pPr>
        <w:pStyle w:val="Textbezslovn"/>
        <w:spacing w:after="0"/>
      </w:pPr>
      <w:r>
        <w:t xml:space="preserve">telefon: </w:t>
      </w:r>
      <w:r>
        <w:tab/>
      </w:r>
      <w:r w:rsidR="005C4E6D">
        <w:t>+420 724 932 384</w:t>
      </w:r>
    </w:p>
    <w:p w14:paraId="3EB99521" w14:textId="6415C706" w:rsidR="0035531B" w:rsidRDefault="0035531B" w:rsidP="0035531B">
      <w:pPr>
        <w:pStyle w:val="Textbezslovn"/>
        <w:spacing w:after="0"/>
      </w:pPr>
      <w:r>
        <w:t xml:space="preserve">e-mail: </w:t>
      </w:r>
      <w:r w:rsidR="00652EFD">
        <w:tab/>
      </w:r>
      <w:r w:rsidR="005C4E6D">
        <w:t>Lacigova@spravazeleznic.cz</w:t>
      </w:r>
    </w:p>
    <w:p w14:paraId="709AE9FA" w14:textId="07C95494" w:rsidR="0035531B" w:rsidRDefault="0035531B" w:rsidP="0035531B">
      <w:pPr>
        <w:pStyle w:val="Textbezslovn"/>
      </w:pPr>
      <w:r>
        <w:t xml:space="preserve">adresa: </w:t>
      </w:r>
      <w:r>
        <w:tab/>
      </w:r>
      <w:r w:rsidR="005C4E6D" w:rsidRPr="00713147">
        <w:t>Stavební správa východ, Nerudova 773/1, 779 00 Olomouc</w:t>
      </w:r>
    </w:p>
    <w:p w14:paraId="020F179B" w14:textId="77777777" w:rsidR="0035531B" w:rsidRDefault="0035531B" w:rsidP="0035531B">
      <w:pPr>
        <w:pStyle w:val="Nadpis1-1"/>
      </w:pPr>
      <w:bookmarkStart w:id="8" w:name="_Toc178766806"/>
      <w:r>
        <w:t>ÚČEL</w:t>
      </w:r>
      <w:r w:rsidR="00845C50">
        <w:t xml:space="preserve"> a </w:t>
      </w:r>
      <w:r>
        <w:t>PŘEDMĚT PLNĚNÍ VEŘEJNÉ ZAKÁZKY</w:t>
      </w:r>
      <w:bookmarkEnd w:id="8"/>
    </w:p>
    <w:p w14:paraId="18094B7C" w14:textId="77777777" w:rsidR="0035531B" w:rsidRDefault="0035531B" w:rsidP="0035531B">
      <w:pPr>
        <w:pStyle w:val="Text1-1"/>
      </w:pPr>
      <w:r>
        <w:t>Účel veřejné zakázky</w:t>
      </w:r>
    </w:p>
    <w:p w14:paraId="37A1940A" w14:textId="15CFA842" w:rsidR="0035531B" w:rsidRPr="00DE66A4" w:rsidRDefault="005C4E6D" w:rsidP="0035531B">
      <w:pPr>
        <w:pStyle w:val="Textbezslovn"/>
      </w:pPr>
      <w:r w:rsidRPr="00DE66A4">
        <w:rPr>
          <w:rFonts w:eastAsia="Times New Roman" w:cs="Arial"/>
          <w:lang w:eastAsia="cs-CZ"/>
        </w:rPr>
        <w:t>Z důvodu urychlení, zpřehlednění a zlepšení kontroly při velkém počtu řešených pozemků stavby „Modernizace trati Brno-Přerov, 3. stavba Vyškov – Nezamyslice“ bude majetkoprávní část přípravy řešena samostatně.</w:t>
      </w:r>
    </w:p>
    <w:p w14:paraId="4CB912C2" w14:textId="77777777" w:rsidR="0035531B" w:rsidRPr="00DE66A4" w:rsidRDefault="0035531B" w:rsidP="0035531B">
      <w:pPr>
        <w:pStyle w:val="Text1-1"/>
      </w:pPr>
      <w:r w:rsidRPr="00DE66A4">
        <w:t>Předmět plnění veřejné zakázky</w:t>
      </w:r>
    </w:p>
    <w:p w14:paraId="5C655292" w14:textId="77777777" w:rsidR="005C4E6D" w:rsidRPr="00DE66A4" w:rsidRDefault="005C4E6D" w:rsidP="00701241">
      <w:pPr>
        <w:spacing w:before="120"/>
        <w:ind w:left="737"/>
        <w:jc w:val="both"/>
        <w:rPr>
          <w:rFonts w:asciiTheme="majorHAnsi" w:hAnsiTheme="majorHAnsi" w:cs="Calibri"/>
          <w:lang w:eastAsia="x-none"/>
        </w:rPr>
      </w:pPr>
      <w:r w:rsidRPr="00DE66A4">
        <w:rPr>
          <w:rFonts w:asciiTheme="majorHAnsi" w:hAnsiTheme="majorHAnsi" w:cs="Calibri"/>
          <w:lang w:eastAsia="x-none"/>
        </w:rPr>
        <w:t>Předmět veřejné zakázky spočívá v zajištění majetkoprávní přípravy stavby dráhy s názvem „Modernizace trati Brno-Přerov, 3. stavba Vyškov – Nezamyslice“ (dále jen „Stavba dráhy“). Předmět činnosti zahrnuje smluvní zajištění pro výkupy, zatížení nemovitých věcí, nájmy pro účely stavby a případné dodání veškerých podkladů pro vyvlastňovací řízení.</w:t>
      </w:r>
    </w:p>
    <w:p w14:paraId="361D894D" w14:textId="77777777" w:rsidR="005C4E6D" w:rsidRPr="00DE66A4" w:rsidRDefault="005C4E6D" w:rsidP="00701241">
      <w:pPr>
        <w:spacing w:before="120"/>
        <w:ind w:left="737"/>
        <w:jc w:val="both"/>
      </w:pPr>
      <w:r w:rsidRPr="00DE66A4">
        <w:t>Předmětem plnění veřejné zakázky je zajištění majetkoprávního vypořádání Stavby dráhy v následujícím rozsahu:</w:t>
      </w:r>
    </w:p>
    <w:p w14:paraId="262915C8" w14:textId="77777777" w:rsidR="005C4E6D" w:rsidRPr="00DE66A4" w:rsidRDefault="005C4E6D" w:rsidP="00701241">
      <w:pPr>
        <w:pStyle w:val="RLTextlnkuslovan"/>
        <w:numPr>
          <w:ilvl w:val="0"/>
          <w:numId w:val="21"/>
        </w:numPr>
        <w:ind w:left="1077"/>
        <w:rPr>
          <w:rFonts w:asciiTheme="minorHAnsi" w:hAnsiTheme="minorHAnsi"/>
          <w:b/>
          <w:sz w:val="18"/>
          <w:szCs w:val="18"/>
        </w:rPr>
      </w:pPr>
      <w:r w:rsidRPr="00DE66A4">
        <w:rPr>
          <w:rFonts w:asciiTheme="minorHAnsi" w:hAnsiTheme="minorHAnsi"/>
          <w:b/>
          <w:sz w:val="18"/>
          <w:szCs w:val="18"/>
        </w:rPr>
        <w:t>Uzavření kupních smluv</w:t>
      </w:r>
    </w:p>
    <w:p w14:paraId="11356616" w14:textId="35001C11" w:rsidR="005C4E6D" w:rsidRPr="00DE66A4" w:rsidRDefault="005C4E6D" w:rsidP="00701241">
      <w:pPr>
        <w:spacing w:before="120"/>
        <w:ind w:left="1077"/>
        <w:jc w:val="both"/>
      </w:pPr>
      <w:r w:rsidRPr="00DE66A4">
        <w:t>Zhotovitel zajistí uzavření smluv, jejichž předmětem bude převod vlastnického práva nebo práva hospodařit (</w:t>
      </w:r>
      <w:r w:rsidRPr="00DE66A4">
        <w:rPr>
          <w:b/>
        </w:rPr>
        <w:t>kupní smlouvy</w:t>
      </w:r>
      <w:r w:rsidRPr="00DE66A4">
        <w:t xml:space="preserve">, </w:t>
      </w:r>
      <w:r w:rsidRPr="00DE66A4">
        <w:rPr>
          <w:b/>
        </w:rPr>
        <w:t>smlouvy o převodu práva/příslušnosti hospodařit s majetkem státu</w:t>
      </w:r>
      <w:r w:rsidRPr="00DE66A4">
        <w:t>) k pozemkům a stavbám potřebným pro uskutečnění Stavby dráhy (dále jen „pozemek“), s jejich vlastníky či osobami oprávněnými s nimi hospodařit.</w:t>
      </w:r>
      <w:r w:rsidR="00DE66A4" w:rsidRPr="00DE66A4">
        <w:t xml:space="preserve"> </w:t>
      </w:r>
      <w:r w:rsidR="00124D51" w:rsidRPr="00DE66A4">
        <w:t xml:space="preserve">Pozemky a stavby budou nabývány bez právních zatížení (např. zástavní práva, předkupní práva, věcná břemena </w:t>
      </w:r>
      <w:r w:rsidR="00DE66A4" w:rsidRPr="00DE66A4">
        <w:t>osobní</w:t>
      </w:r>
      <w:r w:rsidR="00124D51" w:rsidRPr="00DE66A4">
        <w:t xml:space="preserve"> apod.). V případě, že předmětem trvalého záboru bude pozemek, který užívá třetí osoba pro zemědělské či jiné účely na základě pachtovní, nájemní či jiné smlouvy uzavřené s vlastníkem nebo na základě věcného práva zřízeného ve prospěch třetí osoby (např. věcné břemeno nebo právo stavby), je Zhotovitel povinen po výkupu/převodu výpověď pachtovního/nájemního vztahu. V případě, že bude vykupován pozemek vč. budovy, je třeba aby byl znaleckým posudkem oceněn zvlášť pozemek a zvlášť budova.</w:t>
      </w:r>
    </w:p>
    <w:p w14:paraId="73A00EB0" w14:textId="77777777" w:rsidR="00DE66A4" w:rsidRDefault="00DE66A4" w:rsidP="00701241">
      <w:pPr>
        <w:spacing w:before="120"/>
        <w:ind w:left="1077"/>
        <w:jc w:val="both"/>
      </w:pPr>
    </w:p>
    <w:p w14:paraId="489A17F5" w14:textId="7865C769" w:rsidR="005C4E6D" w:rsidRPr="00DE66A4" w:rsidRDefault="005C4E6D" w:rsidP="00701241">
      <w:pPr>
        <w:spacing w:before="120"/>
        <w:ind w:left="1077"/>
        <w:jc w:val="both"/>
      </w:pPr>
      <w:r w:rsidRPr="00DE66A4">
        <w:lastRenderedPageBreak/>
        <w:t>Nebude-li možné z časových důvodů na straně vlastníka dotčeného pozemku (např. České dráhy či samosprávy) uzavřít kupní smlouvu nebo smlouvu o převodu ve lhůtě potřebné pro uskutečnění Stavby dráhy, lze uzavření smlouvy o převodu nahradit uzavřením smlouvy, která založí Objednateli právo provést Stavbu dráhy na dotčeném pozemku, např. smlouvy o umístění a provedení Stavby dráhy, smlouvy o výpůjčce či podobné smlouvy, která bude obsahovat závazek vlastníka pozemku uzavřít s Objednatelem smlouvu o převodu stavbou trvale dotčeného pozemku (Zhotovitel je i v takovém případě povinen předložit vlastníkovi žádost o převod pozemku a obstarat veškeré podklady nezbytné pro uzavření smlouvy o převodu). Pod tuto část předmětu plnění spadají i výkupy objektů a staveb určených k demolici;</w:t>
      </w:r>
    </w:p>
    <w:p w14:paraId="5A95F429" w14:textId="77777777" w:rsidR="005C4E6D" w:rsidRPr="00DE66A4" w:rsidRDefault="005C4E6D" w:rsidP="00701241">
      <w:pPr>
        <w:pStyle w:val="RLTextlnkuslovan"/>
        <w:numPr>
          <w:ilvl w:val="0"/>
          <w:numId w:val="21"/>
        </w:numPr>
        <w:ind w:left="1077"/>
        <w:rPr>
          <w:rFonts w:asciiTheme="minorHAnsi" w:hAnsiTheme="minorHAnsi"/>
          <w:b/>
          <w:sz w:val="18"/>
          <w:szCs w:val="18"/>
        </w:rPr>
      </w:pPr>
      <w:r w:rsidRPr="00DE66A4">
        <w:rPr>
          <w:rFonts w:asciiTheme="minorHAnsi" w:hAnsiTheme="minorHAnsi"/>
          <w:b/>
          <w:sz w:val="18"/>
          <w:szCs w:val="18"/>
        </w:rPr>
        <w:t>Uzavření budoucích smluv o zřízení věcných břemen – služebností</w:t>
      </w:r>
    </w:p>
    <w:p w14:paraId="45C4A0C9" w14:textId="77777777" w:rsidR="005C4E6D" w:rsidRPr="00DE66A4" w:rsidRDefault="005C4E6D" w:rsidP="00701241">
      <w:pPr>
        <w:spacing w:before="120"/>
        <w:ind w:left="1077"/>
        <w:jc w:val="both"/>
        <w:rPr>
          <w:b/>
        </w:rPr>
      </w:pPr>
      <w:r w:rsidRPr="00DE66A4">
        <w:t xml:space="preserve">Zhotovitel zajistí uzavření smluv, které Objednateli založí právo zřídit na dotčených pozemcích nebo přes ně vést inženýrské sítě nebo jiné části stavby </w:t>
      </w:r>
      <w:r w:rsidRPr="00DE66A4">
        <w:rPr>
          <w:b/>
        </w:rPr>
        <w:t>(smlouvy o smlouvách budoucích o zřízení věcného břemene – služebnosti,</w:t>
      </w:r>
      <w:r w:rsidRPr="00DE66A4">
        <w:t xml:space="preserve"> </w:t>
      </w:r>
      <w:r w:rsidRPr="00DE66A4">
        <w:rPr>
          <w:b/>
        </w:rPr>
        <w:t>smlouvy o smlouvách budoucích o zřízení práv majících povahu věcného břemene – služebnosti).</w:t>
      </w:r>
    </w:p>
    <w:p w14:paraId="23591B55" w14:textId="77777777" w:rsidR="005C4E6D" w:rsidRPr="00DE66A4" w:rsidRDefault="005C4E6D" w:rsidP="00701241">
      <w:pPr>
        <w:spacing w:before="120"/>
        <w:ind w:left="1077"/>
        <w:jc w:val="both"/>
      </w:pPr>
      <w:r w:rsidRPr="00DE66A4">
        <w:t>Neuzavře-li vlastník budoucí smlouvu, zajistí Zhotovitel uzavření smluv o zřízení věcných břemen – služebností.</w:t>
      </w:r>
    </w:p>
    <w:p w14:paraId="2C7A5D54" w14:textId="77777777" w:rsidR="005C4E6D" w:rsidRPr="00DE66A4" w:rsidRDefault="005C4E6D" w:rsidP="00701241">
      <w:pPr>
        <w:pStyle w:val="RLTextlnkuslovan"/>
        <w:numPr>
          <w:ilvl w:val="0"/>
          <w:numId w:val="21"/>
        </w:numPr>
        <w:ind w:left="1077"/>
        <w:rPr>
          <w:rFonts w:asciiTheme="minorHAnsi" w:hAnsiTheme="minorHAnsi"/>
          <w:b/>
          <w:sz w:val="18"/>
          <w:szCs w:val="18"/>
        </w:rPr>
      </w:pPr>
      <w:r w:rsidRPr="00DE66A4">
        <w:rPr>
          <w:rFonts w:asciiTheme="minorHAnsi" w:hAnsiTheme="minorHAnsi"/>
          <w:b/>
          <w:sz w:val="18"/>
          <w:szCs w:val="18"/>
        </w:rPr>
        <w:t>Uzavření nájemních smluv</w:t>
      </w:r>
    </w:p>
    <w:p w14:paraId="6D5B23FF" w14:textId="77777777" w:rsidR="005C4E6D" w:rsidRPr="00DE66A4" w:rsidRDefault="005C4E6D" w:rsidP="00701241">
      <w:pPr>
        <w:spacing w:before="120"/>
        <w:ind w:left="1077"/>
        <w:jc w:val="both"/>
      </w:pPr>
      <w:r w:rsidRPr="00DE66A4">
        <w:t xml:space="preserve">Zhotovitel zajistí uzavření </w:t>
      </w:r>
      <w:r w:rsidRPr="00DE66A4">
        <w:rPr>
          <w:b/>
        </w:rPr>
        <w:t>nájemních smluv</w:t>
      </w:r>
      <w:r w:rsidRPr="00DE66A4">
        <w:t xml:space="preserve"> s vlastníky nemovitých věcí dotčených stavbou pouze dočasně včetně ploch a objektů nezbytných po přechodnou dobu pro účely zhotovení stavby (dočasné zábory související s navrženým technologickým postupem předepsaným zhotoviteli v dokumentaci pro stavební povolení, např. pro startovní jámy apod.) a přístup na staveniště.</w:t>
      </w:r>
    </w:p>
    <w:p w14:paraId="6B9AEBDD" w14:textId="77777777" w:rsidR="00701241" w:rsidRPr="00DE66A4" w:rsidRDefault="00701241" w:rsidP="00701241">
      <w:pPr>
        <w:spacing w:before="120"/>
        <w:ind w:left="1077"/>
        <w:jc w:val="both"/>
      </w:pPr>
      <w:r w:rsidRPr="00DE66A4">
        <w:t>V případě, že předmětem dočasného záboru bude pozemek, který užívá třetí osoba pro zemědělské či jiné účely na základě pachtovní, nájemní či jiné smlouvy uzavřené s vlastníkem nebo na základě věcného práva zřízeného ve prospěch třetí osoby (např. věcné břemeno nebo právo stavby), je Zhotovitel povinen namísto nájemní smlouvy s vlastníkem pozemku zajistit uzavření takové smlouvy, která Objednateli umožní užívání takového pozemku pro účely zhotovení stavby (dle okolností a výsledků projednání s účastníky užívacího vztahu se může jednat např., nikoli však výlučně, o trojstrannou smlouvu mezi vlastníkem, pachtýřem a Objednatelem, nebo o smlouvu uzavřenou mezi Objednatelem a pachtýřem o přenechání propachtovaného pozemku do užívání Objednateli, jejímž předpokladem současně bude i obstarání souhlasu vlastníka s přenecháním pozemku do užívání jiné osobě, není-li již takový souhlas součástí pachtovní smlouvy, nebo o nájemní smlouvu uzavřenou mezi Objednatelem a vlastníkem, jejímž předpokladem současně bude i obstarání dohody vlastníka pozemku s pachtýřem o podmínkách přerušení pachtu).</w:t>
      </w:r>
    </w:p>
    <w:p w14:paraId="5C80EE96" w14:textId="77777777" w:rsidR="005C4E6D" w:rsidRPr="00DE66A4" w:rsidRDefault="005C4E6D" w:rsidP="00701241">
      <w:pPr>
        <w:spacing w:before="120"/>
        <w:ind w:left="737"/>
        <w:jc w:val="both"/>
      </w:pPr>
      <w:r w:rsidRPr="00DE66A4">
        <w:t>Součástí předmětu plnění je i zajištění všech podkladů nezbytných pro uzavření smluv, tedy zejména geometrických plánů pro rozdělení pozemků, geometrických plánů pro vyznačení rozsahu věcného břemene a znaleckých posudků.</w:t>
      </w:r>
    </w:p>
    <w:p w14:paraId="594DE18F" w14:textId="77777777" w:rsidR="005C4E6D" w:rsidRPr="00DE66A4" w:rsidRDefault="005C4E6D" w:rsidP="00701241">
      <w:pPr>
        <w:spacing w:before="120"/>
        <w:ind w:left="737"/>
        <w:jc w:val="both"/>
      </w:pPr>
      <w:r w:rsidRPr="00DE66A4">
        <w:t>Součástí předmětu plnění je i zajištění vkladů práv dle uzavřených smluv do katastru nemovitostí včetně zajištění všech dokladů a listin, které budou pro zápis těchto práv nezbytné (např. souhlas s dělením pozemků).</w:t>
      </w:r>
    </w:p>
    <w:p w14:paraId="1BD30876" w14:textId="77777777" w:rsidR="005C4E6D" w:rsidRPr="00DE66A4" w:rsidRDefault="005C4E6D" w:rsidP="00701241">
      <w:pPr>
        <w:spacing w:before="120"/>
        <w:ind w:left="737"/>
        <w:jc w:val="both"/>
      </w:pPr>
      <w:r w:rsidRPr="00DE66A4">
        <w:t>Neuzavře-li vlastník pozemku potřebnou smlouvu, je součástí předmětu plnění i zajištění všech podkladů a listin nezbytných pro vyvlastnění včetně přípravy žádosti o vyvlastnění.</w:t>
      </w:r>
    </w:p>
    <w:p w14:paraId="15611A29" w14:textId="77777777" w:rsidR="00701241" w:rsidRPr="00DE66A4" w:rsidRDefault="00701241" w:rsidP="00701241">
      <w:pPr>
        <w:pStyle w:val="RLTextlnkuslovan"/>
        <w:numPr>
          <w:ilvl w:val="0"/>
          <w:numId w:val="0"/>
        </w:numPr>
        <w:spacing w:before="120" w:after="240" w:line="264" w:lineRule="auto"/>
        <w:ind w:left="737" w:hanging="141"/>
        <w:rPr>
          <w:rFonts w:asciiTheme="minorHAnsi" w:hAnsiTheme="minorHAnsi"/>
          <w:sz w:val="18"/>
          <w:szCs w:val="18"/>
        </w:rPr>
      </w:pPr>
      <w:r w:rsidRPr="00DE66A4">
        <w:rPr>
          <w:rFonts w:asciiTheme="minorHAnsi" w:hAnsiTheme="minorHAnsi"/>
          <w:sz w:val="18"/>
          <w:szCs w:val="18"/>
        </w:rPr>
        <w:t xml:space="preserve">  Stavba dráhy je stavbou dopravní infrastruktury podle zákona č. 416/2009 Sb., o urychlení výstavby strategicky významné infrastruktury. Při plnění předmětu Díla bude zhotovitel postupovat v souladu s uvedeným zákonem. </w:t>
      </w:r>
    </w:p>
    <w:p w14:paraId="09F864B9" w14:textId="77777777" w:rsidR="005C4E6D" w:rsidRPr="00DE66A4" w:rsidRDefault="005C4E6D" w:rsidP="00701241">
      <w:pPr>
        <w:spacing w:before="120"/>
        <w:ind w:left="737"/>
        <w:jc w:val="both"/>
      </w:pPr>
      <w:r w:rsidRPr="00DE66A4">
        <w:lastRenderedPageBreak/>
        <w:t xml:space="preserve">Zhotovitel povede majetkoprávní vypořádání v </w:t>
      </w:r>
      <w:r w:rsidRPr="00DE66A4">
        <w:rPr>
          <w:b/>
        </w:rPr>
        <w:t>majetkoprávní aplikaci</w:t>
      </w:r>
      <w:r w:rsidRPr="00DE66A4">
        <w:t xml:space="preserve"> (webová aplikace majetkoprávní příprava staveb), kterou zajišťuje, provozuje a spravuje Objednatel. Objednatel po podpisu SOD předá Zhotoviteli přístupová práva k majetkoprávní aplikaci.</w:t>
      </w:r>
    </w:p>
    <w:p w14:paraId="40EE7C9D" w14:textId="5A76B927" w:rsidR="00652EFD" w:rsidRDefault="00652EFD" w:rsidP="00652EFD">
      <w:pPr>
        <w:pStyle w:val="Text1-1"/>
        <w:numPr>
          <w:ilvl w:val="0"/>
          <w:numId w:val="0"/>
        </w:numPr>
        <w:ind w:left="737"/>
      </w:pPr>
      <w:r w:rsidRPr="00DE66A4">
        <w:t>Bližší specifikace předmětu plnění veřejné zakázky je upravena v dalších částech zadávací dokumentace.</w:t>
      </w:r>
    </w:p>
    <w:p w14:paraId="182F664C" w14:textId="77777777" w:rsidR="00652EFD" w:rsidRDefault="00652EFD" w:rsidP="00652EFD">
      <w:pPr>
        <w:pStyle w:val="Text1-1"/>
      </w:pPr>
      <w:r>
        <w:t>Klasifikace předmětu veřejné zakázky</w:t>
      </w:r>
    </w:p>
    <w:p w14:paraId="31831F6F" w14:textId="77777777" w:rsidR="0078773A" w:rsidRPr="00DE66A4" w:rsidRDefault="0078773A" w:rsidP="0078773A">
      <w:pPr>
        <w:pStyle w:val="Text1-1"/>
        <w:numPr>
          <w:ilvl w:val="0"/>
          <w:numId w:val="0"/>
        </w:numPr>
        <w:spacing w:after="0"/>
        <w:ind w:left="737"/>
      </w:pPr>
      <w:r w:rsidRPr="00DE66A4">
        <w:t>kód CPV 71322000-1 Technické projekty pro provádění stavebně inženýrských prací</w:t>
      </w:r>
    </w:p>
    <w:p w14:paraId="0E59AD42" w14:textId="77777777" w:rsidR="0078773A" w:rsidRPr="00DE66A4" w:rsidRDefault="0078773A" w:rsidP="0078773A">
      <w:pPr>
        <w:pStyle w:val="Text1-1"/>
        <w:numPr>
          <w:ilvl w:val="0"/>
          <w:numId w:val="0"/>
        </w:numPr>
        <w:spacing w:after="0"/>
        <w:ind w:left="737"/>
      </w:pPr>
      <w:r w:rsidRPr="00DE66A4">
        <w:t>kód CPV 71311230-2 Železniční stavitelství</w:t>
      </w:r>
    </w:p>
    <w:p w14:paraId="21587ED7" w14:textId="77777777" w:rsidR="0078773A" w:rsidRPr="00DE66A4" w:rsidRDefault="0078773A" w:rsidP="0078773A">
      <w:pPr>
        <w:spacing w:after="0" w:line="240" w:lineRule="auto"/>
        <w:ind w:left="737"/>
        <w:rPr>
          <w:rFonts w:eastAsia="Times New Roman" w:cs="Arial"/>
          <w:lang w:eastAsia="cs-CZ"/>
        </w:rPr>
      </w:pPr>
      <w:r w:rsidRPr="00DE66A4">
        <w:rPr>
          <w:rFonts w:eastAsia="Times New Roman" w:cs="Arial"/>
          <w:lang w:eastAsia="cs-CZ"/>
        </w:rPr>
        <w:t>kód CPV 71310000-4 Poradenské inženýrství a stavební služby</w:t>
      </w:r>
    </w:p>
    <w:p w14:paraId="5B06CAFB" w14:textId="77777777" w:rsidR="0078773A" w:rsidRPr="00DE66A4" w:rsidRDefault="0078773A" w:rsidP="0078773A">
      <w:pPr>
        <w:spacing w:after="0" w:line="240" w:lineRule="auto"/>
        <w:ind w:left="737"/>
        <w:rPr>
          <w:rFonts w:eastAsia="Times New Roman" w:cs="Arial"/>
          <w:lang w:eastAsia="cs-CZ"/>
        </w:rPr>
      </w:pPr>
      <w:r w:rsidRPr="00DE66A4">
        <w:rPr>
          <w:rFonts w:eastAsia="Times New Roman" w:cs="Arial"/>
          <w:lang w:eastAsia="cs-CZ"/>
        </w:rPr>
        <w:t xml:space="preserve">kód CPV 71319000-7 Služby soudních znalců </w:t>
      </w:r>
    </w:p>
    <w:p w14:paraId="2EA5E6F6" w14:textId="77777777" w:rsidR="0078773A" w:rsidRPr="00DE66A4" w:rsidRDefault="0078773A" w:rsidP="0078773A">
      <w:pPr>
        <w:spacing w:after="0" w:line="240" w:lineRule="auto"/>
        <w:ind w:left="737"/>
        <w:rPr>
          <w:rFonts w:eastAsia="Times New Roman" w:cs="Arial"/>
          <w:lang w:eastAsia="cs-CZ"/>
        </w:rPr>
      </w:pPr>
      <w:r w:rsidRPr="00DE66A4">
        <w:rPr>
          <w:rFonts w:eastAsia="Times New Roman" w:cs="Arial"/>
          <w:lang w:eastAsia="cs-CZ"/>
        </w:rPr>
        <w:t>kód CPV 79100000-5 Právní služby</w:t>
      </w:r>
    </w:p>
    <w:p w14:paraId="2D9A34CC" w14:textId="77777777" w:rsidR="0078773A" w:rsidRDefault="0078773A" w:rsidP="0078773A">
      <w:pPr>
        <w:spacing w:after="0" w:line="240" w:lineRule="auto"/>
        <w:ind w:left="737"/>
        <w:rPr>
          <w:rFonts w:eastAsia="Times New Roman" w:cs="Arial"/>
          <w:lang w:eastAsia="cs-CZ"/>
        </w:rPr>
      </w:pPr>
      <w:r w:rsidRPr="00DE66A4">
        <w:rPr>
          <w:rFonts w:eastAsia="Times New Roman" w:cs="Arial"/>
          <w:lang w:eastAsia="cs-CZ"/>
        </w:rPr>
        <w:t>kód CPV 71250000-5 Architektonické, technické a zeměměřičské služby</w:t>
      </w:r>
    </w:p>
    <w:p w14:paraId="06735070" w14:textId="77777777" w:rsidR="0078773A" w:rsidRPr="00FA28E8" w:rsidRDefault="0078773A" w:rsidP="0078773A">
      <w:pPr>
        <w:spacing w:after="0" w:line="240" w:lineRule="auto"/>
        <w:ind w:left="737"/>
        <w:rPr>
          <w:rFonts w:eastAsia="Times New Roman" w:cs="Arial"/>
          <w:lang w:eastAsia="cs-CZ"/>
        </w:rPr>
      </w:pP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9" w:name="_Toc178766807"/>
      <w:r>
        <w:t>ZDROJE FINANCOVÁNÍ</w:t>
      </w:r>
      <w:r w:rsidR="00845C50">
        <w:t xml:space="preserve"> a </w:t>
      </w:r>
      <w:r>
        <w:t>PŘEDPOKLÁDANÁ HODNOTA VEŘEJNÉ ZAKÁZKY</w:t>
      </w:r>
      <w:bookmarkEnd w:id="9"/>
    </w:p>
    <w:p w14:paraId="7832C094" w14:textId="385AB277" w:rsidR="001954B0" w:rsidRDefault="001954B0" w:rsidP="001954B0">
      <w:pPr>
        <w:pStyle w:val="Text1-1"/>
      </w:pPr>
      <w:r>
        <w:t>U této zakázky se předpokládá, že bude financována z prostředků Státního fondu dopravní infrastruktury.</w:t>
      </w:r>
    </w:p>
    <w:p w14:paraId="6155A803" w14:textId="77777777" w:rsidR="001D120E" w:rsidRDefault="0035531B" w:rsidP="001D120E">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2E1B74DA" w14:textId="7F46F546" w:rsidR="001D120E" w:rsidRDefault="001D120E" w:rsidP="001D120E">
      <w:pPr>
        <w:pStyle w:val="Text1-1"/>
      </w:pPr>
      <w:r>
        <w:t>Předpokládaná hodnota veřejné zakázky</w:t>
      </w:r>
      <w:r w:rsidRPr="00F66EA9">
        <w:t xml:space="preserve"> </w:t>
      </w:r>
      <w:r>
        <w:t xml:space="preserve">činí </w:t>
      </w:r>
      <w:r w:rsidRPr="001D120E">
        <w:rPr>
          <w:b/>
          <w:bCs/>
        </w:rPr>
        <w:t>33 543 000</w:t>
      </w:r>
      <w:r>
        <w:t xml:space="preserve"> </w:t>
      </w:r>
      <w:r w:rsidRPr="00EB138E">
        <w:rPr>
          <w:b/>
        </w:rPr>
        <w:t>Kč</w:t>
      </w:r>
      <w:r>
        <w:t xml:space="preserve"> (bez DPH).</w:t>
      </w:r>
    </w:p>
    <w:p w14:paraId="4E32F28B" w14:textId="77777777" w:rsidR="0035531B" w:rsidRDefault="0035531B" w:rsidP="006F6B09">
      <w:pPr>
        <w:pStyle w:val="Nadpis1-1"/>
      </w:pPr>
      <w:bookmarkStart w:id="10" w:name="_Toc178766808"/>
      <w:r>
        <w:t>OBSAH ZADÁVACÍ DOKUMENTACE</w:t>
      </w:r>
      <w:bookmarkEnd w:id="10"/>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10E761E1" w:rsidR="00ED116C" w:rsidRPr="00ED116C" w:rsidRDefault="00ED116C" w:rsidP="006324FB">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6324FB">
      <w:pPr>
        <w:pStyle w:val="Textbezslovn"/>
        <w:tabs>
          <w:tab w:val="left" w:pos="1701"/>
        </w:tabs>
        <w:ind w:left="1701" w:hanging="964"/>
      </w:pPr>
      <w:r>
        <w:t>Část 1</w:t>
      </w:r>
      <w:r>
        <w:tab/>
        <w:t xml:space="preserve">Oznámení o zahájení zadávacího řízení – </w:t>
      </w:r>
      <w:r w:rsidR="00DA5362">
        <w:t>sektorová veřejná zakázka</w:t>
      </w:r>
    </w:p>
    <w:p w14:paraId="1E1016BD" w14:textId="77777777" w:rsidR="00ED116C" w:rsidRDefault="00ED116C" w:rsidP="006324FB">
      <w:pPr>
        <w:pStyle w:val="Textbezslovn"/>
        <w:tabs>
          <w:tab w:val="left" w:pos="1701"/>
        </w:tabs>
        <w:ind w:left="1701" w:hanging="964"/>
      </w:pPr>
      <w:r>
        <w:t>Část 2</w:t>
      </w:r>
      <w:r>
        <w:tab/>
        <w:t>Pokyny pro dodavatele</w:t>
      </w:r>
    </w:p>
    <w:p w14:paraId="6A4516CA" w14:textId="24FAEEB7" w:rsidR="00ED116C" w:rsidRPr="00ED116C" w:rsidRDefault="00ED116C" w:rsidP="006324FB">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6324FB">
      <w:pPr>
        <w:pStyle w:val="Textbezslovn"/>
        <w:tabs>
          <w:tab w:val="left" w:pos="1701"/>
        </w:tabs>
        <w:ind w:left="1701" w:hanging="964"/>
      </w:pPr>
      <w:r>
        <w:t>Část 1</w:t>
      </w:r>
      <w:r>
        <w:tab/>
        <w:t xml:space="preserve">Smlouva o dílo včetně příloh </w:t>
      </w:r>
    </w:p>
    <w:p w14:paraId="19E411BE" w14:textId="63EA9400" w:rsidR="00ED116C" w:rsidRPr="00ED116C" w:rsidRDefault="00ED116C" w:rsidP="006324FB">
      <w:pPr>
        <w:pStyle w:val="Textbezslovn"/>
        <w:tabs>
          <w:tab w:val="left" w:pos="1701"/>
        </w:tabs>
        <w:ind w:left="1701" w:hanging="964"/>
        <w:rPr>
          <w:b/>
        </w:rPr>
      </w:pPr>
      <w:r w:rsidRPr="00ED116C">
        <w:rPr>
          <w:b/>
        </w:rPr>
        <w:t>DÍL 3</w:t>
      </w:r>
      <w:r w:rsidRPr="00ED116C">
        <w:rPr>
          <w:b/>
        </w:rPr>
        <w:tab/>
        <w:t>VÝCHOZÍ A SOUVISEJÍCÍ PODKLADY PŘEDÁVANÉ ZADAVATELEM</w:t>
      </w:r>
    </w:p>
    <w:p w14:paraId="08613E8E" w14:textId="3D35CDC2" w:rsidR="006324FB" w:rsidRDefault="006324FB" w:rsidP="006324FB">
      <w:pPr>
        <w:pStyle w:val="Textbezslovn"/>
        <w:tabs>
          <w:tab w:val="left" w:pos="1701"/>
        </w:tabs>
        <w:ind w:left="1701" w:hanging="964"/>
      </w:pPr>
      <w:r w:rsidRPr="00FA28E8">
        <w:t>Část 1</w:t>
      </w:r>
      <w:r w:rsidRPr="00FA28E8">
        <w:rPr>
          <w:color w:val="FF0000"/>
        </w:rPr>
        <w:tab/>
      </w:r>
      <w:bookmarkStart w:id="11" w:name="_Hlk202347877"/>
      <w:r w:rsidRPr="00DE66A4">
        <w:t>Dokumentace pro územní rozhodnutí „</w:t>
      </w:r>
      <w:r w:rsidRPr="00DE66A4">
        <w:rPr>
          <w:rFonts w:eastAsia="Times New Roman" w:cs="Arial"/>
          <w:lang w:eastAsia="cs-CZ"/>
        </w:rPr>
        <w:t xml:space="preserve">Modernizace trati Brno-Přerov, 3. stavba </w:t>
      </w:r>
      <w:proofErr w:type="gramStart"/>
      <w:r w:rsidRPr="00DE66A4">
        <w:rPr>
          <w:rFonts w:eastAsia="Times New Roman" w:cs="Arial"/>
          <w:lang w:eastAsia="cs-CZ"/>
        </w:rPr>
        <w:t>Vyškov - Nezamyslice</w:t>
      </w:r>
      <w:proofErr w:type="gramEnd"/>
      <w:r w:rsidRPr="00DE66A4">
        <w:rPr>
          <w:rFonts w:eastAsia="Times New Roman" w:cs="Arial"/>
          <w:lang w:eastAsia="cs-CZ"/>
        </w:rPr>
        <w:t>“</w:t>
      </w:r>
      <w:r w:rsidRPr="00DE66A4">
        <w:t xml:space="preserve"> - vybrané části</w:t>
      </w:r>
    </w:p>
    <w:bookmarkEnd w:id="11"/>
    <w:p w14:paraId="72490246" w14:textId="77777777" w:rsidR="006324FB" w:rsidRPr="00FA28E8" w:rsidRDefault="006324FB" w:rsidP="006324FB">
      <w:pPr>
        <w:pStyle w:val="Textbezslovn"/>
        <w:tabs>
          <w:tab w:val="left" w:pos="1701"/>
        </w:tabs>
        <w:spacing w:after="0"/>
        <w:ind w:left="1701" w:hanging="964"/>
      </w:pPr>
    </w:p>
    <w:p w14:paraId="49793BFC" w14:textId="1F701021" w:rsidR="005A3D2F" w:rsidRPr="001954B0" w:rsidRDefault="0035531B" w:rsidP="00A47DE5">
      <w:pPr>
        <w:pStyle w:val="Text1-1"/>
        <w:spacing w:after="0"/>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5BB28FF7" w14:textId="77777777" w:rsidR="005A3D2F" w:rsidRPr="0013496A" w:rsidRDefault="0035531B" w:rsidP="00353F0F">
      <w:pPr>
        <w:pStyle w:val="Text1-1"/>
        <w:spacing w:before="240"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A56FA3B" w14:textId="6B6B89D9" w:rsidR="00ED116C" w:rsidRDefault="00ED116C" w:rsidP="00353F0F">
      <w:pPr>
        <w:pStyle w:val="Text1-1"/>
        <w:spacing w:before="240"/>
      </w:pPr>
      <w:r w:rsidRPr="00ED116C">
        <w:lastRenderedPageBreak/>
        <w:t xml:space="preserve">Dodavatelé jsou zcela odpovědni za dostatečně pečlivé prostudování zadávací dokumentace této veřejné zakázky, jakýchkoliv vysvětlení zadávací dokumentace nebo jejích změn a doplnění </w:t>
      </w:r>
      <w:r w:rsidR="00D932D1">
        <w:t>uveřejněných</w:t>
      </w:r>
      <w:r w:rsidRPr="00ED116C">
        <w:t xml:space="preserve"> během lhůty pro podání nabídek</w:t>
      </w:r>
      <w:r w:rsidR="00D932D1">
        <w:t xml:space="preserve">. </w:t>
      </w:r>
    </w:p>
    <w:p w14:paraId="5D25A434" w14:textId="77777777" w:rsidR="00692884" w:rsidRDefault="00ED116C" w:rsidP="0035531B">
      <w:pPr>
        <w:pStyle w:val="Text1-1"/>
      </w:pPr>
      <w:r w:rsidRPr="00ED116C">
        <w:t xml:space="preserve">Zadavatel sděluje, že následující části zadávací dokumentace vypracovala osoba odlišná od zadavatele, a to: </w:t>
      </w:r>
    </w:p>
    <w:p w14:paraId="75C9ACB0" w14:textId="19382FDC" w:rsidR="00692884" w:rsidRDefault="00692884" w:rsidP="00692884">
      <w:pPr>
        <w:pStyle w:val="Text1-1"/>
        <w:numPr>
          <w:ilvl w:val="0"/>
          <w:numId w:val="0"/>
        </w:numPr>
        <w:ind w:left="737"/>
      </w:pPr>
      <w:r w:rsidRPr="00DE66A4">
        <w:t xml:space="preserve">Dokumentace pro územní rozhodnutí „Modernizace trati Brno-Přerov, 3. stavba </w:t>
      </w:r>
      <w:proofErr w:type="gramStart"/>
      <w:r w:rsidRPr="00DE66A4">
        <w:t>Vyškov - Nezamyslice</w:t>
      </w:r>
      <w:proofErr w:type="gramEnd"/>
      <w:r w:rsidRPr="00DE66A4">
        <w:t xml:space="preserve">“ - vybrané části; zhotovitel </w:t>
      </w:r>
      <w:r w:rsidRPr="00DE66A4">
        <w:rPr>
          <w:rFonts w:eastAsia="Times New Roman" w:cs="Times New Roman"/>
          <w:color w:val="000000"/>
          <w:lang w:eastAsia="cs-CZ"/>
        </w:rPr>
        <w:t>„Společnost SUBO-AFRY pro aktualizaci DÚR Brno-Přerov, 3. stavba“ (vedoucí společník, společník 1: SUDOP BRNO, spol. s r.o., Kounicova 688/26, Veveří, 602 00 Brno, IČO: 44960417 a společník 2: AFRY CZ s. r. o., Magistrů 1275/13, 140 00 Praha 4, IČO:45306605, 08/2022)</w:t>
      </w: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2" w:name="_Toc178766809"/>
      <w:r>
        <w:t>VYSVĚTLENÍ, ZMĚNY</w:t>
      </w:r>
      <w:r w:rsidR="00845C50">
        <w:t xml:space="preserve"> a </w:t>
      </w:r>
      <w:r>
        <w:t>DOPLNĚNÍ ZADÁVACÍ DOKUMENTACE</w:t>
      </w:r>
      <w:bookmarkEnd w:id="12"/>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3" w:name="_Toc178766810"/>
      <w:r>
        <w:t>POŽADAVKY ZADAVATELE NA KVALIFIKACI</w:t>
      </w:r>
      <w:bookmarkEnd w:id="13"/>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 xml:space="preserve">osoba zastupující tuto právnickou osobu ve statutárním orgánu dodavatele. Účastní-li se zadávacího řízení </w:t>
      </w:r>
      <w:r>
        <w:lastRenderedPageBreak/>
        <w:t>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18F1A779" w:rsidR="0035531B" w:rsidRDefault="0035531B" w:rsidP="00CC4380">
      <w:pPr>
        <w:pStyle w:val="Odrka1-2-"/>
      </w:pPr>
      <w:r>
        <w:t>výpisu</w:t>
      </w:r>
      <w:r w:rsidR="0060115D">
        <w:t xml:space="preserve"> z </w:t>
      </w:r>
      <w:r w:rsidR="0040507E">
        <w:t>rejstříku</w:t>
      </w:r>
      <w:r>
        <w:t xml:space="preserve">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090060B" w14:textId="77777777" w:rsidR="0039692B" w:rsidRPr="00114DEE" w:rsidRDefault="0035531B" w:rsidP="0039692B">
      <w:pPr>
        <w:pStyle w:val="Textbezslovn"/>
        <w:ind w:left="1077"/>
      </w:pPr>
      <w:r>
        <w:lastRenderedPageBreak/>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následující činnosti: </w:t>
      </w:r>
    </w:p>
    <w:p w14:paraId="0044A0A7" w14:textId="77777777" w:rsidR="0039692B" w:rsidRPr="00DE66A4" w:rsidRDefault="0039692B" w:rsidP="0039692B">
      <w:pPr>
        <w:spacing w:after="120"/>
        <w:ind w:left="1077"/>
        <w:jc w:val="both"/>
        <w:rPr>
          <w:rFonts w:eastAsia="Times New Roman" w:cs="Arial"/>
          <w:lang w:eastAsia="cs-CZ"/>
        </w:rPr>
      </w:pPr>
      <w:r w:rsidRPr="00DE66A4">
        <w:t xml:space="preserve">- </w:t>
      </w:r>
      <w:r w:rsidRPr="00DE66A4">
        <w:rPr>
          <w:rFonts w:eastAsia="Times New Roman" w:cs="Arial"/>
          <w:lang w:eastAsia="cs-CZ"/>
        </w:rPr>
        <w:t>výkon zeměměřických činností;</w:t>
      </w:r>
    </w:p>
    <w:p w14:paraId="63D3D32C" w14:textId="5C03B2ED" w:rsidR="0039692B" w:rsidRPr="00DE66A4" w:rsidRDefault="0039692B" w:rsidP="0039692B">
      <w:pPr>
        <w:pStyle w:val="Odstavecseseznamem"/>
        <w:spacing w:after="60" w:line="240" w:lineRule="auto"/>
        <w:ind w:left="1077"/>
        <w:contextualSpacing w:val="0"/>
        <w:jc w:val="both"/>
        <w:rPr>
          <w:rFonts w:eastAsia="Times New Roman" w:cs="Arial"/>
          <w:lang w:eastAsia="cs-CZ"/>
        </w:rPr>
      </w:pPr>
      <w:r w:rsidRPr="00DE66A4">
        <w:rPr>
          <w:rFonts w:eastAsia="Times New Roman" w:cs="Arial"/>
          <w:lang w:eastAsia="cs-CZ"/>
        </w:rPr>
        <w:t xml:space="preserve">- </w:t>
      </w:r>
      <w:r w:rsidR="00482AA0" w:rsidRPr="00DE66A4">
        <w:rPr>
          <w:rFonts w:eastAsia="Times New Roman" w:cs="Arial"/>
          <w:lang w:eastAsia="cs-CZ"/>
        </w:rPr>
        <w:t>o</w:t>
      </w:r>
      <w:r w:rsidRPr="00DE66A4">
        <w:rPr>
          <w:rFonts w:eastAsia="Times New Roman" w:cs="Arial"/>
          <w:lang w:eastAsia="cs-CZ"/>
        </w:rPr>
        <w:t xml:space="preserve">ceňování majetku pro věci nemovité; </w:t>
      </w:r>
    </w:p>
    <w:p w14:paraId="50593B24" w14:textId="77777777" w:rsidR="0039692B" w:rsidRPr="00DE66A4" w:rsidRDefault="0039692B" w:rsidP="0039692B">
      <w:pPr>
        <w:spacing w:after="120"/>
        <w:ind w:left="1077"/>
        <w:jc w:val="both"/>
      </w:pPr>
      <w:r w:rsidRPr="00DE66A4">
        <w:rPr>
          <w:rFonts w:eastAsia="Times New Roman" w:cs="Arial"/>
          <w:lang w:eastAsia="cs-CZ"/>
        </w:rPr>
        <w:t>- poradenská a konzultační činnost, zpracování odborných studií a posudků (zadavatel uzná za doklad o oprávnění k podnikání pro tuto činnost rovněž výpis z živnostenského rejstříku nebo živnostenský list či listy dokládající oprávnění dodavatele k podnikání v předmětu (či předmětech), který bude zadavatelem požadovanému předmětu obsahově odpovídat, např. Realitní zprostředkování, Projektová činnost ve výstavbě apod.);</w:t>
      </w:r>
    </w:p>
    <w:p w14:paraId="0A3EBB7C" w14:textId="77777777" w:rsidR="0039692B" w:rsidRPr="00DE66A4" w:rsidRDefault="0039692B" w:rsidP="0039692B">
      <w:pPr>
        <w:pStyle w:val="Odrka1-1"/>
      </w:pPr>
      <w:r w:rsidRPr="00DE66A4">
        <w:t>Odborná způsobilost:</w:t>
      </w:r>
    </w:p>
    <w:p w14:paraId="23AB2AA3" w14:textId="73F4F06C" w:rsidR="0039692B" w:rsidRPr="00DE66A4" w:rsidRDefault="00482AA0" w:rsidP="0039692B">
      <w:pPr>
        <w:pStyle w:val="Odrka1-2-"/>
      </w:pPr>
      <w:r w:rsidRPr="00DE66A4">
        <w:t>z</w:t>
      </w:r>
      <w:r w:rsidR="0039692B" w:rsidRPr="00DE66A4">
        <w:t>adavatel požaduje předložení autorizace pro ověřování výsledků zeměměřických činností v rozsahu dle § 16f odst. 1 písm. a) zákona č. 200/1994 Sb., o zeměměřictví a o změně a doplnění některých zákonů souvisejících s jeho zavedením, ve znění pozdějších předpisů.</w:t>
      </w:r>
    </w:p>
    <w:p w14:paraId="4C567D1E" w14:textId="6C872DD9" w:rsidR="00BD5A0E" w:rsidRPr="00DE66A4" w:rsidRDefault="0039692B" w:rsidP="00AB6D34">
      <w:pPr>
        <w:pStyle w:val="Odrka1-2-"/>
      </w:pPr>
      <w:r w:rsidRPr="00DE66A4">
        <w:t xml:space="preserve">oprávnění k výkonu znalecké činnosti v oboru Ekonomika, odvětví Ceny a odhady, specializace nemovitosti v rozsahu dle § 11 zákona č. 254/2019 Sb., o znalcích, znaleckých kancelářích a znaleckých ústavech, ve znění pozdějších předpisů. Prokazuje se aktuálním výpisem ze seznamu znalců/znaleckých kanceláří/znaleckých ústavů (postačující je internetový výpis pořízený na </w:t>
      </w:r>
      <w:hyperlink r:id="rId20" w:history="1">
        <w:r w:rsidRPr="00DE66A4">
          <w:rPr>
            <w:rStyle w:val="Hypertextovodkaz"/>
            <w:noProof w:val="0"/>
          </w:rPr>
          <w:t>www.justice.cz</w:t>
        </w:r>
      </w:hyperlink>
      <w:r w:rsidRPr="00DE66A4">
        <w:t xml:space="preserve">). </w:t>
      </w:r>
    </w:p>
    <w:p w14:paraId="2D0AB946" w14:textId="77777777"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18F6CBE8" w:rsidR="00392730" w:rsidRPr="00DE66A4" w:rsidRDefault="00392730" w:rsidP="00392730">
      <w:pPr>
        <w:pStyle w:val="Textbezslovn"/>
      </w:pPr>
      <w:r>
        <w:t xml:space="preserve">Zadavatel požaduje předložení seznamu ukončených významných služeb obdobného charakteru poskytnutých </w:t>
      </w:r>
      <w:r w:rsidRPr="00DE66A4">
        <w:t xml:space="preserve">dodavatelem v posledních 8 letech před zahájením zadávacího řízení. </w:t>
      </w:r>
    </w:p>
    <w:p w14:paraId="3FFA0189" w14:textId="77777777" w:rsidR="00AB6D34" w:rsidRPr="00DE66A4" w:rsidRDefault="00AB6D34" w:rsidP="00AB6D34">
      <w:pPr>
        <w:pStyle w:val="Textbezslovn"/>
        <w:rPr>
          <w:rFonts w:eastAsia="Times New Roman" w:cs="Calibri"/>
          <w:lang w:eastAsia="cs-CZ"/>
        </w:rPr>
      </w:pPr>
      <w:r w:rsidRPr="00DE66A4">
        <w:rPr>
          <w:rFonts w:eastAsia="Times New Roman" w:cs="Calibri"/>
          <w:lang w:eastAsia="cs-CZ"/>
        </w:rPr>
        <w:t>Za služby obdobného charakteru se považují služby, jejichž součástí byl výkon inženýrské a/nebo geodetické činnosti či jiné obdobné činnosti na liniových stavbách drah, pozemních komunikacích, vodohospodářských či stavbách sítí technického vybavení. Za služby obdobného charakteru naopak zadavatel nepovažuje stavby průmyslové, stavby obchodních center či rezidenčních a administrativních objektů apod.</w:t>
      </w:r>
    </w:p>
    <w:p w14:paraId="3E51B240" w14:textId="1FE459FE" w:rsidR="00392730" w:rsidRPr="00DE66A4" w:rsidRDefault="00392730" w:rsidP="00392730">
      <w:pPr>
        <w:pStyle w:val="Textbezslovn"/>
      </w:pPr>
      <w:r w:rsidRPr="00DE66A4">
        <w:t>Za významné služby obdobného charakteru se pokládají pouze takové služby obdobného charakteru, jejichž předmětem byly následující činnosti uvedené níže v tomto článku pod písm. a), b), c) (dále jen „</w:t>
      </w:r>
      <w:r w:rsidRPr="00DE66A4">
        <w:rPr>
          <w:b/>
        </w:rPr>
        <w:t>významné služby</w:t>
      </w:r>
      <w:r w:rsidRPr="00DE66A4">
        <w:t xml:space="preserve">“). Dodavatel musí informacemi uvedenými v předloženém seznamu významných služeb prokázat, že v uvedeném období poskytl </w:t>
      </w:r>
      <w:r w:rsidR="006858E3" w:rsidRPr="00DE66A4">
        <w:t xml:space="preserve">alespoň 2 </w:t>
      </w:r>
      <w:r w:rsidRPr="00DE66A4">
        <w:t>významné služby</w:t>
      </w:r>
      <w:r w:rsidR="006858E3" w:rsidRPr="00DE66A4">
        <w:t xml:space="preserve"> obdobného charakteru</w:t>
      </w:r>
      <w:r w:rsidRPr="00DE66A4">
        <w:t xml:space="preserve">, jejichž předmětem byly následující činnosti: </w:t>
      </w:r>
    </w:p>
    <w:p w14:paraId="42CBA9EA" w14:textId="77777777" w:rsidR="00AB6D34" w:rsidRPr="00DE66A4" w:rsidRDefault="00AB6D34" w:rsidP="00AB6D34">
      <w:pPr>
        <w:numPr>
          <w:ilvl w:val="0"/>
          <w:numId w:val="23"/>
        </w:numPr>
        <w:spacing w:before="120" w:after="0" w:line="240" w:lineRule="auto"/>
        <w:jc w:val="both"/>
        <w:rPr>
          <w:rFonts w:eastAsia="Times New Roman" w:cs="Calibri"/>
          <w:lang w:eastAsia="cs-CZ"/>
        </w:rPr>
      </w:pPr>
      <w:r w:rsidRPr="00DE66A4">
        <w:rPr>
          <w:rFonts w:eastAsia="Times New Roman" w:cs="Calibri"/>
          <w:lang w:eastAsia="cs-CZ"/>
        </w:rPr>
        <w:t>zpracování geometrických plánů na rozdělení pozemků a/nebo na vymezení rozsahu věcného břemene k části pozemku pro liniové stavby, a to v rozsahu nejméně 100 měrných jednotek (měrná jednotka je 100 m vlastnické hranice nebo hranice věcného břemene) pozemků označených parcelním číslem v novém stavu příslušných geometrických plánů,</w:t>
      </w:r>
    </w:p>
    <w:p w14:paraId="1A424941" w14:textId="45673CEE" w:rsidR="00AB6D34" w:rsidRPr="00DE66A4" w:rsidRDefault="00AB6D34" w:rsidP="00AB6D34">
      <w:pPr>
        <w:numPr>
          <w:ilvl w:val="0"/>
          <w:numId w:val="23"/>
        </w:numPr>
        <w:spacing w:before="120" w:after="0" w:line="240" w:lineRule="auto"/>
        <w:jc w:val="both"/>
        <w:rPr>
          <w:rFonts w:eastAsia="Times New Roman" w:cs="Calibri"/>
          <w:lang w:eastAsia="cs-CZ"/>
        </w:rPr>
      </w:pPr>
      <w:r w:rsidRPr="00DE66A4">
        <w:rPr>
          <w:rFonts w:eastAsia="Times New Roman" w:cs="Calibri"/>
          <w:lang w:eastAsia="cs-CZ"/>
        </w:rPr>
        <w:lastRenderedPageBreak/>
        <w:t xml:space="preserve">zajištění majetkoprávního vypořádání v rozsahu nejméně </w:t>
      </w:r>
      <w:r w:rsidR="00140808" w:rsidRPr="00DE66A4">
        <w:rPr>
          <w:rFonts w:eastAsia="Times New Roman" w:cs="Calibri"/>
          <w:lang w:eastAsia="cs-CZ"/>
        </w:rPr>
        <w:t>150</w:t>
      </w:r>
      <w:r w:rsidRPr="00DE66A4">
        <w:rPr>
          <w:rFonts w:eastAsia="Times New Roman" w:cs="Calibri"/>
          <w:lang w:eastAsia="cs-CZ"/>
        </w:rPr>
        <w:t xml:space="preserve"> uzavřených smluv, jejichž předmětem byl převod vlastnického práva nebo práva hospodařit k pozemkům a stavbám nebo zřízení věcného břemene-služebnosti včetně vkladu práv dle těchto smluv do katastru nemovitostí.</w:t>
      </w:r>
    </w:p>
    <w:p w14:paraId="7C0114E2" w14:textId="04769F05" w:rsidR="00AB6D34" w:rsidRPr="00DE66A4" w:rsidRDefault="00AB6D34" w:rsidP="00AB6D34">
      <w:pPr>
        <w:numPr>
          <w:ilvl w:val="0"/>
          <w:numId w:val="23"/>
        </w:numPr>
        <w:spacing w:before="120" w:after="0" w:line="240" w:lineRule="auto"/>
        <w:jc w:val="both"/>
        <w:rPr>
          <w:rFonts w:eastAsia="Times New Roman" w:cs="Calibri"/>
          <w:lang w:eastAsia="cs-CZ"/>
        </w:rPr>
      </w:pPr>
      <w:r w:rsidRPr="00DE66A4">
        <w:rPr>
          <w:rFonts w:eastAsia="Times New Roman" w:cs="Calibri"/>
          <w:lang w:eastAsia="cs-CZ"/>
        </w:rPr>
        <w:t>Zpracování znaleckých posudků pro liniovou stavbu dle zákona 416/2009 sb., a to v rozsahu nejméně 1</w:t>
      </w:r>
      <w:r w:rsidR="00140808" w:rsidRPr="00DE66A4">
        <w:rPr>
          <w:rFonts w:eastAsia="Times New Roman" w:cs="Calibri"/>
          <w:lang w:eastAsia="cs-CZ"/>
        </w:rPr>
        <w:t>5</w:t>
      </w:r>
      <w:r w:rsidRPr="00DE66A4">
        <w:rPr>
          <w:rFonts w:eastAsia="Times New Roman" w:cs="Calibri"/>
          <w:lang w:eastAsia="cs-CZ"/>
        </w:rPr>
        <w:t>0 oceněných LV</w:t>
      </w:r>
    </w:p>
    <w:p w14:paraId="5B8782FD" w14:textId="77777777" w:rsidR="00AB6D34" w:rsidRPr="00DE66A4" w:rsidRDefault="00AB6D34" w:rsidP="00392730">
      <w:pPr>
        <w:pStyle w:val="Textbezslovn"/>
      </w:pPr>
    </w:p>
    <w:p w14:paraId="252247DF" w14:textId="380A0BFC" w:rsidR="00392730" w:rsidRPr="00DE66A4" w:rsidRDefault="00392730" w:rsidP="00392730">
      <w:pPr>
        <w:pStyle w:val="Textbezslovn"/>
      </w:pPr>
      <w:r w:rsidRPr="00DE66A4">
        <w:rPr>
          <w:b/>
        </w:rPr>
        <w:t>Každá z činností uvedených pod písm. a), b), c)</w:t>
      </w:r>
      <w:r w:rsidR="00AB6D34" w:rsidRPr="00DE66A4">
        <w:rPr>
          <w:b/>
        </w:rPr>
        <w:t xml:space="preserve"> </w:t>
      </w:r>
      <w:r w:rsidRPr="00DE66A4">
        <w:rPr>
          <w:b/>
        </w:rPr>
        <w:t>výše</w:t>
      </w:r>
      <w:r w:rsidRPr="00DE66A4">
        <w:t xml:space="preserve"> </w:t>
      </w:r>
      <w:r w:rsidRPr="00DE66A4">
        <w:rPr>
          <w:b/>
        </w:rPr>
        <w:t>musí být doložena alespoň ve dvou referenčních zakázkách (významných službách).</w:t>
      </w:r>
    </w:p>
    <w:p w14:paraId="435B6A10" w14:textId="5245F6CC" w:rsidR="00392730" w:rsidRDefault="00392730" w:rsidP="00392730">
      <w:pPr>
        <w:pStyle w:val="Textbezslovn"/>
      </w:pPr>
      <w:r w:rsidRPr="00DE66A4">
        <w:t>Parametry, resp. požadavky na obsahovou náplň činností, uvedené výše pod písm. a),</w:t>
      </w:r>
      <w:r w:rsidRPr="00AB6D34">
        <w:t xml:space="preserve"> b), c)</w:t>
      </w:r>
      <w:r w:rsidR="00AB6D34" w:rsidRPr="00AB6D34">
        <w:t xml:space="preserve"> </w:t>
      </w:r>
      <w:r w:rsidRPr="00AB6D34">
        <w:t>lze splnit všechny současně v rámci jedné referenční zakázky (významné služby), ale připouští se i splnění požadavků dle písm. a), b), c</w:t>
      </w:r>
      <w:r w:rsidR="00AB6D34" w:rsidRPr="00AB6D34">
        <w:t>)</w:t>
      </w:r>
      <w:r w:rsidRPr="00AB6D34">
        <w:t xml:space="preserve"> odděleně v několika referenčních zakázkách. Každá z těchto referenčních zakázek však musí vždy samostatně dosahovat alespoň minimální úrovně všech požadavků dle písm. a) nebo b) nebo c) výše, takže požadavky na obsahovou náplň činností uvedených výše pod jednotlivými písm. a) nebo b) nebo c) nelze za</w:t>
      </w:r>
      <w:r>
        <w:t xml:space="preserve"> účelem prokázání technické kvalifikace sčítat z více referenčních zakázek (významných služeb). </w:t>
      </w:r>
    </w:p>
    <w:p w14:paraId="06A0ACBD" w14:textId="3B6427EE" w:rsidR="00AB6D34" w:rsidRDefault="00392730" w:rsidP="009968AD">
      <w:pPr>
        <w:pStyle w:val="Textbezslovn"/>
      </w:pPr>
      <w:r w:rsidRPr="00DE66A4">
        <w:t xml:space="preserve">Celkový součet </w:t>
      </w:r>
      <w:r w:rsidR="00656A03" w:rsidRPr="00DE66A4">
        <w:t xml:space="preserve">hodnot </w:t>
      </w:r>
      <w:r w:rsidRPr="00DE66A4">
        <w:t xml:space="preserve">významných služeb za posledních 8 let před zahájením zadávacího řízení, které dodavatel poskytl, musí dosahovat v souhrnu, včetně případných poddodávek, minimálně </w:t>
      </w:r>
      <w:r w:rsidR="00AB6D34" w:rsidRPr="00DE66A4">
        <w:rPr>
          <w:b/>
          <w:bCs/>
        </w:rPr>
        <w:t xml:space="preserve">10 000 000 </w:t>
      </w:r>
      <w:r w:rsidRPr="00DE66A4">
        <w:rPr>
          <w:b/>
        </w:rPr>
        <w:t>Kč</w:t>
      </w:r>
      <w:r w:rsidRPr="00DE66A4">
        <w:t xml:space="preserve"> bez DPH, přičemž alespoň jedna významná služba musí dosahovat </w:t>
      </w:r>
      <w:r w:rsidR="00656A03" w:rsidRPr="00DE66A4">
        <w:t xml:space="preserve">hodnoty </w:t>
      </w:r>
      <w:r w:rsidRPr="00DE66A4">
        <w:t>nejméně</w:t>
      </w:r>
      <w:r w:rsidRPr="00DE66A4">
        <w:rPr>
          <w:b/>
          <w:bCs/>
        </w:rPr>
        <w:t xml:space="preserve"> </w:t>
      </w:r>
      <w:r w:rsidR="00AB6D34" w:rsidRPr="00DE66A4">
        <w:rPr>
          <w:b/>
          <w:bCs/>
        </w:rPr>
        <w:t>3 500 000</w:t>
      </w:r>
      <w:r w:rsidRPr="00DE66A4">
        <w:t xml:space="preserve"> </w:t>
      </w:r>
      <w:r w:rsidRPr="00DE66A4">
        <w:rPr>
          <w:b/>
        </w:rPr>
        <w:t>Kč</w:t>
      </w:r>
      <w:r w:rsidRPr="00DE66A4">
        <w:t xml:space="preserve"> bez DPH. </w:t>
      </w:r>
      <w:r w:rsidR="00656A03" w:rsidRPr="00DE66A4">
        <w:t>Hodnotou</w:t>
      </w:r>
      <w:r w:rsidR="00656A03">
        <w:t xml:space="preserve"> významných služeb se </w:t>
      </w:r>
      <w:r w:rsidR="00656A03" w:rsidRPr="00E74F21">
        <w:rPr>
          <w:rFonts w:cs="Arial"/>
          <w:iCs/>
        </w:rPr>
        <w:t>pro účely posouzení splnění kritérií technické kvalifikace</w:t>
      </w:r>
      <w:r w:rsidR="00656A03">
        <w:t xml:space="preserve"> rozumí cena, za kterou dodavatel provedl předmětné služby; tato cena nebude upravována o míru inflace tak, aby odpovídala současným hodnotám služeb. </w:t>
      </w:r>
    </w:p>
    <w:p w14:paraId="68DF318A" w14:textId="427C2264"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673C3F5" w14:textId="77777777" w:rsidR="00AB6D34" w:rsidRDefault="00AB6D34" w:rsidP="00AB6D34">
      <w:pPr>
        <w:pStyle w:val="Textbezslovn"/>
      </w:pPr>
      <w:r w:rsidRPr="00DE66A4">
        <w:t xml:space="preserve">Doba 8 let před zahájením zadávacího řízení se považuje za splněnou, pokud byly činnosti odpovídající zadavatelem stanovené definici významné služby dokončeny v průběhu této doby nebo kdykoli po zahájení zadávacího řízení včetně doby po uplynutí lhůty pro podání nabídek, a to nejpozději až do doby zadavatelem případně stanovené k předložení údajů a dokladů dle § 46 ZZVZ. Pro prokázání kvalifikace postačuje, aby byly požadované minimální hodnoty významných služeb dosaženy za celou dobu poskytování významných služeb, nikoliv pouze v průběhu posledních 8 let před zahájením zadávacího řízení. V případě, že byla referovaná významná služba, resp. činnost, součástí rozsáhlejšího plnění pro objednatele významné služby (např. kromě zpracování </w:t>
      </w:r>
      <w:r w:rsidRPr="00DE66A4">
        <w:rPr>
          <w:rFonts w:cs="Calibri"/>
        </w:rPr>
        <w:t xml:space="preserve">geometrických plánů či zajištění majetkoprávního vypořádání měl dodavatel vykonávat i další činnosti jako např. zpracování dokumentace pro stavební povolení </w:t>
      </w:r>
      <w:r w:rsidRPr="00DE66A4">
        <w:t xml:space="preserve">apod.) postačí, pokud je v uvedené době dokončeno plnění, které odpovídá zadavatelem stanovené definici významné služby (tj. </w:t>
      </w:r>
      <w:r w:rsidRPr="00DE66A4">
        <w:rPr>
          <w:rFonts w:cs="Calibri"/>
        </w:rPr>
        <w:t>zpracování geometrických plánů či zajištění majetkoprávního vypořádání</w:t>
      </w:r>
      <w:r w:rsidRPr="00DE66A4">
        <w:t xml:space="preserve">) s tím, že zakázka jako celek (tj. ohledně dalších činností, např. zpracování dokumentace pro stavební povolení) dokončena není; zároveň však platí, že nestačí (tj. nepovažuje se za plnění dokončené v požadované době), pokud je v posledních 8 letech dokončena zakázka rozsáhlejšího plnění jako celek (např. dokončena dokumentace pro stavební povolení), avšak plnění odpovídající definici významné služby (tj. např. zpracování </w:t>
      </w:r>
      <w:r w:rsidRPr="00DE66A4">
        <w:rPr>
          <w:rFonts w:cs="Calibri"/>
        </w:rPr>
        <w:t>geometrických plánů či zajištění majetkoprávního vypořádání</w:t>
      </w:r>
      <w:r w:rsidRPr="00DE66A4">
        <w:t xml:space="preserve">) bylo </w:t>
      </w:r>
      <w:r w:rsidRPr="00DE66A4">
        <w:lastRenderedPageBreak/>
        <w:t>dokončeno dříve než před 8 lety. Je-li referenční zakázka součástí rozsáhlejšího plnění pro téhož dodavatele, je pro prokázání splnění kvalifikace relevantní pouze ta jeho část, která odpovídá zadavatelem stanovené definici významné služby. Zadavatel upozorňuje, že z předloženého seznamu musí pro potřeby posouzení kvalifikace konkrétně vyplývat, jaká byla cena té části plnění, která obsahově odpovídá zadavatelem stanovené definici významné služby, a v jakém časovém období byly tyto konkrétní části plnění odpovídající zadavatelem stanovené definici významné služby dokončeny.</w:t>
      </w:r>
      <w:r>
        <w:t xml:space="preserve"> </w:t>
      </w:r>
    </w:p>
    <w:p w14:paraId="2DC9EF08" w14:textId="5EF49271" w:rsidR="00392730" w:rsidRDefault="00392730" w:rsidP="00392730">
      <w:pPr>
        <w:pStyle w:val="Textbezslovn"/>
      </w:pPr>
      <w:r>
        <w:t>Dodavatel může použít k prokázání splnění kritéria kvalifikace týkajícího se požadavku na předložení seznamu referenčních zakázek i takové významné služby, které poskytl</w:t>
      </w:r>
    </w:p>
    <w:p w14:paraId="36E3C8E5" w14:textId="77777777" w:rsidR="00392730" w:rsidRDefault="00392730" w:rsidP="00C97246">
      <w:pPr>
        <w:pStyle w:val="Odstavec1-1a"/>
        <w:numPr>
          <w:ilvl w:val="0"/>
          <w:numId w:val="17"/>
        </w:numPr>
        <w:spacing w:after="0"/>
      </w:pPr>
      <w:r>
        <w:t>společně s jinými dodavateli, a to v rozsahu, v jakém se na plnění zakázky podílel, nebo</w:t>
      </w:r>
    </w:p>
    <w:p w14:paraId="5B9EBB80" w14:textId="2E997A44" w:rsidR="00392730" w:rsidRDefault="00392730" w:rsidP="00C97246">
      <w:pPr>
        <w:pStyle w:val="Odstavec1-1a"/>
        <w:numPr>
          <w:ilvl w:val="0"/>
          <w:numId w:val="17"/>
        </w:numPr>
        <w:spacing w:after="0"/>
      </w:pPr>
      <w:r>
        <w:t>jako poddodavatel, a to v rozsahu, v jakém se na plnění zakázky podílel.</w:t>
      </w:r>
    </w:p>
    <w:p w14:paraId="738C142F" w14:textId="77777777" w:rsidR="00392730" w:rsidRDefault="00392730" w:rsidP="000C3DEC">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57A1863C" w14:textId="093296A7" w:rsidR="009E1AEE" w:rsidRDefault="009E1AEE" w:rsidP="009E1AEE">
      <w:pPr>
        <w:pStyle w:val="Textbezslovn"/>
      </w:pPr>
      <w:r>
        <w:t xml:space="preserve">Zadavatel požaduje předložení seznamu odborného personálu dodavatele. Pro každou osobu odborného personálu v níže uvedené </w:t>
      </w:r>
      <w:r w:rsidRPr="00241FA0">
        <w:t>funkci, může být za účelem splnění kvalifikace doložena pouze jedna osoba. Jednotlivé požadavky na kvalifikační kritéria u každé jednotlivé funkce, nelze jakkoliv rozdělit mezi více</w:t>
      </w:r>
      <w:r>
        <w:t xml:space="preserve"> fyzických osob, takže u téže funkce člena odborného personálu nemůže být prokázáno splnění např. požadované</w:t>
      </w:r>
      <w:r w:rsidR="00D148BC">
        <w:t xml:space="preserve"> praxe</w:t>
      </w:r>
      <w:r>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DE66A4" w:rsidRDefault="009E1AEE" w:rsidP="009E1AEE">
      <w:pPr>
        <w:pStyle w:val="Textbezslovn"/>
      </w:pPr>
      <w:r>
        <w:t xml:space="preserve">Dodavatel v nabídce předloží profesní životopisy každého člena odborného personálu a doklady k prokázání odborné způsobilosti. Pro plnění této veřejné zakázky musí mít dodavatel k dispozici odborný personál, který splňuje následující podmínky (což musí vyplývat </w:t>
      </w:r>
      <w:proofErr w:type="gramStart"/>
      <w:r>
        <w:t>z</w:t>
      </w:r>
      <w:proofErr w:type="gramEnd"/>
      <w:r>
        <w:t xml:space="preserve"> dodavatelem </w:t>
      </w:r>
      <w:r w:rsidRPr="00DE66A4">
        <w:t>předkládaných dokumentů):</w:t>
      </w:r>
    </w:p>
    <w:p w14:paraId="7EDAC0F2" w14:textId="77777777" w:rsidR="003C5FFB" w:rsidRPr="00DE66A4" w:rsidRDefault="003C5FFB" w:rsidP="003C5FFB">
      <w:pPr>
        <w:pStyle w:val="Odstavec1-1a"/>
        <w:numPr>
          <w:ilvl w:val="0"/>
          <w:numId w:val="11"/>
        </w:numPr>
        <w:rPr>
          <w:b/>
        </w:rPr>
      </w:pPr>
      <w:r w:rsidRPr="00DE66A4">
        <w:rPr>
          <w:b/>
        </w:rPr>
        <w:t>vedoucí týmu</w:t>
      </w:r>
    </w:p>
    <w:p w14:paraId="29290D7C" w14:textId="77777777" w:rsidR="003C5FFB" w:rsidRPr="00DE66A4" w:rsidRDefault="003C5FFB" w:rsidP="003C5FFB">
      <w:pPr>
        <w:pStyle w:val="Odrka1-2-"/>
      </w:pPr>
      <w:r w:rsidRPr="00DE66A4">
        <w:t xml:space="preserve">nejméně </w:t>
      </w:r>
      <w:r w:rsidRPr="00DE66A4">
        <w:rPr>
          <w:rFonts w:eastAsia="Times New Roman" w:cs="Calibri"/>
          <w:lang w:eastAsia="cs-CZ"/>
        </w:rPr>
        <w:t>5 let praxe s vedením týmu, který prováděl majetkoprávní přípravu a/nebo vypořádání, nebo 7 let praxe s osobním vykonáváním majetkoprávní přípravy a/nebo vypořádání, a to v posledních 15 letech přede dnem zahájení zadávacího řízení</w:t>
      </w:r>
      <w:r w:rsidRPr="00DE66A4">
        <w:t>;</w:t>
      </w:r>
    </w:p>
    <w:p w14:paraId="26F71468" w14:textId="3D39C28B" w:rsidR="003C5FFB" w:rsidRPr="00DE66A4" w:rsidRDefault="003C5FFB" w:rsidP="003C5FFB">
      <w:pPr>
        <w:pStyle w:val="Odrka1-2-"/>
      </w:pPr>
      <w:r w:rsidRPr="00DE66A4">
        <w:t xml:space="preserve">zkušenosti </w:t>
      </w:r>
      <w:r w:rsidRPr="00DE66A4">
        <w:rPr>
          <w:rFonts w:eastAsia="Times New Roman" w:cs="Calibri"/>
          <w:lang w:eastAsia="cs-CZ"/>
        </w:rPr>
        <w:t xml:space="preserve">s plněním alespoň jedné zakázky, jejíž součástí byl výkon majetkoprávní přípravy a/nebo vypořádání na liniových stavbách, jak jsou </w:t>
      </w:r>
      <w:r w:rsidRPr="00DE66A4">
        <w:rPr>
          <w:rFonts w:eastAsia="Times New Roman" w:cs="Calibri"/>
          <w:lang w:eastAsia="cs-CZ"/>
        </w:rPr>
        <w:lastRenderedPageBreak/>
        <w:t xml:space="preserve">definovány </w:t>
      </w:r>
      <w:r w:rsidR="00E041FE" w:rsidRPr="00DE66A4">
        <w:t>v článku 8.4. těchto Pokynů</w:t>
      </w:r>
      <w:r w:rsidR="00E041FE" w:rsidRPr="00DE66A4">
        <w:rPr>
          <w:rFonts w:eastAsia="Times New Roman" w:cs="Calibri"/>
          <w:lang w:eastAsia="cs-CZ"/>
        </w:rPr>
        <w:t xml:space="preserve"> </w:t>
      </w:r>
      <w:r w:rsidR="00BA702A" w:rsidRPr="00DE66A4">
        <w:rPr>
          <w:rFonts w:eastAsia="Times New Roman" w:cs="Calibri"/>
          <w:lang w:eastAsia="cs-CZ"/>
        </w:rPr>
        <w:t xml:space="preserve"> </w:t>
      </w:r>
      <w:r w:rsidR="00391C20" w:rsidRPr="00DE66A4">
        <w:rPr>
          <w:rFonts w:eastAsia="Times New Roman" w:cs="Calibri"/>
          <w:lang w:eastAsia="cs-CZ"/>
        </w:rPr>
        <w:t xml:space="preserve">s názvem </w:t>
      </w:r>
      <w:r w:rsidR="00BA702A" w:rsidRPr="00DE66A4">
        <w:rPr>
          <w:rFonts w:eastAsia="Times New Roman" w:cs="Calibri"/>
          <w:lang w:eastAsia="cs-CZ"/>
        </w:rPr>
        <w:t>seznam významných služeb</w:t>
      </w:r>
      <w:r w:rsidRPr="00DE66A4">
        <w:rPr>
          <w:rFonts w:eastAsia="Times New Roman" w:cs="Calibri"/>
          <w:lang w:eastAsia="cs-CZ"/>
        </w:rPr>
        <w:t xml:space="preserve">, spočívající v uzavření minimálně 30 smluv, jejichž předmětem byl převod vlastnického práva nebo práva hospodařit k pozemkům a stavbám nebo zřízení věcného břemene-služebnosti včetně vkladu práv dle těchto smluv do katastru nemovitostí, přičemž se musí jednat o zakázku dokončenou v posledních </w:t>
      </w:r>
      <w:r w:rsidR="0026521E" w:rsidRPr="00DE66A4">
        <w:rPr>
          <w:rFonts w:eastAsia="Times New Roman" w:cs="Calibri"/>
          <w:lang w:eastAsia="cs-CZ"/>
        </w:rPr>
        <w:t>8</w:t>
      </w:r>
      <w:r w:rsidRPr="00DE66A4">
        <w:rPr>
          <w:rFonts w:eastAsia="Times New Roman" w:cs="Calibri"/>
          <w:lang w:eastAsia="cs-CZ"/>
        </w:rPr>
        <w:t xml:space="preserve"> letech před zahájením zadávacího řízení (za dokončenou zakázku se považuje i odevzdaná příslušná část dokumentace s kompletní majetkoprávní částí) </w:t>
      </w:r>
      <w:r w:rsidRPr="00DE66A4">
        <w:t xml:space="preserve"> </w:t>
      </w:r>
    </w:p>
    <w:p w14:paraId="6FD6A2C2" w14:textId="77777777" w:rsidR="003C5FFB" w:rsidRPr="00DE66A4" w:rsidRDefault="003C5FFB" w:rsidP="003C5FFB">
      <w:pPr>
        <w:pStyle w:val="Odstavec1-1a"/>
        <w:numPr>
          <w:ilvl w:val="0"/>
          <w:numId w:val="11"/>
        </w:numPr>
        <w:rPr>
          <w:b/>
        </w:rPr>
      </w:pPr>
      <w:r w:rsidRPr="00DE66A4">
        <w:rPr>
          <w:b/>
        </w:rPr>
        <w:t>autorizovaný zeměměřický inženýr</w:t>
      </w:r>
    </w:p>
    <w:p w14:paraId="182EE989" w14:textId="77777777" w:rsidR="003C5FFB" w:rsidRPr="00DE66A4" w:rsidRDefault="003C5FFB" w:rsidP="003C5FFB">
      <w:pPr>
        <w:pStyle w:val="Odrka1-2-"/>
      </w:pPr>
      <w:r w:rsidRPr="00DE66A4">
        <w:t>autorizace pro ověřování výsledků zeměměřických činností v rozsahu dle § 16f odst. 1 písm. a) zákona č. 200/1994 Sb., o zeměměřictví a o změně a doplnění některých zákonů souvisejících s jeho zavedením, ve znění pozdějších předpisů;</w:t>
      </w:r>
    </w:p>
    <w:p w14:paraId="5AC1E663" w14:textId="514A8EBF" w:rsidR="003C5FFB" w:rsidRPr="00DE66A4" w:rsidRDefault="003C5FFB" w:rsidP="003C5FFB">
      <w:pPr>
        <w:pStyle w:val="Odrka1-2-"/>
      </w:pPr>
      <w:r w:rsidRPr="00DE66A4">
        <w:t xml:space="preserve">nejméně 5 let praxe ve výkonu zeměměřických činností na liniových stavbách, jak jsou definovány v článku 8.4. </w:t>
      </w:r>
      <w:r w:rsidR="00DC3C51" w:rsidRPr="00DE66A4">
        <w:t xml:space="preserve">těchto </w:t>
      </w:r>
      <w:r w:rsidRPr="00DE66A4">
        <w:t>Pokynů</w:t>
      </w:r>
      <w:r w:rsidR="00F50A74" w:rsidRPr="00DE66A4">
        <w:t xml:space="preserve"> </w:t>
      </w:r>
      <w:r w:rsidR="00391C20" w:rsidRPr="00DE66A4">
        <w:t>s názvem</w:t>
      </w:r>
      <w:r w:rsidR="00F50A74" w:rsidRPr="00DE66A4">
        <w:t xml:space="preserve"> seznam významných služeb</w:t>
      </w:r>
      <w:r w:rsidRPr="00DE66A4">
        <w:t xml:space="preserve">, v posledních 10 letech přede dnem zahájení zadávacího řízení; </w:t>
      </w:r>
    </w:p>
    <w:p w14:paraId="5BB057F4" w14:textId="0E133516" w:rsidR="003C5FFB" w:rsidRPr="00DE66A4" w:rsidRDefault="003C5FFB" w:rsidP="003C5FFB">
      <w:pPr>
        <w:pStyle w:val="Odrka1-2-"/>
        <w:rPr>
          <w:rFonts w:eastAsia="Times New Roman" w:cs="Arial"/>
          <w:lang w:eastAsia="cs-CZ"/>
        </w:rPr>
      </w:pPr>
      <w:r w:rsidRPr="00DE66A4">
        <w:rPr>
          <w:rFonts w:eastAsia="Times New Roman" w:cs="Arial"/>
          <w:lang w:eastAsia="cs-CZ"/>
        </w:rPr>
        <w:t xml:space="preserve">zkušenost spočívající ve vypracování nejméně 20 geometrických plánů na rozdělení pozemků na liniové stavby, jak jsou definovány v </w:t>
      </w:r>
      <w:r w:rsidR="003909E1" w:rsidRPr="00DE66A4">
        <w:t>článku 8.4. těchto Pokynů s názvem seznam významných služeb</w:t>
      </w:r>
      <w:r w:rsidRPr="00DE66A4">
        <w:rPr>
          <w:rFonts w:eastAsia="Times New Roman" w:cs="Arial"/>
          <w:lang w:eastAsia="cs-CZ"/>
        </w:rPr>
        <w:t>, ověřených katastrálním úřadem (tyto mohou, ale nemusí být vypracovány v rámci realizace jedné liniové stavby);</w:t>
      </w:r>
    </w:p>
    <w:p w14:paraId="172B0C60" w14:textId="77777777" w:rsidR="003C5FFB" w:rsidRPr="00DE66A4" w:rsidRDefault="003C5FFB" w:rsidP="003C5FFB">
      <w:pPr>
        <w:pStyle w:val="Odstavec1-1a"/>
        <w:numPr>
          <w:ilvl w:val="0"/>
          <w:numId w:val="11"/>
        </w:numPr>
        <w:rPr>
          <w:b/>
        </w:rPr>
      </w:pPr>
      <w:r w:rsidRPr="00DE66A4">
        <w:rPr>
          <w:b/>
        </w:rPr>
        <w:t>specialista na inženýrskou činnost</w:t>
      </w:r>
    </w:p>
    <w:p w14:paraId="69868575" w14:textId="0E6BAFF9" w:rsidR="003C5FFB" w:rsidRPr="00DE66A4" w:rsidRDefault="003C5FFB" w:rsidP="003C5FFB">
      <w:pPr>
        <w:pStyle w:val="Odrka1-2-"/>
      </w:pPr>
      <w:r w:rsidRPr="00DE66A4">
        <w:t xml:space="preserve">nejméně 3 roky praxe s prováděním majetkoprávní přípravy a vypořádání liniových staveb, jak jsou definovány v </w:t>
      </w:r>
      <w:r w:rsidR="00243CF1" w:rsidRPr="00DE66A4">
        <w:t>článku 8.4. těchto Pokynů s názvem seznam významných služeb</w:t>
      </w:r>
      <w:r w:rsidRPr="00DE66A4">
        <w:t>, v posledních 10 letech přede dnem zahájení zadávacího řízení;</w:t>
      </w:r>
    </w:p>
    <w:p w14:paraId="68BAB763" w14:textId="77777777" w:rsidR="003C5FFB" w:rsidRPr="00DE66A4" w:rsidRDefault="003C5FFB" w:rsidP="003C5FFB">
      <w:pPr>
        <w:pStyle w:val="Odstavec1-1a"/>
        <w:numPr>
          <w:ilvl w:val="0"/>
          <w:numId w:val="11"/>
        </w:numPr>
        <w:rPr>
          <w:b/>
        </w:rPr>
      </w:pPr>
      <w:r w:rsidRPr="00DE66A4">
        <w:rPr>
          <w:b/>
        </w:rPr>
        <w:t xml:space="preserve">osoba vyhotovující znalecké </w:t>
      </w:r>
      <w:proofErr w:type="gramStart"/>
      <w:r w:rsidRPr="00DE66A4">
        <w:rPr>
          <w:b/>
        </w:rPr>
        <w:t>posudky - znalec</w:t>
      </w:r>
      <w:proofErr w:type="gramEnd"/>
    </w:p>
    <w:p w14:paraId="5E1A41A8" w14:textId="77777777" w:rsidR="003C5FFB" w:rsidRPr="00DE66A4" w:rsidRDefault="003C5FFB" w:rsidP="003C5FFB">
      <w:pPr>
        <w:pStyle w:val="Odrka1-2-"/>
      </w:pPr>
      <w:r w:rsidRPr="00DE66A4">
        <w:t>minimálně 5 let praxe v oboru oceňování nemovitostí v posledních 10 letech přede dnem zahájení zadávacího řízení;</w:t>
      </w:r>
    </w:p>
    <w:p w14:paraId="3055AB11" w14:textId="77777777" w:rsidR="003C5FFB" w:rsidRPr="00DE66A4" w:rsidRDefault="003C5FFB" w:rsidP="003C5FFB">
      <w:pPr>
        <w:pStyle w:val="Odrka1-2-"/>
      </w:pPr>
      <w:r w:rsidRPr="00DE66A4">
        <w:t>oprávnění k výkonu znalecké činnosti v oboru Ekonomika, odvětví Ceny a odhady, specializace nemovitosti v rozsahu dle § 11 zákona č. 254/2019 Sb., o znalcích, znaleckých kancelářích a znaleckých ústavech, ve znění pozdějších předpisů;</w:t>
      </w:r>
    </w:p>
    <w:p w14:paraId="61906744" w14:textId="77777777" w:rsidR="003C5FFB" w:rsidRPr="00DE66A4" w:rsidRDefault="003C5FFB" w:rsidP="003C5FFB">
      <w:pPr>
        <w:pStyle w:val="Odstavec1-1a"/>
        <w:numPr>
          <w:ilvl w:val="0"/>
          <w:numId w:val="11"/>
        </w:numPr>
        <w:rPr>
          <w:b/>
        </w:rPr>
      </w:pPr>
      <w:r w:rsidRPr="00DE66A4">
        <w:rPr>
          <w:b/>
        </w:rPr>
        <w:t xml:space="preserve">osoba zajišťující právní </w:t>
      </w:r>
      <w:proofErr w:type="gramStart"/>
      <w:r w:rsidRPr="00DE66A4">
        <w:rPr>
          <w:b/>
        </w:rPr>
        <w:t>poradenství - právník</w:t>
      </w:r>
      <w:proofErr w:type="gramEnd"/>
    </w:p>
    <w:p w14:paraId="7BD68F77" w14:textId="77777777" w:rsidR="003C5FFB" w:rsidRPr="00DE66A4" w:rsidRDefault="003C5FFB" w:rsidP="003C5FFB">
      <w:pPr>
        <w:pStyle w:val="Odrka1-2-"/>
      </w:pPr>
      <w:r w:rsidRPr="00DE66A4">
        <w:rPr>
          <w:rFonts w:eastAsia="Times New Roman" w:cs="Calibri"/>
          <w:lang w:eastAsia="cs-CZ"/>
        </w:rPr>
        <w:t>minimálně 3 roky právní praxe se zaměřením na převody a zatěžování nemovitostí v posledních 10 letech přede dnem zahájení zadávacího řízení.</w:t>
      </w:r>
    </w:p>
    <w:p w14:paraId="02049CBA" w14:textId="1B1EE866" w:rsidR="009E1AEE" w:rsidRPr="00DE66A4" w:rsidRDefault="009E1AEE" w:rsidP="009E1AEE">
      <w:pPr>
        <w:pStyle w:val="Textbezslovn"/>
      </w:pPr>
      <w:r w:rsidRPr="00DE66A4">
        <w:t>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6355E73B" w:rsidR="009E1AEE" w:rsidRDefault="009E1AEE" w:rsidP="00C369CD">
      <w:pPr>
        <w:pStyle w:val="Textbezslovn"/>
      </w:pPr>
      <w:r w:rsidRPr="00DE66A4">
        <w:t xml:space="preserve">Zadavatel si vyhrazuje právo ověřit pravdivost údajů o zkušenostech </w:t>
      </w:r>
      <w:r w:rsidR="00C369CD" w:rsidRPr="00DE66A4">
        <w:t>vedoucího týmu a autorizovaného zeměměřického inženýra</w:t>
      </w:r>
      <w:r w:rsidRPr="00DE66A4">
        <w:t>, zejména, zda se na plnění konkrétních zakázek skutečně podíleli. Za tímto účelem požaduje zadavatel v profesním</w:t>
      </w:r>
      <w:r>
        <w:t xml:space="preserve"> životopisu </w:t>
      </w:r>
      <w:r w:rsidRPr="00C369CD">
        <w:t>těchto členů</w:t>
      </w:r>
      <w:r>
        <w:t xml:space="preserve"> odborného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lastRenderedPageBreak/>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 xml:space="preserve">o prokázání jeho kvalifikace, a to i prostřednictvím jiné osoby, nahrazující doklady vydané orgány veřejné správy nebo </w:t>
      </w:r>
      <w:r>
        <w:lastRenderedPageBreak/>
        <w:t>třetími stranami na formuláři zpřístupněném v informačním systému e-</w:t>
      </w:r>
      <w:proofErr w:type="spellStart"/>
      <w:r>
        <w:t>Certis</w:t>
      </w:r>
      <w:proofErr w:type="spellEnd"/>
      <w:r>
        <w:t xml:space="preserve">.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34562CCF" w14:textId="24267D79" w:rsidR="00C5540E" w:rsidRDefault="006C21E8" w:rsidP="00C5540E">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66155F3B" w14:textId="6E53332F" w:rsidR="006C21E8" w:rsidRPr="00DE66A4" w:rsidRDefault="006C21E8" w:rsidP="006C21E8">
      <w:pPr>
        <w:pStyle w:val="Odrka1-1"/>
      </w:pPr>
      <w:r w:rsidRPr="00DE66A4">
        <w:t xml:space="preserve">Informace k doložení </w:t>
      </w:r>
      <w:r w:rsidR="00916A2E" w:rsidRPr="00DE66A4">
        <w:t xml:space="preserve">autorizace </w:t>
      </w:r>
      <w:r w:rsidRPr="00DE66A4">
        <w:t>pro ověřování výsledků zeměměřických činností v rozsahu dle §</w:t>
      </w:r>
      <w:r w:rsidR="00916A2E" w:rsidRPr="00DE66A4">
        <w:t xml:space="preserve"> 16f</w:t>
      </w:r>
      <w:r w:rsidRPr="00DE66A4">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rsidRPr="00DE66A4">
        <w:t xml:space="preserve"> autorizace</w:t>
      </w:r>
      <w:r w:rsidRPr="00DE66A4">
        <w:t xml:space="preserve">. </w:t>
      </w:r>
      <w:r w:rsidR="00916A2E" w:rsidRPr="00DE66A4">
        <w:t xml:space="preserve">Autorizaci </w:t>
      </w:r>
      <w:r w:rsidRPr="00DE66A4">
        <w:t xml:space="preserve">udělí </w:t>
      </w:r>
      <w:r w:rsidR="00916A2E" w:rsidRPr="00DE66A4">
        <w:t xml:space="preserve">Česká komora zeměměřičů </w:t>
      </w:r>
      <w:r w:rsidRPr="00DE66A4">
        <w:lastRenderedPageBreak/>
        <w:t>fyzické osobě, které uzná odbornou kvalifikaci a bezúhonnost podle zákona o uznávání odborné kvalifikace (zák. č. 18/2004 Sb., ve znění pozdějších předpisů)</w:t>
      </w:r>
      <w:r w:rsidR="00916A2E" w:rsidRPr="00DE66A4">
        <w:t xml:space="preserve"> a která složí předepsaný slib</w:t>
      </w:r>
      <w:r w:rsidRPr="00DE66A4">
        <w:t>. Doklady o splnění výše uvedených povinností dokládá vybraný dodavatel jako podmínku pro uzavření smlouvy.</w:t>
      </w:r>
      <w:r w:rsidR="00916A2E" w:rsidRPr="00DE66A4">
        <w:t xml:space="preserve"> </w:t>
      </w:r>
    </w:p>
    <w:p w14:paraId="593EE136" w14:textId="47825144" w:rsidR="0010091D" w:rsidRPr="00DE66A4" w:rsidRDefault="00C5540E" w:rsidP="00C5540E">
      <w:pPr>
        <w:pStyle w:val="Odrka1-1"/>
        <w:rPr>
          <w:strike/>
        </w:rPr>
      </w:pPr>
      <w:r w:rsidRPr="00DE66A4">
        <w:rPr>
          <w:lang w:eastAsia="cs-CZ"/>
        </w:rPr>
        <w:t xml:space="preserve">Informace k doložení oprávnění k výkonu znalecké činnosti v oboru Ekonomika, odvětví Ceny a odhady, specializace nemovitosti v rozsahu dle § 11 zákona č. 254/2019 Sb., o znalcích, znaleckých kancelářích a znaleckých ústavech, ve znění pozdějších předpisů: </w:t>
      </w:r>
      <w:r w:rsidRPr="00DE66A4">
        <w:t>přeshraniční poskytování služeb v České republice zahraniční osobou ohledně oprávnění k výkonu znalecké činnosti je možné pouze na základě zápisu do seznamu znalců za předpokladu, že příslušná osoba získá v některém z členských států Evropské unie nebo v jiném smluvním státě Dohody o Evropském hospodářském prostoru nebo Švýcarské konfederaci oprávnění obdobné znaleckému oprávnění podle uvedeného zákona a ministerstvo uzná její kvalifikaci podle zákona o uznávání odborné kvalifikace (zák. č. 18/2004 Sb., ve znění pozdějších předpisů). Doklady o splnění výše uvedených povinností dokládá vybraný dodavatel jako podmínku pro uzavření smlouvy</w:t>
      </w:r>
      <w:r w:rsidRPr="00DE66A4">
        <w:rPr>
          <w:lang w:eastAsia="cs-CZ"/>
        </w:rPr>
        <w:t>.</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 xml:space="preserve">vyplývat </w:t>
      </w:r>
      <w:r w:rsidR="00CB6AC6" w:rsidRPr="00E86BE3">
        <w:rPr>
          <w:b/>
          <w:color w:val="000000"/>
        </w:rPr>
        <w:lastRenderedPageBreak/>
        <w:t>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151A11AA"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2 ZZVZ,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4" w:name="_Toc178766811"/>
      <w:r>
        <w:t>DALŠÍ INFORMACE/DOKUMENTY PŘEDKLÁDANÉ DODAVATELEM</w:t>
      </w:r>
      <w:r w:rsidR="00092CC9">
        <w:t xml:space="preserve"> v </w:t>
      </w:r>
      <w:r>
        <w:t>NABÍDCE</w:t>
      </w:r>
      <w:bookmarkEnd w:id="14"/>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lastRenderedPageBreak/>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77777777"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242473B6"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doručená</w:t>
      </w:r>
      <w:r w:rsidR="004471E7">
        <w:t>,</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lastRenderedPageBreak/>
        <w:t>Poddodavatelské omezení</w:t>
      </w:r>
    </w:p>
    <w:p w14:paraId="47DAC2CA" w14:textId="77777777" w:rsidR="007C7C01" w:rsidRPr="00DE66A4" w:rsidRDefault="00AD3565" w:rsidP="007C7C01">
      <w:pPr>
        <w:pStyle w:val="Odrka1-1"/>
      </w:pPr>
      <w:r w:rsidRPr="00AD3565">
        <w:t xml:space="preserve">Zadavatel si dle § 105 odst. 2 ZZVZ vyhrazuje požadavek, že níže uvedené významné činnosti při plnění veřejné zakázky musí být plněny přímo vybraným dodavatelem (resp. některým z dodavatelů, kteří případně podali nabídku v rámci společné účasti), </w:t>
      </w:r>
      <w:r w:rsidR="00E57E67">
        <w:t>tak</w:t>
      </w:r>
      <w:r w:rsidRPr="00AD3565">
        <w:t xml:space="preserve">že části plnění veřejné zakázky věcně odpovídající níže uvedeným oborům či činnostem musí být </w:t>
      </w:r>
      <w:r w:rsidRPr="00DE66A4">
        <w:t xml:space="preserve">prováděny vlastními prostředky </w:t>
      </w:r>
      <w:r w:rsidR="003014A0" w:rsidRPr="00DE66A4">
        <w:t xml:space="preserve">vybraného </w:t>
      </w:r>
      <w:r w:rsidRPr="00DE66A4">
        <w:t>dodavatele</w:t>
      </w:r>
      <w:r w:rsidR="0035531B" w:rsidRPr="00DE66A4">
        <w:t>:</w:t>
      </w:r>
    </w:p>
    <w:p w14:paraId="2E6F9B65" w14:textId="77777777" w:rsidR="007C7C01" w:rsidRPr="00DE66A4" w:rsidRDefault="007C7C01" w:rsidP="007C7C01">
      <w:pPr>
        <w:pStyle w:val="Odrka1-2-"/>
        <w:numPr>
          <w:ilvl w:val="2"/>
          <w:numId w:val="24"/>
        </w:numPr>
        <w:tabs>
          <w:tab w:val="left" w:pos="708"/>
        </w:tabs>
        <w:spacing w:after="0"/>
        <w:rPr>
          <w:rFonts w:ascii="Verdana" w:hAnsi="Verdana"/>
          <w:iCs/>
        </w:rPr>
      </w:pPr>
      <w:r w:rsidRPr="00DE66A4">
        <w:rPr>
          <w:rFonts w:ascii="Verdana" w:hAnsi="Verdana"/>
          <w:iCs/>
        </w:rPr>
        <w:t>Zajištění uzavření smluv na majetkoprávní vypořádání včetně vypracování návrhů smluv, jejich projednání s vlastníky a zajištění vkladů práv dle takto uzavřených smluv do katastru nemovitostí;</w:t>
      </w:r>
    </w:p>
    <w:p w14:paraId="0AA94DA2" w14:textId="77777777" w:rsidR="007C7C01" w:rsidRPr="00DE66A4" w:rsidRDefault="007C7C01" w:rsidP="007C7C01">
      <w:pPr>
        <w:pStyle w:val="Odrka1-2-"/>
        <w:numPr>
          <w:ilvl w:val="2"/>
          <w:numId w:val="24"/>
        </w:numPr>
        <w:tabs>
          <w:tab w:val="left" w:pos="708"/>
        </w:tabs>
        <w:spacing w:after="0"/>
        <w:rPr>
          <w:rFonts w:ascii="Verdana" w:hAnsi="Verdana"/>
          <w:iCs/>
        </w:rPr>
      </w:pPr>
      <w:r w:rsidRPr="00DE66A4">
        <w:rPr>
          <w:rFonts w:ascii="Verdana" w:hAnsi="Verdana"/>
          <w:iCs/>
        </w:rPr>
        <w:t>Výkon činnosti Vedoucího týmu;</w:t>
      </w:r>
    </w:p>
    <w:p w14:paraId="7E7616F8" w14:textId="77777777" w:rsidR="003D5F32" w:rsidRPr="00DE66A4" w:rsidRDefault="007C7C01" w:rsidP="00866BC3">
      <w:pPr>
        <w:pStyle w:val="Odrka1-2-"/>
        <w:numPr>
          <w:ilvl w:val="2"/>
          <w:numId w:val="24"/>
        </w:numPr>
        <w:tabs>
          <w:tab w:val="left" w:pos="708"/>
        </w:tabs>
        <w:spacing w:after="0"/>
        <w:rPr>
          <w:rFonts w:ascii="Verdana" w:hAnsi="Verdana"/>
          <w:iCs/>
        </w:rPr>
      </w:pPr>
      <w:r w:rsidRPr="00DE66A4">
        <w:rPr>
          <w:rFonts w:ascii="Verdana" w:hAnsi="Verdana"/>
          <w:iCs/>
        </w:rPr>
        <w:t>Výkon činnosti Specialisty na inženýrskou činnost.</w:t>
      </w:r>
    </w:p>
    <w:p w14:paraId="135C2141" w14:textId="77777777" w:rsidR="003D5F32" w:rsidRPr="00DE66A4" w:rsidRDefault="003D5F32" w:rsidP="003D5F32">
      <w:pPr>
        <w:pStyle w:val="Odrka1-1"/>
        <w:spacing w:before="120"/>
      </w:pPr>
      <w:r w:rsidRPr="00DE66A4">
        <w:t xml:space="preserve">Vlastními prostředky se rozumí, že dodavatel disponuje lidskými zdroji nezbytnými k provedení příslušné části Díla. Pod pojmem disponovat se rozumí, že dodavatel nebo osoby tvořící s ním koncern mají lidské zdroje zajištěné osobami, které jsou k dodavateli nebo osobám tvořícím s dodavatelem koncern </w:t>
      </w:r>
      <w:r w:rsidRPr="00DE66A4">
        <w:rPr>
          <w:rFonts w:ascii="Verdana" w:hAnsi="Verdana" w:cs="Verdana"/>
        </w:rPr>
        <w:t xml:space="preserve">v pracovněprávním vztahu. </w:t>
      </w:r>
      <w:r w:rsidRPr="00DE66A4">
        <w:t>Za práce provedené vlastními prostředky se považují i práce provedené osobami, které společně se Zhotovitelem tvoří koncern ve smyslu § 79 zákona č. 90/2012, o obchodních společnostech a družstvech (zákon o obchodních korporacích).</w:t>
      </w:r>
    </w:p>
    <w:p w14:paraId="50748983" w14:textId="77777777" w:rsidR="003D5F32" w:rsidRPr="00DE66A4" w:rsidRDefault="003D5F32" w:rsidP="003D5F32">
      <w:pPr>
        <w:pStyle w:val="Odrka1-1"/>
      </w:pPr>
      <w:r w:rsidRPr="00DE66A4">
        <w:t>Výše uvedené vyhrazené části plnění veřejné zakázky jsou tvořeny činnostmi, jejichž plnění má zásadní vliv na kvalitu a rozsah zadavatelem požadovaných prací, tj. zadavatel je považuje za zásadní z pohledu realizace veřejné zakázky. Vyhrazená plnění mají zásadní vliv na řádné provedení majetkoprávního vypořádání, jež má zadavateli umožnit zahájení stavebních prací na předmětné stavbě dráhy. Protože osobou zaručující ve vztahu k zadavateli naplnění koordinace jednotlivých profesí je přímo zhotovitel (nikoliv jeho poddodavatelé), požaduje zadavatel, aby plnění vyhrazené části zakázky nebylo plněno poddodavatelem, ale přímo dodavatelem, vůči kterému může zadavatel na základě uzavřené smlouvy o dílo uplatňovat přímý vliv.</w:t>
      </w:r>
    </w:p>
    <w:p w14:paraId="21CC4AB2" w14:textId="77777777" w:rsidR="003D5F32" w:rsidRPr="00DE66A4" w:rsidRDefault="003D5F32" w:rsidP="003D5F32">
      <w:pPr>
        <w:pStyle w:val="Odrka1-1"/>
      </w:pPr>
      <w:r w:rsidRPr="00DE66A4">
        <w:t>Zadavatel v souladu se ZZVZ a s účelem zadavatelem provedené výhrady uvedené výše v tomto článku 9.3 označuje níže ty požadavky na prokázání kvalifikace, které svým obsahem odpovídají rozsahu, v němž je plnění veřejné zakázky postupem dle § 105 odst. 2 ZZVZ vyhrazeno. Splnění těchto požadavků na prokázání kvalifikace tedy nesmí být postupem dle § 83 ZZVZ prokazováno prostřednictvím poddodavatelů:</w:t>
      </w:r>
    </w:p>
    <w:p w14:paraId="355A5BEB" w14:textId="77777777" w:rsidR="003D5F32" w:rsidRPr="00DE66A4" w:rsidRDefault="003D5F32" w:rsidP="003D5F32">
      <w:pPr>
        <w:pStyle w:val="Odrka1-2-"/>
      </w:pPr>
      <w:r w:rsidRPr="00DE66A4">
        <w:t xml:space="preserve">profesní způsobilost týkající se oprávnění k podnikání v rozsahu živnosti </w:t>
      </w:r>
      <w:r w:rsidRPr="00DE66A4">
        <w:rPr>
          <w:rFonts w:eastAsia="Times New Roman" w:cs="Arial"/>
          <w:lang w:eastAsia="cs-CZ"/>
        </w:rPr>
        <w:t>Poradenská a konzultační činnost, zpracování odborných studií a posudků (zadavatel uzná za doklad o oprávnění k podnikání pro tuto činnost rovněž výpis z živnostenského rejstříku nebo živnostenský list či listy dokládající oprávnění dodavatele k podnikání v předmětu (či předmětech), který bude zadavatelem požadované činnosti obsahově odpovídat a bude dodavatele opravňovat k výkonu předmětné či obsahově obdobné činnosti, např. Realitní zprostředkování, Projektová činnost ve výstavbě, apod.);</w:t>
      </w:r>
    </w:p>
    <w:p w14:paraId="66850443" w14:textId="77777777" w:rsidR="003D5F32" w:rsidRPr="00DE66A4" w:rsidRDefault="003D5F32" w:rsidP="003D5F32">
      <w:pPr>
        <w:pStyle w:val="Odrka1-2-"/>
      </w:pPr>
      <w:r w:rsidRPr="00DE66A4">
        <w:t>požadavek kritéria technické kvalifikace na doložení alespoň dvou služeb z požadovaných významných služeb v čl. 8.4 těchto Pokynů, jejímž předmětem byly následující činnosti:</w:t>
      </w:r>
    </w:p>
    <w:p w14:paraId="18015988" w14:textId="77777777" w:rsidR="003D5F32" w:rsidRPr="00DE66A4" w:rsidRDefault="003D5F32" w:rsidP="003D5F32">
      <w:pPr>
        <w:pStyle w:val="Odrka1-2-"/>
        <w:tabs>
          <w:tab w:val="clear" w:pos="1531"/>
        </w:tabs>
        <w:ind w:left="1985"/>
        <w:rPr>
          <w:b/>
        </w:rPr>
      </w:pPr>
      <w:r w:rsidRPr="00DE66A4">
        <w:rPr>
          <w:b/>
        </w:rPr>
        <w:t>zajištění majetkoprávního vypořádání v rozsahu nejméně 150 uzavřených smluv, jejichž předmětem byl převod vlastnického práva nebo práva hospodařit k pozemkům a stavbám nebo zřízení věcného břemene-služebnosti, včetně vkladu práv dle těchto smluv do katastru nemovitostí</w:t>
      </w:r>
    </w:p>
    <w:p w14:paraId="06D46C0F" w14:textId="77777777" w:rsidR="003D5F32" w:rsidRPr="00DE66A4" w:rsidRDefault="003D5F32" w:rsidP="003D5F32">
      <w:pPr>
        <w:pStyle w:val="Odrka1-2-"/>
        <w:rPr>
          <w:rFonts w:eastAsia="Times New Roman" w:cs="Arial"/>
          <w:lang w:eastAsia="cs-CZ"/>
        </w:rPr>
      </w:pPr>
      <w:r w:rsidRPr="00DE66A4">
        <w:rPr>
          <w:rFonts w:eastAsia="Times New Roman" w:cs="Arial"/>
          <w:lang w:eastAsia="cs-CZ"/>
        </w:rPr>
        <w:t>požadavek kritéria technické kvalifikace na předložení seznamu odborného personálu dodavatele v rozsahu funkcí Vedoucí týmu a Specialisty na inženýrskou činnost.</w:t>
      </w:r>
    </w:p>
    <w:p w14:paraId="2050D8AC" w14:textId="643869E4" w:rsidR="00BC6D2B" w:rsidRPr="00DE66A4" w:rsidRDefault="00783087" w:rsidP="00465FDD">
      <w:pPr>
        <w:pStyle w:val="Text1-1"/>
      </w:pPr>
      <w:r w:rsidRPr="00DE66A4">
        <w:lastRenderedPageBreak/>
        <w:t>Závazný n</w:t>
      </w:r>
      <w:r w:rsidR="00465FDD" w:rsidRPr="00DE66A4">
        <w:t>ávrh smlouvy na plnění této veřejné zakázky</w:t>
      </w:r>
      <w:r w:rsidR="00BC6D2B" w:rsidRPr="00DE66A4">
        <w:t>:</w:t>
      </w:r>
    </w:p>
    <w:p w14:paraId="5894FB40" w14:textId="77777777" w:rsidR="00465FDD" w:rsidRPr="00DE66A4" w:rsidRDefault="00465FDD" w:rsidP="00465FDD">
      <w:pPr>
        <w:pStyle w:val="Odrka1-1"/>
      </w:pPr>
      <w:r w:rsidRPr="00DE66A4">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663A25D7" w14:textId="77777777" w:rsidR="00CB7FA3" w:rsidRPr="00DE66A4" w:rsidRDefault="00CB7FA3" w:rsidP="00CB7FA3">
      <w:pPr>
        <w:pStyle w:val="Odrka1-2-"/>
      </w:pPr>
      <w:r w:rsidRPr="00DE66A4">
        <w:t>do těla závazného vzoru smlouvy v čl. 4.1 Cenu Díla bez DPH;</w:t>
      </w:r>
    </w:p>
    <w:p w14:paraId="5FCA9D2B" w14:textId="77777777" w:rsidR="00CB7FA3" w:rsidRPr="00DE66A4" w:rsidRDefault="00CB7FA3" w:rsidP="00CB7FA3">
      <w:pPr>
        <w:pStyle w:val="Odrka1-2-"/>
      </w:pPr>
      <w:r w:rsidRPr="00DE66A4">
        <w:t>do Přílohy č. 2 závazného vzoru smlouvy s názvem Rozpis Ceny Díla:</w:t>
      </w:r>
    </w:p>
    <w:p w14:paraId="7AFC6252" w14:textId="77777777" w:rsidR="00CB7FA3" w:rsidRPr="00114DEE" w:rsidRDefault="00CB7FA3" w:rsidP="00CB7FA3">
      <w:pPr>
        <w:pStyle w:val="Odrka1-2-"/>
        <w:numPr>
          <w:ilvl w:val="0"/>
          <w:numId w:val="0"/>
        </w:numPr>
        <w:ind w:left="1531"/>
      </w:pPr>
      <w:r w:rsidRPr="00DE66A4">
        <w:t>Cenu za zpracování jednotlivých položek dle stanoveného množství. 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4.1 závazného vzoru smlouvy.</w:t>
      </w:r>
      <w:r w:rsidRPr="00114DEE">
        <w:t xml:space="preserve"> </w:t>
      </w:r>
    </w:p>
    <w:p w14:paraId="3DAD0639" w14:textId="617432D3" w:rsidR="0035531B" w:rsidRDefault="00465FDD" w:rsidP="00465FDD">
      <w:pPr>
        <w:pStyle w:val="Odrka1-1"/>
      </w:pPr>
      <w:r>
        <w:t>V případě nabídky podávané fyzickou</w:t>
      </w:r>
      <w:r w:rsidR="00CB7FA3">
        <w:t>,</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5" w:name="_Toc178766812"/>
      <w:r>
        <w:t>JAZYK NABÍDEK</w:t>
      </w:r>
      <w:r w:rsidR="008F0019" w:rsidRPr="008F0019">
        <w:t xml:space="preserve"> </w:t>
      </w:r>
      <w:r w:rsidR="008F0019">
        <w:t>A KOMUNIKAČNÍ JAZYK</w:t>
      </w:r>
      <w:bookmarkEnd w:id="15"/>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16" w:name="_Toc178766813"/>
      <w:r>
        <w:t>OBSAH</w:t>
      </w:r>
      <w:r w:rsidR="00845C50">
        <w:t xml:space="preserve"> a </w:t>
      </w:r>
      <w:r>
        <w:t>PODÁVÁNÍ NABÍDEK</w:t>
      </w:r>
      <w:bookmarkEnd w:id="16"/>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1"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761669DE" w:rsidR="00F348C0" w:rsidRDefault="00F348C0" w:rsidP="00A47DE5">
      <w:pPr>
        <w:pStyle w:val="Text1-1"/>
      </w:pPr>
      <w:r w:rsidRPr="00F348C0">
        <w:lastRenderedPageBreak/>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2"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D21732">
        <w:t>50</w:t>
      </w:r>
      <w:r w:rsidR="00CB7FA3">
        <w:t xml:space="preserve"> </w:t>
      </w:r>
      <w:r w:rsidRPr="00F348C0">
        <w:t>MB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23E7C887" w:rsidR="00F348C0" w:rsidRDefault="00F348C0" w:rsidP="00F348C0">
      <w:pPr>
        <w:pStyle w:val="Odrka1-1"/>
      </w:pPr>
      <w:r>
        <w:t xml:space="preserve">Návrh Smlouvy o dílo na plnění této veřejné zakázky, zpracovaný dle instrukcí obsažených v těchto Pokynech, tedy doplněný co do jeho těla a co do jeho přílohy č. </w:t>
      </w:r>
      <w:r w:rsidR="00B715CC">
        <w:t>2</w:t>
      </w:r>
      <w:r>
        <w:t>,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lastRenderedPageBreak/>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4EF3400C" w:rsidR="00F348C0" w:rsidRDefault="00F348C0" w:rsidP="00F348C0">
      <w:pPr>
        <w:pStyle w:val="Text1-1"/>
      </w:pPr>
      <w:r>
        <w:t xml:space="preserve">Nabídky podané po uplynutí lhůty pro podání nabídky nebo podané </w:t>
      </w:r>
      <w:r w:rsidR="00CB7FA3">
        <w:t>jiným</w:t>
      </w:r>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17" w:name="_Toc178766814"/>
      <w:r>
        <w:t>POŽADAVKY NA ZPRACOVÁNÍ NABÍDKOVÉ CENY</w:t>
      </w:r>
      <w:bookmarkEnd w:id="17"/>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38C6D65F" w:rsidR="00F348C0" w:rsidRDefault="00F348C0" w:rsidP="00F348C0">
      <w:pPr>
        <w:pStyle w:val="Text1-1"/>
      </w:pPr>
      <w:r>
        <w:t xml:space="preserve">Nabídková cena bude ve smlouvě v čl. </w:t>
      </w:r>
      <w:r w:rsidR="00CB7FA3">
        <w:t>4</w:t>
      </w:r>
      <w:r>
        <w:t>.</w:t>
      </w:r>
      <w:r w:rsidR="00CB7FA3">
        <w:t>1</w:t>
      </w:r>
      <w:r>
        <w:t xml:space="preserve">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7E4F006E" w14:textId="02C548C7" w:rsidR="00CB7FA3" w:rsidRDefault="00F348C0" w:rsidP="00CB7FA3">
      <w:pPr>
        <w:pStyle w:val="Text1-1"/>
        <w:numPr>
          <w:ilvl w:val="0"/>
          <w:numId w:val="0"/>
        </w:numPr>
        <w:spacing w:before="240"/>
        <w:ind w:left="737"/>
      </w:pPr>
      <w:r>
        <w:t xml:space="preserve">Cena Díla bez DPH vkládaná ve smyslu těchto </w:t>
      </w:r>
      <w:r w:rsidRPr="00DE66A4">
        <w:t xml:space="preserve">Pokynů do čl. </w:t>
      </w:r>
      <w:r w:rsidR="00CB7FA3" w:rsidRPr="00DE66A4">
        <w:t>4</w:t>
      </w:r>
      <w:r w:rsidRPr="00DE66A4">
        <w:t>.</w:t>
      </w:r>
      <w:r w:rsidR="00CB7FA3" w:rsidRPr="00DE66A4">
        <w:t>1</w:t>
      </w:r>
      <w:r w:rsidRPr="00DE66A4">
        <w:t xml:space="preserve"> závazného vzoru smlouvy, která představuje</w:t>
      </w:r>
      <w:r w:rsidR="00CB7FA3" w:rsidRPr="00DE66A4">
        <w:t xml:space="preserve"> Cenu díla za </w:t>
      </w:r>
      <w:r w:rsidR="00CB7FA3" w:rsidRPr="00DE66A4">
        <w:rPr>
          <w:rFonts w:asciiTheme="majorHAnsi" w:hAnsiTheme="majorHAnsi" w:cs="Calibri"/>
          <w:lang w:eastAsia="x-none"/>
        </w:rPr>
        <w:t>zajištění kompletní majetkoprávní přípravy stavby dráhy</w:t>
      </w:r>
      <w:r w:rsidR="00CB7FA3" w:rsidRPr="00DE66A4">
        <w:t xml:space="preserve"> bez DPH, bude předmětem hodnocení v rámci ekonomické výhodnosti nabídky. Podrobný rozpis ceny bude proveden v Příloze č. 2 závazného vzoru smlouvy s </w:t>
      </w:r>
      <w:r w:rsidR="00CB7FA3" w:rsidRPr="00DE66A4">
        <w:lastRenderedPageBreak/>
        <w:t>názvem Rozpis Ceny Díla podle uvedených pravidel. Dodavatel je povinen vyplnit jednotlivé položky ve smyslu jednotkové ceny a ceny celkem.</w:t>
      </w:r>
    </w:p>
    <w:p w14:paraId="2BBA308D" w14:textId="77777777" w:rsidR="0035531B" w:rsidRDefault="0035531B" w:rsidP="007038DC">
      <w:pPr>
        <w:pStyle w:val="Nadpis1-1"/>
      </w:pPr>
      <w:bookmarkStart w:id="18" w:name="_Toc178766815"/>
      <w:r>
        <w:t>VARIANTY NABÍDKY</w:t>
      </w:r>
      <w:bookmarkEnd w:id="18"/>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19" w:name="_Toc178766816"/>
      <w:r>
        <w:t>OTEVÍRÁNÍ NABÍDEK</w:t>
      </w:r>
      <w:bookmarkEnd w:id="19"/>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0" w:name="_Toc178766817"/>
      <w:r>
        <w:t>POSOUZENÍ SPLNĚNÍ PODMÍNEK ÚČASTI</w:t>
      </w:r>
      <w:bookmarkEnd w:id="20"/>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1" w:name="_Toc178766818"/>
      <w:r>
        <w:t>HODNOCENÍ NABÍDEK</w:t>
      </w:r>
      <w:bookmarkEnd w:id="21"/>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DE66A4"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DE66A4" w:rsidRDefault="00804D39" w:rsidP="00631EAA">
            <w:pPr>
              <w:rPr>
                <w:sz w:val="16"/>
                <w:szCs w:val="16"/>
              </w:rPr>
            </w:pPr>
            <w:r w:rsidRPr="00DE66A4">
              <w:rPr>
                <w:sz w:val="16"/>
                <w:szCs w:val="16"/>
              </w:rPr>
              <w:t>Nabídková cena</w:t>
            </w:r>
          </w:p>
        </w:tc>
        <w:tc>
          <w:tcPr>
            <w:tcW w:w="4111" w:type="dxa"/>
            <w:tcBorders>
              <w:bottom w:val="single" w:sz="2" w:space="0" w:color="auto"/>
            </w:tcBorders>
          </w:tcPr>
          <w:p w14:paraId="304C187E" w14:textId="4C82B2F0" w:rsidR="00804D39" w:rsidRPr="00DE66A4" w:rsidRDefault="0083473A"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66A4">
              <w:rPr>
                <w:sz w:val="16"/>
                <w:szCs w:val="16"/>
              </w:rPr>
              <w:t>8</w:t>
            </w:r>
            <w:r w:rsidR="00804D39" w:rsidRPr="00DE66A4">
              <w:rPr>
                <w:sz w:val="16"/>
                <w:szCs w:val="16"/>
              </w:rPr>
              <w:t>0 %</w:t>
            </w:r>
          </w:p>
        </w:tc>
      </w:tr>
      <w:tr w:rsidR="00804D39" w:rsidRPr="00DE66A4"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DE66A4" w:rsidRDefault="00B15F78" w:rsidP="00B15F78">
            <w:pPr>
              <w:rPr>
                <w:b w:val="0"/>
                <w:sz w:val="16"/>
                <w:szCs w:val="16"/>
              </w:rPr>
            </w:pPr>
            <w:r w:rsidRPr="00DE66A4">
              <w:rPr>
                <w:b w:val="0"/>
                <w:sz w:val="16"/>
                <w:szCs w:val="16"/>
              </w:rPr>
              <w:t>Z</w:t>
            </w:r>
            <w:r w:rsidR="00804D39" w:rsidRPr="00DE66A4">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5883068D" w:rsidR="00804D39" w:rsidRPr="00DE66A4" w:rsidRDefault="0083473A"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DE66A4">
              <w:rPr>
                <w:b w:val="0"/>
                <w:sz w:val="16"/>
                <w:szCs w:val="16"/>
              </w:rPr>
              <w:t>2</w:t>
            </w:r>
            <w:r w:rsidR="00804D39" w:rsidRPr="00DE66A4">
              <w:rPr>
                <w:b w:val="0"/>
                <w:sz w:val="16"/>
                <w:szCs w:val="16"/>
              </w:rPr>
              <w:t>0 %</w:t>
            </w:r>
          </w:p>
        </w:tc>
      </w:tr>
    </w:tbl>
    <w:p w14:paraId="67CAD4E5" w14:textId="77777777" w:rsidR="00804D39" w:rsidRPr="00DE66A4" w:rsidRDefault="00804D39" w:rsidP="003A2C23">
      <w:pPr>
        <w:pStyle w:val="Text1-1"/>
        <w:numPr>
          <w:ilvl w:val="0"/>
          <w:numId w:val="0"/>
        </w:numPr>
        <w:ind w:left="737"/>
      </w:pPr>
    </w:p>
    <w:p w14:paraId="6B5637CB" w14:textId="7CB230BC" w:rsidR="003A2C23" w:rsidRDefault="003A2C23" w:rsidP="003A2C23">
      <w:pPr>
        <w:pStyle w:val="Text1-1"/>
        <w:numPr>
          <w:ilvl w:val="0"/>
          <w:numId w:val="0"/>
        </w:numPr>
        <w:ind w:left="737"/>
      </w:pPr>
      <w:r w:rsidRPr="00DE66A4">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r w:rsidR="0083473A" w:rsidRPr="00DE66A4">
        <w:t>.</w:t>
      </w:r>
    </w:p>
    <w:p w14:paraId="7D986AD9" w14:textId="77777777" w:rsidR="001F2A64" w:rsidRPr="00DE66A4" w:rsidRDefault="001F2A64" w:rsidP="003A2C23">
      <w:pPr>
        <w:pStyle w:val="Text1-1"/>
        <w:numPr>
          <w:ilvl w:val="0"/>
          <w:numId w:val="0"/>
        </w:numPr>
        <w:ind w:left="737"/>
      </w:pPr>
    </w:p>
    <w:p w14:paraId="65A76872" w14:textId="77777777" w:rsidR="003A2C23" w:rsidRPr="00DE66A4" w:rsidRDefault="003A2C23" w:rsidP="003A2C23">
      <w:pPr>
        <w:pStyle w:val="Text1-1"/>
        <w:rPr>
          <w:b/>
        </w:rPr>
      </w:pPr>
      <w:r w:rsidRPr="00DE66A4">
        <w:rPr>
          <w:b/>
        </w:rPr>
        <w:lastRenderedPageBreak/>
        <w:t>Nabídková cena</w:t>
      </w:r>
    </w:p>
    <w:p w14:paraId="625EC770" w14:textId="4CBDCFE5" w:rsidR="003A2C23" w:rsidRDefault="003A2C23" w:rsidP="00AB7B11">
      <w:pPr>
        <w:pStyle w:val="Text1-1"/>
        <w:numPr>
          <w:ilvl w:val="0"/>
          <w:numId w:val="0"/>
        </w:numPr>
        <w:ind w:left="737"/>
      </w:pPr>
      <w:r w:rsidRPr="00DE66A4">
        <w:t xml:space="preserve">Nejprve bude hodnoceno dílčí hodnotící kritérium Nabídková cena. Bude hodnocena celková nabídková cena v číselné hodnotě bez DPH uvedená účastníkem zadávacího řízení ve smyslu těchto Pokynů v čl. </w:t>
      </w:r>
      <w:r w:rsidR="00AB7B11" w:rsidRPr="00DE66A4">
        <w:t>4</w:t>
      </w:r>
      <w:r w:rsidRPr="00DE66A4">
        <w:t>.</w:t>
      </w:r>
      <w:r w:rsidR="00AB7B11" w:rsidRPr="00DE66A4">
        <w:t>1</w:t>
      </w:r>
      <w:r w:rsidRPr="00DE66A4">
        <w:t xml:space="preserve"> závazného vzoru smlouvy jako Ce</w:t>
      </w:r>
      <w:r>
        <w:t>na Díla 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51FCC404" w:rsidR="003A2C23" w:rsidRDefault="003A2C23" w:rsidP="00B77110">
      <w:pPr>
        <w:pStyle w:val="Text1-1"/>
        <w:numPr>
          <w:ilvl w:val="0"/>
          <w:numId w:val="0"/>
        </w:numPr>
        <w:spacing w:before="240"/>
        <w:ind w:left="737"/>
      </w:pPr>
      <w:r>
        <w:t xml:space="preserve">Takto získaný počet bodů bude </w:t>
      </w:r>
      <w:r w:rsidRPr="00DE66A4">
        <w:t>vynásoben koeficientem 0,</w:t>
      </w:r>
      <w:r w:rsidR="00AB7B11" w:rsidRPr="00DE66A4">
        <w:t>8</w:t>
      </w:r>
      <w:r w:rsidRPr="00DE66A4">
        <w:t>0 (tj. váhou</w:t>
      </w:r>
      <w:r>
        <w:t xml:space="preserve">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19A82563" w14:textId="77777777" w:rsidR="003B3318" w:rsidRDefault="00941491" w:rsidP="003B3318">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6925D3EA" w14:textId="77777777" w:rsidR="00DE66A4" w:rsidRDefault="00DE66A4" w:rsidP="003B3318">
      <w:pPr>
        <w:pStyle w:val="Text1-1"/>
        <w:numPr>
          <w:ilvl w:val="0"/>
          <w:numId w:val="0"/>
        </w:numPr>
        <w:ind w:left="737"/>
      </w:pPr>
    </w:p>
    <w:p w14:paraId="05D5A971" w14:textId="77777777" w:rsidR="00DE66A4" w:rsidRDefault="00DE66A4" w:rsidP="003B3318">
      <w:pPr>
        <w:pStyle w:val="Text1-1"/>
        <w:numPr>
          <w:ilvl w:val="0"/>
          <w:numId w:val="0"/>
        </w:numPr>
        <w:ind w:left="737"/>
      </w:pPr>
    </w:p>
    <w:p w14:paraId="431327C0" w14:textId="77777777" w:rsidR="00DE66A4" w:rsidRDefault="00DE66A4" w:rsidP="003B3318">
      <w:pPr>
        <w:pStyle w:val="Text1-1"/>
        <w:numPr>
          <w:ilvl w:val="0"/>
          <w:numId w:val="0"/>
        </w:numPr>
        <w:ind w:left="737"/>
      </w:pPr>
    </w:p>
    <w:p w14:paraId="0F7CBFD7" w14:textId="77777777" w:rsidR="00DE66A4" w:rsidRDefault="00DE66A4" w:rsidP="003B3318">
      <w:pPr>
        <w:pStyle w:val="Text1-1"/>
        <w:numPr>
          <w:ilvl w:val="0"/>
          <w:numId w:val="0"/>
        </w:numPr>
        <w:ind w:left="737"/>
      </w:pPr>
    </w:p>
    <w:p w14:paraId="672648FD" w14:textId="77777777" w:rsidR="00DE66A4" w:rsidRDefault="00DE66A4" w:rsidP="003B3318">
      <w:pPr>
        <w:pStyle w:val="Text1-1"/>
        <w:numPr>
          <w:ilvl w:val="0"/>
          <w:numId w:val="0"/>
        </w:numPr>
        <w:ind w:left="737"/>
      </w:pPr>
    </w:p>
    <w:p w14:paraId="033237D5" w14:textId="77777777" w:rsidR="00DE66A4" w:rsidRDefault="00DE66A4" w:rsidP="003B3318">
      <w:pPr>
        <w:pStyle w:val="Text1-1"/>
        <w:numPr>
          <w:ilvl w:val="0"/>
          <w:numId w:val="0"/>
        </w:numPr>
        <w:ind w:left="737"/>
      </w:pPr>
    </w:p>
    <w:p w14:paraId="37D9787E" w14:textId="77777777" w:rsidR="00DE66A4" w:rsidRDefault="00DE66A4" w:rsidP="003B3318">
      <w:pPr>
        <w:pStyle w:val="Text1-1"/>
        <w:numPr>
          <w:ilvl w:val="0"/>
          <w:numId w:val="0"/>
        </w:numPr>
        <w:ind w:left="737"/>
      </w:pPr>
    </w:p>
    <w:p w14:paraId="19A22CC6" w14:textId="77777777" w:rsidR="00DE66A4" w:rsidRDefault="00DE66A4" w:rsidP="003B3318">
      <w:pPr>
        <w:pStyle w:val="Text1-1"/>
        <w:numPr>
          <w:ilvl w:val="0"/>
          <w:numId w:val="0"/>
        </w:numPr>
        <w:ind w:left="737"/>
      </w:pPr>
    </w:p>
    <w:p w14:paraId="62AEF438" w14:textId="77777777" w:rsidR="003B3318" w:rsidRDefault="003B3318" w:rsidP="003B3318">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3B3318" w:rsidRPr="00465F4C" w14:paraId="58C2EADA" w14:textId="77777777" w:rsidTr="00073D04">
        <w:trPr>
          <w:trHeight w:val="1845"/>
        </w:trPr>
        <w:tc>
          <w:tcPr>
            <w:tcW w:w="1843" w:type="dxa"/>
            <w:tcBorders>
              <w:top w:val="single" w:sz="4" w:space="0" w:color="auto"/>
              <w:left w:val="single" w:sz="4" w:space="0" w:color="auto"/>
              <w:bottom w:val="single" w:sz="4" w:space="0" w:color="auto"/>
              <w:right w:val="single" w:sz="4" w:space="0" w:color="auto"/>
            </w:tcBorders>
            <w:hideMark/>
          </w:tcPr>
          <w:p w14:paraId="6CDBFD74" w14:textId="77777777" w:rsidR="003B3318" w:rsidRPr="00B77110" w:rsidRDefault="003B3318" w:rsidP="00073D04">
            <w:pPr>
              <w:rPr>
                <w:rFonts w:cs="Arial"/>
                <w:b/>
                <w:bCs/>
              </w:rPr>
            </w:pPr>
          </w:p>
          <w:p w14:paraId="4E9747AC" w14:textId="77777777" w:rsidR="003B3318" w:rsidRPr="00B77110" w:rsidRDefault="003B3318" w:rsidP="00073D04">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hideMark/>
          </w:tcPr>
          <w:p w14:paraId="1CA56721" w14:textId="77777777" w:rsidR="003B3318" w:rsidRPr="00B77110" w:rsidRDefault="003B3318" w:rsidP="00073D04">
            <w:pPr>
              <w:rPr>
                <w:rFonts w:cs="Arial"/>
                <w:b/>
                <w:bCs/>
              </w:rPr>
            </w:pPr>
          </w:p>
          <w:p w14:paraId="10722812" w14:textId="77777777" w:rsidR="003B3318" w:rsidRPr="00B77110" w:rsidRDefault="003B3318" w:rsidP="00073D04">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hideMark/>
          </w:tcPr>
          <w:p w14:paraId="0677EE2B" w14:textId="77777777" w:rsidR="003B3318" w:rsidRPr="00B77110" w:rsidRDefault="003B3318" w:rsidP="00073D04">
            <w:pPr>
              <w:rPr>
                <w:rFonts w:cs="Arial"/>
                <w:b/>
                <w:bCs/>
              </w:rPr>
            </w:pPr>
          </w:p>
          <w:p w14:paraId="41F8A0DE" w14:textId="77777777" w:rsidR="003B3318" w:rsidRPr="00B77110" w:rsidRDefault="003B3318" w:rsidP="00073D04">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hideMark/>
          </w:tcPr>
          <w:p w14:paraId="7A4035CB" w14:textId="77777777" w:rsidR="003B3318" w:rsidRPr="00B77110" w:rsidRDefault="003B3318" w:rsidP="00073D04">
            <w:pPr>
              <w:rPr>
                <w:rFonts w:cs="Arial"/>
                <w:b/>
                <w:bCs/>
              </w:rPr>
            </w:pPr>
          </w:p>
          <w:p w14:paraId="0C5CA216" w14:textId="77777777" w:rsidR="003B3318" w:rsidRPr="00B77110" w:rsidRDefault="003B3318" w:rsidP="00073D04">
            <w:pPr>
              <w:rPr>
                <w:rFonts w:cs="Arial"/>
                <w:bCs/>
              </w:rPr>
            </w:pPr>
            <w:r w:rsidRPr="00B77110">
              <w:rPr>
                <w:rFonts w:cs="Arial"/>
                <w:b/>
                <w:bCs/>
              </w:rPr>
              <w:t>Maximální bodové ohodnocení</w:t>
            </w:r>
            <w:r w:rsidRPr="00B77110">
              <w:rPr>
                <w:rFonts w:cs="Arial"/>
                <w:bCs/>
              </w:rPr>
              <w:t xml:space="preserve"> (zkušenosti</w:t>
            </w:r>
            <w:r>
              <w:rPr>
                <w:rFonts w:cs="Arial"/>
                <w:bCs/>
              </w:rPr>
              <w:t xml:space="preserve"> </w:t>
            </w:r>
            <w:r w:rsidRPr="00B77110">
              <w:rPr>
                <w:rFonts w:cs="Arial"/>
                <w:bCs/>
              </w:rPr>
              <w:t>nad rámec maxima již nejsou hodnoceny)</w:t>
            </w:r>
          </w:p>
        </w:tc>
      </w:tr>
      <w:tr w:rsidR="003B3318" w:rsidRPr="00465F4C" w14:paraId="4DB1E8CC" w14:textId="77777777" w:rsidTr="00073D04">
        <w:trPr>
          <w:trHeight w:val="50"/>
        </w:trPr>
        <w:tc>
          <w:tcPr>
            <w:tcW w:w="1843" w:type="dxa"/>
            <w:tcBorders>
              <w:top w:val="single" w:sz="4" w:space="0" w:color="auto"/>
              <w:left w:val="single" w:sz="4" w:space="0" w:color="auto"/>
              <w:bottom w:val="single" w:sz="4" w:space="0" w:color="auto"/>
              <w:right w:val="single" w:sz="4" w:space="0" w:color="auto"/>
            </w:tcBorders>
            <w:hideMark/>
          </w:tcPr>
          <w:p w14:paraId="48B88443" w14:textId="77777777" w:rsidR="003B3318" w:rsidRPr="00DE66A4" w:rsidRDefault="003B3318" w:rsidP="00073D04">
            <w:pPr>
              <w:rPr>
                <w:rFonts w:cs="Arial"/>
                <w:bCs/>
              </w:rPr>
            </w:pPr>
            <w:r w:rsidRPr="00DE66A4">
              <w:rPr>
                <w:rFonts w:cs="Arial"/>
                <w:bCs/>
              </w:rPr>
              <w:t>vedoucí týmu</w:t>
            </w:r>
          </w:p>
        </w:tc>
        <w:tc>
          <w:tcPr>
            <w:tcW w:w="3969" w:type="dxa"/>
            <w:tcBorders>
              <w:top w:val="single" w:sz="4" w:space="0" w:color="auto"/>
              <w:left w:val="nil"/>
              <w:bottom w:val="single" w:sz="4" w:space="0" w:color="auto"/>
              <w:right w:val="single" w:sz="4" w:space="0" w:color="auto"/>
            </w:tcBorders>
            <w:hideMark/>
          </w:tcPr>
          <w:p w14:paraId="69B6DAB9" w14:textId="07883443" w:rsidR="003B3318" w:rsidRPr="00DE66A4" w:rsidRDefault="003B3318" w:rsidP="00073D04">
            <w:pPr>
              <w:jc w:val="both"/>
              <w:rPr>
                <w:rFonts w:cs="Arial"/>
                <w:bCs/>
              </w:rPr>
            </w:pPr>
            <w:r w:rsidRPr="00DE66A4">
              <w:t xml:space="preserve">zkušenost s plněním zakázky, jejíž součástí byl výkon majetkoprávní přípravy a/nebo vypořádání na liniových stavbách, jak jsou definovány v článku 8.4 </w:t>
            </w:r>
            <w:r w:rsidR="004E0790" w:rsidRPr="00DE66A4">
              <w:t xml:space="preserve">těchto </w:t>
            </w:r>
            <w:r w:rsidRPr="00DE66A4">
              <w:t>Pokynů</w:t>
            </w:r>
            <w:r w:rsidR="004E0790" w:rsidRPr="00DE66A4">
              <w:t xml:space="preserve"> </w:t>
            </w:r>
            <w:r w:rsidR="004E0790" w:rsidRPr="00DE66A4">
              <w:rPr>
                <w:rFonts w:eastAsia="Times New Roman" w:cs="Calibri"/>
                <w:lang w:eastAsia="cs-CZ"/>
              </w:rPr>
              <w:t>s názvem seznam významných služeb</w:t>
            </w:r>
            <w:r w:rsidRPr="00DE66A4">
              <w:t xml:space="preserve">, </w:t>
            </w:r>
            <w:r w:rsidR="0026521E" w:rsidRPr="00DE66A4">
              <w:t xml:space="preserve">spočívající v </w:t>
            </w:r>
            <w:r w:rsidRPr="00DE66A4">
              <w:t>uzavření minimálně 30 smluv</w:t>
            </w:r>
            <w:r w:rsidR="0026521E" w:rsidRPr="00DE66A4">
              <w:t xml:space="preserve">, jejichž předmětem byl </w:t>
            </w:r>
            <w:r w:rsidRPr="00DE66A4">
              <w:t>převod vlastnického práva nebo práva hospodařit k pozemkům a stavbám nebo smluv o zřízení věcného břemene-služebnosti včetně vkladu práv dle těchto smluv do katastru nemovitostí, ve funkci vedoucího týmu, dokončené v posledních 8 letech před zahájením zadávacího řízení</w:t>
            </w:r>
            <w:r w:rsidR="0026521E" w:rsidRPr="00DE66A4">
              <w:t xml:space="preserve"> </w:t>
            </w:r>
            <w:r w:rsidR="0026521E" w:rsidRPr="00DE66A4">
              <w:rPr>
                <w:rFonts w:eastAsia="Times New Roman" w:cs="Calibri"/>
                <w:lang w:eastAsia="cs-CZ"/>
              </w:rPr>
              <w:t xml:space="preserve">(za dokončenou zakázku se považuje i odevzdaná příslušná část dokumentace s kompletní majetkoprávní částí) </w:t>
            </w:r>
            <w:r w:rsidRPr="00DE66A4">
              <w:t>, a to nad rámec kvalifikačního kritéria</w:t>
            </w:r>
            <w:r w:rsidR="0026521E" w:rsidRPr="00DE66A4">
              <w:t xml:space="preserve"> </w:t>
            </w:r>
          </w:p>
        </w:tc>
        <w:tc>
          <w:tcPr>
            <w:tcW w:w="1559" w:type="dxa"/>
            <w:tcBorders>
              <w:top w:val="single" w:sz="4" w:space="0" w:color="auto"/>
              <w:left w:val="nil"/>
              <w:bottom w:val="single" w:sz="4" w:space="0" w:color="auto"/>
              <w:right w:val="single" w:sz="4" w:space="0" w:color="auto"/>
            </w:tcBorders>
            <w:vAlign w:val="center"/>
            <w:hideMark/>
          </w:tcPr>
          <w:p w14:paraId="26F1E9FD" w14:textId="34FA9F66" w:rsidR="003B3318" w:rsidRPr="00DE66A4" w:rsidRDefault="003B3318" w:rsidP="00073D04">
            <w:pPr>
              <w:rPr>
                <w:rFonts w:cs="Arial"/>
                <w:bCs/>
              </w:rPr>
            </w:pPr>
            <w:r w:rsidRPr="00DE66A4">
              <w:rPr>
                <w:rFonts w:cs="Arial"/>
                <w:bCs/>
              </w:rPr>
              <w:t>2 body za každou zakázku</w:t>
            </w:r>
          </w:p>
          <w:p w14:paraId="29AA4F46" w14:textId="77777777" w:rsidR="003B3318" w:rsidRPr="00DE66A4" w:rsidRDefault="003B3318" w:rsidP="00073D04">
            <w:pPr>
              <w:rPr>
                <w:rFonts w:cs="Arial"/>
                <w:bCs/>
              </w:rPr>
            </w:pPr>
          </w:p>
        </w:tc>
        <w:tc>
          <w:tcPr>
            <w:tcW w:w="1560" w:type="dxa"/>
            <w:tcBorders>
              <w:top w:val="single" w:sz="4" w:space="0" w:color="auto"/>
              <w:left w:val="nil"/>
              <w:bottom w:val="single" w:sz="4" w:space="0" w:color="auto"/>
              <w:right w:val="single" w:sz="4" w:space="0" w:color="auto"/>
            </w:tcBorders>
            <w:vAlign w:val="center"/>
            <w:hideMark/>
          </w:tcPr>
          <w:p w14:paraId="05B00B66" w14:textId="77777777" w:rsidR="003B3318" w:rsidRPr="00DE66A4" w:rsidRDefault="003B3318" w:rsidP="00073D04">
            <w:pPr>
              <w:rPr>
                <w:rFonts w:cs="Arial"/>
                <w:bCs/>
              </w:rPr>
            </w:pPr>
            <w:r w:rsidRPr="00DE66A4">
              <w:rPr>
                <w:rFonts w:cs="Arial"/>
                <w:bCs/>
              </w:rPr>
              <w:t>10</w:t>
            </w:r>
          </w:p>
        </w:tc>
      </w:tr>
    </w:tbl>
    <w:p w14:paraId="2758685F" w14:textId="3D3CC269" w:rsidR="00B77110" w:rsidRDefault="003B3318" w:rsidP="003B3318">
      <w:pPr>
        <w:pStyle w:val="Text1-1"/>
        <w:numPr>
          <w:ilvl w:val="0"/>
          <w:numId w:val="0"/>
        </w:numPr>
        <w:ind w:left="737"/>
        <w:rPr>
          <w:rFonts w:ascii="Calibri" w:hAnsi="Calibri" w:cs="Calibri"/>
          <w:sz w:val="20"/>
          <w:szCs w:val="20"/>
        </w:rPr>
      </w:pPr>
      <w:r>
        <w:rPr>
          <w:rFonts w:ascii="Calibri" w:hAnsi="Calibri" w:cs="Calibri"/>
          <w:sz w:val="20"/>
          <w:szCs w:val="20"/>
        </w:rPr>
        <w:t xml:space="preserve"> </w:t>
      </w: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21BE86E6" w:rsidR="00B77110" w:rsidRDefault="00B77110" w:rsidP="00B77110">
      <w:pPr>
        <w:pStyle w:val="Text1-1"/>
        <w:numPr>
          <w:ilvl w:val="0"/>
          <w:numId w:val="0"/>
        </w:numPr>
        <w:ind w:left="737"/>
      </w:pPr>
      <w:r>
        <w:t>Dodavatel může u každé funkce člena odborného personálu dodavatele</w:t>
      </w:r>
      <w:r w:rsidR="00FC166D">
        <w:t>,</w:t>
      </w:r>
      <w:r>
        <w:t xml:space="preserve"> určit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lastRenderedPageBreak/>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4BD1CB86" w:rsidR="00A80B49" w:rsidRPr="00DE66A4" w:rsidRDefault="00A80B49" w:rsidP="00FC166D">
      <w:pPr>
        <w:pStyle w:val="Text1-1"/>
        <w:numPr>
          <w:ilvl w:val="0"/>
          <w:numId w:val="0"/>
        </w:numPr>
        <w:ind w:left="737"/>
        <w:rPr>
          <w:rFonts w:cs="Arial"/>
          <w:bCs/>
        </w:rPr>
      </w:pPr>
      <w:r>
        <w:t xml:space="preserve">Pro odstranění pochybností zadavatel upřesňuje, že </w:t>
      </w:r>
      <w:r w:rsidRPr="00DE66A4">
        <w:t>u</w:t>
      </w:r>
      <w:r w:rsidRPr="00DE66A4">
        <w:rPr>
          <w:rFonts w:cs="Arial"/>
          <w:bCs/>
        </w:rPr>
        <w:t xml:space="preserve"> </w:t>
      </w:r>
      <w:r w:rsidR="00FC166D" w:rsidRPr="00DE66A4">
        <w:rPr>
          <w:rFonts w:cs="Arial"/>
          <w:bCs/>
        </w:rPr>
        <w:t xml:space="preserve">vedoucího týmu </w:t>
      </w:r>
      <w:r w:rsidRPr="00DE66A4">
        <w:rPr>
          <w:rFonts w:cs="Arial"/>
          <w:bCs/>
        </w:rPr>
        <w:t>nemůže dodavatel tu samou referenční zakázku použít k prokázání kvalifikace a zároveň i pro hodnocení</w:t>
      </w:r>
      <w:r w:rsidR="007C1338" w:rsidRPr="00DE66A4">
        <w:rPr>
          <w:rFonts w:cs="Arial"/>
          <w:bCs/>
        </w:rPr>
        <w:t>;</w:t>
      </w:r>
      <w:r w:rsidRPr="00DE66A4">
        <w:rPr>
          <w:rFonts w:cs="Arial"/>
          <w:bCs/>
        </w:rPr>
        <w:t xml:space="preserve"> hodnoceny budou tedy pouze referenční zakázky uvedené nad rámec kvalifikačního kritéria.</w:t>
      </w:r>
    </w:p>
    <w:p w14:paraId="28E81AC4" w14:textId="3A9FBC6C" w:rsidR="00B77110" w:rsidRPr="00DE66A4" w:rsidRDefault="00B77110" w:rsidP="00B77110">
      <w:pPr>
        <w:pStyle w:val="Text1-1"/>
        <w:numPr>
          <w:ilvl w:val="0"/>
          <w:numId w:val="0"/>
        </w:numPr>
        <w:ind w:left="737"/>
      </w:pPr>
      <w:r w:rsidRPr="00DE66A4">
        <w:t xml:space="preserve">Zadavatel upozorňuje na ustanovení čl. 9.3 těchto Pokynů, v němž </w:t>
      </w:r>
      <w:r w:rsidR="00580BF5" w:rsidRPr="00DE66A4">
        <w:t>může být</w:t>
      </w:r>
      <w:r w:rsidRPr="00DE66A4">
        <w:t xml:space="preserve"> uveden požadavek, aby uvedené významné činnosti při plnění veřejné zakázky byly plněny přímo vybraným dodavatelem. V rozsahu takto </w:t>
      </w:r>
      <w:r w:rsidR="00580BF5" w:rsidRPr="00DE66A4">
        <w:t xml:space="preserve">případně </w:t>
      </w:r>
      <w:r w:rsidRPr="00DE66A4">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rsidRPr="00DE66A4">
        <w:t xml:space="preserve"> (resp. dostane 0 bodů)</w:t>
      </w:r>
      <w:r w:rsidRPr="00DE66A4">
        <w:t>.</w:t>
      </w:r>
    </w:p>
    <w:p w14:paraId="1B7966E5" w14:textId="77777777" w:rsidR="00FC0898" w:rsidRPr="00DE66A4" w:rsidRDefault="00B77110" w:rsidP="00FC0898">
      <w:pPr>
        <w:spacing w:before="120"/>
        <w:ind w:left="709"/>
        <w:jc w:val="both"/>
        <w:rPr>
          <w:rFonts w:cs="Calibri"/>
        </w:rPr>
      </w:pPr>
      <w:r w:rsidRPr="00DE66A4">
        <w:t xml:space="preserve">Doba 8 let (u referenčních zakázek uvedených výše v tabulce hodnocených jako zkušenost konkrétního člena odborného personálu) se považuje za splněnou, pokud byla referenční zakázka </w:t>
      </w:r>
      <w:r w:rsidR="008A5E06" w:rsidRPr="00DE66A4">
        <w:t xml:space="preserve">odpovídající zadavatelem stanovené </w:t>
      </w:r>
      <w:r w:rsidR="005446A9" w:rsidRPr="00DE66A4">
        <w:t xml:space="preserve">definici hodnocené zkušenosti </w:t>
      </w:r>
      <w:r w:rsidR="001B6474" w:rsidRPr="00DE66A4">
        <w:t xml:space="preserve">dokončena </w:t>
      </w:r>
      <w:r w:rsidRPr="00DE66A4">
        <w:t xml:space="preserve">v průběhu této doby </w:t>
      </w:r>
      <w:r w:rsidR="001B6474" w:rsidRPr="00DE66A4">
        <w:t xml:space="preserve">nebo kdykoli po zahájení zadávacího řízení až do </w:t>
      </w:r>
      <w:r w:rsidR="00026001" w:rsidRPr="00DE66A4">
        <w:t>lhůty</w:t>
      </w:r>
      <w:r w:rsidR="001B6474" w:rsidRPr="00DE66A4">
        <w:t xml:space="preserve"> p</w:t>
      </w:r>
      <w:r w:rsidR="0090370B" w:rsidRPr="00DE66A4">
        <w:t>r</w:t>
      </w:r>
      <w:r w:rsidR="001B6474" w:rsidRPr="00DE66A4">
        <w:t xml:space="preserve">o podání nabídek </w:t>
      </w:r>
      <w:r w:rsidR="005B3E86" w:rsidRPr="00DE66A4">
        <w:t>a postačuje, aby požadované minimální hodnoty referenční zakázky byly dosaženy za celou dobu jejího poskytování, nikoliv pouze v průběhu posledních 8 let před zahájením zadávacího řízení</w:t>
      </w:r>
      <w:r w:rsidRPr="00DE66A4">
        <w:t xml:space="preserve">. V případě, že byla zakázka součástí rozsáhlejšího plnění pro objednatele služby </w:t>
      </w:r>
      <w:r w:rsidR="00FC0898" w:rsidRPr="00DE66A4">
        <w:t xml:space="preserve">(např. </w:t>
      </w:r>
      <w:r w:rsidR="00FC0898" w:rsidRPr="00DE66A4">
        <w:rPr>
          <w:rFonts w:cs="Calibri"/>
        </w:rPr>
        <w:t>kromě zajištění majetkoprávního vypořádání měl dodavatel vykonávat i další činnosti jako např. zpracování geometrických plánů), postačí, pokud je dokončeno plnění v rozsahu referované činnosti (tj. zajištění majetkoprávního vypořádání v požadovaném rozsahu</w:t>
      </w:r>
      <w:r w:rsidR="00FC0898" w:rsidRPr="00DE66A4">
        <w:t xml:space="preserve">). Je-li referenční zakázka součástí rozsáhlejšího plnění pro téhož dodavatele, je pro hodnocení relevantní pouze ta jeho část, která odpovídá zadavatelem stanovené definici hodnocené zkušenosti. Zadavatel upozorňuje, že z předložené Přílohy č. 9 těchto Pokynů s názvem Seznam zkušeností hodnocených členů odborného personálu musí konkrétně vyplývat, jaký byl počet smluv zajištěných v rámci té části plnění, která obsahově odpovídá zadavatelem stanovené </w:t>
      </w:r>
      <w:r w:rsidR="00FC0898" w:rsidRPr="00DE66A4">
        <w:rPr>
          <w:rFonts w:cs="Calibri"/>
        </w:rPr>
        <w:t>minimální úrovni významné služby, a v jakém časovém období byly tyto konkrétní služby poskytovány</w:t>
      </w:r>
      <w:r w:rsidR="00FC0898" w:rsidRPr="00DE66A4">
        <w:t xml:space="preserve">. </w:t>
      </w:r>
    </w:p>
    <w:p w14:paraId="1B6D0F4C" w14:textId="77777777" w:rsidR="00FC0898" w:rsidRDefault="00FC0898" w:rsidP="00FC0898">
      <w:pPr>
        <w:pStyle w:val="Text1-1"/>
        <w:numPr>
          <w:ilvl w:val="0"/>
          <w:numId w:val="0"/>
        </w:numPr>
        <w:ind w:left="737"/>
      </w:pPr>
      <w:r w:rsidRPr="00DE66A4">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 resp. počty hodnocených referenčních zakázek, původně hodnocené osoby, které byly nad rámec hodnoceného maxima.</w:t>
      </w:r>
    </w:p>
    <w:p w14:paraId="702DE435" w14:textId="1414BAF6"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FE5726">
        <w:t>protokol o provedení díla</w:t>
      </w:r>
      <w:r w:rsidR="00752EDE">
        <w:t xml:space="preserve"> </w:t>
      </w:r>
      <w:r w:rsidR="00FE5726">
        <w:t>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 xml:space="preserve">zadavatel zjistí, že </w:t>
      </w:r>
      <w:r w:rsidR="00A62C46">
        <w:t>dodavatel předložil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717CE12F" w14:textId="77777777" w:rsidR="00DE66A4" w:rsidRDefault="00DE66A4" w:rsidP="00B77110">
      <w:pPr>
        <w:pStyle w:val="Text1-1"/>
        <w:numPr>
          <w:ilvl w:val="0"/>
          <w:numId w:val="0"/>
        </w:numPr>
        <w:ind w:left="737"/>
        <w:rPr>
          <w:b/>
        </w:rPr>
      </w:pPr>
    </w:p>
    <w:p w14:paraId="16A123C0" w14:textId="77777777" w:rsidR="00DE66A4" w:rsidRDefault="00DE66A4" w:rsidP="00B77110">
      <w:pPr>
        <w:pStyle w:val="Text1-1"/>
        <w:numPr>
          <w:ilvl w:val="0"/>
          <w:numId w:val="0"/>
        </w:numPr>
        <w:ind w:left="737"/>
        <w:rPr>
          <w:b/>
        </w:rPr>
      </w:pPr>
    </w:p>
    <w:p w14:paraId="2B98AE88" w14:textId="5ED7C4AE" w:rsidR="00B77110" w:rsidRPr="00B77110" w:rsidRDefault="00B77110" w:rsidP="00B77110">
      <w:pPr>
        <w:pStyle w:val="Text1-1"/>
        <w:numPr>
          <w:ilvl w:val="0"/>
          <w:numId w:val="0"/>
        </w:numPr>
        <w:ind w:left="737"/>
        <w:rPr>
          <w:b/>
        </w:rPr>
      </w:pPr>
      <w:r w:rsidRPr="00B77110">
        <w:rPr>
          <w:b/>
        </w:rPr>
        <w:lastRenderedPageBreak/>
        <w:t>Výpočet hodnocení dílčího hodnotícího kritéria:</w:t>
      </w:r>
    </w:p>
    <w:p w14:paraId="1B6C52D4" w14:textId="5C94119E"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2309E5B1" w:rsidR="00B77110" w:rsidRDefault="00B77110" w:rsidP="00B77110">
      <w:pPr>
        <w:pStyle w:val="Text1-1"/>
        <w:numPr>
          <w:ilvl w:val="0"/>
          <w:numId w:val="0"/>
        </w:numPr>
        <w:ind w:left="737"/>
      </w:pPr>
      <w:r>
        <w:t xml:space="preserve">Takto získaný počet bodů </w:t>
      </w:r>
      <w:r w:rsidRPr="00DE66A4">
        <w:t>bude vynásoben koeficientem 0,</w:t>
      </w:r>
      <w:r w:rsidR="000D24B5" w:rsidRPr="00DE66A4">
        <w:t>2</w:t>
      </w:r>
      <w:r w:rsidRPr="00DE66A4">
        <w:t>0</w:t>
      </w:r>
      <w:r>
        <w:t xml:space="preserve">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2" w:name="_Toc178766819"/>
      <w:r>
        <w:t>ZRUŠENÍ ZADÁVACÍHO ŘÍZENÍ</w:t>
      </w:r>
      <w:bookmarkEnd w:id="22"/>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3" w:name="_Toc178766820"/>
      <w:r>
        <w:t>UZAVŘENÍ SMLOUVY</w:t>
      </w:r>
      <w:bookmarkEnd w:id="23"/>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w:t>
      </w:r>
      <w:r w:rsidRPr="00572F04">
        <w:lastRenderedPageBreak/>
        <w:t xml:space="preserve">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2B65F1B7" w14:textId="72CBAA56" w:rsidR="00572F04" w:rsidRPr="00DE66A4" w:rsidRDefault="00572F04" w:rsidP="00FF2650">
      <w:pPr>
        <w:pStyle w:val="Odrka1-1"/>
      </w:pPr>
      <w:r>
        <w:t xml:space="preserve">vybraným dodavatelem </w:t>
      </w:r>
      <w:r w:rsidRPr="00DE66A4">
        <w:t xml:space="preserve">vyplněné Přílohy č. </w:t>
      </w:r>
      <w:r w:rsidR="000D24B5" w:rsidRPr="00DE66A4">
        <w:t>4</w:t>
      </w:r>
      <w:r w:rsidRPr="00DE66A4">
        <w:t xml:space="preserve">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16CE0B5A" w:rsidR="00572F04" w:rsidRPr="00DE66A4" w:rsidRDefault="00572F04" w:rsidP="00572F04">
      <w:pPr>
        <w:pStyle w:val="Odrka1-1"/>
      </w:pPr>
      <w:r w:rsidRPr="00DE66A4">
        <w:t xml:space="preserve">vybraným dodavatelem vyplněné Přílohy č. </w:t>
      </w:r>
      <w:r w:rsidR="00122098" w:rsidRPr="00DE66A4">
        <w:t>5</w:t>
      </w:r>
      <w:r w:rsidRPr="00DE66A4">
        <w:t xml:space="preserve"> Smlouvy o dílo s názvem Seznam poddodavatelů, a ve formátu umožňujícím editaci;</w:t>
      </w:r>
    </w:p>
    <w:p w14:paraId="2DFAF334" w14:textId="24706F63" w:rsidR="00572F04" w:rsidRDefault="00572F04" w:rsidP="00572F04">
      <w:pPr>
        <w:pStyle w:val="Odrka1-1"/>
      </w:pPr>
      <w:r w:rsidRPr="00DE66A4">
        <w:t xml:space="preserve">kopií </w:t>
      </w:r>
      <w:r w:rsidR="00A965D3" w:rsidRPr="00DE66A4">
        <w:t xml:space="preserve">smluv </w:t>
      </w:r>
      <w:r w:rsidR="00EC2AAB" w:rsidRPr="00DE66A4">
        <w:t xml:space="preserve">s poddodavateli </w:t>
      </w:r>
      <w:r w:rsidR="00A965D3" w:rsidRPr="00DE66A4">
        <w:t xml:space="preserve">nebo poddodavateli podepsaných potvrzení o jejich existenci nebo </w:t>
      </w:r>
      <w:r w:rsidRPr="00DE66A4">
        <w:t xml:space="preserve">písemných závazků poddodavatelů uvedených v Příloze č. </w:t>
      </w:r>
      <w:r w:rsidR="00122098" w:rsidRPr="00DE66A4">
        <w:t>5</w:t>
      </w:r>
      <w:r w:rsidRPr="00DE66A4">
        <w:t xml:space="preserve"> Smlouvy o dílo s názvem Seznam poddodavatelů, kteří se budou podílet na plnění veřejné zakázky, tzn. i těch poddodavatelů, prostřednictvím kterých vybraný dodavatel neprokazuje splnění kvalifikace. Z předložených dokumentů musí být patrné, že</w:t>
      </w:r>
      <w:r>
        <w:t xml:space="preserve"> poddodavatelé uvedení v Příloze č. 8 Smlouvy o dílo souhlasí se svým budoucím zapojením do plnění předmětu veřejné zakázky a jsou připraveni své konkrétně specifikované plnění poskytnout.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lastRenderedPageBreak/>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1034AE1B" w:rsidR="0035531B" w:rsidRDefault="00572F04" w:rsidP="00572F04">
      <w:pPr>
        <w:pStyle w:val="Text1-1"/>
      </w:pPr>
      <w:r w:rsidRPr="00572F04">
        <w:t xml:space="preserve">Zadavatel u vybraného dodavatele ověří naplnění důvodu pro vyloučení podle § 48 odst. 7 ZZVZ. Vybraný dodavatel, který je </w:t>
      </w:r>
      <w:r w:rsidR="00E86BD4">
        <w:t xml:space="preserve">zahraniční </w:t>
      </w:r>
      <w:r w:rsidR="00E0380C">
        <w:t xml:space="preserve">právnickou </w:t>
      </w:r>
      <w:r w:rsidR="00E86BD4">
        <w:t xml:space="preserve">osobou a který je </w:t>
      </w:r>
      <w:r w:rsidRPr="00572F04">
        <w:t>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13252FB1"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w:t>
      </w:r>
      <w:r w:rsidRPr="00DE66A4">
        <w:t>požadované dle čl. 8.9</w:t>
      </w:r>
      <w:r w:rsidR="00BF6E6C" w:rsidRPr="00DE66A4">
        <w:t xml:space="preserve"> </w:t>
      </w:r>
      <w:r w:rsidRPr="00DE66A4">
        <w:t>těchto Pokynů ve vztahu</w:t>
      </w:r>
      <w:r>
        <w:t xml:space="preserve"> k této jiné osobě.</w:t>
      </w:r>
    </w:p>
    <w:p w14:paraId="187B794F" w14:textId="77777777" w:rsidR="0035531B" w:rsidRDefault="0035531B" w:rsidP="00B77C6D">
      <w:pPr>
        <w:pStyle w:val="Nadpis1-1"/>
      </w:pPr>
      <w:bookmarkStart w:id="24" w:name="_Toc178766821"/>
      <w:r>
        <w:t>OCHRANA INFORMACÍ</w:t>
      </w:r>
      <w:bookmarkEnd w:id="24"/>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w:t>
      </w:r>
      <w:r>
        <w:lastRenderedPageBreak/>
        <w:t>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Pr="00DE66A4" w:rsidRDefault="00572F04" w:rsidP="00572F04">
      <w:pPr>
        <w:pStyle w:val="Text1-1"/>
      </w:pPr>
      <w:r>
        <w:t xml:space="preserve">Zpracování osobních údajů včetně jejich zvláštních kategorií případně poskytnutých v průběhu zadávacího řízení je zadavatelem prováděno pouze za účelem zadání předmětné </w:t>
      </w:r>
      <w:r w:rsidRPr="00DE66A4">
        <w:t>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rsidRPr="00DE66A4">
        <w:t>.</w:t>
      </w:r>
    </w:p>
    <w:p w14:paraId="6009AEF6" w14:textId="77777777" w:rsidR="0035531B" w:rsidRPr="00DE66A4" w:rsidRDefault="0035531B" w:rsidP="00564DDD">
      <w:pPr>
        <w:pStyle w:val="Nadpis1-1"/>
      </w:pPr>
      <w:bookmarkStart w:id="25" w:name="_Toc178766822"/>
      <w:r w:rsidRPr="00DE66A4">
        <w:t>ZADÁVACÍ LHŮTA</w:t>
      </w:r>
      <w:r w:rsidR="00845C50" w:rsidRPr="00DE66A4">
        <w:t xml:space="preserve"> </w:t>
      </w:r>
      <w:r w:rsidR="00092CC9" w:rsidRPr="00DE66A4">
        <w:t>A</w:t>
      </w:r>
      <w:r w:rsidR="00845C50" w:rsidRPr="00DE66A4">
        <w:t> </w:t>
      </w:r>
      <w:r w:rsidRPr="00DE66A4">
        <w:t>JISTOTA ZA NABÍDKU</w:t>
      </w:r>
      <w:bookmarkEnd w:id="25"/>
    </w:p>
    <w:p w14:paraId="6E8A0614" w14:textId="30D6282B" w:rsidR="0035531B" w:rsidRPr="00DE66A4" w:rsidRDefault="00A965D3" w:rsidP="0035531B">
      <w:pPr>
        <w:pStyle w:val="Text1-1"/>
      </w:pPr>
      <w:r w:rsidRPr="00DE66A4">
        <w:t>Zadávací l</w:t>
      </w:r>
      <w:r w:rsidR="0035531B" w:rsidRPr="00DE66A4">
        <w:t xml:space="preserve">hůta činí </w:t>
      </w:r>
      <w:r w:rsidR="0035531B" w:rsidRPr="00DE66A4">
        <w:rPr>
          <w:b/>
        </w:rPr>
        <w:t>6 měsíců</w:t>
      </w:r>
      <w:r w:rsidR="0035531B" w:rsidRPr="00DE66A4">
        <w:t xml:space="preserve"> od skončení lhůty pro podání nabídek. </w:t>
      </w:r>
    </w:p>
    <w:p w14:paraId="401830FD" w14:textId="207EBBC5" w:rsidR="0035531B" w:rsidRPr="00DE66A4" w:rsidRDefault="0035531B" w:rsidP="00572F04">
      <w:pPr>
        <w:pStyle w:val="Text1-1"/>
      </w:pPr>
      <w:r w:rsidRPr="00DE66A4">
        <w:t>Zadavatel</w:t>
      </w:r>
      <w:r w:rsidR="00092CC9" w:rsidRPr="00DE66A4">
        <w:t xml:space="preserve"> v </w:t>
      </w:r>
      <w:r w:rsidRPr="00DE66A4">
        <w:t>souladu</w:t>
      </w:r>
      <w:r w:rsidR="00845C50" w:rsidRPr="00DE66A4">
        <w:t xml:space="preserve"> s </w:t>
      </w:r>
      <w:r w:rsidRPr="00DE66A4">
        <w:t>§ 41 ZZVZ požaduje, aby účastníci</w:t>
      </w:r>
      <w:r w:rsidR="00BC6D2B" w:rsidRPr="00DE66A4">
        <w:t xml:space="preserve"> k </w:t>
      </w:r>
      <w:r w:rsidRPr="00DE66A4">
        <w:t>zajištění plnění svých povinností vyplývajících</w:t>
      </w:r>
      <w:r w:rsidR="0060115D" w:rsidRPr="00DE66A4">
        <w:t xml:space="preserve"> z </w:t>
      </w:r>
      <w:r w:rsidRPr="00DE66A4">
        <w:t>účasti</w:t>
      </w:r>
      <w:r w:rsidR="00092CC9" w:rsidRPr="00DE66A4">
        <w:t xml:space="preserve"> v </w:t>
      </w:r>
      <w:r w:rsidRPr="00DE66A4">
        <w:t>zadávacím řízení poskytli jistotu ve výši</w:t>
      </w:r>
      <w:r w:rsidRPr="00DE66A4">
        <w:rPr>
          <w:b/>
          <w:bCs/>
        </w:rPr>
        <w:t xml:space="preserve"> </w:t>
      </w:r>
      <w:r w:rsidR="007862F6" w:rsidRPr="00DE66A4">
        <w:rPr>
          <w:b/>
          <w:bCs/>
        </w:rPr>
        <w:t>500 000</w:t>
      </w:r>
      <w:r w:rsidRPr="00DE66A4">
        <w:t xml:space="preserve"> </w:t>
      </w:r>
      <w:r w:rsidRPr="00DE66A4">
        <w:rPr>
          <w:b/>
        </w:rPr>
        <w:t xml:space="preserve">Kč </w:t>
      </w:r>
      <w:r w:rsidRPr="00DE66A4">
        <w:t xml:space="preserve">(slovy: </w:t>
      </w:r>
      <w:r w:rsidR="007862F6" w:rsidRPr="00DE66A4">
        <w:t xml:space="preserve">pět set tisíc </w:t>
      </w:r>
      <w:r w:rsidRPr="00DE66A4">
        <w:t>korun českých).</w:t>
      </w:r>
    </w:p>
    <w:p w14:paraId="7B1C4055" w14:textId="77777777" w:rsidR="0035531B" w:rsidRPr="00DE66A4" w:rsidRDefault="0035531B" w:rsidP="0035531B">
      <w:pPr>
        <w:pStyle w:val="Text1-1"/>
      </w:pPr>
      <w:r w:rsidRPr="00DE66A4">
        <w:t>Jistota bude poskytnuta</w:t>
      </w:r>
      <w:r w:rsidR="00092CC9" w:rsidRPr="00DE66A4">
        <w:t xml:space="preserve"> v </w:t>
      </w:r>
      <w:r w:rsidRPr="00DE66A4">
        <w:t xml:space="preserve">elektronické podobě formou: </w:t>
      </w:r>
    </w:p>
    <w:p w14:paraId="05DD08B3" w14:textId="77777777" w:rsidR="0035531B" w:rsidRPr="00DE66A4" w:rsidRDefault="0035531B" w:rsidP="00564DDD">
      <w:pPr>
        <w:pStyle w:val="Odrka1-1"/>
      </w:pPr>
      <w:r w:rsidRPr="00DE66A4">
        <w:t xml:space="preserve">složení peněžní částky na účet zadavatele („peněžní jistota“), nebo </w:t>
      </w:r>
    </w:p>
    <w:p w14:paraId="0BA36C69" w14:textId="77777777" w:rsidR="0035531B" w:rsidRPr="00DE66A4" w:rsidRDefault="0035531B" w:rsidP="00564DDD">
      <w:pPr>
        <w:pStyle w:val="Odrka1-1"/>
      </w:pPr>
      <w:r w:rsidRPr="00DE66A4">
        <w:t xml:space="preserve">bankovní záruky ve prospěch zadavatele, nebo </w:t>
      </w:r>
    </w:p>
    <w:p w14:paraId="1782A029" w14:textId="77777777" w:rsidR="0035531B" w:rsidRPr="00DE66A4" w:rsidRDefault="0035531B" w:rsidP="00564DDD">
      <w:pPr>
        <w:pStyle w:val="Odrka1-1"/>
      </w:pPr>
      <w:r w:rsidRPr="00DE66A4">
        <w:t>pojištění záruky ve prospěch zadavatele.</w:t>
      </w:r>
    </w:p>
    <w:p w14:paraId="0946F839" w14:textId="38F2B35E" w:rsidR="0035531B" w:rsidRDefault="0035531B" w:rsidP="0035531B">
      <w:pPr>
        <w:pStyle w:val="Text1-1"/>
      </w:pPr>
      <w:r w:rsidRPr="00DE66A4">
        <w:t>Jistota ve formě složení peněžní částky na účet zadavatele musí být připsána na účet zadavatele ve lhůtě pro podání nabídek. Potřebné údaje pro složení peněžní jistoty na účet zadavatele jsou následující: č.</w:t>
      </w:r>
      <w:r w:rsidR="003E4EBD" w:rsidRPr="00DE66A4">
        <w:t xml:space="preserve"> </w:t>
      </w:r>
      <w:proofErr w:type="spellStart"/>
      <w:r w:rsidRPr="00DE66A4">
        <w:t>ú.</w:t>
      </w:r>
      <w:proofErr w:type="spellEnd"/>
      <w:r w:rsidR="00D246D8" w:rsidRPr="00DE66A4">
        <w:t xml:space="preserve"> </w:t>
      </w:r>
      <w:r w:rsidR="00D246D8" w:rsidRPr="00DE66A4">
        <w:rPr>
          <w:rFonts w:cstheme="minorHAnsi"/>
          <w:b/>
        </w:rPr>
        <w:t xml:space="preserve">30007-1908811/0710 </w:t>
      </w:r>
      <w:r w:rsidR="00D246D8" w:rsidRPr="00DE66A4">
        <w:rPr>
          <w:rFonts w:cstheme="minorHAnsi"/>
        </w:rPr>
        <w:t>vedený u České národní banky</w:t>
      </w:r>
      <w:r w:rsidR="00D246D8" w:rsidRPr="00DE66A4">
        <w:t xml:space="preserve">, variabilní symbol </w:t>
      </w:r>
      <w:r w:rsidR="00D246D8" w:rsidRPr="00DE66A4">
        <w:rPr>
          <w:b/>
        </w:rPr>
        <w:t>50035200</w:t>
      </w:r>
      <w:r w:rsidR="00B07798" w:rsidRPr="00DE66A4">
        <w:rPr>
          <w:b/>
        </w:rPr>
        <w:t>24</w:t>
      </w:r>
      <w:r w:rsidRPr="00DE66A4">
        <w:t>. Účastník zadávacího řízení prokáže</w:t>
      </w:r>
      <w:r w:rsidR="00092CC9" w:rsidRPr="00DE66A4">
        <w:t xml:space="preserve"> v </w:t>
      </w:r>
      <w:r w:rsidRPr="00DE66A4">
        <w:t>nabídce poskytnutí peněžní jistoty sdělením údajů</w:t>
      </w:r>
      <w:r w:rsidR="00092CC9" w:rsidRPr="00DE66A4">
        <w:t xml:space="preserve"> o </w:t>
      </w:r>
      <w:r w:rsidRPr="00DE66A4">
        <w:t>provedené</w:t>
      </w:r>
      <w:r>
        <w:t xml:space="preserve">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26" w:name="_Toc59538672"/>
      <w:bookmarkStart w:id="27" w:name="_Toc61510465"/>
      <w:bookmarkStart w:id="28" w:name="_Toc178766823"/>
      <w:r>
        <w:t>SOCIÁLNĚ A ENVIRO</w:t>
      </w:r>
      <w:r w:rsidR="007C1CD8">
        <w:t>N</w:t>
      </w:r>
      <w:r>
        <w:t>MENTÁLNĚ ODPOVĚDNÉ ZADÁVÁNÍ, INOVACE</w:t>
      </w:r>
      <w:bookmarkEnd w:id="26"/>
      <w:bookmarkEnd w:id="27"/>
      <w:bookmarkEnd w:id="28"/>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w:t>
      </w:r>
      <w:r>
        <w:lastRenderedPageBreak/>
        <w:t>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Pr="00DE66A4" w:rsidRDefault="00423AD4" w:rsidP="00423AD4">
      <w:pPr>
        <w:pStyle w:val="Text1-1"/>
      </w:pPr>
      <w:r w:rsidRPr="00DE66A4">
        <w:t>Zadavatel aplikuje v zadávacím řízení níže uvedené prvky odpovědného zadávání:</w:t>
      </w:r>
    </w:p>
    <w:p w14:paraId="33FF694A" w14:textId="43973A43" w:rsidR="00423AD4" w:rsidRPr="00DE66A4" w:rsidRDefault="00423AD4" w:rsidP="00423AD4">
      <w:pPr>
        <w:pStyle w:val="Odrka1-1"/>
      </w:pPr>
      <w:r w:rsidRPr="00DE66A4">
        <w:t>rovnocenné platební podmínky</w:t>
      </w:r>
      <w:r w:rsidR="008217CE" w:rsidRPr="00DE66A4">
        <w:t xml:space="preserve"> v rámci dodavatelského řetězce</w:t>
      </w:r>
    </w:p>
    <w:p w14:paraId="375EBBDC" w14:textId="538DAC71" w:rsidR="00423AD4" w:rsidRPr="00DE66A4" w:rsidRDefault="00423AD4" w:rsidP="00855C18">
      <w:pPr>
        <w:pStyle w:val="Odrka1-1"/>
      </w:pPr>
      <w:r w:rsidRPr="00DE66A4">
        <w:t xml:space="preserve">porady </w:t>
      </w:r>
      <w:r w:rsidR="00302811" w:rsidRPr="00DE66A4">
        <w:t xml:space="preserve">a jednání </w:t>
      </w:r>
      <w:r w:rsidRPr="00DE66A4">
        <w:t>veden</w:t>
      </w:r>
      <w:r w:rsidR="00302811" w:rsidRPr="00DE66A4">
        <w:t>á</w:t>
      </w:r>
      <w:r w:rsidRPr="00DE66A4">
        <w:t xml:space="preserve"> primárně distančním způsobem</w:t>
      </w:r>
    </w:p>
    <w:p w14:paraId="5348ACCB" w14:textId="79BF265B" w:rsidR="008217CE" w:rsidRPr="00DE66A4" w:rsidRDefault="00302811" w:rsidP="0037670E">
      <w:pPr>
        <w:pStyle w:val="Odrka1-1"/>
      </w:pPr>
      <w:r w:rsidRPr="00DE66A4">
        <w:t xml:space="preserve">majetkoprávní vypořádání </w:t>
      </w:r>
      <w:r w:rsidR="008217CE" w:rsidRPr="00DE66A4">
        <w:t>vedené v majetkoprávní aplikaci</w:t>
      </w:r>
      <w:r w:rsidRPr="00DE66A4">
        <w:t xml:space="preserve"> </w:t>
      </w:r>
    </w:p>
    <w:p w14:paraId="23D25BD6" w14:textId="66C45BBA" w:rsidR="00423AD4" w:rsidRPr="00DE66A4" w:rsidRDefault="00423AD4" w:rsidP="006A6DF0">
      <w:pPr>
        <w:pStyle w:val="Text1-1"/>
      </w:pPr>
      <w:r w:rsidRPr="00DE66A4">
        <w:t>Výše uvedené prvky odpovědného zadávání a povinnosti dodavatele s nimi spojené zadavatel stanovil v</w:t>
      </w:r>
      <w:r w:rsidR="00980909" w:rsidRPr="00DE66A4">
        <w:t xml:space="preserve"> </w:t>
      </w:r>
      <w:r w:rsidRPr="00DE66A4">
        <w:t xml:space="preserve">ustanoveních článku </w:t>
      </w:r>
      <w:r w:rsidR="0037670E" w:rsidRPr="00DE66A4">
        <w:t>15</w:t>
      </w:r>
      <w:r w:rsidR="00980909" w:rsidRPr="00DE66A4">
        <w:t>.</w:t>
      </w:r>
      <w:r w:rsidR="0037670E" w:rsidRPr="00DE66A4">
        <w:t>9</w:t>
      </w:r>
      <w:r w:rsidRPr="00DE66A4">
        <w:t xml:space="preserve"> závazného vzoru smlouvy, který je dílem 2 zadávací dokumentace</w:t>
      </w:r>
      <w:r w:rsidR="00980909" w:rsidRPr="00DE66A4">
        <w:t>.</w:t>
      </w:r>
    </w:p>
    <w:p w14:paraId="7FD7782A" w14:textId="6A8C2FA1" w:rsidR="004D33A0" w:rsidRDefault="004D33A0" w:rsidP="004D33A0">
      <w:pPr>
        <w:pStyle w:val="Nadpis1-1"/>
        <w:jc w:val="both"/>
      </w:pPr>
      <w:bookmarkStart w:id="29" w:name="_Toc102380477"/>
      <w:bookmarkStart w:id="30" w:name="_Toc103683200"/>
      <w:bookmarkStart w:id="31" w:name="_Toc103932243"/>
      <w:bookmarkStart w:id="32" w:name="_Toc178766824"/>
      <w:r>
        <w:t xml:space="preserve">Další zadávací podmínky v návaznosti na </w:t>
      </w:r>
      <w:bookmarkEnd w:id="29"/>
      <w:bookmarkEnd w:id="30"/>
      <w:bookmarkEnd w:id="31"/>
      <w:r w:rsidR="00CC7F60">
        <w:t>MEZINÁRODNÍ sankce, zákaz zadání veřejné zakázky</w:t>
      </w:r>
      <w:bookmarkEnd w:id="32"/>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1741D99"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jen </w:t>
      </w:r>
      <w:r w:rsidRPr="00DA0D67">
        <w:t>„Nařízení č. 833/2014“)</w:t>
      </w:r>
      <w:r w:rsidRPr="00CD701B">
        <w:t xml:space="preserve"> se zakazuje zadat nebo dále plnit jakoukoli veřejnou zakázku nebo koncesní smlouvu</w:t>
      </w:r>
      <w:r w:rsidR="004E17A6">
        <w:t xml:space="preserve">, </w:t>
      </w:r>
      <w:r w:rsidR="004E17A6" w:rsidRPr="003A7784">
        <w:t>které spadají do oblasti působnosti právních předpisů nebo jiných aktů uvedených v článku 5k Nařízení č. 833/2014</w:t>
      </w:r>
      <w:r w:rsidR="004E17A6">
        <w:t xml:space="preserve">, </w:t>
      </w:r>
      <w:r w:rsidR="00CC7F60" w:rsidRPr="004A650A">
        <w:t>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w:t>
      </w:r>
      <w:r w:rsidR="00E441DE">
        <w:rPr>
          <w:rStyle w:val="normaltextrun"/>
          <w:rFonts w:ascii="Verdana" w:hAnsi="Verdana"/>
          <w:shd w:val="clear" w:color="auto" w:fill="FFFFFF"/>
        </w:rPr>
        <w:lastRenderedPageBreak/>
        <w:t xml:space="preserve">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33" w:name="_Toc178766825"/>
      <w:r>
        <w:t>PŘÍLOHY TĚCHTO POKYNŮ</w:t>
      </w:r>
      <w:bookmarkEnd w:id="33"/>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7DE1387E" w14:textId="7D92E3AF" w:rsidR="0035531B" w:rsidRDefault="0035531B" w:rsidP="00564DDD">
      <w:pPr>
        <w:pStyle w:val="Textbezslovn"/>
        <w:spacing w:after="0"/>
      </w:pPr>
      <w:r>
        <w:t xml:space="preserve">V Praze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7412A501" w14:textId="77777777" w:rsidR="0035531B" w:rsidRDefault="0035531B" w:rsidP="00564DDD">
      <w:pPr>
        <w:pStyle w:val="Textbezslovn"/>
        <w:spacing w:after="0"/>
      </w:pPr>
      <w:r>
        <w:t>Ing. Mojmír Nejezchleb</w:t>
      </w:r>
    </w:p>
    <w:p w14:paraId="0A51013E" w14:textId="77777777" w:rsidR="0035531B" w:rsidRDefault="0035531B" w:rsidP="00564DDD">
      <w:pPr>
        <w:pStyle w:val="Textbezslovn"/>
        <w:spacing w:after="0"/>
      </w:pPr>
      <w:r>
        <w:t>náměstek generálního ředitele pro modernizaci dráhy</w:t>
      </w:r>
    </w:p>
    <w:p w14:paraId="12B786BB" w14:textId="7D6E308D" w:rsidR="000751BA" w:rsidRDefault="0035531B" w:rsidP="00CA466B">
      <w:pPr>
        <w:pStyle w:val="Textbezslovn"/>
        <w:spacing w:after="0"/>
        <w:rPr>
          <w:rFonts w:asciiTheme="majorHAnsi" w:hAnsiTheme="majorHAnsi"/>
          <w:b/>
          <w:caps/>
          <w:sz w:val="22"/>
        </w:rPr>
      </w:pPr>
      <w:r>
        <w:t>Správa železni</w:t>
      </w:r>
      <w:r w:rsidR="00040961">
        <w:t>c</w:t>
      </w:r>
      <w:r>
        <w:t>,</w:t>
      </w:r>
      <w:r w:rsidR="00F67ED4">
        <w:t xml:space="preserve"> </w:t>
      </w:r>
      <w:r>
        <w:t>státní organizace</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3"/>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724AFD99" w:rsidR="006A540D" w:rsidRDefault="006A540D" w:rsidP="006A540D">
      <w:pPr>
        <w:pStyle w:val="Textbezslovn"/>
        <w:ind w:left="0"/>
      </w:pPr>
      <w:r w:rsidRPr="006A6AF2">
        <w:t xml:space="preserve">Řádně jsme se seznámili se zněním zadávacích podmínek veřejné zakázky s názvem </w:t>
      </w:r>
      <w:r w:rsidR="005C4E6D" w:rsidRPr="004471E7">
        <w:rPr>
          <w:b/>
          <w:bCs/>
        </w:rPr>
        <w:t>„</w:t>
      </w:r>
      <w:r w:rsidR="005C4E6D">
        <w:rPr>
          <w:rFonts w:eastAsia="Times New Roman" w:cs="Arial"/>
          <w:b/>
          <w:color w:val="000000"/>
          <w:lang w:eastAsia="cs-CZ"/>
        </w:rPr>
        <w:t>Modernizace trati Brno-Přerov, 3. stavba Vyškov – Nezamyslice“</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4"/>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372E479D"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52AB55F6"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5"/>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40BB558F" w:rsidR="00452F69" w:rsidRPr="004471E7" w:rsidRDefault="00452F69" w:rsidP="0094424B">
            <w:pPr>
              <w:rPr>
                <w:sz w:val="16"/>
                <w:szCs w:val="16"/>
              </w:rPr>
            </w:pPr>
            <w:r w:rsidRPr="00833899">
              <w:rPr>
                <w:b w:val="0"/>
                <w:sz w:val="16"/>
                <w:szCs w:val="16"/>
              </w:rPr>
              <w:t xml:space="preserve">Popis pracovních činností/náplň </w:t>
            </w:r>
            <w:r w:rsidRPr="00DE66A4">
              <w:rPr>
                <w:b w:val="0"/>
                <w:sz w:val="16"/>
                <w:szCs w:val="16"/>
              </w:rPr>
              <w:t>praxe</w:t>
            </w:r>
            <w:r w:rsidR="0079069D" w:rsidRPr="00DE66A4">
              <w:rPr>
                <w:b w:val="0"/>
                <w:sz w:val="16"/>
                <w:szCs w:val="16"/>
              </w:rPr>
              <w:t xml:space="preserve"> (</w:t>
            </w:r>
            <w:r w:rsidR="0037670E" w:rsidRPr="00DE66A4">
              <w:rPr>
                <w:sz w:val="16"/>
                <w:szCs w:val="16"/>
              </w:rPr>
              <w:t xml:space="preserve">uveďte název, druh a předmět </w:t>
            </w:r>
            <w:r w:rsidR="004471E7" w:rsidRPr="00DE66A4">
              <w:rPr>
                <w:sz w:val="16"/>
                <w:szCs w:val="16"/>
              </w:rPr>
              <w:t>staveb</w:t>
            </w:r>
            <w:r w:rsidR="0037670E" w:rsidRPr="00DE66A4">
              <w:rPr>
                <w:sz w:val="16"/>
                <w:szCs w:val="16"/>
              </w:rPr>
              <w:t xml:space="preserve"> apod.</w:t>
            </w:r>
            <w:r w:rsidR="0079069D" w:rsidRPr="00DE66A4">
              <w:rPr>
                <w:sz w:val="16"/>
                <w:szCs w:val="16"/>
              </w:rPr>
              <w:t>)</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2F75963A" w:rsidR="0035531B" w:rsidRDefault="00543F07" w:rsidP="005D669A">
      <w:pPr>
        <w:pStyle w:val="Odstavec1-1a"/>
        <w:numPr>
          <w:ilvl w:val="0"/>
          <w:numId w:val="10"/>
        </w:numPr>
      </w:pPr>
      <w:r w:rsidRPr="00543F07">
        <w:rPr>
          <w:b/>
        </w:rPr>
        <w:t xml:space="preserve">Zkušenosti </w:t>
      </w:r>
      <w:r w:rsidRPr="00543F07">
        <w:t>s plněním zakázek u funkce</w:t>
      </w:r>
      <w:r w:rsidR="005D669A">
        <w:t xml:space="preserve"> </w:t>
      </w:r>
      <w:r w:rsidR="005D669A" w:rsidRPr="00DE66A4">
        <w:rPr>
          <w:b/>
          <w:bCs/>
        </w:rPr>
        <w:t>vedoucího týmu</w:t>
      </w:r>
      <w:r w:rsidRPr="00DE66A4">
        <w:rPr>
          <w:b/>
        </w:rPr>
        <w:t xml:space="preserve"> </w:t>
      </w:r>
      <w:r w:rsidR="00435A44" w:rsidRPr="00DE66A4">
        <w:rPr>
          <w:b/>
        </w:rPr>
        <w:t xml:space="preserve">a autorizovaného zeměměřického inženýra </w:t>
      </w:r>
      <w:r w:rsidRPr="00DE66A4">
        <w:rPr>
          <w:b/>
        </w:rPr>
        <w:t>z</w:t>
      </w:r>
      <w:r w:rsidRPr="005D669A">
        <w:rPr>
          <w:b/>
        </w:rPr>
        <w:t xml:space="preserve">a účelem prokázání kvalifikace </w:t>
      </w:r>
      <w:r w:rsidRPr="00543F07">
        <w:t>(u ostatních osob se tabulka proškrtne nebo nevyplní)</w:t>
      </w:r>
      <w:r w:rsidR="00307641">
        <w:rPr>
          <w:rStyle w:val="Znakapoznpodarou"/>
        </w:rPr>
        <w:footnoteReference w:id="6"/>
      </w:r>
      <w:r w:rsidR="0035531B">
        <w:t>:</w:t>
      </w:r>
    </w:p>
    <w:p w14:paraId="3B2E4A94" w14:textId="7F13FB98" w:rsidR="00EF5751" w:rsidRDefault="00EF5751" w:rsidP="00EF5751">
      <w:pPr>
        <w:pStyle w:val="Odstavec1-1a"/>
        <w:ind w:left="1077"/>
      </w:pPr>
      <w:r>
        <w:rPr>
          <w:b/>
        </w:rPr>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lastRenderedPageBreak/>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6DCE274A" w:rsidR="00452F69" w:rsidRPr="00DE66A4" w:rsidRDefault="00543F07" w:rsidP="00307641">
            <w:pPr>
              <w:rPr>
                <w:sz w:val="16"/>
                <w:szCs w:val="16"/>
              </w:rPr>
            </w:pPr>
            <w:r w:rsidRPr="00DE66A4">
              <w:rPr>
                <w:sz w:val="16"/>
                <w:szCs w:val="16"/>
              </w:rPr>
              <w:t xml:space="preserve">Popis předmětu plnění </w:t>
            </w:r>
            <w:proofErr w:type="gramStart"/>
            <w:r w:rsidRPr="00DE66A4">
              <w:rPr>
                <w:sz w:val="16"/>
                <w:szCs w:val="16"/>
              </w:rPr>
              <w:t>zakázky - v</w:t>
            </w:r>
            <w:proofErr w:type="gramEnd"/>
            <w:r w:rsidRPr="00DE66A4">
              <w:rPr>
                <w:sz w:val="16"/>
                <w:szCs w:val="16"/>
              </w:rPr>
              <w:t xml:space="preserve"> detailu potřebném pro ověření splnění požadavků</w:t>
            </w:r>
            <w:r w:rsidR="0079069D" w:rsidRPr="00DE66A4">
              <w:rPr>
                <w:sz w:val="16"/>
                <w:szCs w:val="16"/>
              </w:rPr>
              <w:t xml:space="preserve"> (</w:t>
            </w:r>
            <w:r w:rsidR="005D669A" w:rsidRPr="00DE66A4">
              <w:rPr>
                <w:sz w:val="16"/>
                <w:szCs w:val="16"/>
              </w:rPr>
              <w:t xml:space="preserve">včetně uvedení druhu a počtu uzavřených </w:t>
            </w:r>
            <w:proofErr w:type="gramStart"/>
            <w:r w:rsidR="005D669A" w:rsidRPr="00DE66A4">
              <w:rPr>
                <w:sz w:val="16"/>
                <w:szCs w:val="16"/>
              </w:rPr>
              <w:t>smluv</w:t>
            </w:r>
            <w:r w:rsidR="005D669A" w:rsidRPr="00DE66A4" w:rsidDel="005D669A">
              <w:rPr>
                <w:sz w:val="16"/>
                <w:szCs w:val="16"/>
              </w:rPr>
              <w:t xml:space="preserve"> </w:t>
            </w:r>
            <w:r w:rsidR="0079069D" w:rsidRPr="00DE66A4">
              <w:rPr>
                <w:sz w:val="16"/>
                <w:szCs w:val="16"/>
              </w:rPr>
              <w:t>)</w:t>
            </w:r>
            <w:proofErr w:type="gramEnd"/>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DE66A4" w:rsidRDefault="00543F07" w:rsidP="00307641">
            <w:pPr>
              <w:rPr>
                <w:sz w:val="16"/>
                <w:szCs w:val="16"/>
              </w:rPr>
            </w:pPr>
            <w:r w:rsidRPr="00DE66A4">
              <w:rPr>
                <w:sz w:val="16"/>
                <w:szCs w:val="16"/>
              </w:rPr>
              <w:t xml:space="preserve">Objednatel zakázky (obch. firma/název a sídlo a kontaktní osoba </w:t>
            </w:r>
            <w:proofErr w:type="gramStart"/>
            <w:r w:rsidRPr="00DE66A4">
              <w:rPr>
                <w:sz w:val="16"/>
                <w:szCs w:val="16"/>
              </w:rPr>
              <w:t>objednatele - jméno</w:t>
            </w:r>
            <w:proofErr w:type="gramEnd"/>
            <w:r w:rsidRPr="00DE66A4">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DE66A4" w:rsidRDefault="001114C3" w:rsidP="00307641">
            <w:pPr>
              <w:rPr>
                <w:sz w:val="16"/>
                <w:szCs w:val="16"/>
              </w:rPr>
            </w:pPr>
            <w:r w:rsidRPr="00DE66A4">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4471E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118A172D" w14:textId="1C7C5F73" w:rsidR="005D669A" w:rsidRPr="00DE66A4" w:rsidRDefault="00543F07" w:rsidP="00435A44">
            <w:pPr>
              <w:rPr>
                <w:sz w:val="16"/>
                <w:szCs w:val="16"/>
              </w:rPr>
            </w:pPr>
            <w:r w:rsidRPr="00DE66A4">
              <w:rPr>
                <w:sz w:val="16"/>
                <w:szCs w:val="16"/>
              </w:rPr>
              <w:t>Termín dokončení zakázky, resp. té části plnění zakázky, kter</w:t>
            </w:r>
            <w:r w:rsidR="007C4ABB" w:rsidRPr="00DE66A4">
              <w:rPr>
                <w:sz w:val="16"/>
                <w:szCs w:val="16"/>
              </w:rPr>
              <w:t>á</w:t>
            </w:r>
            <w:r w:rsidRPr="00DE66A4">
              <w:rPr>
                <w:sz w:val="16"/>
                <w:szCs w:val="16"/>
              </w:rPr>
              <w:t xml:space="preserve"> </w:t>
            </w:r>
            <w:r w:rsidR="00C6339C" w:rsidRPr="00DE66A4">
              <w:rPr>
                <w:sz w:val="16"/>
                <w:szCs w:val="16"/>
              </w:rPr>
              <w:t xml:space="preserve">v případě zakázky na více </w:t>
            </w:r>
            <w:r w:rsidR="009660AD" w:rsidRPr="00DE66A4">
              <w:rPr>
                <w:sz w:val="16"/>
                <w:szCs w:val="16"/>
              </w:rPr>
              <w:t xml:space="preserve">činností či stupňů dokumentace </w:t>
            </w:r>
            <w:r w:rsidRPr="00DE66A4">
              <w:rPr>
                <w:sz w:val="16"/>
                <w:szCs w:val="16"/>
              </w:rPr>
              <w:t xml:space="preserve">obsahově odpovídá zadavatelem stanovené </w:t>
            </w:r>
            <w:r w:rsidR="00E33B76" w:rsidRPr="00DE66A4">
              <w:rPr>
                <w:sz w:val="16"/>
                <w:szCs w:val="16"/>
              </w:rPr>
              <w:t xml:space="preserve">definici </w:t>
            </w:r>
            <w:r w:rsidRPr="00DE66A4">
              <w:rPr>
                <w:sz w:val="16"/>
                <w:szCs w:val="16"/>
              </w:rPr>
              <w:t xml:space="preserve">požadované </w:t>
            </w:r>
            <w:r w:rsidR="00E33B76" w:rsidRPr="00DE66A4">
              <w:rPr>
                <w:sz w:val="16"/>
                <w:szCs w:val="16"/>
              </w:rPr>
              <w:t xml:space="preserve">zkušenosti </w:t>
            </w:r>
            <w:r w:rsidR="005D669A" w:rsidRPr="00DE66A4">
              <w:rPr>
                <w:sz w:val="16"/>
                <w:szCs w:val="16"/>
              </w:rPr>
              <w:t>(tj.</w:t>
            </w:r>
            <w:r w:rsidR="005D669A" w:rsidRPr="00DE66A4">
              <w:rPr>
                <w:rFonts w:asciiTheme="majorHAnsi" w:hAnsiTheme="majorHAnsi" w:cs="Calibri"/>
                <w:sz w:val="16"/>
                <w:szCs w:val="16"/>
                <w:lang w:eastAsia="x-none"/>
              </w:rPr>
              <w:t xml:space="preserve"> zajištění majetkoprávní přípravy a/nebo vypořádání na liniových stavbách</w:t>
            </w:r>
            <w:r w:rsidR="005D669A" w:rsidRPr="00DE66A4">
              <w:rPr>
                <w:sz w:val="16"/>
                <w:szCs w:val="16"/>
              </w:rPr>
              <w:t xml:space="preserve">); </w:t>
            </w:r>
            <w:r w:rsidRPr="00DE66A4">
              <w:rPr>
                <w:sz w:val="16"/>
                <w:szCs w:val="16"/>
              </w:rPr>
              <w:t>(</w:t>
            </w:r>
          </w:p>
        </w:tc>
        <w:tc>
          <w:tcPr>
            <w:tcW w:w="2835" w:type="dxa"/>
            <w:tcBorders>
              <w:top w:val="single" w:sz="2" w:space="0" w:color="auto"/>
              <w:bottom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4471E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4" w:space="0" w:color="auto"/>
            </w:tcBorders>
          </w:tcPr>
          <w:p w14:paraId="15CAE352" w14:textId="6025829E" w:rsidR="00452F69" w:rsidRPr="00833899" w:rsidRDefault="0079069D" w:rsidP="00E33B76">
            <w:pPr>
              <w:rPr>
                <w:sz w:val="16"/>
                <w:szCs w:val="16"/>
              </w:rPr>
            </w:pPr>
            <w:r w:rsidRPr="000E48A0">
              <w:rPr>
                <w:sz w:val="16"/>
                <w:szCs w:val="16"/>
              </w:rPr>
              <w:t xml:space="preserve">Vykonávaná </w:t>
            </w:r>
            <w:r>
              <w:rPr>
                <w:sz w:val="16"/>
                <w:szCs w:val="16"/>
              </w:rPr>
              <w:t>f</w:t>
            </w:r>
            <w:r w:rsidRPr="00833899">
              <w:rPr>
                <w:sz w:val="16"/>
                <w:szCs w:val="16"/>
              </w:rPr>
              <w:t>unkce</w:t>
            </w:r>
            <w:r>
              <w:rPr>
                <w:sz w:val="16"/>
                <w:szCs w:val="16"/>
              </w:rPr>
              <w:t>/pozice</w:t>
            </w:r>
            <w:r w:rsidRPr="00543F07">
              <w:rPr>
                <w:sz w:val="16"/>
                <w:szCs w:val="16"/>
              </w:rPr>
              <w:t xml:space="preserve"> </w:t>
            </w:r>
            <w:r>
              <w:rPr>
                <w:sz w:val="16"/>
                <w:szCs w:val="16"/>
              </w:rPr>
              <w:t>a p</w:t>
            </w:r>
            <w:r w:rsidR="00543F07" w:rsidRPr="00543F07">
              <w:rPr>
                <w:sz w:val="16"/>
                <w:szCs w:val="16"/>
              </w:rPr>
              <w:t>opis pracovních činností vykonávaných členem odb</w:t>
            </w:r>
            <w:r w:rsidR="00E33B76">
              <w:rPr>
                <w:sz w:val="16"/>
                <w:szCs w:val="16"/>
              </w:rPr>
              <w:t>orného</w:t>
            </w:r>
            <w:r w:rsidR="00543F07" w:rsidRPr="00543F07">
              <w:rPr>
                <w:sz w:val="16"/>
                <w:szCs w:val="16"/>
              </w:rPr>
              <w:t xml:space="preserve"> </w:t>
            </w:r>
            <w:proofErr w:type="gramStart"/>
            <w:r w:rsidR="00543F07" w:rsidRPr="00543F07">
              <w:rPr>
                <w:sz w:val="16"/>
                <w:szCs w:val="16"/>
              </w:rPr>
              <w:t>personálu - v</w:t>
            </w:r>
            <w:proofErr w:type="gramEnd"/>
            <w:r w:rsidR="00543F07" w:rsidRPr="00543F07">
              <w:rPr>
                <w:sz w:val="16"/>
                <w:szCs w:val="16"/>
              </w:rPr>
              <w:t xml:space="preserve"> detailu potřebném pro ověření splnění požadavků</w:t>
            </w:r>
          </w:p>
        </w:tc>
        <w:tc>
          <w:tcPr>
            <w:tcW w:w="2835" w:type="dxa"/>
            <w:tcBorders>
              <w:top w:val="single" w:sz="2" w:space="0" w:color="auto"/>
              <w:bottom w:val="single" w:sz="4" w:space="0" w:color="auto"/>
            </w:tcBorders>
          </w:tcPr>
          <w:p w14:paraId="237F6DE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6F29D2" w:rsidRPr="00833899" w14:paraId="573D3962" w14:textId="77777777" w:rsidTr="004471E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auto"/>
              <w:right w:val="nil"/>
            </w:tcBorders>
            <w:shd w:val="clear" w:color="auto" w:fill="auto"/>
          </w:tcPr>
          <w:p w14:paraId="505F87CF" w14:textId="77F2C573" w:rsidR="006F29D2" w:rsidRPr="000E48A0" w:rsidRDefault="006F29D2" w:rsidP="006F29D2">
            <w:pPr>
              <w:rPr>
                <w:b w:val="0"/>
                <w:sz w:val="16"/>
                <w:szCs w:val="16"/>
                <w:highlight w:val="green"/>
              </w:rPr>
            </w:pPr>
          </w:p>
        </w:tc>
        <w:tc>
          <w:tcPr>
            <w:tcW w:w="2835" w:type="dxa"/>
            <w:tcBorders>
              <w:top w:val="single" w:sz="4" w:space="0" w:color="auto"/>
              <w:left w:val="nil"/>
            </w:tcBorders>
            <w:shd w:val="clear" w:color="auto" w:fill="auto"/>
          </w:tcPr>
          <w:p w14:paraId="7BE9E683" w14:textId="378DD3B9" w:rsidR="006F29D2" w:rsidRPr="006F29D2" w:rsidRDefault="006F29D2"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r>
    </w:tbl>
    <w:p w14:paraId="1E567558" w14:textId="61D2F165" w:rsidR="0035531B" w:rsidRPr="001950C2" w:rsidRDefault="0035531B" w:rsidP="005D669A">
      <w:pPr>
        <w:pStyle w:val="Odstavec1-1a"/>
        <w:numPr>
          <w:ilvl w:val="0"/>
          <w:numId w:val="10"/>
        </w:numPr>
      </w:pPr>
      <w:r w:rsidRPr="00452F69">
        <w:rPr>
          <w:b/>
        </w:rPr>
        <w:t>Odborná způsobilost</w:t>
      </w:r>
      <w:r>
        <w:t xml:space="preserve"> podle zvláštních právních předpisů: </w:t>
      </w:r>
      <w:r w:rsidR="00D77E22" w:rsidRPr="00DE66A4">
        <w:t xml:space="preserve">autorizace pro ověřování výsledků zeměměřických činností / </w:t>
      </w:r>
      <w:r w:rsidRPr="00DE66A4">
        <w:t>oprávnění</w:t>
      </w:r>
      <w:r w:rsidR="00BC6D2B" w:rsidRPr="00DE66A4">
        <w:t xml:space="preserve"> k </w:t>
      </w:r>
      <w:r w:rsidRPr="00DE66A4">
        <w:t xml:space="preserve">výkonu </w:t>
      </w:r>
      <w:r w:rsidR="005D669A" w:rsidRPr="00DE66A4">
        <w:t xml:space="preserve">znalecké činnosti v oboru Ekonomika, odvětví Ceny a odhady, specializace nemovitosti </w:t>
      </w:r>
      <w:r w:rsidR="003D22A9" w:rsidRPr="00DE66A4">
        <w:t xml:space="preserve">či </w:t>
      </w:r>
      <w:r w:rsidR="005D669A" w:rsidRPr="00DE66A4">
        <w:t>jiná odborná způsobilost</w:t>
      </w:r>
      <w:r w:rsidRPr="00DE66A4">
        <w:t>:</w:t>
      </w:r>
      <w:r>
        <w:t xml:space="preserve"> </w:t>
      </w:r>
      <w:r w:rsidRPr="005D669A">
        <w:rPr>
          <w:highlight w:val="yellow"/>
        </w:rPr>
        <w:t>[informace DOPLNÍ DODAVATEL</w:t>
      </w:r>
      <w:r w:rsidR="00BB4AF2" w:rsidRPr="005D669A">
        <w:rPr>
          <w:highlight w:val="yellow"/>
        </w:rPr>
        <w:t xml:space="preserve"> u </w:t>
      </w:r>
      <w:r w:rsidRPr="005D669A">
        <w:rPr>
          <w:highlight w:val="yellow"/>
        </w:rPr>
        <w:t>těch osob,</w:t>
      </w:r>
      <w:r w:rsidR="00BB4AF2" w:rsidRPr="005D669A">
        <w:rPr>
          <w:highlight w:val="yellow"/>
        </w:rPr>
        <w:t xml:space="preserve"> u </w:t>
      </w:r>
      <w:r w:rsidRPr="005D669A">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7"/>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8"/>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49CD3590" w:rsidR="00746A3A" w:rsidRPr="00DE66A4" w:rsidRDefault="00746A3A" w:rsidP="00294DE2">
            <w:pPr>
              <w:rPr>
                <w:sz w:val="16"/>
                <w:szCs w:val="16"/>
              </w:rPr>
            </w:pPr>
            <w:r w:rsidRPr="00DE66A4">
              <w:rPr>
                <w:sz w:val="16"/>
                <w:szCs w:val="16"/>
              </w:rPr>
              <w:t xml:space="preserve">Popis předmětu plnění </w:t>
            </w:r>
            <w:proofErr w:type="gramStart"/>
            <w:r w:rsidRPr="00DE66A4">
              <w:rPr>
                <w:sz w:val="16"/>
                <w:szCs w:val="16"/>
              </w:rPr>
              <w:t>zakázky - v</w:t>
            </w:r>
            <w:proofErr w:type="gramEnd"/>
            <w:r w:rsidRPr="00DE66A4">
              <w:rPr>
                <w:sz w:val="16"/>
                <w:szCs w:val="16"/>
              </w:rPr>
              <w:t xml:space="preserve"> detailu potřebném pro ověření splnění požadavků relevantních pro hodnocení (</w:t>
            </w:r>
            <w:r w:rsidR="00BD712B" w:rsidRPr="00DE66A4">
              <w:rPr>
                <w:sz w:val="16"/>
                <w:szCs w:val="16"/>
              </w:rPr>
              <w:t>včetně uvedení druhu a počtu uzavřených smluv</w:t>
            </w:r>
            <w:r w:rsidRPr="00DE66A4">
              <w:rPr>
                <w:sz w:val="16"/>
                <w:szCs w:val="16"/>
              </w:rPr>
              <w:t>)</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DE66A4" w:rsidRDefault="00746A3A" w:rsidP="00294DE2">
            <w:pPr>
              <w:rPr>
                <w:sz w:val="16"/>
                <w:szCs w:val="16"/>
              </w:rPr>
            </w:pPr>
            <w:r w:rsidRPr="00DE66A4">
              <w:rPr>
                <w:sz w:val="16"/>
                <w:szCs w:val="16"/>
              </w:rPr>
              <w:t xml:space="preserve">Objednatel zakázky (obch. firma/název, sídlo, IČO a kontaktní osoba </w:t>
            </w:r>
            <w:proofErr w:type="gramStart"/>
            <w:r w:rsidRPr="00DE66A4">
              <w:rPr>
                <w:sz w:val="16"/>
                <w:szCs w:val="16"/>
              </w:rPr>
              <w:t>objednatele - jméno</w:t>
            </w:r>
            <w:proofErr w:type="gramEnd"/>
            <w:r w:rsidRPr="00DE66A4">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DE66A4" w:rsidRDefault="00746A3A" w:rsidP="00294DE2">
            <w:pPr>
              <w:rPr>
                <w:sz w:val="16"/>
                <w:szCs w:val="16"/>
              </w:rPr>
            </w:pPr>
            <w:r w:rsidRPr="00DE66A4">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35F66D55" w:rsidR="00BD712B" w:rsidRPr="00DE66A4" w:rsidRDefault="00746A3A" w:rsidP="004471E7">
            <w:pPr>
              <w:rPr>
                <w:sz w:val="16"/>
                <w:szCs w:val="16"/>
              </w:rPr>
            </w:pPr>
            <w:r w:rsidRPr="00DE66A4">
              <w:rPr>
                <w:sz w:val="16"/>
                <w:szCs w:val="16"/>
              </w:rPr>
              <w:t>Termín dokončení zakázky, resp. té části plnění zakázky</w:t>
            </w:r>
            <w:r w:rsidR="00BD712B" w:rsidRPr="00DE66A4">
              <w:rPr>
                <w:sz w:val="16"/>
                <w:szCs w:val="16"/>
              </w:rPr>
              <w:t xml:space="preserve">, která obsahově odpovídá zadavatelem stanovené definici hodnocené zkušenosti; </w:t>
            </w:r>
            <w:r w:rsidR="005E24CB" w:rsidRPr="00DE66A4">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proofErr w:type="gramStart"/>
            <w:r>
              <w:rPr>
                <w:b w:val="0"/>
                <w:sz w:val="16"/>
                <w:szCs w:val="16"/>
              </w:rPr>
              <w:t xml:space="preserve">dodavatele </w:t>
            </w:r>
            <w:r w:rsidRPr="0042061D">
              <w:rPr>
                <w:b w:val="0"/>
                <w:sz w:val="16"/>
                <w:szCs w:val="16"/>
              </w:rPr>
              <w:t>- v</w:t>
            </w:r>
            <w:proofErr w:type="gramEnd"/>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138974C9" w14:textId="4486DD4F" w:rsidR="00D42474" w:rsidRDefault="00C02436" w:rsidP="004471E7">
      <w:pPr>
        <w:pStyle w:val="Textbezslovn"/>
        <w:ind w:left="0"/>
      </w:pPr>
      <w:r>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FE5726">
        <w:t>protokol o provedení díla či jiný alternativní doklad</w:t>
      </w:r>
      <w:r w:rsidRPr="003E611F">
        <w:t>).</w:t>
      </w:r>
      <w:r w:rsidR="009B3A21" w:rsidDel="009B3A21">
        <w:t xml:space="preserve"> </w:t>
      </w:r>
      <w:bookmarkEnd w:id="2"/>
      <w:bookmarkEnd w:id="3"/>
      <w:bookmarkEnd w:id="4"/>
      <w:bookmarkEnd w:id="5"/>
      <w:r w:rsidR="00D42474">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9"/>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03200191"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w:t>
      </w:r>
      <w:bookmarkStart w:id="34" w:name="_Hlk204086209"/>
      <w:r w:rsidRPr="00DF0EC8">
        <w:rPr>
          <w:rFonts w:eastAsia="Times New Roman" w:cs="Times New Roman"/>
          <w:lang w:eastAsia="cs-CZ"/>
        </w:rPr>
        <w:t>s</w:t>
      </w:r>
      <w:r w:rsidR="005C4E6D">
        <w:rPr>
          <w:rFonts w:eastAsia="Times New Roman" w:cs="Times New Roman"/>
          <w:lang w:eastAsia="cs-CZ"/>
        </w:rPr>
        <w:t> </w:t>
      </w:r>
      <w:r w:rsidRPr="00DF0EC8">
        <w:rPr>
          <w:rFonts w:eastAsia="Times New Roman" w:cs="Times New Roman"/>
          <w:lang w:eastAsia="cs-CZ"/>
        </w:rPr>
        <w:t>názvem</w:t>
      </w:r>
      <w:r w:rsidR="005C4E6D">
        <w:rPr>
          <w:rFonts w:eastAsia="Times New Roman" w:cs="Times New Roman"/>
          <w:lang w:eastAsia="cs-CZ"/>
        </w:rPr>
        <w:t xml:space="preserve"> „</w:t>
      </w:r>
      <w:r w:rsidR="005C4E6D">
        <w:rPr>
          <w:rFonts w:eastAsia="Times New Roman" w:cs="Arial"/>
          <w:b/>
          <w:color w:val="000000"/>
          <w:lang w:eastAsia="cs-CZ"/>
        </w:rPr>
        <w:t>Modernizace trati Brno-Přerov, 3. stavba Vyškov – Nezamyslice“</w:t>
      </w:r>
      <w:bookmarkEnd w:id="34"/>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4"/>
      <w:footerReference w:type="default" r:id="rId25"/>
      <w:headerReference w:type="first" r:id="rId26"/>
      <w:foot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17EE" w14:textId="77777777" w:rsidR="00484308" w:rsidRDefault="00484308" w:rsidP="00962258">
      <w:pPr>
        <w:spacing w:after="0" w:line="240" w:lineRule="auto"/>
      </w:pPr>
      <w:r>
        <w:separator/>
      </w:r>
    </w:p>
  </w:endnote>
  <w:endnote w:type="continuationSeparator" w:id="0">
    <w:p w14:paraId="3F546600" w14:textId="77777777" w:rsidR="00484308" w:rsidRDefault="00484308"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tcMar>
            <w:left w:w="0" w:type="dxa"/>
            <w:right w:w="0" w:type="dxa"/>
          </w:tcMar>
        </w:tcPr>
        <w:p w14:paraId="240F2DFD" w14:textId="77777777" w:rsidR="00B104FA" w:rsidRDefault="00B104FA" w:rsidP="00B8518B">
          <w:pPr>
            <w:pStyle w:val="Zpat"/>
          </w:pPr>
        </w:p>
      </w:tc>
      <w:tc>
        <w:tcPr>
          <w:tcW w:w="425" w:type="dxa"/>
          <w:tcMar>
            <w:left w:w="0" w:type="dxa"/>
            <w:right w:w="0" w:type="dxa"/>
          </w:tcMar>
        </w:tcPr>
        <w:p w14:paraId="7564134E" w14:textId="77777777" w:rsidR="00B104FA" w:rsidRDefault="00B104FA" w:rsidP="00B8518B">
          <w:pPr>
            <w:pStyle w:val="Zpat"/>
          </w:pPr>
        </w:p>
      </w:tc>
      <w:tc>
        <w:tcPr>
          <w:tcW w:w="8505" w:type="dxa"/>
        </w:tcPr>
        <w:p w14:paraId="1B4593B8" w14:textId="12E33AB0" w:rsidR="00B104FA" w:rsidRDefault="00B104FA" w:rsidP="00EB46E5">
          <w:pPr>
            <w:pStyle w:val="Zpat0"/>
          </w:pPr>
          <w:r w:rsidRPr="005C4E6D">
            <w:t>„</w:t>
          </w:r>
          <w:r w:rsidR="005C4E6D" w:rsidRPr="005C4E6D">
            <w:rPr>
              <w:rFonts w:eastAsia="Times New Roman" w:cs="Arial"/>
              <w:bCs/>
              <w:color w:val="000000"/>
              <w:lang w:eastAsia="cs-CZ"/>
            </w:rPr>
            <w:t>Modernizace trati Brno-Přerov, 3. stavba Vyškov – Nezamyslice</w:t>
          </w:r>
          <w:r w:rsidRPr="005C4E6D">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B896" w14:textId="77777777" w:rsidR="00484308" w:rsidRDefault="00484308" w:rsidP="00962258">
      <w:pPr>
        <w:spacing w:after="0" w:line="240" w:lineRule="auto"/>
      </w:pPr>
      <w:r>
        <w:separator/>
      </w:r>
    </w:p>
  </w:footnote>
  <w:footnote w:type="continuationSeparator" w:id="0">
    <w:p w14:paraId="6218507F" w14:textId="77777777" w:rsidR="00484308" w:rsidRDefault="00484308" w:rsidP="00962258">
      <w:pPr>
        <w:spacing w:after="0" w:line="240" w:lineRule="auto"/>
      </w:pPr>
      <w:r>
        <w:continuationSeparator/>
      </w:r>
    </w:p>
  </w:footnote>
  <w:footnote w:id="1">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9">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29FFF5F3" w:rsidR="00B104FA" w:rsidRPr="00B8518B" w:rsidRDefault="00B104FA" w:rsidP="00523EA7">
          <w:pPr>
            <w:pStyle w:val="Zpat"/>
            <w:rPr>
              <w:rStyle w:val="slostrnky"/>
            </w:rPr>
          </w:pPr>
        </w:p>
      </w:tc>
      <w:tc>
        <w:tcPr>
          <w:tcW w:w="3458" w:type="dxa"/>
          <w:tcMar>
            <w:top w:w="57" w:type="dxa"/>
            <w:left w:w="0" w:type="dxa"/>
            <w:right w:w="0" w:type="dxa"/>
          </w:tcMar>
        </w:tcPr>
        <w:p w14:paraId="0BFEA660" w14:textId="77777777" w:rsidR="00B104FA" w:rsidRDefault="00B104FA" w:rsidP="00523EA7">
          <w:pPr>
            <w:pStyle w:val="Zpat"/>
          </w:pPr>
        </w:p>
      </w:tc>
      <w:tc>
        <w:tcPr>
          <w:tcW w:w="5698" w:type="dxa"/>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117AAB07" w:rsidR="00B104FA" w:rsidRPr="00B8518B" w:rsidRDefault="00B104FA" w:rsidP="00FC6389">
          <w:pPr>
            <w:pStyle w:val="Zpat"/>
            <w:rPr>
              <w:rStyle w:val="slostrnky"/>
            </w:rPr>
          </w:pPr>
        </w:p>
      </w:tc>
      <w:tc>
        <w:tcPr>
          <w:tcW w:w="3458" w:type="dxa"/>
          <w:tcMar>
            <w:left w:w="0" w:type="dxa"/>
            <w:right w:w="0" w:type="dxa"/>
          </w:tcMar>
        </w:tcPr>
        <w:p w14:paraId="5723BA86" w14:textId="77777777" w:rsidR="00B104FA" w:rsidRDefault="00B104FA" w:rsidP="00FC6389">
          <w:pPr>
            <w:pStyle w:val="Zpat"/>
          </w:pPr>
        </w:p>
      </w:tc>
      <w:tc>
        <w:tcPr>
          <w:tcW w:w="5756" w:type="dxa"/>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tcMar>
            <w:left w:w="0" w:type="dxa"/>
            <w:right w:w="0" w:type="dxa"/>
          </w:tcMar>
        </w:tcPr>
        <w:p w14:paraId="44D3F74E" w14:textId="77777777" w:rsidR="00B104FA" w:rsidRDefault="00B104FA" w:rsidP="00FC6389">
          <w:pPr>
            <w:pStyle w:val="Zpat"/>
          </w:pPr>
        </w:p>
      </w:tc>
      <w:tc>
        <w:tcPr>
          <w:tcW w:w="5756" w:type="dxa"/>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0171AF"/>
    <w:multiLevelType w:val="hybridMultilevel"/>
    <w:tmpl w:val="0EECB3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BA81972"/>
    <w:multiLevelType w:val="hybridMultilevel"/>
    <w:tmpl w:val="08867B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5CA81DD2">
      <w:start w:val="1"/>
      <w:numFmt w:val="bullet"/>
      <w:lvlText w:val=""/>
      <w:lvlJc w:val="left"/>
      <w:pPr>
        <w:ind w:left="2340" w:hanging="360"/>
      </w:pPr>
      <w:rPr>
        <w:rFonts w:ascii="Symbol" w:hAnsi="Symbol" w:hint="default"/>
      </w:rPr>
    </w:lvl>
    <w:lvl w:ilvl="3" w:tplc="5CA81DD2">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0" w15:restartNumberingAfterBreak="0">
    <w:nsid w:val="349D2144"/>
    <w:multiLevelType w:val="multilevel"/>
    <w:tmpl w:val="C3784B92"/>
    <w:lvl w:ilvl="0">
      <w:start w:val="1"/>
      <w:numFmt w:val="bullet"/>
      <w:pStyle w:val="Odrka1-1"/>
      <w:lvlText w:val=""/>
      <w:lvlJc w:val="left"/>
      <w:pPr>
        <w:tabs>
          <w:tab w:val="num" w:pos="1332"/>
        </w:tabs>
        <w:ind w:left="1332"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C6FCD"/>
    <w:multiLevelType w:val="multilevel"/>
    <w:tmpl w:val="E80484F4"/>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b w:val="0"/>
        <w:strike w:val="0"/>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3"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7"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18"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A24D1F"/>
    <w:multiLevelType w:val="hybridMultilevel"/>
    <w:tmpl w:val="D34C9B52"/>
    <w:lvl w:ilvl="0" w:tplc="19EA6BF2">
      <w:start w:val="1"/>
      <w:numFmt w:val="lowerLetter"/>
      <w:lvlText w:val="%1)"/>
      <w:lvlJc w:val="left"/>
      <w:pPr>
        <w:ind w:left="1778" w:hanging="360"/>
      </w:pPr>
      <w:rPr>
        <w:rFonts w:asciiTheme="minorHAnsi" w:eastAsia="Times New Roman" w:hAnsiTheme="minorHAnsi" w:cs="Calibri"/>
        <w:color w:val="auto"/>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74070991"/>
    <w:multiLevelType w:val="multilevel"/>
    <w:tmpl w:val="CABE99FC"/>
    <w:numStyleLink w:val="ListNumbermultilevel"/>
  </w:abstractNum>
  <w:abstractNum w:abstractNumId="21"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3748248">
    <w:abstractNumId w:val="5"/>
  </w:num>
  <w:num w:numId="2" w16cid:durableId="407657814">
    <w:abstractNumId w:val="1"/>
  </w:num>
  <w:num w:numId="3" w16cid:durableId="196897435">
    <w:abstractNumId w:val="20"/>
  </w:num>
  <w:num w:numId="4" w16cid:durableId="369301113">
    <w:abstractNumId w:val="4"/>
  </w:num>
  <w:num w:numId="5" w16cid:durableId="789014622">
    <w:abstractNumId w:val="0"/>
  </w:num>
  <w:num w:numId="6" w16cid:durableId="1893737071">
    <w:abstractNumId w:val="9"/>
  </w:num>
  <w:num w:numId="7" w16cid:durableId="596256151">
    <w:abstractNumId w:val="10"/>
  </w:num>
  <w:num w:numId="8" w16cid:durableId="1848254933">
    <w:abstractNumId w:val="22"/>
  </w:num>
  <w:num w:numId="9" w16cid:durableId="1570574199">
    <w:abstractNumId w:val="18"/>
  </w:num>
  <w:num w:numId="10" w16cid:durableId="395128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8116142">
    <w:abstractNumId w:val="12"/>
  </w:num>
  <w:num w:numId="12" w16cid:durableId="401413042">
    <w:abstractNumId w:val="14"/>
  </w:num>
  <w:num w:numId="13" w16cid:durableId="738793678">
    <w:abstractNumId w:val="2"/>
  </w:num>
  <w:num w:numId="14" w16cid:durableId="214582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7150405">
    <w:abstractNumId w:val="13"/>
  </w:num>
  <w:num w:numId="16" w16cid:durableId="915895546">
    <w:abstractNumId w:val="16"/>
  </w:num>
  <w:num w:numId="17" w16cid:durableId="2010402851">
    <w:abstractNumId w:val="3"/>
  </w:num>
  <w:num w:numId="18" w16cid:durableId="120074493">
    <w:abstractNumId w:val="21"/>
  </w:num>
  <w:num w:numId="19" w16cid:durableId="229581542">
    <w:abstractNumId w:val="6"/>
  </w:num>
  <w:num w:numId="20" w16cid:durableId="1459564039">
    <w:abstractNumId w:val="11"/>
  </w:num>
  <w:num w:numId="21" w16cid:durableId="190730180">
    <w:abstractNumId w:val="7"/>
  </w:num>
  <w:num w:numId="22" w16cid:durableId="974870567">
    <w:abstractNumId w:val="17"/>
  </w:num>
  <w:num w:numId="23" w16cid:durableId="1941060606">
    <w:abstractNumId w:val="19"/>
  </w:num>
  <w:num w:numId="24" w16cid:durableId="729811492">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CDA"/>
    <w:rsid w:val="0001060D"/>
    <w:rsid w:val="000156A7"/>
    <w:rsid w:val="000174E8"/>
    <w:rsid w:val="00017F3C"/>
    <w:rsid w:val="0002092B"/>
    <w:rsid w:val="00020AF4"/>
    <w:rsid w:val="00024660"/>
    <w:rsid w:val="00025146"/>
    <w:rsid w:val="00026001"/>
    <w:rsid w:val="0002621B"/>
    <w:rsid w:val="00026D0B"/>
    <w:rsid w:val="00027375"/>
    <w:rsid w:val="000338E9"/>
    <w:rsid w:val="00035828"/>
    <w:rsid w:val="000359B9"/>
    <w:rsid w:val="00040961"/>
    <w:rsid w:val="0004115B"/>
    <w:rsid w:val="00041387"/>
    <w:rsid w:val="00041EC8"/>
    <w:rsid w:val="00043B79"/>
    <w:rsid w:val="00043EF5"/>
    <w:rsid w:val="000466BC"/>
    <w:rsid w:val="00046F76"/>
    <w:rsid w:val="00047AB6"/>
    <w:rsid w:val="00050C79"/>
    <w:rsid w:val="000513F4"/>
    <w:rsid w:val="00053304"/>
    <w:rsid w:val="00060A15"/>
    <w:rsid w:val="0006499F"/>
    <w:rsid w:val="0006588D"/>
    <w:rsid w:val="00067936"/>
    <w:rsid w:val="00067A5E"/>
    <w:rsid w:val="00067EE3"/>
    <w:rsid w:val="000719BB"/>
    <w:rsid w:val="00072A65"/>
    <w:rsid w:val="00072C1E"/>
    <w:rsid w:val="000751BA"/>
    <w:rsid w:val="00075902"/>
    <w:rsid w:val="00075E50"/>
    <w:rsid w:val="0008290B"/>
    <w:rsid w:val="000837C7"/>
    <w:rsid w:val="000839DD"/>
    <w:rsid w:val="000843C3"/>
    <w:rsid w:val="000863AD"/>
    <w:rsid w:val="000869AE"/>
    <w:rsid w:val="00086A6E"/>
    <w:rsid w:val="00087825"/>
    <w:rsid w:val="000929B6"/>
    <w:rsid w:val="00092CC9"/>
    <w:rsid w:val="00097DD8"/>
    <w:rsid w:val="000A087A"/>
    <w:rsid w:val="000A5F00"/>
    <w:rsid w:val="000A7644"/>
    <w:rsid w:val="000A7D7C"/>
    <w:rsid w:val="000B29BD"/>
    <w:rsid w:val="000B46AF"/>
    <w:rsid w:val="000B4EB8"/>
    <w:rsid w:val="000B5EBA"/>
    <w:rsid w:val="000B676B"/>
    <w:rsid w:val="000C0344"/>
    <w:rsid w:val="000C3DEC"/>
    <w:rsid w:val="000C41F2"/>
    <w:rsid w:val="000C479D"/>
    <w:rsid w:val="000C5234"/>
    <w:rsid w:val="000D1296"/>
    <w:rsid w:val="000D22C4"/>
    <w:rsid w:val="000D24B5"/>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F0B35"/>
    <w:rsid w:val="000F36A8"/>
    <w:rsid w:val="000F6CDE"/>
    <w:rsid w:val="000F76F8"/>
    <w:rsid w:val="000F7FCE"/>
    <w:rsid w:val="0010091D"/>
    <w:rsid w:val="0010250C"/>
    <w:rsid w:val="00103A92"/>
    <w:rsid w:val="00105798"/>
    <w:rsid w:val="00106670"/>
    <w:rsid w:val="00106A0E"/>
    <w:rsid w:val="001114C3"/>
    <w:rsid w:val="00112864"/>
    <w:rsid w:val="00113A6F"/>
    <w:rsid w:val="00114472"/>
    <w:rsid w:val="00114988"/>
    <w:rsid w:val="00115069"/>
    <w:rsid w:val="001150F2"/>
    <w:rsid w:val="001165C4"/>
    <w:rsid w:val="0011680E"/>
    <w:rsid w:val="0011747F"/>
    <w:rsid w:val="0012178F"/>
    <w:rsid w:val="001219C2"/>
    <w:rsid w:val="00122098"/>
    <w:rsid w:val="00122BBD"/>
    <w:rsid w:val="00124D51"/>
    <w:rsid w:val="00125559"/>
    <w:rsid w:val="0012723F"/>
    <w:rsid w:val="00132BB4"/>
    <w:rsid w:val="00133B67"/>
    <w:rsid w:val="00133E10"/>
    <w:rsid w:val="00136583"/>
    <w:rsid w:val="00136BBF"/>
    <w:rsid w:val="00140808"/>
    <w:rsid w:val="00141BC7"/>
    <w:rsid w:val="00142B91"/>
    <w:rsid w:val="0014410E"/>
    <w:rsid w:val="00146BCB"/>
    <w:rsid w:val="001564BA"/>
    <w:rsid w:val="0015722A"/>
    <w:rsid w:val="001575A1"/>
    <w:rsid w:val="001652EE"/>
    <w:rsid w:val="001656A2"/>
    <w:rsid w:val="00166880"/>
    <w:rsid w:val="001675E3"/>
    <w:rsid w:val="00167D12"/>
    <w:rsid w:val="00170EC5"/>
    <w:rsid w:val="001728E7"/>
    <w:rsid w:val="00173375"/>
    <w:rsid w:val="001744FD"/>
    <w:rsid w:val="001747C1"/>
    <w:rsid w:val="00177D6B"/>
    <w:rsid w:val="0018519D"/>
    <w:rsid w:val="0018730D"/>
    <w:rsid w:val="00191F90"/>
    <w:rsid w:val="00193D8F"/>
    <w:rsid w:val="00194E9F"/>
    <w:rsid w:val="001950C2"/>
    <w:rsid w:val="001950DB"/>
    <w:rsid w:val="001954B0"/>
    <w:rsid w:val="00195AA2"/>
    <w:rsid w:val="001A34A3"/>
    <w:rsid w:val="001A37F8"/>
    <w:rsid w:val="001A3F53"/>
    <w:rsid w:val="001A3FBF"/>
    <w:rsid w:val="001A72D0"/>
    <w:rsid w:val="001A7901"/>
    <w:rsid w:val="001A7DB5"/>
    <w:rsid w:val="001B1D07"/>
    <w:rsid w:val="001B23A1"/>
    <w:rsid w:val="001B26EE"/>
    <w:rsid w:val="001B2BB9"/>
    <w:rsid w:val="001B3571"/>
    <w:rsid w:val="001B4680"/>
    <w:rsid w:val="001B4E74"/>
    <w:rsid w:val="001B6474"/>
    <w:rsid w:val="001B66B4"/>
    <w:rsid w:val="001B7180"/>
    <w:rsid w:val="001C027C"/>
    <w:rsid w:val="001C19F4"/>
    <w:rsid w:val="001C5386"/>
    <w:rsid w:val="001C5499"/>
    <w:rsid w:val="001C645F"/>
    <w:rsid w:val="001C6AE3"/>
    <w:rsid w:val="001C6B8D"/>
    <w:rsid w:val="001C7065"/>
    <w:rsid w:val="001C7C12"/>
    <w:rsid w:val="001C7FA6"/>
    <w:rsid w:val="001D120E"/>
    <w:rsid w:val="001D182C"/>
    <w:rsid w:val="001D19B0"/>
    <w:rsid w:val="001D2108"/>
    <w:rsid w:val="001D21EA"/>
    <w:rsid w:val="001D3200"/>
    <w:rsid w:val="001D48EE"/>
    <w:rsid w:val="001D5514"/>
    <w:rsid w:val="001D6E71"/>
    <w:rsid w:val="001E25DD"/>
    <w:rsid w:val="001E651D"/>
    <w:rsid w:val="001E678E"/>
    <w:rsid w:val="001F15F6"/>
    <w:rsid w:val="001F20CE"/>
    <w:rsid w:val="001F27A7"/>
    <w:rsid w:val="001F2A64"/>
    <w:rsid w:val="00202824"/>
    <w:rsid w:val="002036F6"/>
    <w:rsid w:val="002071BB"/>
    <w:rsid w:val="00207DF5"/>
    <w:rsid w:val="00210AB8"/>
    <w:rsid w:val="0021109A"/>
    <w:rsid w:val="002112C7"/>
    <w:rsid w:val="0021574E"/>
    <w:rsid w:val="00220CC5"/>
    <w:rsid w:val="00222BAD"/>
    <w:rsid w:val="00225AD3"/>
    <w:rsid w:val="0023105F"/>
    <w:rsid w:val="00232412"/>
    <w:rsid w:val="00233A53"/>
    <w:rsid w:val="00234F7A"/>
    <w:rsid w:val="00237D2D"/>
    <w:rsid w:val="00240364"/>
    <w:rsid w:val="00240377"/>
    <w:rsid w:val="0024053B"/>
    <w:rsid w:val="00240B81"/>
    <w:rsid w:val="00241FA0"/>
    <w:rsid w:val="00243CF1"/>
    <w:rsid w:val="00244668"/>
    <w:rsid w:val="00245327"/>
    <w:rsid w:val="00245D44"/>
    <w:rsid w:val="002462A1"/>
    <w:rsid w:val="00247257"/>
    <w:rsid w:val="00247D01"/>
    <w:rsid w:val="0025030F"/>
    <w:rsid w:val="0025055A"/>
    <w:rsid w:val="0025231F"/>
    <w:rsid w:val="00252BAF"/>
    <w:rsid w:val="00253C9E"/>
    <w:rsid w:val="00255EEC"/>
    <w:rsid w:val="00257877"/>
    <w:rsid w:val="00261A5B"/>
    <w:rsid w:val="00262E5B"/>
    <w:rsid w:val="00263134"/>
    <w:rsid w:val="0026385B"/>
    <w:rsid w:val="0026521E"/>
    <w:rsid w:val="0027053F"/>
    <w:rsid w:val="00270A2C"/>
    <w:rsid w:val="00271C11"/>
    <w:rsid w:val="00273D87"/>
    <w:rsid w:val="002743DF"/>
    <w:rsid w:val="00276AFE"/>
    <w:rsid w:val="00277224"/>
    <w:rsid w:val="00277D88"/>
    <w:rsid w:val="00280ACC"/>
    <w:rsid w:val="00283197"/>
    <w:rsid w:val="00284644"/>
    <w:rsid w:val="0028564C"/>
    <w:rsid w:val="0028572B"/>
    <w:rsid w:val="00285F49"/>
    <w:rsid w:val="002912D6"/>
    <w:rsid w:val="002924B8"/>
    <w:rsid w:val="00294CF7"/>
    <w:rsid w:val="00294DE2"/>
    <w:rsid w:val="00297E73"/>
    <w:rsid w:val="002A3B57"/>
    <w:rsid w:val="002B2044"/>
    <w:rsid w:val="002B3BB4"/>
    <w:rsid w:val="002C04EE"/>
    <w:rsid w:val="002C31BF"/>
    <w:rsid w:val="002C4EE2"/>
    <w:rsid w:val="002C5A83"/>
    <w:rsid w:val="002C5F8A"/>
    <w:rsid w:val="002D122E"/>
    <w:rsid w:val="002D4B0B"/>
    <w:rsid w:val="002D5B85"/>
    <w:rsid w:val="002D5CDA"/>
    <w:rsid w:val="002D5F95"/>
    <w:rsid w:val="002D6887"/>
    <w:rsid w:val="002D7FD6"/>
    <w:rsid w:val="002E0CD7"/>
    <w:rsid w:val="002E0CFB"/>
    <w:rsid w:val="002E5C7B"/>
    <w:rsid w:val="002F4117"/>
    <w:rsid w:val="002F4333"/>
    <w:rsid w:val="002F6610"/>
    <w:rsid w:val="002F6636"/>
    <w:rsid w:val="003002C1"/>
    <w:rsid w:val="003005D0"/>
    <w:rsid w:val="003014A0"/>
    <w:rsid w:val="00302811"/>
    <w:rsid w:val="003038E0"/>
    <w:rsid w:val="00305D0E"/>
    <w:rsid w:val="00306B20"/>
    <w:rsid w:val="00307641"/>
    <w:rsid w:val="00311F11"/>
    <w:rsid w:val="00312518"/>
    <w:rsid w:val="0031435A"/>
    <w:rsid w:val="00316901"/>
    <w:rsid w:val="0031758D"/>
    <w:rsid w:val="00320B33"/>
    <w:rsid w:val="00321AB3"/>
    <w:rsid w:val="00326BC8"/>
    <w:rsid w:val="00327047"/>
    <w:rsid w:val="00327EEF"/>
    <w:rsid w:val="0033063F"/>
    <w:rsid w:val="0033239F"/>
    <w:rsid w:val="00332F74"/>
    <w:rsid w:val="00333C1C"/>
    <w:rsid w:val="00337B72"/>
    <w:rsid w:val="003411D5"/>
    <w:rsid w:val="0034274B"/>
    <w:rsid w:val="00342928"/>
    <w:rsid w:val="0034395F"/>
    <w:rsid w:val="0034477F"/>
    <w:rsid w:val="003455FD"/>
    <w:rsid w:val="00346055"/>
    <w:rsid w:val="0034719F"/>
    <w:rsid w:val="00350A35"/>
    <w:rsid w:val="003519E9"/>
    <w:rsid w:val="00352A48"/>
    <w:rsid w:val="00353ED4"/>
    <w:rsid w:val="00353F0F"/>
    <w:rsid w:val="0035410B"/>
    <w:rsid w:val="0035515A"/>
    <w:rsid w:val="0035531B"/>
    <w:rsid w:val="00355D2A"/>
    <w:rsid w:val="0035667D"/>
    <w:rsid w:val="003571D8"/>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670E"/>
    <w:rsid w:val="0037744B"/>
    <w:rsid w:val="00377844"/>
    <w:rsid w:val="003804E2"/>
    <w:rsid w:val="00380ECE"/>
    <w:rsid w:val="003830C8"/>
    <w:rsid w:val="003831C7"/>
    <w:rsid w:val="00386FF1"/>
    <w:rsid w:val="00387B39"/>
    <w:rsid w:val="003909E1"/>
    <w:rsid w:val="00390C81"/>
    <w:rsid w:val="00391C20"/>
    <w:rsid w:val="00392730"/>
    <w:rsid w:val="00392EB6"/>
    <w:rsid w:val="0039316E"/>
    <w:rsid w:val="00394060"/>
    <w:rsid w:val="00394D03"/>
    <w:rsid w:val="00395312"/>
    <w:rsid w:val="003956C6"/>
    <w:rsid w:val="00396665"/>
    <w:rsid w:val="0039692B"/>
    <w:rsid w:val="00396977"/>
    <w:rsid w:val="003A1EB2"/>
    <w:rsid w:val="003A2C23"/>
    <w:rsid w:val="003A4513"/>
    <w:rsid w:val="003A52AD"/>
    <w:rsid w:val="003A5AF4"/>
    <w:rsid w:val="003B0675"/>
    <w:rsid w:val="003B3318"/>
    <w:rsid w:val="003B412F"/>
    <w:rsid w:val="003B6C4D"/>
    <w:rsid w:val="003C1739"/>
    <w:rsid w:val="003C33F2"/>
    <w:rsid w:val="003C5FFB"/>
    <w:rsid w:val="003C7D06"/>
    <w:rsid w:val="003D03F8"/>
    <w:rsid w:val="003D0C4F"/>
    <w:rsid w:val="003D22A9"/>
    <w:rsid w:val="003D54C1"/>
    <w:rsid w:val="003D5F32"/>
    <w:rsid w:val="003D756E"/>
    <w:rsid w:val="003D7882"/>
    <w:rsid w:val="003E2A31"/>
    <w:rsid w:val="003E3CE3"/>
    <w:rsid w:val="003E420D"/>
    <w:rsid w:val="003E4C13"/>
    <w:rsid w:val="003E4EBD"/>
    <w:rsid w:val="003E611F"/>
    <w:rsid w:val="003E7071"/>
    <w:rsid w:val="003E79F5"/>
    <w:rsid w:val="003F6F2A"/>
    <w:rsid w:val="00404BA2"/>
    <w:rsid w:val="0040507E"/>
    <w:rsid w:val="00406084"/>
    <w:rsid w:val="00406313"/>
    <w:rsid w:val="004065AC"/>
    <w:rsid w:val="004078F3"/>
    <w:rsid w:val="00411FB2"/>
    <w:rsid w:val="0041345F"/>
    <w:rsid w:val="004137A8"/>
    <w:rsid w:val="00413B05"/>
    <w:rsid w:val="00414173"/>
    <w:rsid w:val="004142DA"/>
    <w:rsid w:val="00415042"/>
    <w:rsid w:val="0042061D"/>
    <w:rsid w:val="0042196E"/>
    <w:rsid w:val="004222F5"/>
    <w:rsid w:val="00423330"/>
    <w:rsid w:val="00423AD4"/>
    <w:rsid w:val="00426778"/>
    <w:rsid w:val="00427794"/>
    <w:rsid w:val="00434D6F"/>
    <w:rsid w:val="00435A44"/>
    <w:rsid w:val="00437EC7"/>
    <w:rsid w:val="00440E20"/>
    <w:rsid w:val="00442C47"/>
    <w:rsid w:val="00443EE7"/>
    <w:rsid w:val="004471E7"/>
    <w:rsid w:val="00450F07"/>
    <w:rsid w:val="00452F69"/>
    <w:rsid w:val="00453CD3"/>
    <w:rsid w:val="00454716"/>
    <w:rsid w:val="00454B28"/>
    <w:rsid w:val="00454BB9"/>
    <w:rsid w:val="00454F7F"/>
    <w:rsid w:val="004550D3"/>
    <w:rsid w:val="00455731"/>
    <w:rsid w:val="00460660"/>
    <w:rsid w:val="00464BA9"/>
    <w:rsid w:val="00465FDD"/>
    <w:rsid w:val="00470647"/>
    <w:rsid w:val="00471676"/>
    <w:rsid w:val="00472ED5"/>
    <w:rsid w:val="00474F4D"/>
    <w:rsid w:val="00477DFB"/>
    <w:rsid w:val="004802DD"/>
    <w:rsid w:val="00482AA0"/>
    <w:rsid w:val="00483969"/>
    <w:rsid w:val="00483B35"/>
    <w:rsid w:val="00483ED7"/>
    <w:rsid w:val="00484308"/>
    <w:rsid w:val="00485575"/>
    <w:rsid w:val="00486107"/>
    <w:rsid w:val="004871D1"/>
    <w:rsid w:val="00491827"/>
    <w:rsid w:val="0049240D"/>
    <w:rsid w:val="004928D2"/>
    <w:rsid w:val="00496921"/>
    <w:rsid w:val="004A6336"/>
    <w:rsid w:val="004B34E9"/>
    <w:rsid w:val="004B456B"/>
    <w:rsid w:val="004B595B"/>
    <w:rsid w:val="004B5BCD"/>
    <w:rsid w:val="004B62B9"/>
    <w:rsid w:val="004B6506"/>
    <w:rsid w:val="004B7B35"/>
    <w:rsid w:val="004C0D5E"/>
    <w:rsid w:val="004C18C8"/>
    <w:rsid w:val="004C4399"/>
    <w:rsid w:val="004C787C"/>
    <w:rsid w:val="004C7CFB"/>
    <w:rsid w:val="004D010F"/>
    <w:rsid w:val="004D12F4"/>
    <w:rsid w:val="004D33A0"/>
    <w:rsid w:val="004D5285"/>
    <w:rsid w:val="004D7AE0"/>
    <w:rsid w:val="004E0790"/>
    <w:rsid w:val="004E17A6"/>
    <w:rsid w:val="004E1C55"/>
    <w:rsid w:val="004E7A1F"/>
    <w:rsid w:val="004F1D17"/>
    <w:rsid w:val="004F21A1"/>
    <w:rsid w:val="004F4597"/>
    <w:rsid w:val="004F4B9B"/>
    <w:rsid w:val="004F5411"/>
    <w:rsid w:val="004F7E61"/>
    <w:rsid w:val="00500A44"/>
    <w:rsid w:val="00501B32"/>
    <w:rsid w:val="00503605"/>
    <w:rsid w:val="005037A9"/>
    <w:rsid w:val="0050666E"/>
    <w:rsid w:val="00511AB9"/>
    <w:rsid w:val="00511E3C"/>
    <w:rsid w:val="00512128"/>
    <w:rsid w:val="00515265"/>
    <w:rsid w:val="005210B3"/>
    <w:rsid w:val="005225B2"/>
    <w:rsid w:val="00523096"/>
    <w:rsid w:val="00523BB5"/>
    <w:rsid w:val="00523EA7"/>
    <w:rsid w:val="00524D87"/>
    <w:rsid w:val="00525050"/>
    <w:rsid w:val="00525770"/>
    <w:rsid w:val="00525DF8"/>
    <w:rsid w:val="00526554"/>
    <w:rsid w:val="005300B4"/>
    <w:rsid w:val="005304CE"/>
    <w:rsid w:val="00533ECD"/>
    <w:rsid w:val="005357FE"/>
    <w:rsid w:val="00540479"/>
    <w:rsid w:val="005406EB"/>
    <w:rsid w:val="0054076A"/>
    <w:rsid w:val="00540C01"/>
    <w:rsid w:val="005434A6"/>
    <w:rsid w:val="00543F07"/>
    <w:rsid w:val="005446A9"/>
    <w:rsid w:val="0054491F"/>
    <w:rsid w:val="00547AD2"/>
    <w:rsid w:val="0055111D"/>
    <w:rsid w:val="00551E24"/>
    <w:rsid w:val="00553375"/>
    <w:rsid w:val="005534E7"/>
    <w:rsid w:val="005540AF"/>
    <w:rsid w:val="005543C6"/>
    <w:rsid w:val="00554C2D"/>
    <w:rsid w:val="00555884"/>
    <w:rsid w:val="00557E99"/>
    <w:rsid w:val="00561A0E"/>
    <w:rsid w:val="00564BCA"/>
    <w:rsid w:val="00564DDD"/>
    <w:rsid w:val="00565026"/>
    <w:rsid w:val="0056689E"/>
    <w:rsid w:val="00566FB4"/>
    <w:rsid w:val="005671DF"/>
    <w:rsid w:val="00570157"/>
    <w:rsid w:val="005717C5"/>
    <w:rsid w:val="00572B6C"/>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FAE"/>
    <w:rsid w:val="005A1F44"/>
    <w:rsid w:val="005A3D2F"/>
    <w:rsid w:val="005A4694"/>
    <w:rsid w:val="005B1496"/>
    <w:rsid w:val="005B3E86"/>
    <w:rsid w:val="005B43BE"/>
    <w:rsid w:val="005C13BC"/>
    <w:rsid w:val="005C1B52"/>
    <w:rsid w:val="005C36B9"/>
    <w:rsid w:val="005C490C"/>
    <w:rsid w:val="005C49ED"/>
    <w:rsid w:val="005C4E6D"/>
    <w:rsid w:val="005D0BC1"/>
    <w:rsid w:val="005D3C39"/>
    <w:rsid w:val="005D5689"/>
    <w:rsid w:val="005D62F7"/>
    <w:rsid w:val="005D669A"/>
    <w:rsid w:val="005E24CB"/>
    <w:rsid w:val="005E49D0"/>
    <w:rsid w:val="005E6218"/>
    <w:rsid w:val="005E7ADE"/>
    <w:rsid w:val="005E7AF9"/>
    <w:rsid w:val="005E7E6E"/>
    <w:rsid w:val="005F298D"/>
    <w:rsid w:val="005F6CCC"/>
    <w:rsid w:val="0060115D"/>
    <w:rsid w:val="00601178"/>
    <w:rsid w:val="0060125D"/>
    <w:rsid w:val="00601A8C"/>
    <w:rsid w:val="00602338"/>
    <w:rsid w:val="006025F3"/>
    <w:rsid w:val="006073CA"/>
    <w:rsid w:val="0061068E"/>
    <w:rsid w:val="006115D3"/>
    <w:rsid w:val="00612E3D"/>
    <w:rsid w:val="0062045C"/>
    <w:rsid w:val="00625906"/>
    <w:rsid w:val="00626829"/>
    <w:rsid w:val="00631EAA"/>
    <w:rsid w:val="00631F69"/>
    <w:rsid w:val="006324FB"/>
    <w:rsid w:val="00633ED3"/>
    <w:rsid w:val="00640B30"/>
    <w:rsid w:val="00640BD5"/>
    <w:rsid w:val="00641094"/>
    <w:rsid w:val="006434F4"/>
    <w:rsid w:val="0064569C"/>
    <w:rsid w:val="0065255A"/>
    <w:rsid w:val="00652EFD"/>
    <w:rsid w:val="0065396D"/>
    <w:rsid w:val="00653E0A"/>
    <w:rsid w:val="00654648"/>
    <w:rsid w:val="00655976"/>
    <w:rsid w:val="0065610E"/>
    <w:rsid w:val="00656A03"/>
    <w:rsid w:val="00660587"/>
    <w:rsid w:val="00660AD3"/>
    <w:rsid w:val="006638F8"/>
    <w:rsid w:val="00665962"/>
    <w:rsid w:val="006667E6"/>
    <w:rsid w:val="00666F2D"/>
    <w:rsid w:val="00670EDB"/>
    <w:rsid w:val="006715C1"/>
    <w:rsid w:val="00672DAE"/>
    <w:rsid w:val="00673188"/>
    <w:rsid w:val="00673F7D"/>
    <w:rsid w:val="00674099"/>
    <w:rsid w:val="00674785"/>
    <w:rsid w:val="006776B6"/>
    <w:rsid w:val="006858E3"/>
    <w:rsid w:val="00691118"/>
    <w:rsid w:val="006925E6"/>
    <w:rsid w:val="00692884"/>
    <w:rsid w:val="00693150"/>
    <w:rsid w:val="00696691"/>
    <w:rsid w:val="00696E3D"/>
    <w:rsid w:val="006A1D4B"/>
    <w:rsid w:val="006A1FB5"/>
    <w:rsid w:val="006A2294"/>
    <w:rsid w:val="006A29A6"/>
    <w:rsid w:val="006A540D"/>
    <w:rsid w:val="006A5570"/>
    <w:rsid w:val="006A689C"/>
    <w:rsid w:val="006A6DF0"/>
    <w:rsid w:val="006B0B03"/>
    <w:rsid w:val="006B12A4"/>
    <w:rsid w:val="006B3D79"/>
    <w:rsid w:val="006B6FE4"/>
    <w:rsid w:val="006B73A9"/>
    <w:rsid w:val="006B76BF"/>
    <w:rsid w:val="006B78C6"/>
    <w:rsid w:val="006C19F7"/>
    <w:rsid w:val="006C21E8"/>
    <w:rsid w:val="006C2343"/>
    <w:rsid w:val="006C442A"/>
    <w:rsid w:val="006C4639"/>
    <w:rsid w:val="006C4864"/>
    <w:rsid w:val="006C533D"/>
    <w:rsid w:val="006D03B3"/>
    <w:rsid w:val="006D0FD1"/>
    <w:rsid w:val="006D3B4B"/>
    <w:rsid w:val="006D7CD8"/>
    <w:rsid w:val="006E0578"/>
    <w:rsid w:val="006E0CBF"/>
    <w:rsid w:val="006E100C"/>
    <w:rsid w:val="006E314D"/>
    <w:rsid w:val="006E3297"/>
    <w:rsid w:val="006F2240"/>
    <w:rsid w:val="006F29D2"/>
    <w:rsid w:val="006F439C"/>
    <w:rsid w:val="006F6B09"/>
    <w:rsid w:val="00701241"/>
    <w:rsid w:val="0070255F"/>
    <w:rsid w:val="00703549"/>
    <w:rsid w:val="007038DC"/>
    <w:rsid w:val="007042F9"/>
    <w:rsid w:val="007055DB"/>
    <w:rsid w:val="00706F4C"/>
    <w:rsid w:val="0070752A"/>
    <w:rsid w:val="00710723"/>
    <w:rsid w:val="00711119"/>
    <w:rsid w:val="0071250A"/>
    <w:rsid w:val="00712C6B"/>
    <w:rsid w:val="007134F3"/>
    <w:rsid w:val="007146EC"/>
    <w:rsid w:val="0072018C"/>
    <w:rsid w:val="00720F4A"/>
    <w:rsid w:val="00723ED1"/>
    <w:rsid w:val="00726B16"/>
    <w:rsid w:val="007278C9"/>
    <w:rsid w:val="007309F6"/>
    <w:rsid w:val="007330EF"/>
    <w:rsid w:val="007334CD"/>
    <w:rsid w:val="0073461B"/>
    <w:rsid w:val="00734E41"/>
    <w:rsid w:val="007356BD"/>
    <w:rsid w:val="007372AC"/>
    <w:rsid w:val="00737F95"/>
    <w:rsid w:val="00740AF5"/>
    <w:rsid w:val="00741294"/>
    <w:rsid w:val="0074192E"/>
    <w:rsid w:val="0074204C"/>
    <w:rsid w:val="00743525"/>
    <w:rsid w:val="00744F6A"/>
    <w:rsid w:val="00745555"/>
    <w:rsid w:val="00746A3A"/>
    <w:rsid w:val="0074727B"/>
    <w:rsid w:val="00752EDE"/>
    <w:rsid w:val="0075376C"/>
    <w:rsid w:val="007541A2"/>
    <w:rsid w:val="00754C03"/>
    <w:rsid w:val="00755818"/>
    <w:rsid w:val="0076286B"/>
    <w:rsid w:val="00762F71"/>
    <w:rsid w:val="007654A5"/>
    <w:rsid w:val="00766846"/>
    <w:rsid w:val="00766C2B"/>
    <w:rsid w:val="00766F4A"/>
    <w:rsid w:val="0076790E"/>
    <w:rsid w:val="00771A13"/>
    <w:rsid w:val="00771B61"/>
    <w:rsid w:val="00771C62"/>
    <w:rsid w:val="0077382B"/>
    <w:rsid w:val="00773C60"/>
    <w:rsid w:val="00773DC0"/>
    <w:rsid w:val="00774789"/>
    <w:rsid w:val="0077673A"/>
    <w:rsid w:val="00777E1F"/>
    <w:rsid w:val="00781DE3"/>
    <w:rsid w:val="00782707"/>
    <w:rsid w:val="00782C37"/>
    <w:rsid w:val="00783087"/>
    <w:rsid w:val="007846E1"/>
    <w:rsid w:val="007847D6"/>
    <w:rsid w:val="007858F0"/>
    <w:rsid w:val="007862F6"/>
    <w:rsid w:val="00786496"/>
    <w:rsid w:val="0078773A"/>
    <w:rsid w:val="0079069D"/>
    <w:rsid w:val="00794DDD"/>
    <w:rsid w:val="00796DC1"/>
    <w:rsid w:val="007A0A29"/>
    <w:rsid w:val="007A1862"/>
    <w:rsid w:val="007A2107"/>
    <w:rsid w:val="007A4A74"/>
    <w:rsid w:val="007A5172"/>
    <w:rsid w:val="007A5CF0"/>
    <w:rsid w:val="007A6474"/>
    <w:rsid w:val="007A67A0"/>
    <w:rsid w:val="007B050C"/>
    <w:rsid w:val="007B4D21"/>
    <w:rsid w:val="007B570C"/>
    <w:rsid w:val="007B592C"/>
    <w:rsid w:val="007B7AC4"/>
    <w:rsid w:val="007C1338"/>
    <w:rsid w:val="007C154D"/>
    <w:rsid w:val="007C1CD8"/>
    <w:rsid w:val="007C1F79"/>
    <w:rsid w:val="007C2AA1"/>
    <w:rsid w:val="007C2DC8"/>
    <w:rsid w:val="007C4ABB"/>
    <w:rsid w:val="007C4FE0"/>
    <w:rsid w:val="007C7C01"/>
    <w:rsid w:val="007D2241"/>
    <w:rsid w:val="007D38E4"/>
    <w:rsid w:val="007D3F64"/>
    <w:rsid w:val="007D488C"/>
    <w:rsid w:val="007D5A8D"/>
    <w:rsid w:val="007E2234"/>
    <w:rsid w:val="007E22C0"/>
    <w:rsid w:val="007E3853"/>
    <w:rsid w:val="007E4A6E"/>
    <w:rsid w:val="007E6155"/>
    <w:rsid w:val="007E6B85"/>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DD0"/>
    <w:rsid w:val="00810368"/>
    <w:rsid w:val="008113FE"/>
    <w:rsid w:val="00815C1B"/>
    <w:rsid w:val="00817A33"/>
    <w:rsid w:val="00820470"/>
    <w:rsid w:val="008217CE"/>
    <w:rsid w:val="008217F2"/>
    <w:rsid w:val="00821D01"/>
    <w:rsid w:val="00822B88"/>
    <w:rsid w:val="00826B7B"/>
    <w:rsid w:val="00831DE9"/>
    <w:rsid w:val="00831E2B"/>
    <w:rsid w:val="00833899"/>
    <w:rsid w:val="0083473A"/>
    <w:rsid w:val="00840E14"/>
    <w:rsid w:val="00841FCB"/>
    <w:rsid w:val="00845C50"/>
    <w:rsid w:val="00845D74"/>
    <w:rsid w:val="00846789"/>
    <w:rsid w:val="00851519"/>
    <w:rsid w:val="008534FE"/>
    <w:rsid w:val="008543D8"/>
    <w:rsid w:val="00855C18"/>
    <w:rsid w:val="00857BAC"/>
    <w:rsid w:val="00860D8A"/>
    <w:rsid w:val="008638C9"/>
    <w:rsid w:val="00866974"/>
    <w:rsid w:val="00866BC3"/>
    <w:rsid w:val="00867F78"/>
    <w:rsid w:val="008703CB"/>
    <w:rsid w:val="0087190F"/>
    <w:rsid w:val="00872044"/>
    <w:rsid w:val="0087262B"/>
    <w:rsid w:val="00873C33"/>
    <w:rsid w:val="00873D02"/>
    <w:rsid w:val="00876C45"/>
    <w:rsid w:val="00876D73"/>
    <w:rsid w:val="00880C36"/>
    <w:rsid w:val="0088280B"/>
    <w:rsid w:val="00885737"/>
    <w:rsid w:val="00887F36"/>
    <w:rsid w:val="00892ECD"/>
    <w:rsid w:val="00893C46"/>
    <w:rsid w:val="00894AB7"/>
    <w:rsid w:val="00896CC4"/>
    <w:rsid w:val="00897B96"/>
    <w:rsid w:val="008A1AB4"/>
    <w:rsid w:val="008A3568"/>
    <w:rsid w:val="008A5E06"/>
    <w:rsid w:val="008B0ED8"/>
    <w:rsid w:val="008B10F6"/>
    <w:rsid w:val="008B2021"/>
    <w:rsid w:val="008B251E"/>
    <w:rsid w:val="008B3257"/>
    <w:rsid w:val="008B3D12"/>
    <w:rsid w:val="008B4CEC"/>
    <w:rsid w:val="008B60F5"/>
    <w:rsid w:val="008B7AFE"/>
    <w:rsid w:val="008C0335"/>
    <w:rsid w:val="008C2620"/>
    <w:rsid w:val="008C27CC"/>
    <w:rsid w:val="008C3044"/>
    <w:rsid w:val="008C50F3"/>
    <w:rsid w:val="008C51DA"/>
    <w:rsid w:val="008C5FF0"/>
    <w:rsid w:val="008C65BC"/>
    <w:rsid w:val="008C67A9"/>
    <w:rsid w:val="008C6C63"/>
    <w:rsid w:val="008C7EFE"/>
    <w:rsid w:val="008D03B9"/>
    <w:rsid w:val="008D30C7"/>
    <w:rsid w:val="008D552B"/>
    <w:rsid w:val="008D7D26"/>
    <w:rsid w:val="008E1138"/>
    <w:rsid w:val="008E12E4"/>
    <w:rsid w:val="008E3AB5"/>
    <w:rsid w:val="008E52BE"/>
    <w:rsid w:val="008E5D9D"/>
    <w:rsid w:val="008E78A5"/>
    <w:rsid w:val="008F0019"/>
    <w:rsid w:val="008F18D6"/>
    <w:rsid w:val="008F2C9B"/>
    <w:rsid w:val="008F6BE8"/>
    <w:rsid w:val="008F797B"/>
    <w:rsid w:val="00901E76"/>
    <w:rsid w:val="009032C3"/>
    <w:rsid w:val="0090370B"/>
    <w:rsid w:val="00903C55"/>
    <w:rsid w:val="00904780"/>
    <w:rsid w:val="0090635B"/>
    <w:rsid w:val="009068F6"/>
    <w:rsid w:val="00907814"/>
    <w:rsid w:val="00916A2E"/>
    <w:rsid w:val="00920DEB"/>
    <w:rsid w:val="0092226C"/>
    <w:rsid w:val="00922385"/>
    <w:rsid w:val="009223DF"/>
    <w:rsid w:val="00925F7A"/>
    <w:rsid w:val="00930B79"/>
    <w:rsid w:val="00935206"/>
    <w:rsid w:val="00936091"/>
    <w:rsid w:val="00940D8A"/>
    <w:rsid w:val="00941491"/>
    <w:rsid w:val="0094325D"/>
    <w:rsid w:val="0094424B"/>
    <w:rsid w:val="00944DDB"/>
    <w:rsid w:val="00951F56"/>
    <w:rsid w:val="00962258"/>
    <w:rsid w:val="009627EA"/>
    <w:rsid w:val="00962869"/>
    <w:rsid w:val="00964860"/>
    <w:rsid w:val="0096543C"/>
    <w:rsid w:val="009660AD"/>
    <w:rsid w:val="009678B7"/>
    <w:rsid w:val="00971C1A"/>
    <w:rsid w:val="009739A9"/>
    <w:rsid w:val="00976973"/>
    <w:rsid w:val="00976FCB"/>
    <w:rsid w:val="00980909"/>
    <w:rsid w:val="00984CDB"/>
    <w:rsid w:val="009854FD"/>
    <w:rsid w:val="00986BA3"/>
    <w:rsid w:val="00991104"/>
    <w:rsid w:val="00992D9C"/>
    <w:rsid w:val="00994C1D"/>
    <w:rsid w:val="009968AD"/>
    <w:rsid w:val="00996CB8"/>
    <w:rsid w:val="009A27BB"/>
    <w:rsid w:val="009A520F"/>
    <w:rsid w:val="009A52BE"/>
    <w:rsid w:val="009A5ECE"/>
    <w:rsid w:val="009A634D"/>
    <w:rsid w:val="009B0DB1"/>
    <w:rsid w:val="009B0F80"/>
    <w:rsid w:val="009B2E45"/>
    <w:rsid w:val="009B2E97"/>
    <w:rsid w:val="009B3A21"/>
    <w:rsid w:val="009B3CB0"/>
    <w:rsid w:val="009B5146"/>
    <w:rsid w:val="009B7E95"/>
    <w:rsid w:val="009C059D"/>
    <w:rsid w:val="009C0F4D"/>
    <w:rsid w:val="009C418E"/>
    <w:rsid w:val="009C442C"/>
    <w:rsid w:val="009C7038"/>
    <w:rsid w:val="009D10A1"/>
    <w:rsid w:val="009D20A1"/>
    <w:rsid w:val="009D2CBF"/>
    <w:rsid w:val="009D2D3E"/>
    <w:rsid w:val="009D3396"/>
    <w:rsid w:val="009D3B8A"/>
    <w:rsid w:val="009D5DFD"/>
    <w:rsid w:val="009D64A5"/>
    <w:rsid w:val="009E07F4"/>
    <w:rsid w:val="009E1958"/>
    <w:rsid w:val="009E1AEE"/>
    <w:rsid w:val="009E241A"/>
    <w:rsid w:val="009E3C1B"/>
    <w:rsid w:val="009E4783"/>
    <w:rsid w:val="009E540A"/>
    <w:rsid w:val="009F309B"/>
    <w:rsid w:val="009F392E"/>
    <w:rsid w:val="009F3B3B"/>
    <w:rsid w:val="009F435C"/>
    <w:rsid w:val="009F46C7"/>
    <w:rsid w:val="009F4CC5"/>
    <w:rsid w:val="009F53C5"/>
    <w:rsid w:val="00A01CB4"/>
    <w:rsid w:val="00A01DCD"/>
    <w:rsid w:val="00A034B5"/>
    <w:rsid w:val="00A03E79"/>
    <w:rsid w:val="00A066DE"/>
    <w:rsid w:val="00A0740E"/>
    <w:rsid w:val="00A103F9"/>
    <w:rsid w:val="00A11A90"/>
    <w:rsid w:val="00A12463"/>
    <w:rsid w:val="00A12DFA"/>
    <w:rsid w:val="00A15641"/>
    <w:rsid w:val="00A16220"/>
    <w:rsid w:val="00A26B4E"/>
    <w:rsid w:val="00A34A7E"/>
    <w:rsid w:val="00A35009"/>
    <w:rsid w:val="00A37F52"/>
    <w:rsid w:val="00A40426"/>
    <w:rsid w:val="00A4043B"/>
    <w:rsid w:val="00A4050F"/>
    <w:rsid w:val="00A40C1B"/>
    <w:rsid w:val="00A432EF"/>
    <w:rsid w:val="00A43668"/>
    <w:rsid w:val="00A446BE"/>
    <w:rsid w:val="00A46E35"/>
    <w:rsid w:val="00A47DE5"/>
    <w:rsid w:val="00A50641"/>
    <w:rsid w:val="00A51C91"/>
    <w:rsid w:val="00A530BF"/>
    <w:rsid w:val="00A55C4E"/>
    <w:rsid w:val="00A55C9A"/>
    <w:rsid w:val="00A56621"/>
    <w:rsid w:val="00A571E7"/>
    <w:rsid w:val="00A6010F"/>
    <w:rsid w:val="00A6177B"/>
    <w:rsid w:val="00A619CA"/>
    <w:rsid w:val="00A62C46"/>
    <w:rsid w:val="00A62FE1"/>
    <w:rsid w:val="00A658AE"/>
    <w:rsid w:val="00A65BE6"/>
    <w:rsid w:val="00A65D0C"/>
    <w:rsid w:val="00A65FC1"/>
    <w:rsid w:val="00A66136"/>
    <w:rsid w:val="00A71189"/>
    <w:rsid w:val="00A7364A"/>
    <w:rsid w:val="00A7410B"/>
    <w:rsid w:val="00A74DCC"/>
    <w:rsid w:val="00A753ED"/>
    <w:rsid w:val="00A77512"/>
    <w:rsid w:val="00A80B49"/>
    <w:rsid w:val="00A8206C"/>
    <w:rsid w:val="00A84500"/>
    <w:rsid w:val="00A85121"/>
    <w:rsid w:val="00A87F59"/>
    <w:rsid w:val="00A90B86"/>
    <w:rsid w:val="00A919A4"/>
    <w:rsid w:val="00A94C2F"/>
    <w:rsid w:val="00A95C0A"/>
    <w:rsid w:val="00A965D3"/>
    <w:rsid w:val="00AA3E17"/>
    <w:rsid w:val="00AA4CBB"/>
    <w:rsid w:val="00AA5C98"/>
    <w:rsid w:val="00AA5C9B"/>
    <w:rsid w:val="00AA65FA"/>
    <w:rsid w:val="00AA7351"/>
    <w:rsid w:val="00AA7A82"/>
    <w:rsid w:val="00AB1063"/>
    <w:rsid w:val="00AB28D0"/>
    <w:rsid w:val="00AB2D3E"/>
    <w:rsid w:val="00AB6916"/>
    <w:rsid w:val="00AB6D34"/>
    <w:rsid w:val="00AB6F88"/>
    <w:rsid w:val="00AB7090"/>
    <w:rsid w:val="00AB7B11"/>
    <w:rsid w:val="00AC3EA9"/>
    <w:rsid w:val="00AC6613"/>
    <w:rsid w:val="00AC6FB1"/>
    <w:rsid w:val="00AD056F"/>
    <w:rsid w:val="00AD0714"/>
    <w:rsid w:val="00AD0C7B"/>
    <w:rsid w:val="00AD0CC3"/>
    <w:rsid w:val="00AD1771"/>
    <w:rsid w:val="00AD1786"/>
    <w:rsid w:val="00AD3565"/>
    <w:rsid w:val="00AD3B77"/>
    <w:rsid w:val="00AD4CCC"/>
    <w:rsid w:val="00AD5F1A"/>
    <w:rsid w:val="00AD6731"/>
    <w:rsid w:val="00AD792A"/>
    <w:rsid w:val="00AE10D0"/>
    <w:rsid w:val="00AE1D4A"/>
    <w:rsid w:val="00AE3BB4"/>
    <w:rsid w:val="00AE627C"/>
    <w:rsid w:val="00AF06C8"/>
    <w:rsid w:val="00AF2AEB"/>
    <w:rsid w:val="00AF4D76"/>
    <w:rsid w:val="00AF5E95"/>
    <w:rsid w:val="00AF7036"/>
    <w:rsid w:val="00B008D5"/>
    <w:rsid w:val="00B00C0B"/>
    <w:rsid w:val="00B02F73"/>
    <w:rsid w:val="00B035B6"/>
    <w:rsid w:val="00B03776"/>
    <w:rsid w:val="00B0619F"/>
    <w:rsid w:val="00B067E0"/>
    <w:rsid w:val="00B0765B"/>
    <w:rsid w:val="00B07798"/>
    <w:rsid w:val="00B104FA"/>
    <w:rsid w:val="00B13A26"/>
    <w:rsid w:val="00B15D0D"/>
    <w:rsid w:val="00B15F78"/>
    <w:rsid w:val="00B22106"/>
    <w:rsid w:val="00B222F7"/>
    <w:rsid w:val="00B22976"/>
    <w:rsid w:val="00B2309B"/>
    <w:rsid w:val="00B27466"/>
    <w:rsid w:val="00B30D72"/>
    <w:rsid w:val="00B34E7F"/>
    <w:rsid w:val="00B36D02"/>
    <w:rsid w:val="00B406B0"/>
    <w:rsid w:val="00B429CF"/>
    <w:rsid w:val="00B42A5E"/>
    <w:rsid w:val="00B448FF"/>
    <w:rsid w:val="00B52A86"/>
    <w:rsid w:val="00B5431A"/>
    <w:rsid w:val="00B556D7"/>
    <w:rsid w:val="00B55826"/>
    <w:rsid w:val="00B60046"/>
    <w:rsid w:val="00B61530"/>
    <w:rsid w:val="00B645BC"/>
    <w:rsid w:val="00B649D5"/>
    <w:rsid w:val="00B65A41"/>
    <w:rsid w:val="00B70267"/>
    <w:rsid w:val="00B715CC"/>
    <w:rsid w:val="00B71674"/>
    <w:rsid w:val="00B73124"/>
    <w:rsid w:val="00B73BEB"/>
    <w:rsid w:val="00B75EE1"/>
    <w:rsid w:val="00B77110"/>
    <w:rsid w:val="00B77481"/>
    <w:rsid w:val="00B77C6D"/>
    <w:rsid w:val="00B80502"/>
    <w:rsid w:val="00B80E53"/>
    <w:rsid w:val="00B81671"/>
    <w:rsid w:val="00B8265A"/>
    <w:rsid w:val="00B82A36"/>
    <w:rsid w:val="00B8518B"/>
    <w:rsid w:val="00B85BF4"/>
    <w:rsid w:val="00B86190"/>
    <w:rsid w:val="00B97CC3"/>
    <w:rsid w:val="00BA197A"/>
    <w:rsid w:val="00BA1CFD"/>
    <w:rsid w:val="00BA3D9D"/>
    <w:rsid w:val="00BA702A"/>
    <w:rsid w:val="00BB1A18"/>
    <w:rsid w:val="00BB4AF2"/>
    <w:rsid w:val="00BB4CE0"/>
    <w:rsid w:val="00BB72FA"/>
    <w:rsid w:val="00BC06C4"/>
    <w:rsid w:val="00BC1044"/>
    <w:rsid w:val="00BC491D"/>
    <w:rsid w:val="00BC49C0"/>
    <w:rsid w:val="00BC4E61"/>
    <w:rsid w:val="00BC663E"/>
    <w:rsid w:val="00BC6D2B"/>
    <w:rsid w:val="00BC6FC4"/>
    <w:rsid w:val="00BC7269"/>
    <w:rsid w:val="00BD01E2"/>
    <w:rsid w:val="00BD0273"/>
    <w:rsid w:val="00BD032B"/>
    <w:rsid w:val="00BD04FA"/>
    <w:rsid w:val="00BD07D8"/>
    <w:rsid w:val="00BD4E9E"/>
    <w:rsid w:val="00BD5561"/>
    <w:rsid w:val="00BD5A0E"/>
    <w:rsid w:val="00BD6850"/>
    <w:rsid w:val="00BD712B"/>
    <w:rsid w:val="00BD7438"/>
    <w:rsid w:val="00BD7E91"/>
    <w:rsid w:val="00BD7F0D"/>
    <w:rsid w:val="00BE0913"/>
    <w:rsid w:val="00BE22EE"/>
    <w:rsid w:val="00BE49F4"/>
    <w:rsid w:val="00BE7CD3"/>
    <w:rsid w:val="00BF2A76"/>
    <w:rsid w:val="00BF30A4"/>
    <w:rsid w:val="00BF3817"/>
    <w:rsid w:val="00BF393A"/>
    <w:rsid w:val="00BF6E6C"/>
    <w:rsid w:val="00C00B28"/>
    <w:rsid w:val="00C02436"/>
    <w:rsid w:val="00C02D0A"/>
    <w:rsid w:val="00C03A6E"/>
    <w:rsid w:val="00C05F38"/>
    <w:rsid w:val="00C06F8A"/>
    <w:rsid w:val="00C07508"/>
    <w:rsid w:val="00C12C69"/>
    <w:rsid w:val="00C203FF"/>
    <w:rsid w:val="00C212F4"/>
    <w:rsid w:val="00C220BC"/>
    <w:rsid w:val="00C226C0"/>
    <w:rsid w:val="00C23C5F"/>
    <w:rsid w:val="00C25C0C"/>
    <w:rsid w:val="00C26B03"/>
    <w:rsid w:val="00C30347"/>
    <w:rsid w:val="00C31ADD"/>
    <w:rsid w:val="00C34047"/>
    <w:rsid w:val="00C34793"/>
    <w:rsid w:val="00C369CD"/>
    <w:rsid w:val="00C37B25"/>
    <w:rsid w:val="00C42FE6"/>
    <w:rsid w:val="00C44F6A"/>
    <w:rsid w:val="00C51B58"/>
    <w:rsid w:val="00C52720"/>
    <w:rsid w:val="00C52C0B"/>
    <w:rsid w:val="00C5540E"/>
    <w:rsid w:val="00C55CEB"/>
    <w:rsid w:val="00C56B64"/>
    <w:rsid w:val="00C57268"/>
    <w:rsid w:val="00C60FCF"/>
    <w:rsid w:val="00C6198E"/>
    <w:rsid w:val="00C6339C"/>
    <w:rsid w:val="00C639AD"/>
    <w:rsid w:val="00C70748"/>
    <w:rsid w:val="00C7077F"/>
    <w:rsid w:val="00C708EA"/>
    <w:rsid w:val="00C7216F"/>
    <w:rsid w:val="00C776E5"/>
    <w:rsid w:val="00C778A5"/>
    <w:rsid w:val="00C809C1"/>
    <w:rsid w:val="00C84C01"/>
    <w:rsid w:val="00C84F86"/>
    <w:rsid w:val="00C9261B"/>
    <w:rsid w:val="00C95162"/>
    <w:rsid w:val="00C96B92"/>
    <w:rsid w:val="00C97246"/>
    <w:rsid w:val="00C97DB2"/>
    <w:rsid w:val="00CA08FB"/>
    <w:rsid w:val="00CA1FE2"/>
    <w:rsid w:val="00CA2B1E"/>
    <w:rsid w:val="00CA41FA"/>
    <w:rsid w:val="00CA466B"/>
    <w:rsid w:val="00CA4A2C"/>
    <w:rsid w:val="00CA5133"/>
    <w:rsid w:val="00CB14C4"/>
    <w:rsid w:val="00CB14C7"/>
    <w:rsid w:val="00CB2B9A"/>
    <w:rsid w:val="00CB3151"/>
    <w:rsid w:val="00CB419B"/>
    <w:rsid w:val="00CB51FD"/>
    <w:rsid w:val="00CB6455"/>
    <w:rsid w:val="00CB6A37"/>
    <w:rsid w:val="00CB6AC6"/>
    <w:rsid w:val="00CB7684"/>
    <w:rsid w:val="00CB7FA3"/>
    <w:rsid w:val="00CC005F"/>
    <w:rsid w:val="00CC0ADA"/>
    <w:rsid w:val="00CC0E0B"/>
    <w:rsid w:val="00CC1656"/>
    <w:rsid w:val="00CC3F4F"/>
    <w:rsid w:val="00CC4380"/>
    <w:rsid w:val="00CC79E1"/>
    <w:rsid w:val="00CC7BE1"/>
    <w:rsid w:val="00CC7C8F"/>
    <w:rsid w:val="00CC7F60"/>
    <w:rsid w:val="00CD0B8B"/>
    <w:rsid w:val="00CD1856"/>
    <w:rsid w:val="00CD1C73"/>
    <w:rsid w:val="00CD1FC4"/>
    <w:rsid w:val="00CD5995"/>
    <w:rsid w:val="00CD5D15"/>
    <w:rsid w:val="00CD7B3F"/>
    <w:rsid w:val="00CE2274"/>
    <w:rsid w:val="00CE22D6"/>
    <w:rsid w:val="00CF06BF"/>
    <w:rsid w:val="00CF0DBE"/>
    <w:rsid w:val="00CF1799"/>
    <w:rsid w:val="00CF4237"/>
    <w:rsid w:val="00CF42AD"/>
    <w:rsid w:val="00CF4AAE"/>
    <w:rsid w:val="00CF5185"/>
    <w:rsid w:val="00CF7B47"/>
    <w:rsid w:val="00D00256"/>
    <w:rsid w:val="00D006F4"/>
    <w:rsid w:val="00D034A0"/>
    <w:rsid w:val="00D07B20"/>
    <w:rsid w:val="00D1099C"/>
    <w:rsid w:val="00D10A2D"/>
    <w:rsid w:val="00D122E5"/>
    <w:rsid w:val="00D139AC"/>
    <w:rsid w:val="00D145E1"/>
    <w:rsid w:val="00D148AE"/>
    <w:rsid w:val="00D148BC"/>
    <w:rsid w:val="00D15C45"/>
    <w:rsid w:val="00D20392"/>
    <w:rsid w:val="00D20E22"/>
    <w:rsid w:val="00D21061"/>
    <w:rsid w:val="00D21732"/>
    <w:rsid w:val="00D246D8"/>
    <w:rsid w:val="00D320AC"/>
    <w:rsid w:val="00D37B14"/>
    <w:rsid w:val="00D4108E"/>
    <w:rsid w:val="00D42474"/>
    <w:rsid w:val="00D4608D"/>
    <w:rsid w:val="00D5002F"/>
    <w:rsid w:val="00D510F1"/>
    <w:rsid w:val="00D54135"/>
    <w:rsid w:val="00D57BFB"/>
    <w:rsid w:val="00D6027A"/>
    <w:rsid w:val="00D6163D"/>
    <w:rsid w:val="00D6259C"/>
    <w:rsid w:val="00D6552D"/>
    <w:rsid w:val="00D7668B"/>
    <w:rsid w:val="00D77E22"/>
    <w:rsid w:val="00D8114B"/>
    <w:rsid w:val="00D831A3"/>
    <w:rsid w:val="00D84201"/>
    <w:rsid w:val="00D8584F"/>
    <w:rsid w:val="00D85FF0"/>
    <w:rsid w:val="00D932D1"/>
    <w:rsid w:val="00D942D7"/>
    <w:rsid w:val="00D96B3F"/>
    <w:rsid w:val="00D97BE3"/>
    <w:rsid w:val="00D97EE6"/>
    <w:rsid w:val="00DA0D67"/>
    <w:rsid w:val="00DA3711"/>
    <w:rsid w:val="00DA5286"/>
    <w:rsid w:val="00DA5362"/>
    <w:rsid w:val="00DA5515"/>
    <w:rsid w:val="00DB2561"/>
    <w:rsid w:val="00DB2E59"/>
    <w:rsid w:val="00DB5D9B"/>
    <w:rsid w:val="00DB619A"/>
    <w:rsid w:val="00DB6399"/>
    <w:rsid w:val="00DB7379"/>
    <w:rsid w:val="00DC2DEF"/>
    <w:rsid w:val="00DC3C51"/>
    <w:rsid w:val="00DD0DD8"/>
    <w:rsid w:val="00DD46F3"/>
    <w:rsid w:val="00DD4DDB"/>
    <w:rsid w:val="00DD646E"/>
    <w:rsid w:val="00DE113F"/>
    <w:rsid w:val="00DE51A5"/>
    <w:rsid w:val="00DE56F2"/>
    <w:rsid w:val="00DE66A4"/>
    <w:rsid w:val="00DE6A35"/>
    <w:rsid w:val="00DE7DF2"/>
    <w:rsid w:val="00DF116D"/>
    <w:rsid w:val="00DF27AF"/>
    <w:rsid w:val="00DF29E0"/>
    <w:rsid w:val="00DF6B8A"/>
    <w:rsid w:val="00E009D2"/>
    <w:rsid w:val="00E01EA1"/>
    <w:rsid w:val="00E0380C"/>
    <w:rsid w:val="00E041FE"/>
    <w:rsid w:val="00E04992"/>
    <w:rsid w:val="00E0557D"/>
    <w:rsid w:val="00E10695"/>
    <w:rsid w:val="00E10A14"/>
    <w:rsid w:val="00E138A9"/>
    <w:rsid w:val="00E150F2"/>
    <w:rsid w:val="00E166CB"/>
    <w:rsid w:val="00E16AEB"/>
    <w:rsid w:val="00E16FF7"/>
    <w:rsid w:val="00E17110"/>
    <w:rsid w:val="00E17C1E"/>
    <w:rsid w:val="00E17C5A"/>
    <w:rsid w:val="00E22C30"/>
    <w:rsid w:val="00E24301"/>
    <w:rsid w:val="00E24E77"/>
    <w:rsid w:val="00E2511C"/>
    <w:rsid w:val="00E26D68"/>
    <w:rsid w:val="00E27201"/>
    <w:rsid w:val="00E323D1"/>
    <w:rsid w:val="00E33B76"/>
    <w:rsid w:val="00E37237"/>
    <w:rsid w:val="00E373C7"/>
    <w:rsid w:val="00E41B04"/>
    <w:rsid w:val="00E437B0"/>
    <w:rsid w:val="00E44045"/>
    <w:rsid w:val="00E441DE"/>
    <w:rsid w:val="00E4520D"/>
    <w:rsid w:val="00E479F4"/>
    <w:rsid w:val="00E51802"/>
    <w:rsid w:val="00E5195A"/>
    <w:rsid w:val="00E531BF"/>
    <w:rsid w:val="00E56CBF"/>
    <w:rsid w:val="00E57E67"/>
    <w:rsid w:val="00E618C4"/>
    <w:rsid w:val="00E65BBD"/>
    <w:rsid w:val="00E66AA6"/>
    <w:rsid w:val="00E66B3B"/>
    <w:rsid w:val="00E7218A"/>
    <w:rsid w:val="00E7329F"/>
    <w:rsid w:val="00E842A5"/>
    <w:rsid w:val="00E86BD4"/>
    <w:rsid w:val="00E872F8"/>
    <w:rsid w:val="00E878EE"/>
    <w:rsid w:val="00E95E1D"/>
    <w:rsid w:val="00EA07C0"/>
    <w:rsid w:val="00EA0B6B"/>
    <w:rsid w:val="00EA397D"/>
    <w:rsid w:val="00EA417D"/>
    <w:rsid w:val="00EA6EC7"/>
    <w:rsid w:val="00EB0647"/>
    <w:rsid w:val="00EB104F"/>
    <w:rsid w:val="00EB138E"/>
    <w:rsid w:val="00EB46E5"/>
    <w:rsid w:val="00EB5D4D"/>
    <w:rsid w:val="00EC10AE"/>
    <w:rsid w:val="00EC1E58"/>
    <w:rsid w:val="00EC2690"/>
    <w:rsid w:val="00EC2AAB"/>
    <w:rsid w:val="00EC7091"/>
    <w:rsid w:val="00EC7882"/>
    <w:rsid w:val="00ED0703"/>
    <w:rsid w:val="00ED116C"/>
    <w:rsid w:val="00ED14BD"/>
    <w:rsid w:val="00ED4249"/>
    <w:rsid w:val="00ED5CFE"/>
    <w:rsid w:val="00ED6360"/>
    <w:rsid w:val="00EE0CDE"/>
    <w:rsid w:val="00EE1AA5"/>
    <w:rsid w:val="00EE2244"/>
    <w:rsid w:val="00EE3C5F"/>
    <w:rsid w:val="00EE7872"/>
    <w:rsid w:val="00EE7882"/>
    <w:rsid w:val="00EF13E3"/>
    <w:rsid w:val="00EF2154"/>
    <w:rsid w:val="00EF47C8"/>
    <w:rsid w:val="00EF5751"/>
    <w:rsid w:val="00EF7704"/>
    <w:rsid w:val="00F016C7"/>
    <w:rsid w:val="00F0349F"/>
    <w:rsid w:val="00F04920"/>
    <w:rsid w:val="00F0623D"/>
    <w:rsid w:val="00F063DF"/>
    <w:rsid w:val="00F073CB"/>
    <w:rsid w:val="00F10664"/>
    <w:rsid w:val="00F108CB"/>
    <w:rsid w:val="00F12DEC"/>
    <w:rsid w:val="00F1402B"/>
    <w:rsid w:val="00F16C4B"/>
    <w:rsid w:val="00F1715C"/>
    <w:rsid w:val="00F17E8A"/>
    <w:rsid w:val="00F17EFB"/>
    <w:rsid w:val="00F2276C"/>
    <w:rsid w:val="00F25ADE"/>
    <w:rsid w:val="00F310F8"/>
    <w:rsid w:val="00F348C0"/>
    <w:rsid w:val="00F35502"/>
    <w:rsid w:val="00F35939"/>
    <w:rsid w:val="00F40350"/>
    <w:rsid w:val="00F40D6B"/>
    <w:rsid w:val="00F43C99"/>
    <w:rsid w:val="00F451E6"/>
    <w:rsid w:val="00F45607"/>
    <w:rsid w:val="00F45B56"/>
    <w:rsid w:val="00F46000"/>
    <w:rsid w:val="00F4722B"/>
    <w:rsid w:val="00F50A74"/>
    <w:rsid w:val="00F51311"/>
    <w:rsid w:val="00F52CEE"/>
    <w:rsid w:val="00F52FA8"/>
    <w:rsid w:val="00F54432"/>
    <w:rsid w:val="00F54B45"/>
    <w:rsid w:val="00F5656E"/>
    <w:rsid w:val="00F569C6"/>
    <w:rsid w:val="00F60931"/>
    <w:rsid w:val="00F6250A"/>
    <w:rsid w:val="00F63A9C"/>
    <w:rsid w:val="00F64E2B"/>
    <w:rsid w:val="00F653AD"/>
    <w:rsid w:val="00F659EB"/>
    <w:rsid w:val="00F67ED4"/>
    <w:rsid w:val="00F67F0D"/>
    <w:rsid w:val="00F744CC"/>
    <w:rsid w:val="00F74E77"/>
    <w:rsid w:val="00F76953"/>
    <w:rsid w:val="00F77DC7"/>
    <w:rsid w:val="00F80740"/>
    <w:rsid w:val="00F86BA6"/>
    <w:rsid w:val="00F86D2A"/>
    <w:rsid w:val="00F93E20"/>
    <w:rsid w:val="00F94410"/>
    <w:rsid w:val="00F97F4A"/>
    <w:rsid w:val="00FA21E1"/>
    <w:rsid w:val="00FA2ADC"/>
    <w:rsid w:val="00FA47CE"/>
    <w:rsid w:val="00FA487B"/>
    <w:rsid w:val="00FA4D7F"/>
    <w:rsid w:val="00FB1188"/>
    <w:rsid w:val="00FB3188"/>
    <w:rsid w:val="00FB6342"/>
    <w:rsid w:val="00FC0898"/>
    <w:rsid w:val="00FC166D"/>
    <w:rsid w:val="00FC2432"/>
    <w:rsid w:val="00FC3C86"/>
    <w:rsid w:val="00FC5C54"/>
    <w:rsid w:val="00FC6389"/>
    <w:rsid w:val="00FC7084"/>
    <w:rsid w:val="00FC757D"/>
    <w:rsid w:val="00FD0304"/>
    <w:rsid w:val="00FD0692"/>
    <w:rsid w:val="00FD1094"/>
    <w:rsid w:val="00FD3DA8"/>
    <w:rsid w:val="00FD6F00"/>
    <w:rsid w:val="00FE27AB"/>
    <w:rsid w:val="00FE4333"/>
    <w:rsid w:val="00FE5726"/>
    <w:rsid w:val="00FE5A5D"/>
    <w:rsid w:val="00FE6AEC"/>
    <w:rsid w:val="00FE7939"/>
    <w:rsid w:val="00FF02CB"/>
    <w:rsid w:val="00FF2093"/>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tabs>
        <w:tab w:val="clear" w:pos="1332"/>
        <w:tab w:val="num" w:pos="1077"/>
      </w:tabs>
      <w:spacing w:after="120"/>
      <w:ind w:left="1077"/>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paragraph" w:customStyle="1" w:styleId="RLTextlnkuslovan">
    <w:name w:val="RL Text článku číslovaný"/>
    <w:basedOn w:val="Normln"/>
    <w:link w:val="RLTextlnkuslovanChar"/>
    <w:rsid w:val="005C4E6D"/>
    <w:pPr>
      <w:numPr>
        <w:ilvl w:val="1"/>
        <w:numId w:val="20"/>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rsid w:val="005C4E6D"/>
    <w:pPr>
      <w:keepNext/>
      <w:numPr>
        <w:numId w:val="20"/>
      </w:numPr>
      <w:suppressAutoHyphens/>
      <w:spacing w:before="360" w:after="120" w:line="280" w:lineRule="exact"/>
      <w:jc w:val="both"/>
      <w:outlineLvl w:val="0"/>
    </w:pPr>
    <w:rPr>
      <w:rFonts w:ascii="Calibri" w:eastAsia="Times New Roman" w:hAnsi="Calibri" w:cs="Calibri"/>
      <w:b/>
      <w:bCs/>
      <w:sz w:val="22"/>
      <w:szCs w:val="22"/>
    </w:rPr>
  </w:style>
  <w:style w:type="character" w:customStyle="1" w:styleId="RLTextlnkuslovanChar">
    <w:name w:val="RL Text článku číslovaný Char"/>
    <w:link w:val="RLTextlnkuslovan"/>
    <w:locked/>
    <w:rsid w:val="005C4E6D"/>
    <w:rPr>
      <w:rFonts w:ascii="Calibri" w:eastAsia="Times New Roman"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www.justice.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yperlink" Target="https://zakazky.spravazeleznic.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manual.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4.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VTP_nové_logo-6</Template>
  <TotalTime>1213</TotalTime>
  <Pages>42</Pages>
  <Words>18172</Words>
  <Characters>107221</Characters>
  <Application>Microsoft Office Word</Application>
  <DocSecurity>0</DocSecurity>
  <Lines>893</Lines>
  <Paragraphs>250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Lacigová Kateřina, Mgr.</cp:lastModifiedBy>
  <cp:revision>12</cp:revision>
  <cp:lastPrinted>2025-08-05T09:06:00Z</cp:lastPrinted>
  <dcterms:created xsi:type="dcterms:W3CDTF">2025-07-24T12:13:00Z</dcterms:created>
  <dcterms:modified xsi:type="dcterms:W3CDTF">2025-08-05T09:06:00Z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