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CD87C" w14:textId="2707F710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r w:rsidRPr="00D53974">
        <w:rPr>
          <w:rFonts w:eastAsia="Times New Roman" w:cs="Times New Roman"/>
        </w:rPr>
        <w:t xml:space="preserve">Příloha č. </w:t>
      </w:r>
      <w:r w:rsidR="000D42CD">
        <w:rPr>
          <w:rFonts w:eastAsia="Times New Roman" w:cs="Times New Roman"/>
        </w:rPr>
        <w:t>2</w:t>
      </w:r>
      <w:r w:rsidR="000D42CD" w:rsidRPr="00D53974">
        <w:rPr>
          <w:rFonts w:eastAsia="Times New Roman" w:cs="Times New Roman"/>
        </w:rPr>
        <w:t xml:space="preserve"> </w:t>
      </w:r>
      <w:r w:rsidR="00422130" w:rsidRPr="00D53974">
        <w:rPr>
          <w:rFonts w:eastAsia="Times New Roman" w:cs="Times New Roman"/>
        </w:rPr>
        <w:t>Smlouvy</w:t>
      </w:r>
      <w:r w:rsidR="00D53974" w:rsidRPr="00D53974">
        <w:rPr>
          <w:rFonts w:eastAsia="Times New Roman" w:cs="Times New Roman"/>
        </w:rPr>
        <w:t xml:space="preserve"> o dílo na vytvoření software</w:t>
      </w:r>
    </w:p>
    <w:p w14:paraId="44BD91B7" w14:textId="77777777" w:rsidR="00422130" w:rsidRPr="009746F7" w:rsidRDefault="00422130" w:rsidP="00AC1D31">
      <w:pPr>
        <w:pStyle w:val="Nadpis1"/>
        <w:rPr>
          <w:rFonts w:eastAsia="Times New Roman"/>
          <w:color w:val="FF5200"/>
          <w:sz w:val="40"/>
          <w:szCs w:val="40"/>
        </w:rPr>
      </w:pPr>
      <w:r w:rsidRPr="009746F7">
        <w:rPr>
          <w:rFonts w:eastAsia="Times New Roman"/>
          <w:color w:val="FF5200"/>
          <w:sz w:val="40"/>
          <w:szCs w:val="40"/>
        </w:rPr>
        <w:t>Harmonogram</w:t>
      </w:r>
    </w:p>
    <w:p w14:paraId="55493CA0" w14:textId="77777777" w:rsidR="00D53974" w:rsidRDefault="00D53974" w:rsidP="00D53974">
      <w:pPr>
        <w:spacing w:before="240"/>
        <w:rPr>
          <w:lang w:eastAsia="cs-CZ"/>
        </w:rPr>
      </w:pPr>
      <w:r>
        <w:rPr>
          <w:lang w:eastAsia="cs-CZ"/>
        </w:rPr>
        <w:t xml:space="preserve">Pro Dodavatele jsou závazné uvedené milníky. Časování jednotlivých fází projektu navrhne Dodavatel na základě jednání se Zadavatelem, které bude probíhat v rámci fáze Inicializace. </w:t>
      </w:r>
    </w:p>
    <w:p w14:paraId="75A7A55B" w14:textId="77777777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Detailní harmonogram pro každou fázi </w:t>
      </w:r>
      <w:r>
        <w:rPr>
          <w:lang w:eastAsia="cs-CZ"/>
        </w:rPr>
        <w:t>je Dodavatel povinen předložit</w:t>
      </w:r>
      <w:r w:rsidRPr="67290588">
        <w:rPr>
          <w:lang w:eastAsia="cs-CZ"/>
        </w:rPr>
        <w:t xml:space="preserve"> vždy před</w:t>
      </w:r>
      <w:r>
        <w:rPr>
          <w:lang w:eastAsia="cs-CZ"/>
        </w:rPr>
        <w:t xml:space="preserve"> zahájením</w:t>
      </w:r>
      <w:r w:rsidRPr="67290588">
        <w:rPr>
          <w:lang w:eastAsia="cs-CZ"/>
        </w:rPr>
        <w:t xml:space="preserve"> každ</w:t>
      </w:r>
      <w:r>
        <w:rPr>
          <w:lang w:eastAsia="cs-CZ"/>
        </w:rPr>
        <w:t>é z fází projektu</w:t>
      </w:r>
      <w:r w:rsidRPr="67290588">
        <w:rPr>
          <w:lang w:eastAsia="cs-CZ"/>
        </w:rPr>
        <w:t xml:space="preserve">. Bude vždy odsouhlasen Dodavatelem i </w:t>
      </w:r>
      <w:r>
        <w:rPr>
          <w:lang w:eastAsia="cs-CZ"/>
        </w:rPr>
        <w:t>Zadavatelem</w:t>
      </w:r>
      <w:r w:rsidRPr="67290588">
        <w:rPr>
          <w:lang w:eastAsia="cs-CZ"/>
        </w:rPr>
        <w:t xml:space="preserve"> v dostatečném předstihu před každou fází. </w:t>
      </w:r>
    </w:p>
    <w:p w14:paraId="3B7F8F17" w14:textId="43F64039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První verze harmonogramu vznikne v rámci přípravy projektu do </w:t>
      </w:r>
      <w:r w:rsidR="00E82DA1">
        <w:rPr>
          <w:lang w:eastAsia="cs-CZ"/>
        </w:rPr>
        <w:t xml:space="preserve">30 </w:t>
      </w:r>
      <w:r>
        <w:rPr>
          <w:lang w:eastAsia="cs-CZ"/>
        </w:rPr>
        <w:t>dnů od nabytí účinnosti smlouvy.</w:t>
      </w:r>
    </w:p>
    <w:p w14:paraId="27A14916" w14:textId="77777777" w:rsidR="00D53974" w:rsidRDefault="00D53974" w:rsidP="00D53974">
      <w:pPr>
        <w:spacing w:before="240" w:after="240"/>
        <w:rPr>
          <w:lang w:eastAsia="cs-CZ"/>
        </w:rPr>
      </w:pPr>
      <w:r>
        <w:rPr>
          <w:lang w:eastAsia="cs-CZ"/>
        </w:rPr>
        <w:t>Závazné milníky projektu:</w:t>
      </w:r>
    </w:p>
    <w:p w14:paraId="108F109E" w14:textId="1F40B2B9" w:rsidR="009B1B0E" w:rsidRPr="00177AF7" w:rsidRDefault="009B1B0E" w:rsidP="298072F1">
      <w:pPr>
        <w:numPr>
          <w:ilvl w:val="0"/>
          <w:numId w:val="34"/>
        </w:numPr>
        <w:spacing w:before="0" w:after="0"/>
        <w:rPr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1489"/>
        <w:gridCol w:w="2800"/>
        <w:gridCol w:w="1835"/>
      </w:tblGrid>
      <w:tr w:rsidR="00514247" w:rsidRPr="00D53974" w14:paraId="328A6A14" w14:textId="716ED81D" w:rsidTr="009A0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64AAF6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Milník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</w:tcPr>
          <w:p w14:paraId="24FF505F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Datum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B1E68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Podmínky akceptace</w:t>
            </w:r>
          </w:p>
        </w:tc>
        <w:tc>
          <w:tcPr>
            <w:tcW w:w="1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5D1B6" w14:textId="52D030B8" w:rsidR="00514247" w:rsidRPr="00D53974" w:rsidRDefault="00EE4491" w:rsidP="009A0DF7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Cs w:val="16"/>
                <w:lang w:eastAsia="cs-CZ"/>
              </w:rPr>
            </w:pPr>
            <w:r w:rsidRPr="00EE4491">
              <w:rPr>
                <w:rFonts w:asciiTheme="minorHAnsi" w:hAnsiTheme="minorHAnsi"/>
                <w:b/>
                <w:bCs/>
                <w:szCs w:val="16"/>
                <w:lang w:eastAsia="cs-CZ"/>
              </w:rPr>
              <w:t>Platební milník</w:t>
            </w:r>
          </w:p>
        </w:tc>
      </w:tr>
      <w:tr w:rsidR="00514247" w:rsidRPr="00D53974" w14:paraId="089CF140" w14:textId="49E509ED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</w:tcBorders>
          </w:tcPr>
          <w:p w14:paraId="03144322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Kick-off projektu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14:paraId="3B6015DE" w14:textId="590AA73E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lang w:eastAsia="cs-CZ"/>
              </w:rPr>
              <w:t xml:space="preserve">do </w:t>
            </w:r>
            <w:r w:rsidR="00E82DA1">
              <w:rPr>
                <w:rFonts w:asciiTheme="minorHAnsi" w:hAnsiTheme="minorHAnsi"/>
                <w:sz w:val="18"/>
                <w:lang w:eastAsia="cs-CZ"/>
              </w:rPr>
              <w:t>30</w:t>
            </w:r>
            <w:r w:rsidR="00E82DA1" w:rsidRPr="00D53974">
              <w:rPr>
                <w:rFonts w:asciiTheme="minorHAnsi" w:hAnsiTheme="minorHAnsi"/>
                <w:sz w:val="18"/>
                <w:lang w:eastAsia="cs-CZ"/>
              </w:rPr>
              <w:t xml:space="preserve"> </w:t>
            </w:r>
            <w:r w:rsidRPr="00D53974">
              <w:rPr>
                <w:rFonts w:asciiTheme="minorHAnsi" w:hAnsiTheme="minorHAnsi"/>
                <w:sz w:val="18"/>
                <w:lang w:eastAsia="cs-CZ"/>
              </w:rPr>
              <w:t>dnů od nabytí účinnosti smlouvy</w:t>
            </w:r>
          </w:p>
        </w:tc>
        <w:tc>
          <w:tcPr>
            <w:tcW w:w="2800" w:type="dxa"/>
            <w:tcBorders>
              <w:top w:val="single" w:sz="12" w:space="0" w:color="auto"/>
              <w:right w:val="single" w:sz="12" w:space="0" w:color="auto"/>
            </w:tcBorders>
          </w:tcPr>
          <w:p w14:paraId="7033A710" w14:textId="6926B5F3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</w:rPr>
              <w:t xml:space="preserve">Dokument „Plán a metodika realizace projektu“ obsahující i </w:t>
            </w:r>
            <w:r>
              <w:rPr>
                <w:rFonts w:asciiTheme="minorHAnsi" w:hAnsiTheme="minorHAnsi"/>
                <w:sz w:val="18"/>
                <w:szCs w:val="16"/>
              </w:rPr>
              <w:t xml:space="preserve">podrobný </w:t>
            </w:r>
            <w:r w:rsidRPr="00D53974">
              <w:rPr>
                <w:rFonts w:asciiTheme="minorHAnsi" w:hAnsiTheme="minorHAnsi"/>
                <w:sz w:val="18"/>
                <w:szCs w:val="16"/>
              </w:rPr>
              <w:t>h</w:t>
            </w: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armonogram projektu </w:t>
            </w:r>
          </w:p>
        </w:tc>
        <w:tc>
          <w:tcPr>
            <w:tcW w:w="1835" w:type="dxa"/>
            <w:tcBorders>
              <w:top w:val="single" w:sz="12" w:space="0" w:color="auto"/>
              <w:right w:val="single" w:sz="12" w:space="0" w:color="auto"/>
            </w:tcBorders>
          </w:tcPr>
          <w:p w14:paraId="72BAB3CB" w14:textId="7B07E738" w:rsidR="00514247" w:rsidRPr="00D53974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</w:rPr>
            </w:pPr>
            <w:r w:rsidRPr="005C52A4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BC02E4" w:rsidRPr="00D53974" w14:paraId="38BA894B" w14:textId="77777777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7E5D2078" w14:textId="33084D8D" w:rsidR="00FD695B" w:rsidRDefault="00FD695B" w:rsidP="00B31EC3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</w:pPr>
            <w:r>
              <w:t xml:space="preserve">Návrhy </w:t>
            </w:r>
            <w:r w:rsidR="003042C3">
              <w:t xml:space="preserve">architektury </w:t>
            </w:r>
            <w:r>
              <w:t xml:space="preserve">řešení </w:t>
            </w:r>
            <w:r w:rsidR="00256291">
              <w:t xml:space="preserve">problémů a potřeb hlavních oblastí (kap. </w:t>
            </w:r>
            <w:r w:rsidR="00EB2198">
              <w:t>2.1.1. přílohy Specifikace Plnění)</w:t>
            </w:r>
          </w:p>
          <w:p w14:paraId="17A25BB2" w14:textId="77777777" w:rsidR="00B31EC3" w:rsidRDefault="00B31EC3" w:rsidP="003042C3">
            <w:pPr>
              <w:pStyle w:val="Odstavecseseznamem"/>
              <w:spacing w:before="60" w:after="60"/>
              <w:ind w:left="360"/>
              <w:jc w:val="left"/>
            </w:pPr>
          </w:p>
          <w:p w14:paraId="24C6DB10" w14:textId="47DCBBEB" w:rsidR="009D0E43" w:rsidRPr="0044112B" w:rsidRDefault="009D0E43" w:rsidP="003042C3">
            <w:pPr>
              <w:pStyle w:val="Odstavecseseznamem"/>
              <w:numPr>
                <w:ilvl w:val="0"/>
                <w:numId w:val="36"/>
              </w:numPr>
              <w:spacing w:before="60" w:after="60"/>
              <w:jc w:val="left"/>
            </w:pPr>
            <w:r>
              <w:t>Ukázky standardního řešení budoucích procesů v prostředí SAP S/4HANA</w:t>
            </w:r>
          </w:p>
          <w:p w14:paraId="41D403EA" w14:textId="7A81E9BA" w:rsidR="00BC02E4" w:rsidRPr="1C55215A" w:rsidRDefault="00BC02E4" w:rsidP="009D0E43">
            <w:pPr>
              <w:tabs>
                <w:tab w:val="left" w:pos="409"/>
              </w:tabs>
              <w:spacing w:before="0" w:after="0"/>
              <w:jc w:val="left"/>
              <w:rPr>
                <w:rFonts w:asciiTheme="minorHAnsi" w:hAnsiTheme="minorHAnsi"/>
                <w:lang w:eastAsia="cs-CZ"/>
              </w:rPr>
            </w:pPr>
          </w:p>
        </w:tc>
        <w:tc>
          <w:tcPr>
            <w:tcW w:w="1489" w:type="dxa"/>
          </w:tcPr>
          <w:p w14:paraId="7DA707C4" w14:textId="1D05FEDD" w:rsidR="00BC02E4" w:rsidRDefault="00E82DA1" w:rsidP="00584E68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Do 6 měsíců od nabytí účinnosti smlouvy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2F07AFBD" w14:textId="77777777" w:rsidR="00BC02E4" w:rsidRDefault="00C54136" w:rsidP="00AE7F35">
            <w:pPr>
              <w:pStyle w:val="Odstavecseseznamem"/>
              <w:numPr>
                <w:ilvl w:val="0"/>
                <w:numId w:val="37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 w:rsidRPr="00985629">
              <w:rPr>
                <w:rFonts w:asciiTheme="minorHAnsi" w:hAnsiTheme="minorHAnsi"/>
                <w:szCs w:val="16"/>
                <w:lang w:eastAsia="cs-CZ"/>
              </w:rPr>
              <w:t>Akceptovan</w:t>
            </w:r>
            <w:r w:rsidR="00260E1C" w:rsidRPr="00985629">
              <w:rPr>
                <w:rFonts w:asciiTheme="minorHAnsi" w:hAnsiTheme="minorHAnsi"/>
                <w:szCs w:val="16"/>
                <w:lang w:eastAsia="cs-CZ"/>
              </w:rPr>
              <w:t>ý</w:t>
            </w:r>
            <w:r w:rsidRPr="00985629">
              <w:rPr>
                <w:rFonts w:asciiTheme="minorHAnsi" w:hAnsiTheme="minorHAnsi"/>
                <w:szCs w:val="16"/>
                <w:lang w:eastAsia="cs-CZ"/>
              </w:rPr>
              <w:t xml:space="preserve"> dokument</w:t>
            </w:r>
            <w:r w:rsidR="00260E1C" w:rsidRPr="00985629">
              <w:rPr>
                <w:rFonts w:asciiTheme="minorHAnsi" w:hAnsiTheme="minorHAnsi"/>
                <w:szCs w:val="16"/>
                <w:lang w:eastAsia="cs-CZ"/>
              </w:rPr>
              <w:t xml:space="preserve"> globálního </w:t>
            </w:r>
            <w:r w:rsidRPr="00985629">
              <w:rPr>
                <w:rFonts w:asciiTheme="minorHAnsi" w:hAnsiTheme="minorHAnsi"/>
                <w:szCs w:val="16"/>
                <w:lang w:eastAsia="cs-CZ"/>
              </w:rPr>
              <w:t>návrh</w:t>
            </w:r>
            <w:r w:rsidR="00260E1C" w:rsidRPr="00985629">
              <w:rPr>
                <w:rFonts w:asciiTheme="minorHAnsi" w:hAnsiTheme="minorHAnsi"/>
                <w:szCs w:val="16"/>
                <w:lang w:eastAsia="cs-CZ"/>
              </w:rPr>
              <w:t>u</w:t>
            </w:r>
            <w:r w:rsidRPr="00985629">
              <w:rPr>
                <w:rFonts w:asciiTheme="minorHAnsi" w:hAnsiTheme="minorHAnsi"/>
                <w:szCs w:val="16"/>
                <w:lang w:eastAsia="cs-CZ"/>
              </w:rPr>
              <w:t xml:space="preserve"> </w:t>
            </w:r>
            <w:r w:rsidR="00C30338" w:rsidRPr="00985629">
              <w:rPr>
                <w:rFonts w:asciiTheme="minorHAnsi" w:hAnsiTheme="minorHAnsi"/>
                <w:szCs w:val="16"/>
                <w:lang w:eastAsia="cs-CZ"/>
              </w:rPr>
              <w:t xml:space="preserve">architektury </w:t>
            </w:r>
            <w:r w:rsidRPr="00985629">
              <w:rPr>
                <w:rFonts w:asciiTheme="minorHAnsi" w:hAnsiTheme="minorHAnsi"/>
                <w:szCs w:val="16"/>
                <w:lang w:eastAsia="cs-CZ"/>
              </w:rPr>
              <w:t>řešení</w:t>
            </w:r>
            <w:r w:rsidR="00260E1C" w:rsidRPr="00985629">
              <w:rPr>
                <w:rFonts w:asciiTheme="minorHAnsi" w:hAnsiTheme="minorHAnsi"/>
                <w:szCs w:val="16"/>
                <w:lang w:eastAsia="cs-CZ"/>
              </w:rPr>
              <w:t xml:space="preserve"> hlavních oblastí</w:t>
            </w:r>
          </w:p>
          <w:p w14:paraId="193D3427" w14:textId="77777777" w:rsidR="00AE7F35" w:rsidRDefault="00AE7F35" w:rsidP="00AE7F35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</w:p>
          <w:p w14:paraId="6201EC97" w14:textId="77777777" w:rsidR="00AE7F35" w:rsidRDefault="00AE7F35" w:rsidP="00AE7F35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</w:p>
          <w:p w14:paraId="0BE1E04B" w14:textId="0CAF98E3" w:rsidR="00AE7F35" w:rsidRPr="00985629" w:rsidRDefault="008916A0" w:rsidP="00985629">
            <w:pPr>
              <w:pStyle w:val="Odstavecseseznamem"/>
              <w:numPr>
                <w:ilvl w:val="0"/>
                <w:numId w:val="37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>
              <w:rPr>
                <w:rFonts w:asciiTheme="minorHAnsi" w:hAnsiTheme="minorHAnsi"/>
                <w:szCs w:val="16"/>
                <w:lang w:eastAsia="cs-CZ"/>
              </w:rPr>
              <w:t>Akcepta</w:t>
            </w:r>
            <w:r w:rsidR="006415BF">
              <w:rPr>
                <w:rFonts w:asciiTheme="minorHAnsi" w:hAnsiTheme="minorHAnsi"/>
                <w:szCs w:val="16"/>
                <w:lang w:eastAsia="cs-CZ"/>
              </w:rPr>
              <w:t>ční protokol podepsaný</w:t>
            </w:r>
            <w:r>
              <w:rPr>
                <w:rFonts w:asciiTheme="minorHAnsi" w:hAnsiTheme="minorHAnsi"/>
                <w:szCs w:val="16"/>
                <w:lang w:eastAsia="cs-CZ"/>
              </w:rPr>
              <w:t xml:space="preserve"> Zadav</w:t>
            </w:r>
            <w:r w:rsidR="0033334D">
              <w:rPr>
                <w:rFonts w:asciiTheme="minorHAnsi" w:hAnsiTheme="minorHAnsi"/>
                <w:szCs w:val="16"/>
                <w:lang w:eastAsia="cs-CZ"/>
              </w:rPr>
              <w:t xml:space="preserve">atelem, že probíhají jednotlivé ukázky </w:t>
            </w:r>
            <w:r w:rsidR="00985629">
              <w:rPr>
                <w:rFonts w:asciiTheme="minorHAnsi" w:hAnsiTheme="minorHAnsi"/>
                <w:szCs w:val="16"/>
                <w:lang w:eastAsia="cs-CZ"/>
              </w:rPr>
              <w:t xml:space="preserve">a prototypování </w:t>
            </w:r>
            <w:r w:rsidR="0033334D">
              <w:rPr>
                <w:rFonts w:asciiTheme="minorHAnsi" w:hAnsiTheme="minorHAnsi"/>
                <w:szCs w:val="16"/>
                <w:lang w:eastAsia="cs-CZ"/>
              </w:rPr>
              <w:t>v rámci pracovních týmů</w:t>
            </w:r>
            <w:r w:rsidR="00EB28B4">
              <w:rPr>
                <w:rFonts w:asciiTheme="minorHAnsi" w:hAnsiTheme="minorHAnsi"/>
                <w:szCs w:val="16"/>
                <w:lang w:eastAsia="cs-CZ"/>
              </w:rPr>
              <w:t xml:space="preserve"> 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73665AE9" w14:textId="27719E0D" w:rsidR="00BC02E4" w:rsidRPr="009A0DF7" w:rsidRDefault="00173A6B" w:rsidP="009A0DF7">
            <w:p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9A0DF7">
              <w:rPr>
                <w:rFonts w:asciiTheme="minorHAnsi" w:hAnsiTheme="minorHAnsi"/>
              </w:rPr>
              <w:t xml:space="preserve">Ano </w:t>
            </w:r>
            <w:proofErr w:type="gramStart"/>
            <w:r>
              <w:rPr>
                <w:rFonts w:asciiTheme="minorHAnsi" w:hAnsiTheme="minorHAnsi"/>
              </w:rPr>
              <w:t>10</w:t>
            </w:r>
            <w:r w:rsidRPr="009A0DF7">
              <w:rPr>
                <w:rFonts w:asciiTheme="minorHAnsi" w:hAnsiTheme="minorHAnsi"/>
              </w:rPr>
              <w:t>%</w:t>
            </w:r>
            <w:proofErr w:type="gramEnd"/>
            <w:r w:rsidRPr="007F586E">
              <w:t xml:space="preserve"> z ceny díla</w:t>
            </w:r>
            <w:r>
              <w:t xml:space="preserve"> dle čl. 7.2 smlouvy</w:t>
            </w:r>
          </w:p>
        </w:tc>
      </w:tr>
      <w:tr w:rsidR="00514247" w:rsidRPr="00D53974" w14:paraId="65CF6AB6" w14:textId="550347DB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07DFCF0A" w14:textId="37CDA993" w:rsidR="00514247" w:rsidRPr="00D53974" w:rsidRDefault="00514247" w:rsidP="1C55215A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1C55215A">
              <w:rPr>
                <w:rFonts w:asciiTheme="minorHAnsi" w:hAnsiTheme="minorHAnsi"/>
                <w:sz w:val="18"/>
                <w:lang w:eastAsia="cs-CZ"/>
              </w:rPr>
              <w:t>Akceptace cílov</w:t>
            </w:r>
            <w:r w:rsidR="13755CEB" w:rsidRPr="1C55215A">
              <w:rPr>
                <w:rFonts w:asciiTheme="minorHAnsi" w:hAnsiTheme="minorHAnsi"/>
                <w:sz w:val="18"/>
                <w:lang w:eastAsia="cs-CZ"/>
              </w:rPr>
              <w:t>ých</w:t>
            </w:r>
            <w:r w:rsidRPr="1C55215A">
              <w:rPr>
                <w:rFonts w:asciiTheme="minorHAnsi" w:hAnsiTheme="minorHAnsi"/>
                <w:sz w:val="18"/>
                <w:lang w:eastAsia="cs-CZ"/>
              </w:rPr>
              <w:t xml:space="preserve"> koncept</w:t>
            </w:r>
            <w:r w:rsidR="3F0B96E9" w:rsidRPr="1C55215A">
              <w:rPr>
                <w:rFonts w:asciiTheme="minorHAnsi" w:hAnsiTheme="minorHAnsi"/>
                <w:sz w:val="18"/>
                <w:lang w:eastAsia="cs-CZ"/>
              </w:rPr>
              <w:t>ů</w:t>
            </w:r>
          </w:p>
        </w:tc>
        <w:tc>
          <w:tcPr>
            <w:tcW w:w="1489" w:type="dxa"/>
          </w:tcPr>
          <w:p w14:paraId="30165B3F" w14:textId="2E96833F" w:rsidR="00514247" w:rsidRPr="00D53974" w:rsidRDefault="00DD6336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Do </w:t>
            </w:r>
            <w:r w:rsidR="00E82DA1">
              <w:rPr>
                <w:rFonts w:asciiTheme="minorHAnsi" w:hAnsiTheme="minorHAnsi"/>
                <w:sz w:val="18"/>
                <w:szCs w:val="16"/>
                <w:lang w:eastAsia="cs-CZ"/>
              </w:rPr>
              <w:t>13 měsíců od nabytí účinnosti smlouvy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64B74498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Kompletní CK vč. CK školení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79E8786B" w14:textId="30CB4082" w:rsidR="00514247" w:rsidRPr="009A0DF7" w:rsidRDefault="6D6EA952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9A0DF7">
              <w:rPr>
                <w:rFonts w:asciiTheme="minorHAnsi" w:hAnsiTheme="minorHAnsi"/>
              </w:rPr>
              <w:t xml:space="preserve">Ano </w:t>
            </w:r>
            <w:proofErr w:type="gramStart"/>
            <w:r w:rsidR="00D8097F">
              <w:rPr>
                <w:rFonts w:asciiTheme="minorHAnsi" w:hAnsiTheme="minorHAnsi"/>
              </w:rPr>
              <w:t>3</w:t>
            </w:r>
            <w:r w:rsidR="00CF1CB6">
              <w:rPr>
                <w:rFonts w:asciiTheme="minorHAnsi" w:hAnsiTheme="minorHAnsi"/>
              </w:rPr>
              <w:t>5</w:t>
            </w:r>
            <w:r w:rsidR="6427DD2A" w:rsidRPr="009A0DF7">
              <w:rPr>
                <w:rFonts w:asciiTheme="minorHAnsi" w:hAnsiTheme="minorHAnsi"/>
              </w:rPr>
              <w:t>%</w:t>
            </w:r>
            <w:proofErr w:type="gramEnd"/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  <w:tr w:rsidR="00514247" w:rsidRPr="00D53974" w14:paraId="36C4EA96" w14:textId="0B5890F1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613DACBF" w14:textId="31E2CFB8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</w:p>
        </w:tc>
        <w:tc>
          <w:tcPr>
            <w:tcW w:w="1489" w:type="dxa"/>
          </w:tcPr>
          <w:p w14:paraId="1618F30E" w14:textId="21F6DCB2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631277E" w14:textId="71D1ECED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5FBD22D3" w14:textId="5D3FC1A2" w:rsidR="00514247" w:rsidRPr="009A0DF7" w:rsidRDefault="00514247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</w:p>
        </w:tc>
      </w:tr>
      <w:tr w:rsidR="00514247" w:rsidRPr="00D53974" w14:paraId="494A566E" w14:textId="5298DDAD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B683FDA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Implementace řešení SAP S/4HANA včetně testování</w:t>
            </w:r>
          </w:p>
        </w:tc>
        <w:tc>
          <w:tcPr>
            <w:tcW w:w="1489" w:type="dxa"/>
          </w:tcPr>
          <w:p w14:paraId="2966735A" w14:textId="3FC6576A" w:rsidR="00514247" w:rsidRPr="00D53974" w:rsidRDefault="00D849DE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Do 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31.</w:t>
            </w:r>
            <w:r w:rsidR="00E57633">
              <w:rPr>
                <w:rFonts w:asciiTheme="minorHAnsi" w:hAnsiTheme="minorHAnsi"/>
                <w:sz w:val="18"/>
                <w:szCs w:val="16"/>
                <w:lang w:eastAsia="cs-CZ"/>
              </w:rPr>
              <w:t>8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.</w:t>
            </w:r>
            <w:r w:rsidR="00E57633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202</w:t>
            </w:r>
            <w:r w:rsidR="00E57633">
              <w:rPr>
                <w:rFonts w:asciiTheme="minorHAnsi" w:hAnsiTheme="minorHAnsi"/>
                <w:sz w:val="18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A63FF69" w14:textId="77777777" w:rsidR="00514247" w:rsidRPr="00D53974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</w:rPr>
              <w:t xml:space="preserve">Plán realizace testovaní s ohledem na jednotlivé způsoby testování, Plán školení se specifikací požadovaných kapacit na místo a technickou podporu realizace školení, Implementované funkční požadavky projektu v prostředí systému </w:t>
            </w:r>
            <w:r w:rsidRPr="00D53974">
              <w:rPr>
                <w:rFonts w:asciiTheme="minorHAnsi" w:hAnsiTheme="minorHAnsi"/>
                <w:sz w:val="18"/>
                <w:szCs w:val="16"/>
              </w:rPr>
              <w:lastRenderedPageBreak/>
              <w:t>S4/HANA</w:t>
            </w: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, Uživatelské příručky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D7D2724" w14:textId="7C029F0C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5C52A4">
              <w:rPr>
                <w:rFonts w:asciiTheme="minorHAnsi" w:hAnsiTheme="minorHAnsi"/>
                <w:szCs w:val="16"/>
              </w:rPr>
              <w:lastRenderedPageBreak/>
              <w:t>Ne</w:t>
            </w:r>
          </w:p>
        </w:tc>
      </w:tr>
      <w:tr w:rsidR="00514247" w:rsidRPr="00D53974" w14:paraId="3D44D873" w14:textId="443E1981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43E29A65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20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Finální akceptační testy</w:t>
            </w:r>
          </w:p>
        </w:tc>
        <w:tc>
          <w:tcPr>
            <w:tcW w:w="1489" w:type="dxa"/>
          </w:tcPr>
          <w:p w14:paraId="6749E5C3" w14:textId="37144152" w:rsidR="00514247" w:rsidRPr="00D53974" w:rsidRDefault="00BB20FD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Do 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30.11.202</w:t>
            </w:r>
            <w:r w:rsidR="00E57633">
              <w:rPr>
                <w:rFonts w:asciiTheme="minorHAnsi" w:hAnsiTheme="minorHAnsi"/>
                <w:sz w:val="18"/>
                <w:szCs w:val="16"/>
                <w:lang w:eastAsia="cs-CZ"/>
              </w:rPr>
              <w:t>8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19005836" w14:textId="2864F36B" w:rsidR="00514247" w:rsidRPr="00D53974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Funkční systém a provozuschopné řešení, vše je potvrzeno úspěšně provedenými testy (zaznamenání výsledků v testovacích scénářích)</w:t>
            </w:r>
            <w:r w:rsidR="00044625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. Rozhodnutí o </w:t>
            </w:r>
            <w:r w:rsidR="005C52A4">
              <w:rPr>
                <w:rFonts w:asciiTheme="minorHAnsi" w:hAnsiTheme="minorHAnsi"/>
                <w:sz w:val="18"/>
                <w:szCs w:val="16"/>
                <w:lang w:eastAsia="cs-CZ"/>
              </w:rPr>
              <w:t>provedení Go-live.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D653FF5" w14:textId="2A052951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EA075D" w:rsidRPr="00D53974" w14:paraId="3D569BB9" w14:textId="77777777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C7564D5" w14:textId="2E16F2FE" w:rsidR="00EA075D" w:rsidRPr="00D53974" w:rsidRDefault="00EA075D" w:rsidP="001A38B8">
            <w:pPr>
              <w:spacing w:before="0" w:after="0" w:line="264" w:lineRule="auto"/>
              <w:jc w:val="left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Go-Live</w:t>
            </w:r>
          </w:p>
        </w:tc>
        <w:tc>
          <w:tcPr>
            <w:tcW w:w="1489" w:type="dxa"/>
          </w:tcPr>
          <w:p w14:paraId="7EAA19F7" w14:textId="1F1AA907" w:rsidR="00EA075D" w:rsidRPr="00D53974" w:rsidRDefault="00EA075D" w:rsidP="001A38B8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1.1.2</w:t>
            </w:r>
            <w:r w:rsidR="005D63F4"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02</w:t>
            </w:r>
            <w:r w:rsidR="00254FE9">
              <w:rPr>
                <w:rFonts w:asciiTheme="minorHAnsi" w:hAnsiTheme="minorHAnsi"/>
                <w:sz w:val="18"/>
                <w:szCs w:val="16"/>
                <w:lang w:eastAsia="cs-CZ"/>
              </w:rPr>
              <w:t>9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EB309B9" w14:textId="1C8AE938" w:rsidR="00EA075D" w:rsidRPr="00D53974" w:rsidRDefault="005D63F4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Nasazení provozuschopného řešení do </w:t>
            </w:r>
            <w:r w:rsidR="001A38B8"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produktivního prostředí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588D4C1" w14:textId="4689D65C" w:rsidR="00EA075D" w:rsidRPr="009A0DF7" w:rsidRDefault="005D63F4" w:rsidP="001A38B8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</w:rPr>
            </w:pPr>
            <w:r w:rsidRPr="001A38B8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514247" w:rsidRPr="00D53974" w14:paraId="6172BCF2" w14:textId="1E8083FB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15307C89" w14:textId="77777777" w:rsidR="00514247" w:rsidRPr="00D53974" w:rsidRDefault="67C21382" w:rsidP="298072F1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298072F1">
              <w:rPr>
                <w:rFonts w:asciiTheme="minorHAnsi" w:hAnsiTheme="minorHAnsi"/>
                <w:sz w:val="18"/>
                <w:lang w:eastAsia="cs-CZ"/>
              </w:rPr>
              <w:t>Akceptace Go-Live</w:t>
            </w:r>
          </w:p>
        </w:tc>
        <w:tc>
          <w:tcPr>
            <w:tcW w:w="1489" w:type="dxa"/>
          </w:tcPr>
          <w:p w14:paraId="00265590" w14:textId="19FD16E0" w:rsidR="00514247" w:rsidRPr="00D53974" w:rsidRDefault="00BB20FD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Do </w:t>
            </w:r>
            <w:r w:rsidR="000B28E6">
              <w:rPr>
                <w:rFonts w:asciiTheme="minorHAnsi" w:hAnsiTheme="minorHAnsi"/>
                <w:sz w:val="18"/>
                <w:szCs w:val="16"/>
                <w:lang w:eastAsia="cs-CZ"/>
              </w:rPr>
              <w:t>12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.1.</w:t>
            </w:r>
            <w:r w:rsidR="00D259FA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202</w:t>
            </w:r>
            <w:r w:rsidR="00D259FA">
              <w:rPr>
                <w:rFonts w:asciiTheme="minorHAnsi" w:hAnsiTheme="minorHAnsi"/>
                <w:sz w:val="18"/>
                <w:szCs w:val="16"/>
                <w:lang w:eastAsia="cs-CZ"/>
              </w:rPr>
              <w:t>9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9AD14DB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proofErr w:type="spellStart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Cut-over</w:t>
            </w:r>
            <w:proofErr w:type="spellEnd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 plán, </w:t>
            </w:r>
          </w:p>
          <w:p w14:paraId="60060175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Funkční systém a provozuschopné řešení v produkčním prostředí, Seznam programů zákaznického vývoje.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353F034" w14:textId="1D6357E8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 xml:space="preserve">Ano </w:t>
            </w:r>
            <w:proofErr w:type="gramStart"/>
            <w:r w:rsidR="00CF1CB6">
              <w:rPr>
                <w:rFonts w:asciiTheme="minorHAnsi" w:hAnsiTheme="minorHAnsi"/>
                <w:szCs w:val="16"/>
              </w:rPr>
              <w:t>35</w:t>
            </w:r>
            <w:r w:rsidR="004926B2" w:rsidRPr="009A0DF7">
              <w:rPr>
                <w:rFonts w:asciiTheme="minorHAnsi" w:hAnsiTheme="minorHAnsi"/>
                <w:szCs w:val="16"/>
              </w:rPr>
              <w:t>%</w:t>
            </w:r>
            <w:proofErr w:type="gramEnd"/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  <w:tr w:rsidR="00514247" w:rsidRPr="00D53974" w14:paraId="5CE401BB" w14:textId="08138105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  <w:bottom w:val="single" w:sz="12" w:space="0" w:color="auto"/>
            </w:tcBorders>
          </w:tcPr>
          <w:p w14:paraId="09C768C8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Akceptace projektu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14:paraId="420B8477" w14:textId="65C9E2D5" w:rsidR="00514247" w:rsidRPr="00D53974" w:rsidRDefault="00BB20FD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Do 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31.3.</w:t>
            </w:r>
            <w:r w:rsidR="00D259FA">
              <w:rPr>
                <w:rFonts w:asciiTheme="minorHAnsi" w:hAnsiTheme="minorHAnsi"/>
                <w:sz w:val="18"/>
                <w:szCs w:val="16"/>
                <w:lang w:eastAsia="cs-CZ"/>
              </w:rPr>
              <w:t>2029</w:t>
            </w:r>
          </w:p>
        </w:tc>
        <w:tc>
          <w:tcPr>
            <w:tcW w:w="2800" w:type="dxa"/>
            <w:tcBorders>
              <w:bottom w:val="single" w:sz="12" w:space="0" w:color="auto"/>
              <w:right w:val="single" w:sz="12" w:space="0" w:color="auto"/>
            </w:tcBorders>
          </w:tcPr>
          <w:p w14:paraId="4EE5B1D4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Systém akceptován v provozu, tzn. splňující akceptovatelné nedostatky, korektně </w:t>
            </w:r>
            <w:proofErr w:type="spellStart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namigrovaná</w:t>
            </w:r>
            <w:proofErr w:type="spellEnd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/validovaná data a funkční integrace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14:paraId="6F4956BC" w14:textId="4C95EE2C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 xml:space="preserve">Ano </w:t>
            </w:r>
            <w:proofErr w:type="gramStart"/>
            <w:r w:rsidR="004926B2" w:rsidRPr="009A0DF7">
              <w:rPr>
                <w:rFonts w:asciiTheme="minorHAnsi" w:hAnsiTheme="minorHAnsi"/>
                <w:szCs w:val="16"/>
              </w:rPr>
              <w:t>20%</w:t>
            </w:r>
            <w:proofErr w:type="gramEnd"/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</w:tbl>
    <w:p w14:paraId="4D0F2306" w14:textId="77777777" w:rsidR="00D53974" w:rsidRDefault="00D53974" w:rsidP="00AE32BF">
      <w:pPr>
        <w:rPr>
          <w:highlight w:val="yellow"/>
        </w:rPr>
      </w:pPr>
    </w:p>
    <w:p w14:paraId="26A05DE2" w14:textId="77777777" w:rsidR="00D53974" w:rsidRDefault="00D53974" w:rsidP="00AE32BF">
      <w:pPr>
        <w:rPr>
          <w:highlight w:val="yellow"/>
        </w:rPr>
      </w:pPr>
    </w:p>
    <w:p w14:paraId="0B651B12" w14:textId="6591A904" w:rsidR="009F392E" w:rsidRDefault="009F392E" w:rsidP="298072F1">
      <w:pPr>
        <w:rPr>
          <w:kern w:val="20"/>
          <w:highlight w:val="yellow"/>
        </w:rPr>
      </w:pPr>
    </w:p>
    <w:p w14:paraId="01A5A3AD" w14:textId="77777777" w:rsidR="00922278" w:rsidRPr="00AC1D31" w:rsidRDefault="00922278" w:rsidP="00922278">
      <w:pPr>
        <w:rPr>
          <w:rFonts w:asciiTheme="majorHAnsi" w:eastAsia="Times New Roman" w:hAnsiTheme="majorHAnsi" w:cs="Times New Roman"/>
        </w:rPr>
      </w:pPr>
    </w:p>
    <w:p w14:paraId="668FEDF3" w14:textId="3AA880EF" w:rsidR="00922278" w:rsidRPr="00AC1D31" w:rsidRDefault="00922278" w:rsidP="00AC1D31">
      <w:pPr>
        <w:tabs>
          <w:tab w:val="left" w:pos="2177"/>
        </w:tabs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ab/>
      </w:r>
    </w:p>
    <w:sectPr w:rsidR="00922278" w:rsidRPr="00AC1D31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64993" w14:textId="77777777" w:rsidR="00E639B6" w:rsidRDefault="00E639B6" w:rsidP="00962258">
      <w:pPr>
        <w:spacing w:after="0" w:line="240" w:lineRule="auto"/>
      </w:pPr>
      <w:r>
        <w:separator/>
      </w:r>
    </w:p>
  </w:endnote>
  <w:endnote w:type="continuationSeparator" w:id="0">
    <w:p w14:paraId="07E5A19C" w14:textId="77777777" w:rsidR="00E639B6" w:rsidRDefault="00E639B6" w:rsidP="00962258">
      <w:pPr>
        <w:spacing w:after="0" w:line="240" w:lineRule="auto"/>
      </w:pPr>
      <w:r>
        <w:continuationSeparator/>
      </w:r>
    </w:p>
  </w:endnote>
  <w:endnote w:type="continuationNotice" w:id="1">
    <w:p w14:paraId="2F422E77" w14:textId="77777777" w:rsidR="00E639B6" w:rsidRDefault="00E639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9236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6BD1B8" w14:textId="4AB496A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85986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D7DD38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27BD33" w14:textId="77777777" w:rsidR="00F1715C" w:rsidRDefault="00F1715C" w:rsidP="00D831A3">
          <w:pPr>
            <w:pStyle w:val="Zpat"/>
          </w:pPr>
        </w:p>
      </w:tc>
    </w:tr>
  </w:tbl>
  <w:p w14:paraId="6E3BF8F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6864D7F" wp14:editId="3957BF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540CAA" id="Straight Connector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64E0A78" wp14:editId="2AF497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D219E1" id="Straight Connector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BFF5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A9225A" w14:textId="304C0C2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A0D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49781DB" w14:textId="77777777" w:rsidR="00F1715C" w:rsidRDefault="00F1715C" w:rsidP="00AC1D31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35D7A04" w14:textId="77777777" w:rsidR="00F1715C" w:rsidRDefault="00F1715C" w:rsidP="00AC1D31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41E9B90" w14:textId="77777777" w:rsidR="00F1715C" w:rsidRDefault="00F1715C" w:rsidP="00AC1D31">
          <w:pPr>
            <w:pStyle w:val="Zpat"/>
            <w:jc w:val="left"/>
          </w:pPr>
          <w:r>
            <w:t>Sídlo: Dlážděná 1003/7, 110 00 Praha 1</w:t>
          </w:r>
        </w:p>
        <w:p w14:paraId="254287F4" w14:textId="77777777" w:rsidR="00F1715C" w:rsidRDefault="00F1715C" w:rsidP="00AC1D31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4666EAA" w14:textId="77777777" w:rsidR="00F1715C" w:rsidRDefault="00586553" w:rsidP="00AC1D31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B02D1F" w14:textId="77777777" w:rsidR="00F1715C" w:rsidRDefault="00F1715C" w:rsidP="00460660">
          <w:pPr>
            <w:pStyle w:val="Zpat"/>
          </w:pPr>
        </w:p>
      </w:tc>
    </w:tr>
  </w:tbl>
  <w:p w14:paraId="64361C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8C723F1" wp14:editId="4ABAB1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970F6" id="Straight Connector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7453E0C" wp14:editId="366A54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01543" id="Straight Connector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AF2268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0099F" w14:textId="77777777" w:rsidR="00E639B6" w:rsidRDefault="00E639B6" w:rsidP="00962258">
      <w:pPr>
        <w:spacing w:after="0" w:line="240" w:lineRule="auto"/>
      </w:pPr>
      <w:r>
        <w:separator/>
      </w:r>
    </w:p>
  </w:footnote>
  <w:footnote w:type="continuationSeparator" w:id="0">
    <w:p w14:paraId="2E810148" w14:textId="77777777" w:rsidR="00E639B6" w:rsidRDefault="00E639B6" w:rsidP="00962258">
      <w:pPr>
        <w:spacing w:after="0" w:line="240" w:lineRule="auto"/>
      </w:pPr>
      <w:r>
        <w:continuationSeparator/>
      </w:r>
    </w:p>
  </w:footnote>
  <w:footnote w:type="continuationNotice" w:id="1">
    <w:p w14:paraId="70A0FABE" w14:textId="77777777" w:rsidR="00E639B6" w:rsidRDefault="00E639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AEE6C" w14:textId="51085EBC" w:rsidR="009A2F21" w:rsidRDefault="009A2F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13A1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2CFAF7" w14:textId="32E9DE78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9A481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70E34FD" w14:textId="77777777" w:rsidR="00F1715C" w:rsidRPr="00D6163D" w:rsidRDefault="00F1715C" w:rsidP="00D6163D">
          <w:pPr>
            <w:pStyle w:val="Druhdokumentu"/>
          </w:pPr>
        </w:p>
      </w:tc>
    </w:tr>
  </w:tbl>
  <w:p w14:paraId="072B8D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AF5E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E7D8CF" w14:textId="45218B4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C7539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683ABE9C" w14:textId="77777777" w:rsidR="00F1715C" w:rsidRPr="00D6163D" w:rsidRDefault="00F1715C" w:rsidP="00FC6389">
          <w:pPr>
            <w:pStyle w:val="Druhdokumentu"/>
          </w:pPr>
        </w:p>
      </w:tc>
    </w:tr>
    <w:tr w:rsidR="009F392E" w14:paraId="4A4B838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2C2BF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4448B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249D86DD" w14:textId="77777777" w:rsidR="009F392E" w:rsidRPr="00D6163D" w:rsidRDefault="009F392E" w:rsidP="00FC6389">
          <w:pPr>
            <w:pStyle w:val="Druhdokumentu"/>
          </w:pPr>
        </w:p>
      </w:tc>
    </w:tr>
  </w:tbl>
  <w:p w14:paraId="4E00E70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046D9769" wp14:editId="7B564CA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AC82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E1AC9"/>
    <w:multiLevelType w:val="hybridMultilevel"/>
    <w:tmpl w:val="2CAC4F9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E519C"/>
    <w:multiLevelType w:val="hybridMultilevel"/>
    <w:tmpl w:val="F25EB20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8820D93"/>
    <w:multiLevelType w:val="hybridMultilevel"/>
    <w:tmpl w:val="F0F8E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D01D32"/>
    <w:multiLevelType w:val="hybridMultilevel"/>
    <w:tmpl w:val="484028F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1726560326">
    <w:abstractNumId w:val="3"/>
  </w:num>
  <w:num w:numId="2" w16cid:durableId="1197892935">
    <w:abstractNumId w:val="1"/>
  </w:num>
  <w:num w:numId="3" w16cid:durableId="750544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4082279">
    <w:abstractNumId w:val="11"/>
  </w:num>
  <w:num w:numId="5" w16cid:durableId="1443457394">
    <w:abstractNumId w:val="4"/>
  </w:num>
  <w:num w:numId="6" w16cid:durableId="754059009">
    <w:abstractNumId w:val="6"/>
  </w:num>
  <w:num w:numId="7" w16cid:durableId="457451634">
    <w:abstractNumId w:val="0"/>
  </w:num>
  <w:num w:numId="8" w16cid:durableId="1453405524">
    <w:abstractNumId w:val="7"/>
  </w:num>
  <w:num w:numId="9" w16cid:durableId="19387119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63222760">
    <w:abstractNumId w:val="6"/>
  </w:num>
  <w:num w:numId="11" w16cid:durableId="31344180">
    <w:abstractNumId w:val="1"/>
  </w:num>
  <w:num w:numId="12" w16cid:durableId="1444491933">
    <w:abstractNumId w:val="6"/>
  </w:num>
  <w:num w:numId="13" w16cid:durableId="1663266945">
    <w:abstractNumId w:val="6"/>
  </w:num>
  <w:num w:numId="14" w16cid:durableId="2112702834">
    <w:abstractNumId w:val="6"/>
  </w:num>
  <w:num w:numId="15" w16cid:durableId="314533507">
    <w:abstractNumId w:val="6"/>
  </w:num>
  <w:num w:numId="16" w16cid:durableId="1003699962">
    <w:abstractNumId w:val="12"/>
  </w:num>
  <w:num w:numId="17" w16cid:durableId="1110853584">
    <w:abstractNumId w:val="3"/>
  </w:num>
  <w:num w:numId="18" w16cid:durableId="1445880092">
    <w:abstractNumId w:val="12"/>
  </w:num>
  <w:num w:numId="19" w16cid:durableId="687947513">
    <w:abstractNumId w:val="12"/>
  </w:num>
  <w:num w:numId="20" w16cid:durableId="1998338197">
    <w:abstractNumId w:val="12"/>
  </w:num>
  <w:num w:numId="21" w16cid:durableId="147478750">
    <w:abstractNumId w:val="12"/>
  </w:num>
  <w:num w:numId="22" w16cid:durableId="826165847">
    <w:abstractNumId w:val="6"/>
  </w:num>
  <w:num w:numId="23" w16cid:durableId="1714845038">
    <w:abstractNumId w:val="1"/>
  </w:num>
  <w:num w:numId="24" w16cid:durableId="1867135861">
    <w:abstractNumId w:val="6"/>
  </w:num>
  <w:num w:numId="25" w16cid:durableId="2108848404">
    <w:abstractNumId w:val="6"/>
  </w:num>
  <w:num w:numId="26" w16cid:durableId="1861308963">
    <w:abstractNumId w:val="6"/>
  </w:num>
  <w:num w:numId="27" w16cid:durableId="2086026916">
    <w:abstractNumId w:val="6"/>
  </w:num>
  <w:num w:numId="28" w16cid:durableId="503210758">
    <w:abstractNumId w:val="12"/>
  </w:num>
  <w:num w:numId="29" w16cid:durableId="928386411">
    <w:abstractNumId w:val="3"/>
  </w:num>
  <w:num w:numId="30" w16cid:durableId="1921671647">
    <w:abstractNumId w:val="12"/>
  </w:num>
  <w:num w:numId="31" w16cid:durableId="332729616">
    <w:abstractNumId w:val="12"/>
  </w:num>
  <w:num w:numId="32" w16cid:durableId="1378629472">
    <w:abstractNumId w:val="12"/>
  </w:num>
  <w:num w:numId="33" w16cid:durableId="1489781542">
    <w:abstractNumId w:val="12"/>
  </w:num>
  <w:num w:numId="34" w16cid:durableId="534005753">
    <w:abstractNumId w:val="9"/>
  </w:num>
  <w:num w:numId="35" w16cid:durableId="316567726">
    <w:abstractNumId w:val="2"/>
  </w:num>
  <w:num w:numId="36" w16cid:durableId="992104049">
    <w:abstractNumId w:val="5"/>
  </w:num>
  <w:num w:numId="37" w16cid:durableId="833106620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130"/>
    <w:rsid w:val="00044625"/>
    <w:rsid w:val="00045B65"/>
    <w:rsid w:val="00054807"/>
    <w:rsid w:val="00063A05"/>
    <w:rsid w:val="00072C1E"/>
    <w:rsid w:val="00095CC0"/>
    <w:rsid w:val="000B28E6"/>
    <w:rsid w:val="000D42CD"/>
    <w:rsid w:val="000E23A7"/>
    <w:rsid w:val="00102D18"/>
    <w:rsid w:val="0010693F"/>
    <w:rsid w:val="00114472"/>
    <w:rsid w:val="001550BC"/>
    <w:rsid w:val="001605B9"/>
    <w:rsid w:val="00170EC5"/>
    <w:rsid w:val="00173A6B"/>
    <w:rsid w:val="001747C1"/>
    <w:rsid w:val="00184743"/>
    <w:rsid w:val="00185248"/>
    <w:rsid w:val="001A38B8"/>
    <w:rsid w:val="00207DF5"/>
    <w:rsid w:val="00240C0C"/>
    <w:rsid w:val="0024271C"/>
    <w:rsid w:val="00254FE9"/>
    <w:rsid w:val="00256291"/>
    <w:rsid w:val="00260E1C"/>
    <w:rsid w:val="00280E07"/>
    <w:rsid w:val="002C31BF"/>
    <w:rsid w:val="002D08B1"/>
    <w:rsid w:val="002D153F"/>
    <w:rsid w:val="002E0CD7"/>
    <w:rsid w:val="003042C3"/>
    <w:rsid w:val="0033334D"/>
    <w:rsid w:val="00334A10"/>
    <w:rsid w:val="00341DCF"/>
    <w:rsid w:val="0034384B"/>
    <w:rsid w:val="00357BC6"/>
    <w:rsid w:val="00372E27"/>
    <w:rsid w:val="00390223"/>
    <w:rsid w:val="003956C6"/>
    <w:rsid w:val="00396BA4"/>
    <w:rsid w:val="003A2752"/>
    <w:rsid w:val="004145F3"/>
    <w:rsid w:val="00422130"/>
    <w:rsid w:val="00441430"/>
    <w:rsid w:val="00450F07"/>
    <w:rsid w:val="00453CD3"/>
    <w:rsid w:val="00460660"/>
    <w:rsid w:val="00486107"/>
    <w:rsid w:val="00491827"/>
    <w:rsid w:val="004926B2"/>
    <w:rsid w:val="004B163B"/>
    <w:rsid w:val="004B348C"/>
    <w:rsid w:val="004B7094"/>
    <w:rsid w:val="004C363E"/>
    <w:rsid w:val="004C4399"/>
    <w:rsid w:val="004C787C"/>
    <w:rsid w:val="004E143C"/>
    <w:rsid w:val="004E3A53"/>
    <w:rsid w:val="004E7044"/>
    <w:rsid w:val="004F20BC"/>
    <w:rsid w:val="004F4B9B"/>
    <w:rsid w:val="004F69EA"/>
    <w:rsid w:val="00511AB9"/>
    <w:rsid w:val="00514247"/>
    <w:rsid w:val="00523EA7"/>
    <w:rsid w:val="00541E24"/>
    <w:rsid w:val="00553375"/>
    <w:rsid w:val="00557C28"/>
    <w:rsid w:val="005736B7"/>
    <w:rsid w:val="00575E5A"/>
    <w:rsid w:val="00584E68"/>
    <w:rsid w:val="00586553"/>
    <w:rsid w:val="005C52A4"/>
    <w:rsid w:val="005D63F4"/>
    <w:rsid w:val="005F1404"/>
    <w:rsid w:val="0061068E"/>
    <w:rsid w:val="006415BF"/>
    <w:rsid w:val="00660AD3"/>
    <w:rsid w:val="00677B7F"/>
    <w:rsid w:val="00696FA7"/>
    <w:rsid w:val="006A5570"/>
    <w:rsid w:val="006A689C"/>
    <w:rsid w:val="006B3D79"/>
    <w:rsid w:val="006D7AFE"/>
    <w:rsid w:val="006E0578"/>
    <w:rsid w:val="006E314D"/>
    <w:rsid w:val="006E59DD"/>
    <w:rsid w:val="00710723"/>
    <w:rsid w:val="00723ED1"/>
    <w:rsid w:val="00743525"/>
    <w:rsid w:val="00751B72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FD4"/>
    <w:rsid w:val="0086266F"/>
    <w:rsid w:val="008659F3"/>
    <w:rsid w:val="00886D4B"/>
    <w:rsid w:val="008916A0"/>
    <w:rsid w:val="00895406"/>
    <w:rsid w:val="008A3568"/>
    <w:rsid w:val="008B3050"/>
    <w:rsid w:val="008D03B9"/>
    <w:rsid w:val="008D5DCF"/>
    <w:rsid w:val="008F18D6"/>
    <w:rsid w:val="008F55AA"/>
    <w:rsid w:val="00904780"/>
    <w:rsid w:val="00922278"/>
    <w:rsid w:val="00922385"/>
    <w:rsid w:val="009223DF"/>
    <w:rsid w:val="00923DE9"/>
    <w:rsid w:val="00936091"/>
    <w:rsid w:val="00940D8A"/>
    <w:rsid w:val="00962258"/>
    <w:rsid w:val="009678B7"/>
    <w:rsid w:val="009746F7"/>
    <w:rsid w:val="009833E1"/>
    <w:rsid w:val="00985629"/>
    <w:rsid w:val="00992D9C"/>
    <w:rsid w:val="00996CB8"/>
    <w:rsid w:val="009A0DF7"/>
    <w:rsid w:val="009A2F21"/>
    <w:rsid w:val="009B14A9"/>
    <w:rsid w:val="009B1B0E"/>
    <w:rsid w:val="009B2E97"/>
    <w:rsid w:val="009C2140"/>
    <w:rsid w:val="009D0E43"/>
    <w:rsid w:val="009E07F4"/>
    <w:rsid w:val="009F392E"/>
    <w:rsid w:val="00A1751E"/>
    <w:rsid w:val="00A56D75"/>
    <w:rsid w:val="00A6177B"/>
    <w:rsid w:val="00A66136"/>
    <w:rsid w:val="00AA4CBB"/>
    <w:rsid w:val="00AA65FA"/>
    <w:rsid w:val="00AA7351"/>
    <w:rsid w:val="00AC1D31"/>
    <w:rsid w:val="00AD056F"/>
    <w:rsid w:val="00AD6731"/>
    <w:rsid w:val="00AE32BF"/>
    <w:rsid w:val="00AE575C"/>
    <w:rsid w:val="00AE7F35"/>
    <w:rsid w:val="00B10A6D"/>
    <w:rsid w:val="00B15D0D"/>
    <w:rsid w:val="00B26EA1"/>
    <w:rsid w:val="00B31EC3"/>
    <w:rsid w:val="00B75EE1"/>
    <w:rsid w:val="00B77481"/>
    <w:rsid w:val="00B8518B"/>
    <w:rsid w:val="00B863D8"/>
    <w:rsid w:val="00BB20FD"/>
    <w:rsid w:val="00BC02E4"/>
    <w:rsid w:val="00BD7E91"/>
    <w:rsid w:val="00C01109"/>
    <w:rsid w:val="00C02D0A"/>
    <w:rsid w:val="00C03A6E"/>
    <w:rsid w:val="00C07B26"/>
    <w:rsid w:val="00C30338"/>
    <w:rsid w:val="00C353B6"/>
    <w:rsid w:val="00C44F6A"/>
    <w:rsid w:val="00C47AE3"/>
    <w:rsid w:val="00C54136"/>
    <w:rsid w:val="00C97001"/>
    <w:rsid w:val="00CB1C03"/>
    <w:rsid w:val="00CD1FC4"/>
    <w:rsid w:val="00CD777A"/>
    <w:rsid w:val="00CE5546"/>
    <w:rsid w:val="00CF1CB6"/>
    <w:rsid w:val="00D21061"/>
    <w:rsid w:val="00D259FA"/>
    <w:rsid w:val="00D4108E"/>
    <w:rsid w:val="00D47F5A"/>
    <w:rsid w:val="00D53974"/>
    <w:rsid w:val="00D6163D"/>
    <w:rsid w:val="00D73D46"/>
    <w:rsid w:val="00D8097F"/>
    <w:rsid w:val="00D831A3"/>
    <w:rsid w:val="00D849DE"/>
    <w:rsid w:val="00DC75F3"/>
    <w:rsid w:val="00DD4123"/>
    <w:rsid w:val="00DD46F3"/>
    <w:rsid w:val="00DD6336"/>
    <w:rsid w:val="00DE13B5"/>
    <w:rsid w:val="00DE56F2"/>
    <w:rsid w:val="00DF116D"/>
    <w:rsid w:val="00E36C4A"/>
    <w:rsid w:val="00E57633"/>
    <w:rsid w:val="00E639B6"/>
    <w:rsid w:val="00E82DA1"/>
    <w:rsid w:val="00EA075D"/>
    <w:rsid w:val="00EB104F"/>
    <w:rsid w:val="00EB2198"/>
    <w:rsid w:val="00EB28B4"/>
    <w:rsid w:val="00ED14BD"/>
    <w:rsid w:val="00EE4491"/>
    <w:rsid w:val="00F0533E"/>
    <w:rsid w:val="00F1048D"/>
    <w:rsid w:val="00F12DEC"/>
    <w:rsid w:val="00F1715C"/>
    <w:rsid w:val="00F177B1"/>
    <w:rsid w:val="00F21D0E"/>
    <w:rsid w:val="00F310F8"/>
    <w:rsid w:val="00F35939"/>
    <w:rsid w:val="00F45607"/>
    <w:rsid w:val="00F5558F"/>
    <w:rsid w:val="00F659EB"/>
    <w:rsid w:val="00F86BA6"/>
    <w:rsid w:val="00F95D38"/>
    <w:rsid w:val="00FC6389"/>
    <w:rsid w:val="00FD695B"/>
    <w:rsid w:val="00FF2800"/>
    <w:rsid w:val="13755CEB"/>
    <w:rsid w:val="1C55215A"/>
    <w:rsid w:val="298072F1"/>
    <w:rsid w:val="3F0B96E9"/>
    <w:rsid w:val="51781CC2"/>
    <w:rsid w:val="6427DD2A"/>
    <w:rsid w:val="67C21382"/>
    <w:rsid w:val="6842766B"/>
    <w:rsid w:val="6D6E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07D2F"/>
  <w14:defaultImageDpi w14:val="32767"/>
  <w15:docId w15:val="{0AD6C5DC-6EBD-4567-81D0-858644BD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13B5"/>
    <w:pPr>
      <w:spacing w:before="120" w:after="120"/>
      <w:jc w:val="both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DE13B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E13B5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DE13B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DE13B5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13B5"/>
    <w:pPr>
      <w:spacing w:after="0" w:line="240" w:lineRule="auto"/>
    </w:pPr>
  </w:style>
  <w:style w:type="character" w:customStyle="1" w:styleId="Velkpsm">
    <w:name w:val="Velká písm."/>
    <w:basedOn w:val="Standardnpsmoodstavce"/>
    <w:uiPriority w:val="1"/>
    <w:qFormat/>
    <w:rsid w:val="00AE32BF"/>
    <w:rPr>
      <w:rFonts w:asciiTheme="minorHAnsi" w:hAnsiTheme="minorHAnsi" w:cs="Times New Roman"/>
      <w:bCs/>
      <w:i w:val="0"/>
      <w:caps/>
      <w:smallCaps w:val="0"/>
      <w:kern w:val="32"/>
      <w:lang w:eastAsia="cs-CZ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53974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372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72E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72E2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2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2E27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3DD02-96B0-4DA4-852C-8483894E39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CE80C5-49B7-4A52-968C-3022634B0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4</cp:revision>
  <cp:lastPrinted>2025-07-22T09:52:00Z</cp:lastPrinted>
  <dcterms:created xsi:type="dcterms:W3CDTF">2025-07-16T10:33:00Z</dcterms:created>
  <dcterms:modified xsi:type="dcterms:W3CDTF">2025-07-22T09:54:00Z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