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437DA23C" w:rsidR="008145D7" w:rsidRDefault="008145D7" w:rsidP="00E77D54">
      <w:pPr>
        <w:rPr>
          <w:szCs w:val="22"/>
        </w:rPr>
      </w:pPr>
      <w:r w:rsidRPr="003521DE">
        <w:rPr>
          <w:szCs w:val="22"/>
        </w:rPr>
        <w:t xml:space="preserve">Příloha č. </w:t>
      </w:r>
      <w:r w:rsidR="003521DE" w:rsidRPr="003521DE">
        <w:rPr>
          <w:szCs w:val="22"/>
        </w:rPr>
        <w:t>5</w:t>
      </w:r>
      <w:r w:rsidR="00332B68" w:rsidRPr="003521DE">
        <w:rPr>
          <w:szCs w:val="22"/>
        </w:rPr>
        <w:t xml:space="preserve"> </w:t>
      </w:r>
      <w:r w:rsidR="00910A74" w:rsidRPr="003521DE">
        <w:rPr>
          <w:lang w:eastAsia="cs-CZ"/>
        </w:rPr>
        <w:t>Zadávací dokumentace</w:t>
      </w:r>
      <w:r>
        <w:rPr>
          <w:color w:val="FF0000"/>
          <w:szCs w:val="22"/>
        </w:rPr>
        <w:t xml:space="preserve">  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3521DE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3521DE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3521DE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3521DE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3521DE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3521DE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3521DE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3521DE">
        <w:rPr>
          <w:highlight w:val="green"/>
        </w:rPr>
        <w:t>]</w:t>
      </w:r>
    </w:p>
    <w:p w14:paraId="72FBFE42" w14:textId="5D907665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3521DE">
        <w:rPr>
          <w:rFonts w:eastAsia="Times New Roman" w:cs="Times New Roman"/>
          <w:lang w:eastAsia="cs-CZ"/>
        </w:rPr>
        <w:t>k</w:t>
      </w:r>
      <w:r w:rsidR="008145D7" w:rsidRPr="003521DE">
        <w:rPr>
          <w:rFonts w:eastAsia="Times New Roman" w:cs="Times New Roman"/>
          <w:lang w:eastAsia="cs-CZ"/>
        </w:rPr>
        <w:t xml:space="preserve">terý podává </w:t>
      </w:r>
      <w:r w:rsidRPr="003521DE">
        <w:rPr>
          <w:rFonts w:eastAsia="Times New Roman" w:cs="Times New Roman"/>
          <w:lang w:eastAsia="cs-CZ"/>
        </w:rPr>
        <w:t>nabídku/</w:t>
      </w:r>
      <w:r w:rsidR="005C48ED" w:rsidRPr="003521DE">
        <w:rPr>
          <w:rFonts w:eastAsia="Times New Roman" w:cs="Times New Roman"/>
          <w:lang w:eastAsia="cs-CZ"/>
        </w:rPr>
        <w:t>žádost o účast v</w:t>
      </w:r>
      <w:r w:rsidR="00E77D54" w:rsidRPr="003521DE">
        <w:rPr>
          <w:rFonts w:eastAsia="Times New Roman" w:cs="Times New Roman"/>
          <w:lang w:eastAsia="cs-CZ"/>
        </w:rPr>
        <w:t xml:space="preserve"> řízení na </w:t>
      </w:r>
      <w:r w:rsidR="005000E1" w:rsidRPr="003521DE">
        <w:rPr>
          <w:rFonts w:eastAsia="Times New Roman" w:cs="Times New Roman"/>
          <w:lang w:eastAsia="cs-CZ"/>
        </w:rPr>
        <w:t>zadání nadlimitní</w:t>
      </w:r>
      <w:r w:rsidR="008145D7" w:rsidRPr="003521DE">
        <w:rPr>
          <w:rFonts w:eastAsia="Times New Roman" w:cs="Times New Roman"/>
          <w:lang w:eastAsia="cs-CZ"/>
        </w:rPr>
        <w:t xml:space="preserve"> </w:t>
      </w:r>
      <w:r w:rsidR="001F103E" w:rsidRPr="003521DE">
        <w:rPr>
          <w:rFonts w:eastAsia="Times New Roman" w:cs="Times New Roman"/>
          <w:lang w:eastAsia="cs-CZ"/>
        </w:rPr>
        <w:t>sektorové veřejné zakázky</w:t>
      </w:r>
      <w:r w:rsidR="005C48ED" w:rsidRPr="003521DE">
        <w:rPr>
          <w:rFonts w:eastAsia="Times New Roman" w:cs="Times New Roman"/>
          <w:lang w:eastAsia="cs-CZ"/>
        </w:rPr>
        <w:t xml:space="preserve"> </w:t>
      </w:r>
      <w:r w:rsidR="008145D7" w:rsidRPr="003521DE">
        <w:rPr>
          <w:rFonts w:eastAsia="Times New Roman" w:cs="Times New Roman"/>
          <w:lang w:eastAsia="cs-CZ"/>
        </w:rPr>
        <w:t>s</w:t>
      </w:r>
      <w:r w:rsidR="00332B68" w:rsidRPr="003521DE">
        <w:rPr>
          <w:rFonts w:eastAsia="Times New Roman" w:cs="Times New Roman"/>
          <w:lang w:eastAsia="cs-CZ"/>
        </w:rPr>
        <w:t> </w:t>
      </w:r>
      <w:r w:rsidR="008145D7" w:rsidRPr="003521DE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3521DE">
        <w:t>„</w:t>
      </w:r>
      <w:bookmarkEnd w:id="0"/>
      <w:r w:rsidR="003521DE" w:rsidRPr="003521DE">
        <w:rPr>
          <w:rStyle w:val="Tun"/>
          <w:rFonts w:eastAsiaTheme="minorHAnsi"/>
        </w:rPr>
        <w:t>Speciální vozidla pro kontrolu a údržbu trakčního vedení</w:t>
      </w:r>
      <w:r w:rsidR="008145D7" w:rsidRPr="003521DE">
        <w:t>“</w:t>
      </w:r>
      <w:r w:rsidR="008145D7" w:rsidRPr="003521DE">
        <w:rPr>
          <w:rFonts w:eastAsia="Times New Roman" w:cs="Times New Roman"/>
          <w:lang w:eastAsia="cs-CZ"/>
        </w:rPr>
        <w:t xml:space="preserve">, </w:t>
      </w:r>
      <w:r w:rsidR="00E77D54" w:rsidRPr="003521DE">
        <w:rPr>
          <w:rFonts w:eastAsia="Times New Roman" w:cs="Times New Roman"/>
          <w:lang w:eastAsia="cs-CZ"/>
        </w:rPr>
        <w:t>(</w:t>
      </w:r>
      <w:r w:rsidR="00332B68" w:rsidRPr="003521DE">
        <w:rPr>
          <w:rFonts w:eastAsia="Times New Roman" w:cs="Times New Roman"/>
          <w:lang w:eastAsia="cs-CZ"/>
        </w:rPr>
        <w:t>dále jen „</w:t>
      </w:r>
      <w:r w:rsidR="00332B68" w:rsidRPr="003521DE">
        <w:rPr>
          <w:rStyle w:val="Kurzvatun"/>
          <w:rFonts w:eastAsiaTheme="minorHAnsi"/>
        </w:rPr>
        <w:t>Veřejná zakázka</w:t>
      </w:r>
      <w:r w:rsidR="00332B68" w:rsidRPr="003521DE">
        <w:rPr>
          <w:rFonts w:eastAsia="Times New Roman" w:cs="Times New Roman"/>
          <w:lang w:eastAsia="cs-CZ"/>
        </w:rPr>
        <w:t>“</w:t>
      </w:r>
      <w:r w:rsidR="00E77D54" w:rsidRPr="003521DE">
        <w:rPr>
          <w:rFonts w:eastAsia="Times New Roman" w:cs="Times New Roman"/>
          <w:lang w:eastAsia="cs-CZ"/>
        </w:rPr>
        <w:t xml:space="preserve"> a </w:t>
      </w:r>
      <w:r w:rsidR="00E77D54" w:rsidRPr="003521DE">
        <w:t>„</w:t>
      </w:r>
      <w:r w:rsidR="00E77D54" w:rsidRPr="003521DE">
        <w:rPr>
          <w:rStyle w:val="Kurzvatun"/>
          <w:rFonts w:eastAsiaTheme="minorHAnsi"/>
        </w:rPr>
        <w:t>Zadávací řízení</w:t>
      </w:r>
      <w:r w:rsidR="00E77D54" w:rsidRPr="003521DE">
        <w:t>“</w:t>
      </w:r>
      <w:r w:rsidR="00E77D54" w:rsidRPr="003521DE">
        <w:rPr>
          <w:rFonts w:eastAsia="Times New Roman" w:cs="Times New Roman"/>
          <w:lang w:eastAsia="cs-CZ"/>
        </w:rPr>
        <w:t>)</w:t>
      </w:r>
      <w:r w:rsidR="00332B68" w:rsidRPr="003521DE">
        <w:rPr>
          <w:rFonts w:eastAsia="Times New Roman" w:cs="Times New Roman"/>
          <w:lang w:eastAsia="cs-CZ"/>
        </w:rPr>
        <w:t>,</w:t>
      </w:r>
      <w:r w:rsidR="008145D7" w:rsidRPr="003521DE">
        <w:rPr>
          <w:rFonts w:eastAsia="Times New Roman" w:cs="Times New Roman"/>
          <w:lang w:eastAsia="cs-CZ"/>
        </w:rPr>
        <w:t xml:space="preserve"> tímto čestně prohlašuje, že</w:t>
      </w:r>
      <w:r w:rsidR="005C48ED" w:rsidRPr="003521DE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proofErr w:type="spellStart"/>
      <w:r w:rsidR="00525B63" w:rsidRPr="007F769F">
        <w:t>ust</w:t>
      </w:r>
      <w:proofErr w:type="spellEnd"/>
      <w:r w:rsidR="00525B63" w:rsidRPr="007F769F">
        <w:t xml:space="preserve">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3521DE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3521DE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3521DE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3521DE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A4B8" w14:textId="3E51CA2D" w:rsidR="003521DE" w:rsidRDefault="003521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5122C7A4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30233130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434CB"/>
    <w:rsid w:val="00280E07"/>
    <w:rsid w:val="002C31BF"/>
    <w:rsid w:val="002D08B1"/>
    <w:rsid w:val="002E0CD7"/>
    <w:rsid w:val="002E5F57"/>
    <w:rsid w:val="00317055"/>
    <w:rsid w:val="00332B68"/>
    <w:rsid w:val="00341DCF"/>
    <w:rsid w:val="003521DE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E6567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624AE"/>
    <w:rsid w:val="005736B7"/>
    <w:rsid w:val="00575E5A"/>
    <w:rsid w:val="005C48ED"/>
    <w:rsid w:val="005F1404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455F8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C226E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B0610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71751-54E8-4D30-8E0C-B9058EFB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2025-07-21T10:51:00Z</cp:lastPrinted>
  <dcterms:created xsi:type="dcterms:W3CDTF">2025-07-07T05:46:00Z</dcterms:created>
  <dcterms:modified xsi:type="dcterms:W3CDTF">2025-07-21T10:52:00Z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