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018FC97C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EC09F4">
        <w:rPr>
          <w:rFonts w:ascii="Verdana" w:hAnsi="Verdana" w:cstheme="minorHAnsi"/>
          <w:b/>
          <w:sz w:val="28"/>
          <w:szCs w:val="28"/>
          <w:u w:val="single"/>
        </w:rPr>
        <w:t>ODBORNÉ PORADENSTVÍ V OBLASTI ŘÍZENÍ RIZIK</w:t>
      </w:r>
    </w:p>
    <w:p w14:paraId="774CA46B" w14:textId="1B82C687" w:rsidR="00234B07" w:rsidRDefault="000878CB" w:rsidP="006B27A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04E3AC9B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3292" w:rsidRPr="00613292">
        <w:rPr>
          <w:rFonts w:ascii="Verdana" w:hAnsi="Verdana" w:cstheme="minorHAnsi"/>
          <w:sz w:val="18"/>
          <w:szCs w:val="18"/>
        </w:rPr>
        <w:t>Ing. Petrem Hofhanzlem, ředitelem Stavební správy západ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Stavební správa západ, Budova Diamond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7486FC0" w14:textId="1ABCA827" w:rsidR="00985F99" w:rsidRDefault="00985F99" w:rsidP="00985F99">
      <w:pPr>
        <w:pStyle w:val="Textbezodsazen"/>
      </w:pPr>
      <w:r>
        <w:t xml:space="preserve">ISPROFOND / ISPROFIN: </w:t>
      </w:r>
      <w:r w:rsidR="003D1562">
        <w:rPr>
          <w:highlight w:val="green"/>
        </w:rPr>
        <w:t>XXXXX</w:t>
      </w:r>
      <w:r w:rsidRPr="00985F99">
        <w:rPr>
          <w:highlight w:val="green"/>
        </w:rPr>
        <w:t xml:space="preserve"> /</w:t>
      </w:r>
      <w:r w:rsidRPr="00E81827">
        <w:rPr>
          <w:highlight w:val="green"/>
        </w:rPr>
        <w:t xml:space="preserve"> </w:t>
      </w:r>
      <w:r w:rsidR="003D1562" w:rsidRPr="00D44E8C">
        <w:rPr>
          <w:highlight w:val="green"/>
        </w:rPr>
        <w:t>XXXXXX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75BF8F68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2BC44ABD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2473ED4F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9AA630" w14:textId="2276EAE6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1801B1" w:rsidRPr="001801B1">
        <w:rPr>
          <w:rFonts w:ascii="Verdana" w:eastAsia="Verdana" w:hAnsi="Verdana"/>
          <w:sz w:val="18"/>
          <w:szCs w:val="18"/>
        </w:rPr>
        <w:t>„</w:t>
      </w:r>
      <w:r w:rsidR="00EC09F4">
        <w:rPr>
          <w:rFonts w:ascii="Verdana" w:eastAsia="Verdana" w:hAnsi="Verdana"/>
          <w:b/>
          <w:bCs/>
          <w:sz w:val="18"/>
          <w:szCs w:val="18"/>
        </w:rPr>
        <w:t>Odborné poradenství v oblasti řízení rizik</w:t>
      </w:r>
      <w:r w:rsidR="001801B1" w:rsidRPr="001801B1">
        <w:rPr>
          <w:rFonts w:ascii="Verdana" w:eastAsia="Verdana" w:hAnsi="Verdana"/>
          <w:sz w:val="18"/>
          <w:szCs w:val="18"/>
        </w:rPr>
        <w:t>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="00B533BA">
        <w:rPr>
          <w:rFonts w:ascii="Verdana" w:eastAsia="Verdana" w:hAnsi="Verdana"/>
          <w:sz w:val="18"/>
          <w:szCs w:val="18"/>
        </w:rPr>
        <w:t>9</w:t>
      </w:r>
      <w:r w:rsidR="00E677F7" w:rsidRPr="00803348">
        <w:rPr>
          <w:rFonts w:ascii="Verdana" w:eastAsia="Verdana" w:hAnsi="Verdana"/>
          <w:sz w:val="18"/>
          <w:szCs w:val="18"/>
        </w:rPr>
        <w:t>690/2025-SŽ-SSZ-OVZ</w:t>
      </w:r>
      <w:r w:rsidRPr="007D0E8A">
        <w:rPr>
          <w:rFonts w:ascii="Verdana" w:eastAsia="Verdana" w:hAnsi="Verdana"/>
          <w:sz w:val="18"/>
          <w:szCs w:val="18"/>
        </w:rPr>
        <w:t xml:space="preserve"> 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20CA2E8" w14:textId="4E9FA773" w:rsidR="008B6FAB" w:rsidRPr="00C44AC1" w:rsidRDefault="008B6FAB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4AC1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="00C44AC1" w:rsidRPr="00C44AC1">
        <w:rPr>
          <w:rFonts w:ascii="Verdana" w:hAnsi="Verdana" w:cstheme="minorHAnsi"/>
          <w:sz w:val="18"/>
          <w:szCs w:val="18"/>
        </w:rPr>
        <w:t>jedním</w:t>
      </w:r>
      <w:r w:rsidRPr="00C44AC1">
        <w:rPr>
          <w:rFonts w:ascii="Verdana" w:hAnsi="Verdana" w:cstheme="minorHAnsi"/>
          <w:sz w:val="18"/>
          <w:szCs w:val="18"/>
        </w:rPr>
        <w:t xml:space="preserve"> </w:t>
      </w:r>
      <w:r w:rsidR="0089164C" w:rsidRPr="00C44AC1">
        <w:rPr>
          <w:rFonts w:ascii="Verdana" w:hAnsi="Verdana" w:cstheme="minorHAnsi"/>
          <w:sz w:val="18"/>
          <w:szCs w:val="18"/>
        </w:rPr>
        <w:t>Z</w:t>
      </w:r>
      <w:r w:rsidRPr="00C44AC1">
        <w:rPr>
          <w:rFonts w:ascii="Verdana" w:hAnsi="Verdana" w:cstheme="minorHAnsi"/>
          <w:sz w:val="18"/>
          <w:szCs w:val="18"/>
        </w:rPr>
        <w:t>hotovitel</w:t>
      </w:r>
      <w:r w:rsidR="00C44AC1" w:rsidRPr="00C44AC1">
        <w:rPr>
          <w:rFonts w:ascii="Verdana" w:hAnsi="Verdana" w:cstheme="minorHAnsi"/>
          <w:sz w:val="18"/>
          <w:szCs w:val="18"/>
        </w:rPr>
        <w:t>em</w:t>
      </w:r>
      <w:r w:rsidRPr="00C44AC1">
        <w:rPr>
          <w:rFonts w:ascii="Verdana" w:hAnsi="Verdana" w:cstheme="minorHAnsi"/>
          <w:sz w:val="18"/>
          <w:szCs w:val="18"/>
        </w:rPr>
        <w:t xml:space="preserve">. Nabídka </w:t>
      </w:r>
      <w:r w:rsidR="0089164C" w:rsidRPr="00C44AC1">
        <w:rPr>
          <w:rFonts w:ascii="Verdana" w:hAnsi="Verdana" w:cstheme="minorHAnsi"/>
          <w:sz w:val="18"/>
          <w:szCs w:val="18"/>
        </w:rPr>
        <w:t>Z</w:t>
      </w:r>
      <w:r w:rsidRPr="00C44AC1">
        <w:rPr>
          <w:rFonts w:ascii="Verdana" w:hAnsi="Verdana" w:cstheme="minorHAnsi"/>
          <w:sz w:val="18"/>
          <w:szCs w:val="18"/>
        </w:rPr>
        <w:t>hotovitel</w:t>
      </w:r>
      <w:r w:rsidR="00C44AC1" w:rsidRPr="00C44AC1">
        <w:rPr>
          <w:rFonts w:ascii="Verdana" w:hAnsi="Verdana" w:cstheme="minorHAnsi"/>
          <w:sz w:val="18"/>
          <w:szCs w:val="18"/>
        </w:rPr>
        <w:t xml:space="preserve">e </w:t>
      </w:r>
      <w:r w:rsidR="00C44AC1" w:rsidRPr="00C44AC1">
        <w:rPr>
          <w:rFonts w:ascii="Verdana" w:hAnsi="Verdana" w:cstheme="minorHAnsi"/>
          <w:sz w:val="18"/>
          <w:szCs w:val="18"/>
          <w:highlight w:val="green"/>
        </w:rPr>
        <w:t xml:space="preserve">ze dne </w:t>
      </w:r>
      <w:r w:rsidRPr="00C44AC1">
        <w:rPr>
          <w:rFonts w:ascii="Verdana" w:hAnsi="Verdana" w:cstheme="minorHAnsi"/>
          <w:sz w:val="18"/>
          <w:szCs w:val="18"/>
          <w:highlight w:val="green"/>
        </w:rPr>
        <w:t>………….. ……..</w:t>
      </w:r>
    </w:p>
    <w:p w14:paraId="649D1A3E" w14:textId="1F5EB58E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7AC0812" w:rsidR="00CC5257" w:rsidRDefault="00161E4D" w:rsidP="00026302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026302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 </w:t>
      </w:r>
      <w:r w:rsidR="004B118D" w:rsidRPr="00026302">
        <w:rPr>
          <w:rFonts w:ascii="Verdana" w:hAnsi="Verdana" w:cstheme="minorHAnsi"/>
          <w:sz w:val="18"/>
          <w:szCs w:val="18"/>
        </w:rPr>
        <w:t>spočívající</w:t>
      </w:r>
      <w:r w:rsidR="006C0A1E" w:rsidRPr="00026302">
        <w:rPr>
          <w:rFonts w:ascii="Verdana" w:hAnsi="Verdana" w:cstheme="minorHAnsi"/>
          <w:sz w:val="18"/>
          <w:szCs w:val="18"/>
        </w:rPr>
        <w:t xml:space="preserve"> </w:t>
      </w:r>
      <w:r w:rsidR="004F3740" w:rsidRPr="00026302">
        <w:rPr>
          <w:rFonts w:ascii="Verdana" w:hAnsi="Verdana" w:cstheme="minorHAnsi"/>
          <w:sz w:val="18"/>
          <w:szCs w:val="18"/>
        </w:rPr>
        <w:t>v odborném poradenství Zadavateli a jím zasmluvněných dodavatelů při procesu aplikace Prováděcího nařízení Komise (EU) č. 402/2013 během přípravy, realizace a provozu jednotlivých staveb (projektů) Zadavatele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 </w:t>
      </w:r>
      <w:r w:rsidR="004F3740" w:rsidRPr="00026302">
        <w:rPr>
          <w:rFonts w:ascii="Verdana" w:hAnsi="Verdana" w:cstheme="minorHAnsi"/>
          <w:sz w:val="18"/>
          <w:szCs w:val="18"/>
        </w:rPr>
        <w:t xml:space="preserve">a 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podle pokynů </w:t>
      </w:r>
      <w:r w:rsidR="000F693D" w:rsidRPr="00026302">
        <w:rPr>
          <w:rFonts w:ascii="Verdana" w:hAnsi="Verdana" w:cstheme="minorHAnsi"/>
          <w:sz w:val="18"/>
          <w:szCs w:val="18"/>
        </w:rPr>
        <w:t>Z</w:t>
      </w:r>
      <w:r w:rsidR="00985F99" w:rsidRPr="00026302">
        <w:rPr>
          <w:rFonts w:ascii="Verdana" w:hAnsi="Verdana" w:cstheme="minorHAnsi"/>
          <w:sz w:val="18"/>
          <w:szCs w:val="18"/>
        </w:rPr>
        <w:t>adavatele</w:t>
      </w:r>
      <w:r w:rsidR="00B367CB" w:rsidRPr="00026302">
        <w:rPr>
          <w:rFonts w:ascii="Verdana" w:hAnsi="Verdana" w:cstheme="minorHAnsi"/>
          <w:sz w:val="18"/>
          <w:szCs w:val="18"/>
        </w:rPr>
        <w:t xml:space="preserve"> (dále jen „Dílo“)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. </w:t>
      </w:r>
      <w:r w:rsidR="00CB12D3" w:rsidRPr="00026302">
        <w:rPr>
          <w:rFonts w:ascii="Verdana" w:hAnsi="Verdana" w:cstheme="minorHAnsi"/>
          <w:sz w:val="18"/>
          <w:szCs w:val="18"/>
        </w:rPr>
        <w:t>Podrobný popis předmětu dílčích veřejných zakázek včetně stanovení rozsahu požadovaných služeb je v Příloze č. 2 této Rámcové dohody (dále jen „rámcová dohoda“ nebo „smlouva“).</w:t>
      </w:r>
    </w:p>
    <w:p w14:paraId="5FE18106" w14:textId="2B192C39" w:rsidR="0067648C" w:rsidRPr="00026302" w:rsidRDefault="00424CA1" w:rsidP="00026302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Personál Zhotovitele, který poskytuje činnost dle této Rámcové dohody na </w:t>
      </w:r>
      <w:r w:rsidR="00981DFD">
        <w:rPr>
          <w:rFonts w:ascii="Verdana" w:hAnsi="Verdana" w:cstheme="minorHAnsi"/>
          <w:sz w:val="18"/>
          <w:szCs w:val="18"/>
        </w:rPr>
        <w:t>konkrétní</w:t>
      </w:r>
      <w:r>
        <w:rPr>
          <w:rFonts w:ascii="Verdana" w:hAnsi="Verdana" w:cstheme="minorHAnsi"/>
          <w:sz w:val="18"/>
          <w:szCs w:val="18"/>
        </w:rPr>
        <w:t xml:space="preserve"> zakázce, nemůže zároveň na </w:t>
      </w:r>
      <w:r w:rsidR="00AC2B26">
        <w:rPr>
          <w:rFonts w:ascii="Verdana" w:hAnsi="Verdana" w:cstheme="minorHAnsi"/>
          <w:sz w:val="18"/>
          <w:szCs w:val="18"/>
        </w:rPr>
        <w:t>stejné</w:t>
      </w:r>
      <w:r>
        <w:rPr>
          <w:rFonts w:ascii="Verdana" w:hAnsi="Verdana" w:cstheme="minorHAnsi"/>
          <w:sz w:val="18"/>
          <w:szCs w:val="18"/>
        </w:rPr>
        <w:t xml:space="preserve"> zakázce zajišťovat </w:t>
      </w:r>
      <w:r w:rsidRPr="0067648C">
        <w:rPr>
          <w:rFonts w:ascii="Verdana" w:hAnsi="Verdana" w:cstheme="minorHAnsi"/>
          <w:sz w:val="18"/>
          <w:szCs w:val="18"/>
        </w:rPr>
        <w:t>posouzení bezpečnosti podle prováděcího nařízení Komise (EU) č. 402/2013</w:t>
      </w:r>
      <w:r>
        <w:rPr>
          <w:rFonts w:ascii="Verdana" w:hAnsi="Verdana" w:cstheme="minorHAnsi"/>
          <w:sz w:val="18"/>
          <w:szCs w:val="18"/>
        </w:rPr>
        <w:t xml:space="preserve"> (tedy zajišťovat činnost AsBo). </w:t>
      </w:r>
    </w:p>
    <w:bookmarkEnd w:id="0"/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174CC8E" w14:textId="6BE5798E" w:rsidR="000156D6" w:rsidRPr="00A657B2" w:rsidRDefault="000156D6" w:rsidP="00A657B2">
      <w:pPr>
        <w:pStyle w:val="Odstavecseseznamem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57B2">
        <w:rPr>
          <w:rFonts w:ascii="Verdana" w:hAnsi="Verdana" w:cstheme="minorHAnsi"/>
          <w:sz w:val="18"/>
          <w:szCs w:val="18"/>
        </w:rPr>
        <w:t>Dílčí veřejné zakázky budou zadávány Objednatelem Zhotoviteli postupem uvedeným v této Rámcové dohodě po dobu účinnosti této Rámcové dohody a v souladu se všemi jejími podmínkami a taktéž Obchodními podmínkami uvedenými v příloze č. 1 této Rámcové dohody (dále jen „dílčí zakázka“). V rámci dílčí zakázky bude mezi Objednatelem a Zhotovitelem uzavřena smlouva na plnění dílčí zakázky (dále jen „dílčí smlouva“), na základě, které Zhotovitel zhotoví pro Objednatele Dílo podle jeho konkrétních potřeb. Dílčí smlouvy budou uzavírány postupem uvedeným v tomto článku této Rámcové dohody.</w:t>
      </w:r>
    </w:p>
    <w:p w14:paraId="2E22318C" w14:textId="6CD0D2A3" w:rsidR="001A51FC" w:rsidRPr="009153D9" w:rsidRDefault="005C1EED" w:rsidP="001A51FC">
      <w:pPr>
        <w:pStyle w:val="acnormalbulleted"/>
        <w:numPr>
          <w:ilvl w:val="0"/>
          <w:numId w:val="3"/>
        </w:numPr>
      </w:pPr>
      <w:r w:rsidRPr="00BE346D">
        <w:rPr>
          <w:rFonts w:eastAsia="Verdana"/>
        </w:rPr>
        <w:t>Objednatel zahájí dílčí zakázku zasláním písemné výzvy k poskytnutí plnění (dále jen „Objednávka“) Zhotoviteli.</w:t>
      </w:r>
      <w:r w:rsidR="001A51FC" w:rsidRPr="009153D9">
        <w:t xml:space="preserve"> Písemná forma Objednávky je splněna, i pokud Objednatel zašle Zhotoviteli Objednávku e-mailovou zprávou. Smluvní strany určily následující kontaktní </w:t>
      </w:r>
      <w:r w:rsidR="001A51FC" w:rsidRPr="009153D9">
        <w:br/>
        <w:t>e-mailové adresy pro zasílání veškerých písemností dle tohoto článku Rámcové dohody:</w:t>
      </w:r>
    </w:p>
    <w:p w14:paraId="550C3148" w14:textId="70D38B24" w:rsidR="000156D6" w:rsidRDefault="001A51FC" w:rsidP="001A51FC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94622">
        <w:rPr>
          <w:rFonts w:ascii="Verdana" w:hAnsi="Verdana"/>
          <w:sz w:val="18"/>
          <w:szCs w:val="18"/>
          <w:highlight w:val="green"/>
        </w:rPr>
        <w:t>Objednatel: …………..@</w:t>
      </w:r>
      <w:r w:rsidRPr="00794622">
        <w:rPr>
          <w:highlight w:val="green"/>
        </w:rPr>
        <w:t xml:space="preserve"> </w:t>
      </w:r>
      <w:r w:rsidRPr="00794622">
        <w:rPr>
          <w:rFonts w:ascii="Verdana" w:hAnsi="Verdana"/>
          <w:sz w:val="18"/>
          <w:szCs w:val="18"/>
          <w:highlight w:val="green"/>
        </w:rPr>
        <w:t>spravazeleznic.cz</w:t>
      </w:r>
      <w:r>
        <w:rPr>
          <w:rFonts w:ascii="Verdana" w:hAnsi="Verdana"/>
          <w:sz w:val="18"/>
          <w:szCs w:val="18"/>
          <w:highlight w:val="green"/>
        </w:rPr>
        <w:t xml:space="preserve">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</w:t>
      </w:r>
      <w:r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139DC9D8" w14:textId="6D19C6DC" w:rsidR="001A51FC" w:rsidRPr="001A51FC" w:rsidRDefault="001A51FC" w:rsidP="001A51FC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/>
          <w:sz w:val="18"/>
          <w:szCs w:val="18"/>
          <w:highlight w:val="green"/>
        </w:rPr>
      </w:pPr>
      <w:r w:rsidRPr="001A51FC">
        <w:rPr>
          <w:rFonts w:ascii="Verdana" w:hAnsi="Verdana"/>
          <w:sz w:val="18"/>
          <w:szCs w:val="18"/>
          <w:highlight w:val="yellow"/>
        </w:rPr>
        <w:t>Zhotovitel: …………@………………</w:t>
      </w:r>
    </w:p>
    <w:p w14:paraId="1764E875" w14:textId="5719CD5C" w:rsidR="00A657B2" w:rsidRDefault="00A657B2" w:rsidP="00A657B2">
      <w:pPr>
        <w:pStyle w:val="Odstavecseseznamem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9763B">
        <w:t>NEOBSAZENO</w:t>
      </w:r>
    </w:p>
    <w:p w14:paraId="75425141" w14:textId="169619B5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4B7946A5" w14:textId="24F7294B" w:rsidR="004E204A" w:rsidRPr="009153D9" w:rsidRDefault="002712BC" w:rsidP="00532DF4">
      <w:pPr>
        <w:pStyle w:val="Odstavecseseznamem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47767655" w14:textId="6F8281FE" w:rsidR="002712BC" w:rsidRPr="009153D9" w:rsidRDefault="002712BC" w:rsidP="00532DF4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34FD2EC8" w14:textId="25A3AAC3" w:rsidR="002712BC" w:rsidRPr="00D3074B" w:rsidRDefault="002712BC" w:rsidP="00532DF4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ust.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2BE7FD7B" w14:textId="2E3C3F88" w:rsidR="0038779C" w:rsidRPr="009153D9" w:rsidRDefault="0038779C" w:rsidP="000156D6">
      <w:pPr>
        <w:pStyle w:val="acnormalbulleted"/>
      </w:pPr>
      <w:r w:rsidRPr="009153D9">
        <w:t>Objednávky Objednatele dle odstavce 2</w:t>
      </w:r>
      <w:r w:rsidR="00837244" w:rsidRPr="009153D9">
        <w:t xml:space="preserve"> a násl.</w:t>
      </w:r>
      <w:r w:rsidRPr="009153D9">
        <w:t xml:space="preserve"> tohoto článku této </w:t>
      </w:r>
      <w:r w:rsidR="003F4EB4" w:rsidRPr="009153D9">
        <w:t xml:space="preserve">Rámcové </w:t>
      </w:r>
      <w:r w:rsidRPr="009153D9">
        <w:t>dohody musí obsahovat údaje potřebné pro uzavření příslušné dílčí smlouvy, tedy:</w:t>
      </w:r>
    </w:p>
    <w:p w14:paraId="7DF42827" w14:textId="19A95676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63A448C" w:rsidR="0038779C" w:rsidRPr="003E63B3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Pr="003E63B3">
        <w:rPr>
          <w:rFonts w:ascii="Verdana" w:hAnsi="Verdana" w:cstheme="minorHAnsi"/>
          <w:sz w:val="18"/>
          <w:szCs w:val="18"/>
        </w:rPr>
        <w:t>cen</w:t>
      </w:r>
      <w:r w:rsidR="00EA111D">
        <w:rPr>
          <w:rFonts w:ascii="Verdana" w:hAnsi="Verdana" w:cstheme="minorHAnsi"/>
          <w:sz w:val="18"/>
          <w:szCs w:val="18"/>
        </w:rPr>
        <w:t>y</w:t>
      </w:r>
      <w:r w:rsidR="003E63B3">
        <w:rPr>
          <w:rFonts w:ascii="Verdana" w:hAnsi="Verdana" w:cstheme="minorHAnsi"/>
          <w:sz w:val="18"/>
          <w:szCs w:val="18"/>
        </w:rPr>
        <w:t xml:space="preserve"> </w:t>
      </w:r>
      <w:r w:rsidR="003E63B3" w:rsidRPr="00550746">
        <w:rPr>
          <w:rFonts w:ascii="Verdana" w:hAnsi="Verdana" w:cstheme="minorHAnsi"/>
          <w:sz w:val="18"/>
          <w:szCs w:val="18"/>
        </w:rPr>
        <w:t>uvede</w:t>
      </w:r>
      <w:r w:rsidR="00EA111D" w:rsidRPr="00550746">
        <w:rPr>
          <w:rFonts w:ascii="Verdana" w:hAnsi="Verdana" w:cstheme="minorHAnsi"/>
          <w:sz w:val="18"/>
          <w:szCs w:val="18"/>
        </w:rPr>
        <w:t xml:space="preserve">né v čl. </w:t>
      </w:r>
      <w:r w:rsidR="00550746" w:rsidRPr="00550746">
        <w:rPr>
          <w:rFonts w:ascii="Verdana" w:hAnsi="Verdana" w:cstheme="minorHAnsi"/>
          <w:sz w:val="18"/>
          <w:szCs w:val="18"/>
        </w:rPr>
        <w:t>IV</w:t>
      </w:r>
      <w:r w:rsidR="0085363C" w:rsidRPr="00550746">
        <w:rPr>
          <w:rFonts w:ascii="Verdana" w:hAnsi="Verdana" w:cstheme="minorHAnsi"/>
          <w:sz w:val="18"/>
          <w:szCs w:val="18"/>
        </w:rPr>
        <w:t xml:space="preserve"> </w:t>
      </w:r>
      <w:r w:rsidR="00E413C5" w:rsidRPr="0055074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50746">
        <w:rPr>
          <w:rFonts w:ascii="Verdana" w:hAnsi="Verdana" w:cstheme="minorHAnsi"/>
          <w:sz w:val="18"/>
          <w:szCs w:val="18"/>
        </w:rPr>
        <w:t>Rámcové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>dohody</w:t>
      </w:r>
      <w:r w:rsidRPr="003E63B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cenu za zhotovení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3E63B3">
        <w:rPr>
          <w:rFonts w:ascii="Verdana" w:hAnsi="Verdana" w:cstheme="minorHAnsi"/>
          <w:sz w:val="18"/>
          <w:szCs w:val="18"/>
        </w:rPr>
        <w:t xml:space="preserve">Objednávce </w:t>
      </w:r>
      <w:r w:rsidRPr="003E63B3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6A2623A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ISPROFIN/Sub.ISPROFIN stavby,</w:t>
      </w:r>
    </w:p>
    <w:p w14:paraId="2F326589" w14:textId="77777777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0156D6">
      <w:pPr>
        <w:pStyle w:val="acnormalbulleted"/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445DD6C4" w:rsidR="003276C2" w:rsidRPr="002507FA" w:rsidRDefault="003276C2" w:rsidP="000156D6">
      <w:pPr>
        <w:pStyle w:val="acnormalbulleted"/>
      </w:pPr>
      <w:r w:rsidRPr="00B54992">
        <w:rPr>
          <w:rFonts w:eastAsiaTheme="majorEastAsia"/>
          <w:bCs/>
        </w:rPr>
        <w:t xml:space="preserve">Tato </w:t>
      </w:r>
      <w:r w:rsidR="00AD2EC8" w:rsidRPr="00B54992">
        <w:rPr>
          <w:rFonts w:eastAsiaTheme="majorEastAsia"/>
          <w:bCs/>
        </w:rPr>
        <w:t xml:space="preserve">Rámcová </w:t>
      </w:r>
      <w:r w:rsidRPr="00B54992">
        <w:rPr>
          <w:rFonts w:eastAsiaTheme="majorEastAsia"/>
          <w:bCs/>
        </w:rPr>
        <w:t xml:space="preserve">dohoda je uzavírána na </w:t>
      </w:r>
      <w:r w:rsidR="007E084F" w:rsidRPr="00B54992">
        <w:rPr>
          <w:rFonts w:eastAsiaTheme="majorEastAsia"/>
          <w:bCs/>
        </w:rPr>
        <w:t xml:space="preserve">dobu </w:t>
      </w:r>
      <w:r w:rsidR="00256941" w:rsidRPr="00B54992">
        <w:rPr>
          <w:rFonts w:eastAsiaTheme="majorEastAsia"/>
          <w:bCs/>
        </w:rPr>
        <w:t>48</w:t>
      </w:r>
      <w:r w:rsidRPr="00B54992">
        <w:rPr>
          <w:rFonts w:eastAsiaTheme="majorEastAsia"/>
          <w:bCs/>
        </w:rPr>
        <w:t xml:space="preserve"> </w:t>
      </w:r>
      <w:r w:rsidR="007E084F" w:rsidRPr="00B54992">
        <w:rPr>
          <w:rFonts w:eastAsiaTheme="majorEastAsia"/>
          <w:bCs/>
        </w:rPr>
        <w:t xml:space="preserve">měsíců </w:t>
      </w:r>
      <w:r w:rsidRPr="00B54992">
        <w:rPr>
          <w:rFonts w:eastAsiaTheme="majorEastAsia"/>
          <w:bCs/>
        </w:rPr>
        <w:t xml:space="preserve">od </w:t>
      </w:r>
      <w:r w:rsidR="007E084F" w:rsidRPr="00B54992">
        <w:rPr>
          <w:rFonts w:eastAsiaTheme="majorEastAsia"/>
          <w:bCs/>
        </w:rPr>
        <w:t xml:space="preserve">nabytí </w:t>
      </w:r>
      <w:r w:rsidRPr="00B54992">
        <w:rPr>
          <w:rFonts w:eastAsiaTheme="majorEastAsia"/>
          <w:bCs/>
        </w:rPr>
        <w:t xml:space="preserve">její </w:t>
      </w:r>
      <w:r w:rsidR="007E084F" w:rsidRPr="00B54992">
        <w:rPr>
          <w:rFonts w:eastAsiaTheme="majorEastAsia"/>
          <w:bCs/>
        </w:rPr>
        <w:t xml:space="preserve">účinnosti, </w:t>
      </w:r>
      <w:r w:rsidR="007E084F" w:rsidRPr="00B7657C">
        <w:t xml:space="preserve">anebo do doby uzavření dílčí smlouvy, na </w:t>
      </w:r>
      <w:r w:rsidR="007E17FF" w:rsidRPr="00B7657C">
        <w:t>základě,</w:t>
      </w:r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420BEB">
        <w:t>10 000 000</w:t>
      </w:r>
      <w:r w:rsidR="000B3016" w:rsidRPr="00FB1ACB">
        <w:t xml:space="preserve"> Kč bez DPH, která </w:t>
      </w:r>
      <w:r w:rsidR="006A1819" w:rsidRPr="00FB1ACB">
        <w:t>či</w:t>
      </w:r>
      <w:r w:rsidR="000B3016" w:rsidRPr="00FB1ACB">
        <w:t>ní předpokládanou hodnotu veřejné zakázky na základě které</w:t>
      </w:r>
      <w:r w:rsidR="00C905D9">
        <w:t>,</w:t>
      </w:r>
      <w:r w:rsidR="000B3016" w:rsidRPr="00FB1ACB">
        <w:t xml:space="preserve">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78A6AF80" w:rsidR="00235018" w:rsidRPr="000B3016" w:rsidRDefault="009C5F7B" w:rsidP="000156D6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</w:t>
      </w:r>
      <w:r w:rsidR="004F5EE1">
        <w:t>dílčích smluv je zpravidla uvedeno v dílčí smlouvě. Dopravu do a z místa plnění zajišťuje Zhotovitel</w:t>
      </w:r>
      <w:r w:rsidR="007E17FF">
        <w:t>.</w:t>
      </w:r>
    </w:p>
    <w:p w14:paraId="15B09597" w14:textId="77777777" w:rsidR="001B7DA2" w:rsidRDefault="006D2F28" w:rsidP="000156D6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</w:p>
    <w:p w14:paraId="392E2422" w14:textId="56069BC1" w:rsidR="00BD7195" w:rsidRDefault="006D2F28" w:rsidP="000156D6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0522E12" w14:textId="18B77247" w:rsidR="00EB23BB" w:rsidRDefault="00EB23BB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Jednotková hodinová sazba za odborné poradenství </w:t>
      </w:r>
      <w:r w:rsidR="00AD05FB">
        <w:rPr>
          <w:rFonts w:ascii="Verdana" w:hAnsi="Verdana" w:cstheme="minorHAnsi"/>
          <w:sz w:val="18"/>
          <w:szCs w:val="18"/>
        </w:rPr>
        <w:t>specifikovaném</w:t>
      </w:r>
      <w:r>
        <w:rPr>
          <w:rFonts w:ascii="Verdana" w:hAnsi="Verdana" w:cstheme="minorHAnsi"/>
          <w:sz w:val="18"/>
          <w:szCs w:val="18"/>
        </w:rPr>
        <w:t xml:space="preserve"> v Příloze č. 2 této Rámcové dohody:</w:t>
      </w:r>
    </w:p>
    <w:p w14:paraId="367A5629" w14:textId="619982EF" w:rsidR="00EB23BB" w:rsidRPr="00EB23BB" w:rsidRDefault="00E11E18" w:rsidP="00EB23BB">
      <w:pPr>
        <w:pStyle w:val="Odstavecseseznamem"/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Jednotková cena/hodinová sazba</w:t>
      </w:r>
      <w:r w:rsidR="00EB23BB" w:rsidRPr="00EB23BB">
        <w:rPr>
          <w:rFonts w:ascii="Verdana" w:hAnsi="Verdana" w:cstheme="minorHAnsi"/>
          <w:sz w:val="18"/>
          <w:szCs w:val="18"/>
        </w:rPr>
        <w:t xml:space="preserve"> bez DPH</w:t>
      </w:r>
      <w:r w:rsidR="00EB23BB"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="00EB23BB" w:rsidRPr="00EB23BB">
        <w:rPr>
          <w:rFonts w:ascii="Verdana" w:hAnsi="Verdana" w:cstheme="minorHAnsi"/>
          <w:sz w:val="18"/>
          <w:szCs w:val="18"/>
        </w:rPr>
        <w:tab/>
      </w:r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[VLOŽÍ ZHOTOVITEL],- Kč.</w:t>
      </w:r>
    </w:p>
    <w:p w14:paraId="0E4837CB" w14:textId="3C63F422" w:rsidR="00EB23BB" w:rsidRPr="00EB23BB" w:rsidRDefault="00EB23BB" w:rsidP="00EB23BB">
      <w:pPr>
        <w:pStyle w:val="Odstavecseseznamem"/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  <w:r w:rsidRPr="00EB23BB">
        <w:rPr>
          <w:rFonts w:ascii="Verdana" w:hAnsi="Verdana" w:cstheme="minorHAnsi"/>
          <w:sz w:val="18"/>
          <w:szCs w:val="18"/>
        </w:rPr>
        <w:t>výše DPH 21 %</w:t>
      </w:r>
      <w:r w:rsidRPr="00EB23BB">
        <w:rPr>
          <w:rFonts w:ascii="Verdana" w:hAnsi="Verdana" w:cstheme="minorHAnsi"/>
          <w:sz w:val="18"/>
          <w:szCs w:val="18"/>
        </w:rPr>
        <w:tab/>
      </w:r>
      <w:r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Pr="00EB23BB">
        <w:rPr>
          <w:rFonts w:ascii="Verdana" w:hAnsi="Verdana" w:cstheme="minorHAnsi"/>
          <w:sz w:val="18"/>
          <w:szCs w:val="18"/>
        </w:rPr>
        <w:tab/>
      </w:r>
      <w:r w:rsidR="00E11E18">
        <w:rPr>
          <w:rFonts w:ascii="Verdana" w:hAnsi="Verdana" w:cstheme="minorHAnsi"/>
          <w:sz w:val="18"/>
          <w:szCs w:val="18"/>
        </w:rPr>
        <w:tab/>
      </w:r>
      <w:r w:rsidR="00E11E18">
        <w:rPr>
          <w:rFonts w:ascii="Verdana" w:hAnsi="Verdana" w:cstheme="minorHAnsi"/>
          <w:sz w:val="18"/>
          <w:szCs w:val="18"/>
        </w:rPr>
        <w:tab/>
      </w:r>
      <w:r w:rsidRPr="00EB23BB">
        <w:rPr>
          <w:rFonts w:ascii="Verdana" w:hAnsi="Verdana" w:cstheme="minorHAnsi"/>
          <w:sz w:val="18"/>
          <w:szCs w:val="18"/>
          <w:highlight w:val="yellow"/>
        </w:rPr>
        <w:t>[VLOŽÍ ZHOTOVITEL],- Kč.</w:t>
      </w:r>
    </w:p>
    <w:p w14:paraId="6C871524" w14:textId="79AE6737" w:rsidR="00DC4AD5" w:rsidRPr="002507FA" w:rsidRDefault="00E11E18" w:rsidP="00532DF4">
      <w:pPr>
        <w:pStyle w:val="Odstavecseseznamem"/>
        <w:spacing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Jednotková cena/hodinová sazba </w:t>
      </w:r>
      <w:r w:rsidR="00EB23BB" w:rsidRPr="00EB23BB">
        <w:rPr>
          <w:rFonts w:ascii="Verdana" w:hAnsi="Verdana" w:cstheme="minorHAnsi"/>
          <w:sz w:val="18"/>
          <w:szCs w:val="18"/>
        </w:rPr>
        <w:t>vč. DPH</w:t>
      </w:r>
      <w:r w:rsidR="00EB23BB"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="00EB23BB" w:rsidRPr="00EB23BB">
        <w:rPr>
          <w:rFonts w:ascii="Verdana" w:hAnsi="Verdana" w:cstheme="minorHAnsi"/>
          <w:sz w:val="18"/>
          <w:szCs w:val="18"/>
        </w:rPr>
        <w:tab/>
      </w:r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[VLOŽÍ ZHOTOVITEL],- Kč.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Default="00963B12" w:rsidP="00532DF4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22F7EA79" w:rsidR="00276548" w:rsidRDefault="00F6775C" w:rsidP="00532D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775C">
        <w:rPr>
          <w:rFonts w:ascii="Verdana" w:hAnsi="Verdana" w:cstheme="minorHAnsi"/>
          <w:sz w:val="18"/>
          <w:szCs w:val="18"/>
        </w:rPr>
        <w:t>Zhotovitel je oprávněn vystavit daňový doklad</w:t>
      </w:r>
      <w:r>
        <w:rPr>
          <w:rFonts w:ascii="Verdana" w:hAnsi="Verdana" w:cstheme="minorHAnsi"/>
          <w:sz w:val="18"/>
          <w:szCs w:val="18"/>
        </w:rPr>
        <w:t xml:space="preserve"> - fakturu</w:t>
      </w:r>
      <w:r w:rsidRPr="00F6775C">
        <w:rPr>
          <w:rFonts w:ascii="Verdana" w:hAnsi="Verdana" w:cstheme="minorHAnsi"/>
          <w:sz w:val="18"/>
          <w:szCs w:val="18"/>
        </w:rPr>
        <w:t xml:space="preserve"> nejdříve ke dni potvrzení Výkazu poskytnutých služeb Objednatelem za předcházející kalendářní čtvrtletí a Objednatel se zavazuje zaplatit předmětnou částku</w:t>
      </w:r>
      <w:r>
        <w:rPr>
          <w:rFonts w:ascii="Verdana" w:hAnsi="Verdana" w:cstheme="minorHAnsi"/>
          <w:sz w:val="18"/>
          <w:szCs w:val="18"/>
        </w:rPr>
        <w:t xml:space="preserve">, která </w:t>
      </w:r>
      <w:r w:rsidRPr="00F6775C">
        <w:rPr>
          <w:rFonts w:ascii="Verdana" w:hAnsi="Verdana" w:cstheme="minorHAnsi"/>
          <w:sz w:val="18"/>
          <w:szCs w:val="18"/>
        </w:rPr>
        <w:t>bude součinem jednotkové hodinové sazby uvedené v odstavci 1 tohoto článku a počtem skutečně odvedených hodin potvrzených zástupcem Objednatele</w:t>
      </w:r>
      <w:r w:rsidR="00C30B45">
        <w:rPr>
          <w:rFonts w:ascii="Verdana" w:hAnsi="Verdana" w:cstheme="minorHAnsi"/>
          <w:sz w:val="18"/>
          <w:szCs w:val="18"/>
        </w:rPr>
        <w:t xml:space="preserve"> uvedeným v dílčí objednávce.</w:t>
      </w:r>
    </w:p>
    <w:p w14:paraId="2A861837" w14:textId="60D8D742" w:rsidR="00EF7E80" w:rsidRPr="002507FA" w:rsidRDefault="00FA2398" w:rsidP="00532DF4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B3016">
        <w:rPr>
          <w:rFonts w:ascii="Verdana" w:hAnsi="Verdana" w:cstheme="minorHAnsi"/>
          <w:sz w:val="18"/>
          <w:szCs w:val="18"/>
        </w:rPr>
        <w:t>Předávacího protokolu</w:t>
      </w:r>
      <w:r w:rsidRPr="000B3016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3B2429">
        <w:rPr>
          <w:rFonts w:ascii="Verdana" w:hAnsi="Verdana" w:cstheme="minorHAnsi"/>
          <w:sz w:val="18"/>
          <w:szCs w:val="18"/>
        </w:rPr>
        <w:t>O</w:t>
      </w:r>
      <w:r w:rsidR="002C46D1" w:rsidRPr="002507FA">
        <w:rPr>
          <w:rFonts w:ascii="Verdana" w:hAnsi="Verdana" w:cstheme="minorHAnsi"/>
          <w:sz w:val="18"/>
          <w:szCs w:val="18"/>
        </w:rPr>
        <w:t>bjednávky</w:t>
      </w:r>
      <w:r w:rsidR="000B3016">
        <w:rPr>
          <w:rFonts w:ascii="Verdana" w:hAnsi="Verdana" w:cstheme="minorHAnsi"/>
          <w:sz w:val="18"/>
          <w:szCs w:val="18"/>
        </w:rPr>
        <w:t xml:space="preserve">, </w:t>
      </w:r>
      <w:r w:rsidR="0068114E">
        <w:rPr>
          <w:rFonts w:ascii="Verdana" w:hAnsi="Verdana" w:cstheme="minorHAnsi"/>
          <w:sz w:val="18"/>
          <w:szCs w:val="18"/>
        </w:rPr>
        <w:t xml:space="preserve">číslo 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800D2F">
        <w:rPr>
          <w:rFonts w:ascii="Verdana" w:hAnsi="Verdana" w:cstheme="minorHAnsi"/>
          <w:sz w:val="18"/>
          <w:szCs w:val="18"/>
        </w:rPr>
        <w:t>,</w:t>
      </w:r>
      <w:r w:rsidR="000B3016" w:rsidRPr="000B3016">
        <w:rPr>
          <w:rFonts w:ascii="Verdana" w:hAnsi="Verdana" w:cstheme="minorHAnsi"/>
          <w:sz w:val="18"/>
          <w:szCs w:val="18"/>
        </w:rPr>
        <w:t xml:space="preserve"> název stavby a ISPROFIN/Sub.ISPROFIN stavby, ke které se fakturované plnění vztahuje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BAC0EC" w14:textId="46ECFDA3" w:rsidR="00345162" w:rsidRPr="00345162" w:rsidRDefault="00345162" w:rsidP="00532DF4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r w:rsidR="00505D4A">
        <w:rPr>
          <w:rFonts w:ascii="Verdana" w:hAnsi="Verdana" w:cstheme="minorHAnsi"/>
          <w:sz w:val="18"/>
          <w:szCs w:val="18"/>
        </w:rPr>
        <w:t>u</w:t>
      </w:r>
      <w:r w:rsidR="00505D4A" w:rsidRPr="00345162">
        <w:rPr>
          <w:rFonts w:ascii="Verdana" w:hAnsi="Verdana" w:cstheme="minorHAnsi"/>
          <w:sz w:val="18"/>
          <w:szCs w:val="18"/>
        </w:rPr>
        <w:t>ccchjm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0D178751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</w:t>
      </w:r>
      <w:r w:rsidR="00815F5A">
        <w:rPr>
          <w:rFonts w:ascii="Verdana" w:hAnsi="Verdana" w:cstheme="minorHAnsi"/>
          <w:sz w:val="18"/>
          <w:szCs w:val="18"/>
        </w:rPr>
        <w:t>.</w:t>
      </w:r>
    </w:p>
    <w:p w14:paraId="638C5CD6" w14:textId="00E411A1" w:rsidR="005D791E" w:rsidRPr="0026110E" w:rsidRDefault="00345162" w:rsidP="00532DF4">
      <w:pPr>
        <w:spacing w:after="120"/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532DF4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67008093" w14:textId="4C7C537B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2B53F332" w:rsidR="00F74FF9" w:rsidRPr="00F74FF9" w:rsidRDefault="00F74FF9" w:rsidP="00532DF4">
      <w:pPr>
        <w:pStyle w:val="acnormal"/>
        <w:ind w:left="425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</w:r>
      <w:r w:rsidR="00E958A4">
        <w:rPr>
          <w:rFonts w:ascii="Verdana" w:hAnsi="Verdana" w:cstheme="minorHAnsi"/>
          <w:sz w:val="18"/>
          <w:szCs w:val="18"/>
        </w:rPr>
        <w:t>2</w:t>
      </w:r>
      <w:r w:rsidR="00E958A4" w:rsidRPr="00F74FF9">
        <w:rPr>
          <w:rFonts w:ascii="Verdana" w:hAnsi="Verdana" w:cstheme="minorHAnsi"/>
          <w:sz w:val="18"/>
          <w:szCs w:val="18"/>
        </w:rPr>
        <w:t>0</w:t>
      </w:r>
      <w:r w:rsidRPr="00F74FF9">
        <w:rPr>
          <w:rFonts w:ascii="Verdana" w:hAnsi="Verdana" w:cstheme="minorHAnsi"/>
          <w:sz w:val="18"/>
          <w:szCs w:val="18"/>
        </w:rPr>
        <w:t>.000 Kč,-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je stanovena ve výši 50%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532DF4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532DF4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4ADE2FC6" w14:textId="77777777" w:rsidR="00870DF7" w:rsidRPr="002507FA" w:rsidRDefault="00870DF7" w:rsidP="00532DF4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3C89493" w:rsidR="00002574" w:rsidRDefault="00002574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BD9E126" w14:textId="22F8443D" w:rsidR="000B3016" w:rsidRPr="000B3016" w:rsidRDefault="00A34B1D" w:rsidP="00532DF4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compliance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7D14DB9B" w14:textId="2C5063B9" w:rsidR="008760A2" w:rsidRDefault="008760A2" w:rsidP="00532DF4">
      <w:pPr>
        <w:pStyle w:val="acnormal"/>
        <w:numPr>
          <w:ilvl w:val="0"/>
          <w:numId w:val="8"/>
        </w:numPr>
        <w:tabs>
          <w:tab w:val="left" w:pos="709"/>
        </w:tabs>
        <w:ind w:left="357" w:hanging="357"/>
        <w:rPr>
          <w:rFonts w:ascii="Verdana" w:hAnsi="Verdana" w:cstheme="minorHAnsi"/>
          <w:sz w:val="18"/>
          <w:szCs w:val="18"/>
        </w:rPr>
      </w:pPr>
      <w:r w:rsidRPr="008760A2">
        <w:rPr>
          <w:rFonts w:ascii="Verdana" w:hAnsi="Verdana" w:cstheme="minorHAnsi"/>
          <w:sz w:val="18"/>
          <w:szCs w:val="18"/>
        </w:rPr>
        <w:t xml:space="preserve">Zhotovitel se zavazuje sjednat si s dalšími osobami, které se na jeho straně podílejí na realizaci Díla a jsou podnikateli, stejnou nebo kratší dobu splatnosti daňových dokladů, jaká je sjednána v této </w:t>
      </w:r>
      <w:r>
        <w:rPr>
          <w:rFonts w:ascii="Verdana" w:hAnsi="Verdana" w:cstheme="minorHAnsi"/>
          <w:sz w:val="18"/>
          <w:szCs w:val="18"/>
        </w:rPr>
        <w:t>Rámcové dohodě.</w:t>
      </w:r>
    </w:p>
    <w:p w14:paraId="15E84E89" w14:textId="099A3CA2" w:rsidR="00D7368E" w:rsidRPr="00FB1ACB" w:rsidRDefault="00D7368E" w:rsidP="00532DF4">
      <w:pPr>
        <w:pStyle w:val="acnormal"/>
        <w:numPr>
          <w:ilvl w:val="0"/>
          <w:numId w:val="8"/>
        </w:numPr>
        <w:tabs>
          <w:tab w:val="left" w:pos="709"/>
        </w:tabs>
        <w:ind w:left="357" w:hanging="357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>y, které Zhotovitel svolá, budou probíhat distančním způsobem (elektronicky, např. MS Teams, Google meet,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32DF4">
      <w:pPr>
        <w:pStyle w:val="SODslseznam-2a"/>
        <w:tabs>
          <w:tab w:val="clear" w:pos="360"/>
          <w:tab w:val="left" w:pos="708"/>
        </w:tabs>
        <w:ind w:left="1854" w:hanging="357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4F9757A" w14:textId="77777777" w:rsidR="00577344" w:rsidRDefault="00577344" w:rsidP="00532DF4">
      <w:pPr>
        <w:pStyle w:val="SODslseznam-2a"/>
        <w:tabs>
          <w:tab w:val="clear" w:pos="360"/>
          <w:tab w:val="left" w:pos="708"/>
        </w:tabs>
        <w:ind w:left="1854" w:hanging="357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32DF4">
      <w:pPr>
        <w:pStyle w:val="SODslseznam-2a"/>
        <w:tabs>
          <w:tab w:val="clear" w:pos="360"/>
        </w:tabs>
        <w:ind w:left="1854" w:hanging="357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532DF4">
      <w:pPr>
        <w:pStyle w:val="SODslseznam-2a"/>
        <w:tabs>
          <w:tab w:val="clear" w:pos="360"/>
        </w:tabs>
        <w:ind w:left="1854" w:hanging="357"/>
      </w:pPr>
      <w:r>
        <w:t xml:space="preserve">není obchodní společností, ve které veřejný funkcionář uvedený v ust.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>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24E3009F" w14:textId="22A44DD5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532DF4">
      <w:pPr>
        <w:pStyle w:val="acnormal"/>
        <w:numPr>
          <w:ilvl w:val="0"/>
          <w:numId w:val="24"/>
        </w:numPr>
        <w:tabs>
          <w:tab w:val="left" w:pos="709"/>
        </w:tabs>
        <w:spacing w:before="0"/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532DF4">
      <w:pPr>
        <w:pStyle w:val="acnormal"/>
        <w:numPr>
          <w:ilvl w:val="0"/>
          <w:numId w:val="1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0CA3D4C3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8A8D4BB" w14:textId="6D4FE768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Pr="00CA1030">
        <w:rPr>
          <w:rFonts w:ascii="Verdana" w:hAnsi="Verdana" w:cstheme="minorHAnsi"/>
          <w:sz w:val="18"/>
          <w:szCs w:val="18"/>
        </w:rPr>
        <w:t xml:space="preserve"> – </w:t>
      </w:r>
      <w:r w:rsidR="008775C1">
        <w:rPr>
          <w:rFonts w:ascii="Verdana" w:hAnsi="Verdana" w:cstheme="minorHAnsi"/>
          <w:sz w:val="18"/>
          <w:szCs w:val="18"/>
        </w:rPr>
        <w:t>Vymezení předmětu plnění</w:t>
      </w:r>
    </w:p>
    <w:p w14:paraId="3FF5CDBF" w14:textId="3EBC4D52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53E2F1A0" w14:textId="6F9ED1E5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2B1B85AF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dne…………</w:t>
      </w:r>
    </w:p>
    <w:p w14:paraId="67760990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2F28981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EE6BC6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4D59588" w14:textId="77777777" w:rsidR="00613292" w:rsidRDefault="00613292" w:rsidP="00613292">
      <w:pPr>
        <w:pStyle w:val="Textbezodsazen"/>
      </w:pPr>
      <w:r>
        <w:t>................................................</w:t>
      </w:r>
      <w:r>
        <w:tab/>
      </w:r>
      <w:r>
        <w:tab/>
      </w:r>
      <w:r>
        <w:tab/>
        <w:t>................................................</w:t>
      </w:r>
    </w:p>
    <w:p w14:paraId="60D63009" w14:textId="7F6F0001" w:rsidR="00613292" w:rsidRPr="00930F78" w:rsidRDefault="00613292" w:rsidP="00613292">
      <w:pPr>
        <w:pStyle w:val="Textbezodsazen"/>
        <w:spacing w:after="0"/>
        <w:rPr>
          <w:rStyle w:val="Tun0"/>
        </w:rPr>
      </w:pPr>
      <w:r w:rsidRPr="00930F78">
        <w:rPr>
          <w:rStyle w:val="Tun0"/>
        </w:rPr>
        <w:t xml:space="preserve">Ing. </w:t>
      </w:r>
      <w:r>
        <w:rPr>
          <w:rStyle w:val="Tun0"/>
        </w:rPr>
        <w:t>Petr Hofhanzl</w:t>
      </w:r>
      <w:r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  <w:t>"[</w:t>
      </w:r>
      <w:r>
        <w:rPr>
          <w:rStyle w:val="Tun0"/>
          <w:highlight w:val="yellow"/>
        </w:rPr>
        <w:t xml:space="preserve">DOPLNÍ </w:t>
      </w:r>
      <w:r w:rsidRPr="00930F78">
        <w:rPr>
          <w:rStyle w:val="Tun0"/>
          <w:highlight w:val="yellow"/>
        </w:rPr>
        <w:t>ZHOTOVITEL</w:t>
      </w:r>
      <w:r w:rsidRPr="00930F78">
        <w:rPr>
          <w:rStyle w:val="Tun0"/>
        </w:rPr>
        <w:t>]"</w:t>
      </w:r>
    </w:p>
    <w:p w14:paraId="13FDBADD" w14:textId="18C6271F" w:rsidR="00613292" w:rsidRDefault="00BB16D2" w:rsidP="00613292">
      <w:pPr>
        <w:pStyle w:val="Textbezodsazen"/>
        <w:spacing w:after="0"/>
      </w:pPr>
      <w:r>
        <w:t>ř</w:t>
      </w:r>
      <w:r w:rsidR="00613292">
        <w:t>editel Stavební správy západ</w:t>
      </w:r>
      <w:r w:rsidR="00613292">
        <w:tab/>
      </w:r>
      <w:r w:rsidR="00613292">
        <w:tab/>
      </w:r>
      <w:r w:rsidR="00613292">
        <w:tab/>
      </w:r>
      <w:r w:rsidR="00613292">
        <w:tab/>
      </w:r>
      <w:r w:rsidR="00613292">
        <w:tab/>
      </w:r>
    </w:p>
    <w:p w14:paraId="705F7C87" w14:textId="56D251C1" w:rsidR="00616710" w:rsidRDefault="00613292" w:rsidP="00613292">
      <w:pPr>
        <w:rPr>
          <w:rFonts w:ascii="Verdana" w:hAnsi="Verdana" w:cstheme="minorHAnsi"/>
          <w:sz w:val="18"/>
          <w:szCs w:val="18"/>
        </w:rPr>
      </w:pPr>
      <w:r w:rsidRPr="00613292">
        <w:rPr>
          <w:rFonts w:ascii="Verdana" w:eastAsiaTheme="minorHAnsi" w:hAnsi="Verdana" w:cstheme="minorBid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16710"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51775B49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2</w:t>
      </w:r>
    </w:p>
    <w:p w14:paraId="2F8A4A46" w14:textId="78A6A544" w:rsidR="00B466E4" w:rsidRDefault="008775C1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  <w:sz w:val="18"/>
          <w:szCs w:val="18"/>
        </w:rPr>
        <w:t>Vymezení předmětu plnění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78898E5" w14:textId="77777777" w:rsidR="007337BC" w:rsidRPr="00077A4A" w:rsidRDefault="007337BC" w:rsidP="00077A4A">
      <w:pPr>
        <w:pStyle w:val="RLProhlensmluvnchstran"/>
        <w:jc w:val="both"/>
        <w:rPr>
          <w:rFonts w:ascii="Verdana" w:hAnsi="Verdana" w:cstheme="minorHAnsi"/>
          <w:sz w:val="18"/>
          <w:szCs w:val="18"/>
        </w:rPr>
      </w:pPr>
    </w:p>
    <w:p w14:paraId="787FE4D3" w14:textId="429DF5B2" w:rsid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Předmětem plnění dílčích veřejných zakázek je o</w:t>
      </w:r>
      <w:r w:rsidRPr="00077A4A">
        <w:rPr>
          <w:rFonts w:ascii="Verdana" w:hAnsi="Verdana"/>
          <w:sz w:val="18"/>
          <w:szCs w:val="18"/>
        </w:rPr>
        <w:t>dborné poradenství Zadavateli a jím zasmluvněných dodavatelů při procesu aplikace Prováděcího nařízení Komise (EU) č. 402/2013 během přípravy, realizace a provozu dílčích projektů Zadavatele. Práce obsahují</w:t>
      </w:r>
      <w:r>
        <w:rPr>
          <w:rFonts w:ascii="Verdana" w:hAnsi="Verdana"/>
          <w:sz w:val="18"/>
          <w:szCs w:val="18"/>
        </w:rPr>
        <w:t xml:space="preserve"> zejména:</w:t>
      </w:r>
    </w:p>
    <w:p w14:paraId="57810BF2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poradenství a konzultační činnost při vypracování analýzy rizik, </w:t>
      </w:r>
    </w:p>
    <w:p w14:paraId="791B379B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projednání s dotčenými subjekty, Hasičským záchranným sborem ČR, AsBo a Drážním úřadem, </w:t>
      </w:r>
    </w:p>
    <w:p w14:paraId="135ABA4F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projednání návrhů technických řešení, </w:t>
      </w:r>
    </w:p>
    <w:p w14:paraId="548D12F4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identifikace a usměrnění rizik dle platné legislativy</w:t>
      </w:r>
      <w:r>
        <w:rPr>
          <w:rFonts w:ascii="Verdana" w:hAnsi="Verdana"/>
          <w:sz w:val="18"/>
          <w:szCs w:val="18"/>
        </w:rPr>
        <w:t>,</w:t>
      </w:r>
    </w:p>
    <w:p w14:paraId="7B566237" w14:textId="0C408A93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to vše </w:t>
      </w:r>
      <w:r w:rsidRPr="00077A4A">
        <w:rPr>
          <w:rFonts w:ascii="Verdana" w:hAnsi="Verdana"/>
          <w:sz w:val="18"/>
          <w:szCs w:val="18"/>
        </w:rPr>
        <w:t xml:space="preserve">na jednotlivých stavbách zadaných v rámci této rámcové dohody. Činnost AsBo zůstane v kompetenci dodavatele </w:t>
      </w:r>
      <w:r>
        <w:rPr>
          <w:rFonts w:ascii="Verdana" w:hAnsi="Verdana"/>
          <w:sz w:val="18"/>
          <w:szCs w:val="18"/>
        </w:rPr>
        <w:t xml:space="preserve">samotné </w:t>
      </w:r>
      <w:r w:rsidRPr="00077A4A">
        <w:rPr>
          <w:rFonts w:ascii="Verdana" w:hAnsi="Verdana"/>
          <w:sz w:val="18"/>
          <w:szCs w:val="18"/>
        </w:rPr>
        <w:t>stavby (projektu), Zhotovitel bude průvodcem procesu řízení rizik.</w:t>
      </w:r>
    </w:p>
    <w:p w14:paraId="3C02D3EA" w14:textId="77777777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</w:p>
    <w:p w14:paraId="361428C0" w14:textId="5B6CFBD9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</w:t>
      </w:r>
      <w:r w:rsidRPr="00077A4A">
        <w:rPr>
          <w:rFonts w:ascii="Verdana" w:hAnsi="Verdana"/>
          <w:sz w:val="18"/>
          <w:szCs w:val="18"/>
        </w:rPr>
        <w:t xml:space="preserve"> bude poskytovat Zadavateli a jím zasmluvněným subjektům odborné poradenství a spolupráci v oblasti následujících předpisů:</w:t>
      </w:r>
    </w:p>
    <w:p w14:paraId="3E6C24BE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Prováděcí nařízení Komise (EU) č. 402/2013 z 30.04.2013 ve znění prováděcího nařízení Komise (EU) 2015/1136</w:t>
      </w:r>
    </w:p>
    <w:p w14:paraId="55CA6271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Průvodce pro uplatňování nařízení Komise o přijetí společné bezpečnostní metody pro hodnocení a posuzování rizik, jak je uvedeno v čl. 6 odst. 3 písm. a) směrnice o bezpečnosti železnic ERA/GUI/01 2008/SAF)</w:t>
      </w:r>
    </w:p>
    <w:p w14:paraId="502F6596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Soubor příkladů posuzování rizik a některých možných nástrojů podporujících nařízení CSM ERA/GUI/02 2008/SAF</w:t>
      </w:r>
    </w:p>
    <w:p w14:paraId="455911D8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Explanatory note on the CSM Assessment Body referred to in Regulation (EU) N°402/2013 and in OTIF UTP GEN G of 1.1.2016 on the Common Safety Method (CSM) for risk assessment</w:t>
      </w:r>
    </w:p>
    <w:p w14:paraId="050E69F5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AsBo Recommendation For Use (01, 02, 03, 04, 08, 11 všechny v platném znění)</w:t>
      </w:r>
    </w:p>
    <w:p w14:paraId="1503915B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ČSN EN 50126 1 ed. 2 Drážní zařízení Stanovení a prokázání bezporuchovosti, pohotovosti, udržovatelnosti a bezpečnosti (RAMS) Část 1: Generický proces RAMS</w:t>
      </w:r>
    </w:p>
    <w:p w14:paraId="44EC101F" w14:textId="77777777" w:rsid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Nařízení Komise (EU ) č. 1303/2014 ze dne 18.11.2014 v platném znění</w:t>
      </w:r>
    </w:p>
    <w:p w14:paraId="15EA0505" w14:textId="357D20A1" w:rsidR="008775C1" w:rsidRPr="007B23F4" w:rsidRDefault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 w:cstheme="minorHAnsi"/>
        </w:rPr>
      </w:pPr>
      <w:r w:rsidRPr="00340097">
        <w:rPr>
          <w:rFonts w:ascii="Verdana" w:hAnsi="Verdana"/>
          <w:sz w:val="18"/>
          <w:szCs w:val="18"/>
        </w:rPr>
        <w:t>Guide for the application of the SRT TSI GUI/SRT TSI/2023) 2023)</w:t>
      </w:r>
    </w:p>
    <w:p w14:paraId="4FAD64FA" w14:textId="77777777" w:rsidR="007B23F4" w:rsidRPr="00340097" w:rsidRDefault="007B23F4" w:rsidP="00251BD0">
      <w:pPr>
        <w:spacing w:after="120"/>
        <w:ind w:left="714"/>
        <w:jc w:val="both"/>
        <w:rPr>
          <w:rFonts w:ascii="Verdana" w:hAnsi="Verdana" w:cstheme="minorHAnsi"/>
        </w:rPr>
      </w:pPr>
    </w:p>
    <w:p w14:paraId="30AE264A" w14:textId="77777777" w:rsidR="00340097" w:rsidRPr="00340097" w:rsidRDefault="00340097" w:rsidP="00340097">
      <w:pPr>
        <w:spacing w:after="120"/>
        <w:ind w:left="714"/>
        <w:jc w:val="both"/>
        <w:rPr>
          <w:rFonts w:ascii="Verdana" w:hAnsi="Verdana" w:cstheme="minorHAnsi"/>
        </w:rPr>
      </w:pPr>
    </w:p>
    <w:p w14:paraId="2322A6EE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302772C8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4DFD2857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3E63B3">
      <w:pPr>
        <w:pStyle w:val="RLProhlensmluvnchstran"/>
        <w:jc w:val="left"/>
        <w:rPr>
          <w:rFonts w:ascii="Verdana" w:hAnsi="Verdana" w:cstheme="minorHAnsi"/>
        </w:rPr>
      </w:pPr>
    </w:p>
    <w:p w14:paraId="3BFDDE6D" w14:textId="773E31F5" w:rsidR="004949B5" w:rsidRPr="00F43FB2" w:rsidRDefault="004949B5" w:rsidP="004949B5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3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04015EDC" w:rsidR="004949B5" w:rsidRDefault="004949B5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bookmarkStart w:id="1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</w:p>
        </w:tc>
      </w:tr>
      <w:bookmarkEnd w:id="1"/>
    </w:tbl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0D1D95C1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756A8EC6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BDF0C9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2DCF8CDE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7774D84C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4790B0A7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691483C0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0D99436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699D9B50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3939926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2AE6FEF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0586654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31A639F6" w14:textId="77777777" w:rsidR="00500467" w:rsidRDefault="00500467" w:rsidP="0090270E">
      <w:pPr>
        <w:pStyle w:val="RLProhlensmluvnchstran"/>
        <w:rPr>
          <w:rFonts w:ascii="Verdana" w:hAnsi="Verdana" w:cstheme="minorHAnsi"/>
        </w:rPr>
      </w:pPr>
    </w:p>
    <w:p w14:paraId="25865390" w14:textId="77777777" w:rsidR="007B23F4" w:rsidRDefault="007B23F4" w:rsidP="0090270E">
      <w:pPr>
        <w:pStyle w:val="RLProhlensmluvnchstran"/>
        <w:rPr>
          <w:rFonts w:ascii="Verdana" w:hAnsi="Verdana" w:cstheme="minorHAnsi"/>
        </w:rPr>
      </w:pPr>
    </w:p>
    <w:p w14:paraId="73B0207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21DEF6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A3932A5" w14:textId="76163996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4</w:t>
      </w:r>
    </w:p>
    <w:p w14:paraId="1F589120" w14:textId="77777777" w:rsidR="0090270E" w:rsidRPr="00933C18" w:rsidRDefault="0090270E" w:rsidP="0090270E">
      <w:pPr>
        <w:pStyle w:val="RLProhlensmluvnchstran"/>
        <w:rPr>
          <w:rFonts w:ascii="Verdana" w:hAnsi="Verdana" w:cstheme="minorHAnsi"/>
          <w:sz w:val="20"/>
          <w:szCs w:val="20"/>
        </w:rPr>
      </w:pPr>
      <w:r w:rsidRPr="00933C18">
        <w:rPr>
          <w:rFonts w:ascii="Verdana" w:hAnsi="Verdana" w:cstheme="minorHAnsi"/>
          <w:sz w:val="20"/>
          <w:szCs w:val="20"/>
        </w:rPr>
        <w:t>Oprávněné osoby</w:t>
      </w:r>
    </w:p>
    <w:p w14:paraId="3AE7B012" w14:textId="77777777" w:rsidR="0090270E" w:rsidRPr="00933C18" w:rsidRDefault="0090270E" w:rsidP="0090270E">
      <w:pPr>
        <w:pStyle w:val="RLProhlensmluvnchstran"/>
        <w:jc w:val="left"/>
        <w:rPr>
          <w:rFonts w:ascii="Verdana" w:eastAsia="Calibri" w:hAnsi="Verdana" w:cstheme="minorHAnsi"/>
          <w:sz w:val="20"/>
          <w:szCs w:val="22"/>
          <w:lang w:eastAsia="en-US"/>
        </w:rPr>
      </w:pPr>
      <w:r w:rsidRPr="00933C18">
        <w:rPr>
          <w:rFonts w:ascii="Verdana" w:eastAsia="Calibri" w:hAnsi="Verdana" w:cstheme="minorHAnsi"/>
          <w:sz w:val="20"/>
          <w:szCs w:val="22"/>
          <w:lang w:eastAsia="en-US"/>
        </w:rPr>
        <w:t>Za Objednatele:</w:t>
      </w:r>
    </w:p>
    <w:p w14:paraId="655A77A8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E746F8" w14:paraId="4248B4B8" w14:textId="77777777">
        <w:tc>
          <w:tcPr>
            <w:tcW w:w="2206" w:type="dxa"/>
            <w:vAlign w:val="center"/>
          </w:tcPr>
          <w:p w14:paraId="5AAD4F0E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701B410" w14:textId="77777777">
        <w:tc>
          <w:tcPr>
            <w:tcW w:w="2206" w:type="dxa"/>
            <w:vAlign w:val="center"/>
          </w:tcPr>
          <w:p w14:paraId="7A49E0A4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D8D102F" w14:textId="77777777">
        <w:tc>
          <w:tcPr>
            <w:tcW w:w="2206" w:type="dxa"/>
            <w:vAlign w:val="center"/>
          </w:tcPr>
          <w:p w14:paraId="5765A22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>
        <w:tc>
          <w:tcPr>
            <w:tcW w:w="2206" w:type="dxa"/>
            <w:vAlign w:val="center"/>
          </w:tcPr>
          <w:p w14:paraId="536E4A5F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DBA22F5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76DFA821" w14:textId="77777777">
        <w:tc>
          <w:tcPr>
            <w:tcW w:w="2206" w:type="dxa"/>
            <w:vAlign w:val="center"/>
          </w:tcPr>
          <w:p w14:paraId="263EE76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29B00366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52AA2D33" w14:textId="77777777">
        <w:tc>
          <w:tcPr>
            <w:tcW w:w="2206" w:type="dxa"/>
            <w:vAlign w:val="center"/>
          </w:tcPr>
          <w:p w14:paraId="7D41FAF0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46E42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2A5A5AFD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23665502" w14:textId="77777777" w:rsidR="0090270E" w:rsidRPr="00E746F8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>
        <w:tc>
          <w:tcPr>
            <w:tcW w:w="2206" w:type="dxa"/>
            <w:vAlign w:val="center"/>
          </w:tcPr>
          <w:p w14:paraId="27D7E2DA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>
        <w:tc>
          <w:tcPr>
            <w:tcW w:w="2206" w:type="dxa"/>
            <w:vAlign w:val="center"/>
          </w:tcPr>
          <w:p w14:paraId="1BC02614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>
        <w:tc>
          <w:tcPr>
            <w:tcW w:w="2206" w:type="dxa"/>
            <w:vAlign w:val="center"/>
          </w:tcPr>
          <w:p w14:paraId="7AAEC9B8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>
        <w:tc>
          <w:tcPr>
            <w:tcW w:w="2206" w:type="dxa"/>
            <w:vAlign w:val="center"/>
          </w:tcPr>
          <w:p w14:paraId="0D637D45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>
        <w:tc>
          <w:tcPr>
            <w:tcW w:w="2206" w:type="dxa"/>
            <w:vAlign w:val="center"/>
          </w:tcPr>
          <w:p w14:paraId="23DA548B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>
        <w:tc>
          <w:tcPr>
            <w:tcW w:w="2206" w:type="dxa"/>
            <w:vAlign w:val="center"/>
          </w:tcPr>
          <w:p w14:paraId="1F12D89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>
        <w:tc>
          <w:tcPr>
            <w:tcW w:w="2206" w:type="dxa"/>
            <w:vAlign w:val="center"/>
          </w:tcPr>
          <w:p w14:paraId="0BCEB2A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>
        <w:tc>
          <w:tcPr>
            <w:tcW w:w="2206" w:type="dxa"/>
            <w:vAlign w:val="center"/>
          </w:tcPr>
          <w:p w14:paraId="6979A793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Default="0090270E" w:rsidP="0090270E">
      <w:pPr>
        <w:ind w:left="426"/>
        <w:rPr>
          <w:rFonts w:ascii="Verdana" w:hAnsi="Verdana" w:cstheme="minorHAnsi"/>
        </w:rPr>
      </w:pPr>
    </w:p>
    <w:p w14:paraId="1B1C0BEC" w14:textId="6F5E3035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pracovník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01E2733B" w14:textId="77777777">
        <w:tc>
          <w:tcPr>
            <w:tcW w:w="2206" w:type="dxa"/>
            <w:vAlign w:val="center"/>
          </w:tcPr>
          <w:p w14:paraId="1E0212F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9F1481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AA86189" w14:textId="77777777">
        <w:tc>
          <w:tcPr>
            <w:tcW w:w="2206" w:type="dxa"/>
            <w:vAlign w:val="center"/>
          </w:tcPr>
          <w:p w14:paraId="676B542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886571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31BBEB28" w14:textId="77777777">
        <w:tc>
          <w:tcPr>
            <w:tcW w:w="2206" w:type="dxa"/>
            <w:vAlign w:val="center"/>
          </w:tcPr>
          <w:p w14:paraId="08B2BB89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D1266C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2B6C3D50" w14:textId="77777777">
        <w:tc>
          <w:tcPr>
            <w:tcW w:w="2206" w:type="dxa"/>
            <w:vAlign w:val="center"/>
          </w:tcPr>
          <w:p w14:paraId="113922EB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FD4C7D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A45996F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6082A2A5" w14:textId="059F1794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Infrastruktura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564D50C5" w14:textId="77777777">
        <w:tc>
          <w:tcPr>
            <w:tcW w:w="2206" w:type="dxa"/>
            <w:vAlign w:val="center"/>
          </w:tcPr>
          <w:p w14:paraId="0EA6761A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0D74FA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705579EC" w14:textId="77777777">
        <w:tc>
          <w:tcPr>
            <w:tcW w:w="2206" w:type="dxa"/>
            <w:vAlign w:val="center"/>
          </w:tcPr>
          <w:p w14:paraId="6F206703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91CC8F0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0AC492EA" w14:textId="77777777">
        <w:tc>
          <w:tcPr>
            <w:tcW w:w="2206" w:type="dxa"/>
            <w:vAlign w:val="center"/>
          </w:tcPr>
          <w:p w14:paraId="1A3351AA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DD0B53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D5F3A85" w14:textId="77777777">
        <w:tc>
          <w:tcPr>
            <w:tcW w:w="2206" w:type="dxa"/>
            <w:vAlign w:val="center"/>
          </w:tcPr>
          <w:p w14:paraId="3244DAA0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83E7C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72C1086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13B084A6" w14:textId="777FD6CC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Energie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516EABCE" w14:textId="77777777">
        <w:tc>
          <w:tcPr>
            <w:tcW w:w="2206" w:type="dxa"/>
            <w:vAlign w:val="center"/>
          </w:tcPr>
          <w:p w14:paraId="75DD8B60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F38CF1F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6DEB513" w14:textId="77777777">
        <w:tc>
          <w:tcPr>
            <w:tcW w:w="2206" w:type="dxa"/>
            <w:vAlign w:val="center"/>
          </w:tcPr>
          <w:p w14:paraId="1DC1EBF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386D679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6D0A7FCF" w14:textId="77777777">
        <w:tc>
          <w:tcPr>
            <w:tcW w:w="2206" w:type="dxa"/>
            <w:vAlign w:val="center"/>
          </w:tcPr>
          <w:p w14:paraId="38D580EE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1BFFAEE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9B2ED32" w14:textId="77777777">
        <w:tc>
          <w:tcPr>
            <w:tcW w:w="2206" w:type="dxa"/>
            <w:vAlign w:val="center"/>
          </w:tcPr>
          <w:p w14:paraId="46D61213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802FB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8DD0FB6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13E3F59D" w14:textId="2BE799DA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Traťové řízení a zabezpečení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208C4260" w14:textId="77777777">
        <w:tc>
          <w:tcPr>
            <w:tcW w:w="2206" w:type="dxa"/>
            <w:vAlign w:val="center"/>
          </w:tcPr>
          <w:p w14:paraId="2B523F2F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D4EBBEE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6DCE0FB2" w14:textId="77777777">
        <w:tc>
          <w:tcPr>
            <w:tcW w:w="2206" w:type="dxa"/>
            <w:vAlign w:val="center"/>
          </w:tcPr>
          <w:p w14:paraId="3FDB171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11D2BA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465175A5" w14:textId="77777777">
        <w:tc>
          <w:tcPr>
            <w:tcW w:w="2206" w:type="dxa"/>
            <w:vAlign w:val="center"/>
          </w:tcPr>
          <w:p w14:paraId="153D0F9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8C9588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1FD07592" w14:textId="77777777">
        <w:tc>
          <w:tcPr>
            <w:tcW w:w="2206" w:type="dxa"/>
            <w:vAlign w:val="center"/>
          </w:tcPr>
          <w:p w14:paraId="3E1B22B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20FB646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3DE5807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32017FC6" w14:textId="676177C5" w:rsidR="0090270E" w:rsidRPr="00E746F8" w:rsidRDefault="0090270E" w:rsidP="008775C1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BD32B" w14:textId="77777777" w:rsidR="00DD4B80" w:rsidRDefault="00DD4B80" w:rsidP="003706CB">
      <w:pPr>
        <w:spacing w:after="0" w:line="240" w:lineRule="auto"/>
      </w:pPr>
      <w:r>
        <w:separator/>
      </w:r>
    </w:p>
  </w:endnote>
  <w:endnote w:type="continuationSeparator" w:id="0">
    <w:p w14:paraId="7A1F128A" w14:textId="77777777" w:rsidR="00DD4B80" w:rsidRDefault="00DD4B80" w:rsidP="003706CB">
      <w:pPr>
        <w:spacing w:after="0" w:line="240" w:lineRule="auto"/>
      </w:pPr>
      <w:r>
        <w:continuationSeparator/>
      </w:r>
    </w:p>
  </w:endnote>
  <w:endnote w:type="continuationNotice" w:id="1">
    <w:p w14:paraId="33D6AFA6" w14:textId="77777777" w:rsidR="00DD4B80" w:rsidRDefault="00DD4B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7A00D30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06AB5D2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889C4" w14:textId="77777777" w:rsidR="00DD4B80" w:rsidRDefault="00DD4B80" w:rsidP="003706CB">
      <w:pPr>
        <w:spacing w:after="0" w:line="240" w:lineRule="auto"/>
      </w:pPr>
      <w:r>
        <w:separator/>
      </w:r>
    </w:p>
  </w:footnote>
  <w:footnote w:type="continuationSeparator" w:id="0">
    <w:p w14:paraId="7A1B53F7" w14:textId="77777777" w:rsidR="00DD4B80" w:rsidRDefault="00DD4B80" w:rsidP="003706CB">
      <w:pPr>
        <w:spacing w:after="0" w:line="240" w:lineRule="auto"/>
      </w:pPr>
      <w:r>
        <w:continuationSeparator/>
      </w:r>
    </w:p>
  </w:footnote>
  <w:footnote w:type="continuationNotice" w:id="1">
    <w:p w14:paraId="61244905" w14:textId="77777777" w:rsidR="00DD4B80" w:rsidRDefault="00DD4B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11AF4132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710BA"/>
    <w:multiLevelType w:val="hybridMultilevel"/>
    <w:tmpl w:val="734EDA94"/>
    <w:lvl w:ilvl="0" w:tplc="3DF2FAC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9749E9"/>
    <w:multiLevelType w:val="multilevel"/>
    <w:tmpl w:val="E2F67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4C797F"/>
    <w:multiLevelType w:val="hybridMultilevel"/>
    <w:tmpl w:val="79A2AED0"/>
    <w:lvl w:ilvl="0" w:tplc="D26C1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5C654A09"/>
    <w:multiLevelType w:val="hybridMultilevel"/>
    <w:tmpl w:val="A45A9C38"/>
    <w:lvl w:ilvl="0" w:tplc="A840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FA7648"/>
    <w:multiLevelType w:val="hybridMultilevel"/>
    <w:tmpl w:val="AF04A2B4"/>
    <w:lvl w:ilvl="0" w:tplc="A3DE1504"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01EC"/>
    <w:multiLevelType w:val="hybridMultilevel"/>
    <w:tmpl w:val="DADA89B6"/>
    <w:lvl w:ilvl="0" w:tplc="CDEAFFD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C8F4A3B"/>
    <w:multiLevelType w:val="hybridMultilevel"/>
    <w:tmpl w:val="83A854EE"/>
    <w:lvl w:ilvl="0" w:tplc="D1926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8439754">
    <w:abstractNumId w:val="25"/>
  </w:num>
  <w:num w:numId="2" w16cid:durableId="1571889317">
    <w:abstractNumId w:val="21"/>
  </w:num>
  <w:num w:numId="3" w16cid:durableId="1767574684">
    <w:abstractNumId w:val="19"/>
  </w:num>
  <w:num w:numId="4" w16cid:durableId="1705597693">
    <w:abstractNumId w:val="20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9"/>
  </w:num>
  <w:num w:numId="8" w16cid:durableId="1277255547">
    <w:abstractNumId w:val="8"/>
  </w:num>
  <w:num w:numId="9" w16cid:durableId="1834252424">
    <w:abstractNumId w:val="6"/>
  </w:num>
  <w:num w:numId="10" w16cid:durableId="593317597">
    <w:abstractNumId w:val="16"/>
  </w:num>
  <w:num w:numId="11" w16cid:durableId="1826698032">
    <w:abstractNumId w:val="13"/>
  </w:num>
  <w:num w:numId="12" w16cid:durableId="1451701355">
    <w:abstractNumId w:val="23"/>
  </w:num>
  <w:num w:numId="13" w16cid:durableId="642545454">
    <w:abstractNumId w:val="15"/>
  </w:num>
  <w:num w:numId="14" w16cid:durableId="1532379592">
    <w:abstractNumId w:val="0"/>
  </w:num>
  <w:num w:numId="15" w16cid:durableId="570576227">
    <w:abstractNumId w:val="18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1"/>
  </w:num>
  <w:num w:numId="19" w16cid:durableId="581304433">
    <w:abstractNumId w:val="17"/>
  </w:num>
  <w:num w:numId="20" w16cid:durableId="387000142">
    <w:abstractNumId w:val="20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20"/>
  </w:num>
  <w:num w:numId="23" w16cid:durableId="1050228715">
    <w:abstractNumId w:val="1"/>
  </w:num>
  <w:num w:numId="24" w16cid:durableId="549616528">
    <w:abstractNumId w:val="14"/>
  </w:num>
  <w:num w:numId="25" w16cid:durableId="811604636">
    <w:abstractNumId w:val="12"/>
  </w:num>
  <w:num w:numId="26" w16cid:durableId="100034579">
    <w:abstractNumId w:val="26"/>
  </w:num>
  <w:num w:numId="27" w16cid:durableId="985359867">
    <w:abstractNumId w:val="24"/>
  </w:num>
  <w:num w:numId="28" w16cid:durableId="2109621713">
    <w:abstractNumId w:val="7"/>
  </w:num>
  <w:num w:numId="29" w16cid:durableId="1525678763">
    <w:abstractNumId w:val="19"/>
    <w:lvlOverride w:ilvl="0">
      <w:startOverride w:val="1"/>
    </w:lvlOverride>
  </w:num>
  <w:num w:numId="30" w16cid:durableId="366415277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2CB4"/>
    <w:rsid w:val="00014C12"/>
    <w:rsid w:val="000156D6"/>
    <w:rsid w:val="000206B8"/>
    <w:rsid w:val="00020FF6"/>
    <w:rsid w:val="00021D96"/>
    <w:rsid w:val="00021F7F"/>
    <w:rsid w:val="00022D53"/>
    <w:rsid w:val="00022E76"/>
    <w:rsid w:val="000233EC"/>
    <w:rsid w:val="000245E2"/>
    <w:rsid w:val="00024617"/>
    <w:rsid w:val="00025DFC"/>
    <w:rsid w:val="00025E36"/>
    <w:rsid w:val="00025E61"/>
    <w:rsid w:val="00026302"/>
    <w:rsid w:val="000269E4"/>
    <w:rsid w:val="0003023B"/>
    <w:rsid w:val="000352EC"/>
    <w:rsid w:val="00035943"/>
    <w:rsid w:val="00042298"/>
    <w:rsid w:val="00042832"/>
    <w:rsid w:val="0004424D"/>
    <w:rsid w:val="000466BF"/>
    <w:rsid w:val="00046EB9"/>
    <w:rsid w:val="00047FE8"/>
    <w:rsid w:val="00050A5C"/>
    <w:rsid w:val="00050CB8"/>
    <w:rsid w:val="00052543"/>
    <w:rsid w:val="00053B1E"/>
    <w:rsid w:val="0006027E"/>
    <w:rsid w:val="00060386"/>
    <w:rsid w:val="000621EF"/>
    <w:rsid w:val="0006439D"/>
    <w:rsid w:val="00066FAC"/>
    <w:rsid w:val="00070E5E"/>
    <w:rsid w:val="000718AE"/>
    <w:rsid w:val="00071C19"/>
    <w:rsid w:val="000727F1"/>
    <w:rsid w:val="000762FF"/>
    <w:rsid w:val="000770E5"/>
    <w:rsid w:val="00077A4A"/>
    <w:rsid w:val="00077E7A"/>
    <w:rsid w:val="00081334"/>
    <w:rsid w:val="000817CF"/>
    <w:rsid w:val="00082657"/>
    <w:rsid w:val="000826F9"/>
    <w:rsid w:val="00083FF0"/>
    <w:rsid w:val="000840E9"/>
    <w:rsid w:val="00084EB6"/>
    <w:rsid w:val="000878CB"/>
    <w:rsid w:val="0009392D"/>
    <w:rsid w:val="00096BA4"/>
    <w:rsid w:val="00097BF7"/>
    <w:rsid w:val="000A1CAB"/>
    <w:rsid w:val="000A2855"/>
    <w:rsid w:val="000A4DFA"/>
    <w:rsid w:val="000A6CD6"/>
    <w:rsid w:val="000A755D"/>
    <w:rsid w:val="000B3016"/>
    <w:rsid w:val="000C259C"/>
    <w:rsid w:val="000C535F"/>
    <w:rsid w:val="000C5A20"/>
    <w:rsid w:val="000C7132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1AF4"/>
    <w:rsid w:val="00153D84"/>
    <w:rsid w:val="001545DC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3CB2"/>
    <w:rsid w:val="00190A1B"/>
    <w:rsid w:val="00190E75"/>
    <w:rsid w:val="00192AB7"/>
    <w:rsid w:val="001937F5"/>
    <w:rsid w:val="001947B5"/>
    <w:rsid w:val="001962E8"/>
    <w:rsid w:val="001A3204"/>
    <w:rsid w:val="001A3DB4"/>
    <w:rsid w:val="001A487E"/>
    <w:rsid w:val="001A51FC"/>
    <w:rsid w:val="001A64A0"/>
    <w:rsid w:val="001A6CA8"/>
    <w:rsid w:val="001A7825"/>
    <w:rsid w:val="001B04D3"/>
    <w:rsid w:val="001B12B7"/>
    <w:rsid w:val="001B205D"/>
    <w:rsid w:val="001B2DC9"/>
    <w:rsid w:val="001B75DD"/>
    <w:rsid w:val="001B7DA2"/>
    <w:rsid w:val="001C7FC3"/>
    <w:rsid w:val="001D2DB5"/>
    <w:rsid w:val="001D65ED"/>
    <w:rsid w:val="001E05AB"/>
    <w:rsid w:val="001E36E8"/>
    <w:rsid w:val="001E4EEF"/>
    <w:rsid w:val="001E7978"/>
    <w:rsid w:val="001F39B2"/>
    <w:rsid w:val="001F3E82"/>
    <w:rsid w:val="001F46B0"/>
    <w:rsid w:val="001F4EBE"/>
    <w:rsid w:val="002006EC"/>
    <w:rsid w:val="00203A04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1BD0"/>
    <w:rsid w:val="00256941"/>
    <w:rsid w:val="0025705F"/>
    <w:rsid w:val="0025725F"/>
    <w:rsid w:val="0026197C"/>
    <w:rsid w:val="00264CA8"/>
    <w:rsid w:val="0026526F"/>
    <w:rsid w:val="00267F4A"/>
    <w:rsid w:val="002712BC"/>
    <w:rsid w:val="002724E5"/>
    <w:rsid w:val="00275F63"/>
    <w:rsid w:val="00276548"/>
    <w:rsid w:val="00277C3D"/>
    <w:rsid w:val="0028212C"/>
    <w:rsid w:val="00283324"/>
    <w:rsid w:val="00284479"/>
    <w:rsid w:val="002848BB"/>
    <w:rsid w:val="00286BD3"/>
    <w:rsid w:val="00287BC5"/>
    <w:rsid w:val="002906C0"/>
    <w:rsid w:val="00290986"/>
    <w:rsid w:val="002910CA"/>
    <w:rsid w:val="00292243"/>
    <w:rsid w:val="002944EA"/>
    <w:rsid w:val="00294755"/>
    <w:rsid w:val="00294CFD"/>
    <w:rsid w:val="00296739"/>
    <w:rsid w:val="00296997"/>
    <w:rsid w:val="0029715A"/>
    <w:rsid w:val="002A05CB"/>
    <w:rsid w:val="002A11CD"/>
    <w:rsid w:val="002A54C9"/>
    <w:rsid w:val="002A71FB"/>
    <w:rsid w:val="002A7690"/>
    <w:rsid w:val="002B011A"/>
    <w:rsid w:val="002B2889"/>
    <w:rsid w:val="002B320E"/>
    <w:rsid w:val="002B46A4"/>
    <w:rsid w:val="002B54D5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59CA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176"/>
    <w:rsid w:val="003276C2"/>
    <w:rsid w:val="00330418"/>
    <w:rsid w:val="00331C1E"/>
    <w:rsid w:val="00332559"/>
    <w:rsid w:val="00335DD4"/>
    <w:rsid w:val="00340097"/>
    <w:rsid w:val="00342EC7"/>
    <w:rsid w:val="0034378E"/>
    <w:rsid w:val="00344BF2"/>
    <w:rsid w:val="00345162"/>
    <w:rsid w:val="003509D2"/>
    <w:rsid w:val="003509E3"/>
    <w:rsid w:val="003527FA"/>
    <w:rsid w:val="00354D1D"/>
    <w:rsid w:val="00357A9B"/>
    <w:rsid w:val="003666C1"/>
    <w:rsid w:val="0036773D"/>
    <w:rsid w:val="0037009C"/>
    <w:rsid w:val="003703A7"/>
    <w:rsid w:val="003706CB"/>
    <w:rsid w:val="00373A6A"/>
    <w:rsid w:val="00374853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C1E9A"/>
    <w:rsid w:val="003D0FF9"/>
    <w:rsid w:val="003D1562"/>
    <w:rsid w:val="003D2F85"/>
    <w:rsid w:val="003D42FC"/>
    <w:rsid w:val="003E0E6B"/>
    <w:rsid w:val="003E1F4F"/>
    <w:rsid w:val="003E6047"/>
    <w:rsid w:val="003E63B3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0BEB"/>
    <w:rsid w:val="00421F68"/>
    <w:rsid w:val="004227AB"/>
    <w:rsid w:val="00423064"/>
    <w:rsid w:val="00424CA1"/>
    <w:rsid w:val="004252BC"/>
    <w:rsid w:val="00425B66"/>
    <w:rsid w:val="0042761F"/>
    <w:rsid w:val="00436367"/>
    <w:rsid w:val="00436B13"/>
    <w:rsid w:val="00436E7C"/>
    <w:rsid w:val="004437D5"/>
    <w:rsid w:val="0044630D"/>
    <w:rsid w:val="00446814"/>
    <w:rsid w:val="00446DBD"/>
    <w:rsid w:val="00447B0C"/>
    <w:rsid w:val="00453595"/>
    <w:rsid w:val="00454B2D"/>
    <w:rsid w:val="00454FC2"/>
    <w:rsid w:val="00455569"/>
    <w:rsid w:val="0045564B"/>
    <w:rsid w:val="0045586A"/>
    <w:rsid w:val="00456711"/>
    <w:rsid w:val="0045754A"/>
    <w:rsid w:val="004649FF"/>
    <w:rsid w:val="004651B6"/>
    <w:rsid w:val="0046558F"/>
    <w:rsid w:val="0046631B"/>
    <w:rsid w:val="004679A2"/>
    <w:rsid w:val="0047043C"/>
    <w:rsid w:val="00473A15"/>
    <w:rsid w:val="00480192"/>
    <w:rsid w:val="00481FBA"/>
    <w:rsid w:val="00483564"/>
    <w:rsid w:val="00484E08"/>
    <w:rsid w:val="00484E95"/>
    <w:rsid w:val="00485B3E"/>
    <w:rsid w:val="00490DD5"/>
    <w:rsid w:val="00492C49"/>
    <w:rsid w:val="004948E7"/>
    <w:rsid w:val="004949B5"/>
    <w:rsid w:val="004A0D5B"/>
    <w:rsid w:val="004A0F48"/>
    <w:rsid w:val="004A21E4"/>
    <w:rsid w:val="004A4F1D"/>
    <w:rsid w:val="004B0429"/>
    <w:rsid w:val="004B118D"/>
    <w:rsid w:val="004B17F3"/>
    <w:rsid w:val="004B1F56"/>
    <w:rsid w:val="004B5AE7"/>
    <w:rsid w:val="004B71BA"/>
    <w:rsid w:val="004B744D"/>
    <w:rsid w:val="004C28AD"/>
    <w:rsid w:val="004C3828"/>
    <w:rsid w:val="004D235B"/>
    <w:rsid w:val="004D3F5F"/>
    <w:rsid w:val="004D47B7"/>
    <w:rsid w:val="004D795C"/>
    <w:rsid w:val="004E204A"/>
    <w:rsid w:val="004E425F"/>
    <w:rsid w:val="004E76C0"/>
    <w:rsid w:val="004F08D8"/>
    <w:rsid w:val="004F0FA3"/>
    <w:rsid w:val="004F14F3"/>
    <w:rsid w:val="004F194C"/>
    <w:rsid w:val="004F22C3"/>
    <w:rsid w:val="004F3740"/>
    <w:rsid w:val="004F5EE1"/>
    <w:rsid w:val="004F7C35"/>
    <w:rsid w:val="00500467"/>
    <w:rsid w:val="0050249A"/>
    <w:rsid w:val="005030F6"/>
    <w:rsid w:val="00505D4A"/>
    <w:rsid w:val="005107B4"/>
    <w:rsid w:val="00512EC2"/>
    <w:rsid w:val="0051629C"/>
    <w:rsid w:val="005166BE"/>
    <w:rsid w:val="00520D2D"/>
    <w:rsid w:val="00521D9E"/>
    <w:rsid w:val="0052326D"/>
    <w:rsid w:val="00523C78"/>
    <w:rsid w:val="005252EB"/>
    <w:rsid w:val="0053133F"/>
    <w:rsid w:val="005314E0"/>
    <w:rsid w:val="00532DF4"/>
    <w:rsid w:val="00533A11"/>
    <w:rsid w:val="005345B6"/>
    <w:rsid w:val="005453EE"/>
    <w:rsid w:val="00550301"/>
    <w:rsid w:val="00550746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653E"/>
    <w:rsid w:val="00577344"/>
    <w:rsid w:val="00577F67"/>
    <w:rsid w:val="005940F8"/>
    <w:rsid w:val="00596222"/>
    <w:rsid w:val="0059769D"/>
    <w:rsid w:val="005A0C1F"/>
    <w:rsid w:val="005A17D8"/>
    <w:rsid w:val="005A4E1A"/>
    <w:rsid w:val="005A696E"/>
    <w:rsid w:val="005B09D0"/>
    <w:rsid w:val="005B482D"/>
    <w:rsid w:val="005B5DCD"/>
    <w:rsid w:val="005C07B6"/>
    <w:rsid w:val="005C0CA5"/>
    <w:rsid w:val="005C1EED"/>
    <w:rsid w:val="005C223D"/>
    <w:rsid w:val="005C2EC2"/>
    <w:rsid w:val="005C3358"/>
    <w:rsid w:val="005C4259"/>
    <w:rsid w:val="005C776A"/>
    <w:rsid w:val="005C7CE7"/>
    <w:rsid w:val="005D0D85"/>
    <w:rsid w:val="005D42C0"/>
    <w:rsid w:val="005D4748"/>
    <w:rsid w:val="005D4FDA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17C9"/>
    <w:rsid w:val="00613292"/>
    <w:rsid w:val="00613B66"/>
    <w:rsid w:val="00615588"/>
    <w:rsid w:val="00616498"/>
    <w:rsid w:val="00616580"/>
    <w:rsid w:val="00616710"/>
    <w:rsid w:val="0061789B"/>
    <w:rsid w:val="006252E3"/>
    <w:rsid w:val="00625C48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7648C"/>
    <w:rsid w:val="00680163"/>
    <w:rsid w:val="00680B65"/>
    <w:rsid w:val="00680BAC"/>
    <w:rsid w:val="0068114E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A1819"/>
    <w:rsid w:val="006A25F7"/>
    <w:rsid w:val="006A287E"/>
    <w:rsid w:val="006B0D7E"/>
    <w:rsid w:val="006B0DAA"/>
    <w:rsid w:val="006B230C"/>
    <w:rsid w:val="006B27AF"/>
    <w:rsid w:val="006B585F"/>
    <w:rsid w:val="006C0A1E"/>
    <w:rsid w:val="006C21B2"/>
    <w:rsid w:val="006C296B"/>
    <w:rsid w:val="006C7952"/>
    <w:rsid w:val="006D037F"/>
    <w:rsid w:val="006D042D"/>
    <w:rsid w:val="006D13CC"/>
    <w:rsid w:val="006D1ACE"/>
    <w:rsid w:val="006D2F28"/>
    <w:rsid w:val="006D3456"/>
    <w:rsid w:val="006E0ED1"/>
    <w:rsid w:val="006E2640"/>
    <w:rsid w:val="006E381A"/>
    <w:rsid w:val="006E4C79"/>
    <w:rsid w:val="006E5B5E"/>
    <w:rsid w:val="006E65D5"/>
    <w:rsid w:val="006F02DB"/>
    <w:rsid w:val="006F0C77"/>
    <w:rsid w:val="006F29DF"/>
    <w:rsid w:val="006F373D"/>
    <w:rsid w:val="006F3C2B"/>
    <w:rsid w:val="006F5E55"/>
    <w:rsid w:val="00701354"/>
    <w:rsid w:val="007017AA"/>
    <w:rsid w:val="0070193C"/>
    <w:rsid w:val="0070194E"/>
    <w:rsid w:val="00702ECC"/>
    <w:rsid w:val="00703229"/>
    <w:rsid w:val="00704284"/>
    <w:rsid w:val="00704546"/>
    <w:rsid w:val="0070488A"/>
    <w:rsid w:val="007100E4"/>
    <w:rsid w:val="0071081E"/>
    <w:rsid w:val="00712561"/>
    <w:rsid w:val="00714260"/>
    <w:rsid w:val="0071470C"/>
    <w:rsid w:val="00715EC9"/>
    <w:rsid w:val="00722D04"/>
    <w:rsid w:val="00723E4A"/>
    <w:rsid w:val="007247F5"/>
    <w:rsid w:val="0073111F"/>
    <w:rsid w:val="00732164"/>
    <w:rsid w:val="00733124"/>
    <w:rsid w:val="007337BC"/>
    <w:rsid w:val="00733B35"/>
    <w:rsid w:val="0074109D"/>
    <w:rsid w:val="00741771"/>
    <w:rsid w:val="0074181E"/>
    <w:rsid w:val="0075356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B23F4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D4D7B"/>
    <w:rsid w:val="007E084F"/>
    <w:rsid w:val="007E17F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73AD"/>
    <w:rsid w:val="00800D2F"/>
    <w:rsid w:val="00801C83"/>
    <w:rsid w:val="00803077"/>
    <w:rsid w:val="00803348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5A"/>
    <w:rsid w:val="00834FA0"/>
    <w:rsid w:val="00835B2F"/>
    <w:rsid w:val="00837244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0A2"/>
    <w:rsid w:val="00876588"/>
    <w:rsid w:val="008775C1"/>
    <w:rsid w:val="00877AFF"/>
    <w:rsid w:val="00883CDB"/>
    <w:rsid w:val="00885EE8"/>
    <w:rsid w:val="0089164C"/>
    <w:rsid w:val="00891F96"/>
    <w:rsid w:val="00893409"/>
    <w:rsid w:val="00894353"/>
    <w:rsid w:val="008A086B"/>
    <w:rsid w:val="008A0F99"/>
    <w:rsid w:val="008A3999"/>
    <w:rsid w:val="008A4A09"/>
    <w:rsid w:val="008A65F3"/>
    <w:rsid w:val="008A70B1"/>
    <w:rsid w:val="008B1A0A"/>
    <w:rsid w:val="008B2ED8"/>
    <w:rsid w:val="008B447E"/>
    <w:rsid w:val="008B4D9D"/>
    <w:rsid w:val="008B5B74"/>
    <w:rsid w:val="008B62C8"/>
    <w:rsid w:val="008B6FAB"/>
    <w:rsid w:val="008C0178"/>
    <w:rsid w:val="008C1DEB"/>
    <w:rsid w:val="008C239B"/>
    <w:rsid w:val="008C2F29"/>
    <w:rsid w:val="008C566E"/>
    <w:rsid w:val="008C6150"/>
    <w:rsid w:val="008C7B81"/>
    <w:rsid w:val="008D0EC0"/>
    <w:rsid w:val="008D2AC5"/>
    <w:rsid w:val="008D3B6B"/>
    <w:rsid w:val="008D6EF5"/>
    <w:rsid w:val="008D7572"/>
    <w:rsid w:val="008E0F96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246EF"/>
    <w:rsid w:val="00926680"/>
    <w:rsid w:val="009313FD"/>
    <w:rsid w:val="00933111"/>
    <w:rsid w:val="00933C18"/>
    <w:rsid w:val="0093559B"/>
    <w:rsid w:val="00936C0B"/>
    <w:rsid w:val="00937173"/>
    <w:rsid w:val="00940938"/>
    <w:rsid w:val="009431D4"/>
    <w:rsid w:val="00944698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386A"/>
    <w:rsid w:val="009758FD"/>
    <w:rsid w:val="00981807"/>
    <w:rsid w:val="00981DFD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A61"/>
    <w:rsid w:val="00994E63"/>
    <w:rsid w:val="00995413"/>
    <w:rsid w:val="00997AD3"/>
    <w:rsid w:val="009A14C7"/>
    <w:rsid w:val="009A5E13"/>
    <w:rsid w:val="009A69E5"/>
    <w:rsid w:val="009A7339"/>
    <w:rsid w:val="009A7946"/>
    <w:rsid w:val="009B02F6"/>
    <w:rsid w:val="009B101C"/>
    <w:rsid w:val="009B1696"/>
    <w:rsid w:val="009B2534"/>
    <w:rsid w:val="009B348A"/>
    <w:rsid w:val="009B3CD0"/>
    <w:rsid w:val="009B7A3E"/>
    <w:rsid w:val="009C1420"/>
    <w:rsid w:val="009C1FB5"/>
    <w:rsid w:val="009C5F7B"/>
    <w:rsid w:val="009D29FF"/>
    <w:rsid w:val="009D7E49"/>
    <w:rsid w:val="009E238F"/>
    <w:rsid w:val="009F00BF"/>
    <w:rsid w:val="009F28D3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51FE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6DF"/>
    <w:rsid w:val="00A657B2"/>
    <w:rsid w:val="00A65FE9"/>
    <w:rsid w:val="00A704D3"/>
    <w:rsid w:val="00A7347B"/>
    <w:rsid w:val="00A73C6F"/>
    <w:rsid w:val="00A77CA7"/>
    <w:rsid w:val="00A8285B"/>
    <w:rsid w:val="00A82F4A"/>
    <w:rsid w:val="00A8393A"/>
    <w:rsid w:val="00A86338"/>
    <w:rsid w:val="00A86E53"/>
    <w:rsid w:val="00A90777"/>
    <w:rsid w:val="00A91377"/>
    <w:rsid w:val="00A96747"/>
    <w:rsid w:val="00A9678C"/>
    <w:rsid w:val="00A976F4"/>
    <w:rsid w:val="00A97771"/>
    <w:rsid w:val="00AA2A2D"/>
    <w:rsid w:val="00AA2FDB"/>
    <w:rsid w:val="00AA435D"/>
    <w:rsid w:val="00AA51C7"/>
    <w:rsid w:val="00AA53C1"/>
    <w:rsid w:val="00AA54EC"/>
    <w:rsid w:val="00AA6286"/>
    <w:rsid w:val="00AA759E"/>
    <w:rsid w:val="00AA7FE5"/>
    <w:rsid w:val="00AB086B"/>
    <w:rsid w:val="00AB09DC"/>
    <w:rsid w:val="00AC23F7"/>
    <w:rsid w:val="00AC2B26"/>
    <w:rsid w:val="00AC37AF"/>
    <w:rsid w:val="00AC64B7"/>
    <w:rsid w:val="00AC677F"/>
    <w:rsid w:val="00AC6971"/>
    <w:rsid w:val="00AC78D0"/>
    <w:rsid w:val="00AD05FB"/>
    <w:rsid w:val="00AD13E2"/>
    <w:rsid w:val="00AD24FA"/>
    <w:rsid w:val="00AD2EC8"/>
    <w:rsid w:val="00AD4300"/>
    <w:rsid w:val="00AD5F22"/>
    <w:rsid w:val="00AE146B"/>
    <w:rsid w:val="00AE1D96"/>
    <w:rsid w:val="00AE20A6"/>
    <w:rsid w:val="00AE25F7"/>
    <w:rsid w:val="00AE4AB7"/>
    <w:rsid w:val="00AF0F95"/>
    <w:rsid w:val="00AF4085"/>
    <w:rsid w:val="00AF44B3"/>
    <w:rsid w:val="00AF4F0A"/>
    <w:rsid w:val="00AF510F"/>
    <w:rsid w:val="00AF6AAB"/>
    <w:rsid w:val="00B047FB"/>
    <w:rsid w:val="00B072AE"/>
    <w:rsid w:val="00B10516"/>
    <w:rsid w:val="00B10D69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2E5D"/>
    <w:rsid w:val="00B42EAE"/>
    <w:rsid w:val="00B441E7"/>
    <w:rsid w:val="00B447EA"/>
    <w:rsid w:val="00B44E13"/>
    <w:rsid w:val="00B45531"/>
    <w:rsid w:val="00B4633C"/>
    <w:rsid w:val="00B466E4"/>
    <w:rsid w:val="00B5127A"/>
    <w:rsid w:val="00B527CA"/>
    <w:rsid w:val="00B533BA"/>
    <w:rsid w:val="00B53C04"/>
    <w:rsid w:val="00B54992"/>
    <w:rsid w:val="00B55A40"/>
    <w:rsid w:val="00B55BD0"/>
    <w:rsid w:val="00B575E8"/>
    <w:rsid w:val="00B614FE"/>
    <w:rsid w:val="00B6369F"/>
    <w:rsid w:val="00B63F9B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01F"/>
    <w:rsid w:val="00BA5837"/>
    <w:rsid w:val="00BA5AAB"/>
    <w:rsid w:val="00BA7E2F"/>
    <w:rsid w:val="00BB0757"/>
    <w:rsid w:val="00BB16D2"/>
    <w:rsid w:val="00BB1E6D"/>
    <w:rsid w:val="00BB7845"/>
    <w:rsid w:val="00BB7BD7"/>
    <w:rsid w:val="00BC50EA"/>
    <w:rsid w:val="00BC6123"/>
    <w:rsid w:val="00BD264C"/>
    <w:rsid w:val="00BD2B95"/>
    <w:rsid w:val="00BD7195"/>
    <w:rsid w:val="00BE05B8"/>
    <w:rsid w:val="00BE0BD3"/>
    <w:rsid w:val="00BE1E38"/>
    <w:rsid w:val="00BE24DE"/>
    <w:rsid w:val="00BE346D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AA0"/>
    <w:rsid w:val="00C05BDF"/>
    <w:rsid w:val="00C06A37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4C35"/>
    <w:rsid w:val="00C255A8"/>
    <w:rsid w:val="00C302E3"/>
    <w:rsid w:val="00C30B45"/>
    <w:rsid w:val="00C31031"/>
    <w:rsid w:val="00C3151C"/>
    <w:rsid w:val="00C32A22"/>
    <w:rsid w:val="00C37D1E"/>
    <w:rsid w:val="00C426A6"/>
    <w:rsid w:val="00C43997"/>
    <w:rsid w:val="00C43F40"/>
    <w:rsid w:val="00C448C0"/>
    <w:rsid w:val="00C44AC1"/>
    <w:rsid w:val="00C45529"/>
    <w:rsid w:val="00C464FB"/>
    <w:rsid w:val="00C53862"/>
    <w:rsid w:val="00C55F4C"/>
    <w:rsid w:val="00C563AC"/>
    <w:rsid w:val="00C63658"/>
    <w:rsid w:val="00C70877"/>
    <w:rsid w:val="00C71E7A"/>
    <w:rsid w:val="00C80C78"/>
    <w:rsid w:val="00C823ED"/>
    <w:rsid w:val="00C827B5"/>
    <w:rsid w:val="00C834A9"/>
    <w:rsid w:val="00C83B65"/>
    <w:rsid w:val="00C86171"/>
    <w:rsid w:val="00C868E3"/>
    <w:rsid w:val="00C87E72"/>
    <w:rsid w:val="00C9036A"/>
    <w:rsid w:val="00C905D9"/>
    <w:rsid w:val="00C928F9"/>
    <w:rsid w:val="00C94744"/>
    <w:rsid w:val="00C96204"/>
    <w:rsid w:val="00C97049"/>
    <w:rsid w:val="00C9763B"/>
    <w:rsid w:val="00CA1030"/>
    <w:rsid w:val="00CA289D"/>
    <w:rsid w:val="00CA4342"/>
    <w:rsid w:val="00CA4F37"/>
    <w:rsid w:val="00CA5E7B"/>
    <w:rsid w:val="00CB12D3"/>
    <w:rsid w:val="00CB214E"/>
    <w:rsid w:val="00CB4690"/>
    <w:rsid w:val="00CB4E8C"/>
    <w:rsid w:val="00CB6B7E"/>
    <w:rsid w:val="00CC04EA"/>
    <w:rsid w:val="00CC2C27"/>
    <w:rsid w:val="00CC2D9E"/>
    <w:rsid w:val="00CC5257"/>
    <w:rsid w:val="00CC76B6"/>
    <w:rsid w:val="00CD0CE0"/>
    <w:rsid w:val="00CD0FED"/>
    <w:rsid w:val="00CD14C0"/>
    <w:rsid w:val="00CD39B1"/>
    <w:rsid w:val="00CD3A7B"/>
    <w:rsid w:val="00CD635A"/>
    <w:rsid w:val="00CD722D"/>
    <w:rsid w:val="00CE0374"/>
    <w:rsid w:val="00CE0F9A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3B15"/>
    <w:rsid w:val="00D13D04"/>
    <w:rsid w:val="00D145F9"/>
    <w:rsid w:val="00D149FB"/>
    <w:rsid w:val="00D15BD0"/>
    <w:rsid w:val="00D21535"/>
    <w:rsid w:val="00D24E31"/>
    <w:rsid w:val="00D255C7"/>
    <w:rsid w:val="00D26FFC"/>
    <w:rsid w:val="00D279CA"/>
    <w:rsid w:val="00D3074B"/>
    <w:rsid w:val="00D30AD6"/>
    <w:rsid w:val="00D30E13"/>
    <w:rsid w:val="00D323A6"/>
    <w:rsid w:val="00D3297F"/>
    <w:rsid w:val="00D3346E"/>
    <w:rsid w:val="00D44B5E"/>
    <w:rsid w:val="00D44E8C"/>
    <w:rsid w:val="00D45DCA"/>
    <w:rsid w:val="00D46274"/>
    <w:rsid w:val="00D47285"/>
    <w:rsid w:val="00D503F6"/>
    <w:rsid w:val="00D52DE2"/>
    <w:rsid w:val="00D5313F"/>
    <w:rsid w:val="00D56463"/>
    <w:rsid w:val="00D56B14"/>
    <w:rsid w:val="00D57C31"/>
    <w:rsid w:val="00D62BE1"/>
    <w:rsid w:val="00D6685D"/>
    <w:rsid w:val="00D70723"/>
    <w:rsid w:val="00D72725"/>
    <w:rsid w:val="00D734CC"/>
    <w:rsid w:val="00D7368E"/>
    <w:rsid w:val="00D73DCF"/>
    <w:rsid w:val="00D77372"/>
    <w:rsid w:val="00D8068C"/>
    <w:rsid w:val="00D81E4F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152B"/>
    <w:rsid w:val="00DB29E8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A44"/>
    <w:rsid w:val="00DD2D34"/>
    <w:rsid w:val="00DD3DC8"/>
    <w:rsid w:val="00DD4B80"/>
    <w:rsid w:val="00DD4C2E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398"/>
    <w:rsid w:val="00E03ECF"/>
    <w:rsid w:val="00E0446B"/>
    <w:rsid w:val="00E05607"/>
    <w:rsid w:val="00E05929"/>
    <w:rsid w:val="00E07241"/>
    <w:rsid w:val="00E11477"/>
    <w:rsid w:val="00E11626"/>
    <w:rsid w:val="00E117F9"/>
    <w:rsid w:val="00E11E18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4B14"/>
    <w:rsid w:val="00E46045"/>
    <w:rsid w:val="00E476D0"/>
    <w:rsid w:val="00E47AA7"/>
    <w:rsid w:val="00E54BC4"/>
    <w:rsid w:val="00E56AB2"/>
    <w:rsid w:val="00E56FE0"/>
    <w:rsid w:val="00E6087D"/>
    <w:rsid w:val="00E60907"/>
    <w:rsid w:val="00E677F7"/>
    <w:rsid w:val="00E71957"/>
    <w:rsid w:val="00E73C80"/>
    <w:rsid w:val="00E746F8"/>
    <w:rsid w:val="00E772DC"/>
    <w:rsid w:val="00E803B0"/>
    <w:rsid w:val="00E81827"/>
    <w:rsid w:val="00E81D74"/>
    <w:rsid w:val="00E83584"/>
    <w:rsid w:val="00E83F13"/>
    <w:rsid w:val="00E92846"/>
    <w:rsid w:val="00E937F8"/>
    <w:rsid w:val="00E956D9"/>
    <w:rsid w:val="00E9583E"/>
    <w:rsid w:val="00E958A4"/>
    <w:rsid w:val="00E97069"/>
    <w:rsid w:val="00E97E19"/>
    <w:rsid w:val="00EA111D"/>
    <w:rsid w:val="00EA1D44"/>
    <w:rsid w:val="00EA3CA5"/>
    <w:rsid w:val="00EA41F0"/>
    <w:rsid w:val="00EA434E"/>
    <w:rsid w:val="00EA5695"/>
    <w:rsid w:val="00EA69CD"/>
    <w:rsid w:val="00EA7BE2"/>
    <w:rsid w:val="00EB23BB"/>
    <w:rsid w:val="00EB634B"/>
    <w:rsid w:val="00EB79F8"/>
    <w:rsid w:val="00EC014A"/>
    <w:rsid w:val="00EC07BD"/>
    <w:rsid w:val="00EC09F4"/>
    <w:rsid w:val="00EC37DB"/>
    <w:rsid w:val="00EC482E"/>
    <w:rsid w:val="00EC767A"/>
    <w:rsid w:val="00ED0D45"/>
    <w:rsid w:val="00ED1C3B"/>
    <w:rsid w:val="00ED3922"/>
    <w:rsid w:val="00ED7AEE"/>
    <w:rsid w:val="00EE07E0"/>
    <w:rsid w:val="00EE18A0"/>
    <w:rsid w:val="00EE30CC"/>
    <w:rsid w:val="00EE31FB"/>
    <w:rsid w:val="00EE35CE"/>
    <w:rsid w:val="00EE52B5"/>
    <w:rsid w:val="00EE77D8"/>
    <w:rsid w:val="00EE7FBF"/>
    <w:rsid w:val="00EF43CC"/>
    <w:rsid w:val="00EF7E80"/>
    <w:rsid w:val="00F0002C"/>
    <w:rsid w:val="00F00E45"/>
    <w:rsid w:val="00F0448F"/>
    <w:rsid w:val="00F04558"/>
    <w:rsid w:val="00F04A6E"/>
    <w:rsid w:val="00F0502A"/>
    <w:rsid w:val="00F05DED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2BE4"/>
    <w:rsid w:val="00F371D0"/>
    <w:rsid w:val="00F37200"/>
    <w:rsid w:val="00F463EA"/>
    <w:rsid w:val="00F50F24"/>
    <w:rsid w:val="00F545E5"/>
    <w:rsid w:val="00F56194"/>
    <w:rsid w:val="00F5705D"/>
    <w:rsid w:val="00F57B50"/>
    <w:rsid w:val="00F57C05"/>
    <w:rsid w:val="00F64E0B"/>
    <w:rsid w:val="00F665B1"/>
    <w:rsid w:val="00F6775C"/>
    <w:rsid w:val="00F72785"/>
    <w:rsid w:val="00F73E78"/>
    <w:rsid w:val="00F74265"/>
    <w:rsid w:val="00F74FF9"/>
    <w:rsid w:val="00F75BF4"/>
    <w:rsid w:val="00F82B19"/>
    <w:rsid w:val="00F832D7"/>
    <w:rsid w:val="00F84A35"/>
    <w:rsid w:val="00F86FF3"/>
    <w:rsid w:val="00F872F3"/>
    <w:rsid w:val="00F9313A"/>
    <w:rsid w:val="00F9368C"/>
    <w:rsid w:val="00F93851"/>
    <w:rsid w:val="00F9432B"/>
    <w:rsid w:val="00F94780"/>
    <w:rsid w:val="00F9718B"/>
    <w:rsid w:val="00FA2398"/>
    <w:rsid w:val="00FA4B36"/>
    <w:rsid w:val="00FA799E"/>
    <w:rsid w:val="00FA7BF6"/>
    <w:rsid w:val="00FB0452"/>
    <w:rsid w:val="00FB062D"/>
    <w:rsid w:val="00FB1ACB"/>
    <w:rsid w:val="00FB2D4F"/>
    <w:rsid w:val="00FB3281"/>
    <w:rsid w:val="00FB536C"/>
    <w:rsid w:val="00FB6944"/>
    <w:rsid w:val="00FC60BF"/>
    <w:rsid w:val="00FC63F0"/>
    <w:rsid w:val="00FD1161"/>
    <w:rsid w:val="00FE68F2"/>
    <w:rsid w:val="00FE6D1C"/>
    <w:rsid w:val="00FF0887"/>
    <w:rsid w:val="00FF0E39"/>
    <w:rsid w:val="00FF2010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475DC4E2-FCB4-43E8-996D-AB4A04BD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B6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B23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156D6"/>
    <w:pPr>
      <w:ind w:left="357"/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  <w:style w:type="paragraph" w:customStyle="1" w:styleId="Druhdokumentu">
    <w:name w:val="Druh dokumentu"/>
    <w:uiPriority w:val="99"/>
    <w:qFormat/>
    <w:rsid w:val="00B42EAE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TPText-3neslovanChar">
    <w:name w:val="TP_Text-3_nečíslovaný Char"/>
    <w:link w:val="TPText-3neslovan"/>
    <w:locked/>
    <w:rsid w:val="001B7DA2"/>
    <w:rPr>
      <w:rFonts w:ascii="Calibri" w:eastAsia="Calibri" w:hAnsi="Calibri" w:cs="Arial"/>
    </w:rPr>
  </w:style>
  <w:style w:type="paragraph" w:customStyle="1" w:styleId="TPText-3neslovan">
    <w:name w:val="TP_Text-3_nečíslovaný"/>
    <w:link w:val="TPText-3neslovanChar"/>
    <w:qFormat/>
    <w:rsid w:val="001B7DA2"/>
    <w:pPr>
      <w:spacing w:before="40" w:after="0" w:line="240" w:lineRule="auto"/>
      <w:ind w:left="1361"/>
      <w:jc w:val="both"/>
    </w:pPr>
    <w:rPr>
      <w:rFonts w:ascii="Calibri" w:eastAsia="Calibri" w:hAnsi="Calibri" w:cs="Arial"/>
    </w:rPr>
  </w:style>
  <w:style w:type="table" w:customStyle="1" w:styleId="Tabulkaodvolacchadoplujcchdaj">
    <w:name w:val="Tabulka odvolacích a doplňujících údajů"/>
    <w:basedOn w:val="Normlntabulka"/>
    <w:uiPriority w:val="99"/>
    <w:rsid w:val="00613292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Tun0">
    <w:name w:val="_Tučně"/>
    <w:basedOn w:val="Standardnpsmoodstavce"/>
    <w:qFormat/>
    <w:rsid w:val="00613292"/>
    <w:rPr>
      <w:b/>
    </w:rPr>
  </w:style>
  <w:style w:type="character" w:customStyle="1" w:styleId="FontStyle37">
    <w:name w:val="Font Style37"/>
    <w:uiPriority w:val="99"/>
    <w:rsid w:val="004F374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CB12D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CB12D3"/>
    <w:rPr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B23BB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4622</Words>
  <Characters>27272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Machálková Lenka, JUDr.</dc:creator>
  <cp:keywords/>
  <dc:description/>
  <cp:lastModifiedBy>Šedová Jana, Ing.</cp:lastModifiedBy>
  <cp:revision>20</cp:revision>
  <cp:lastPrinted>2025-01-27T07:35:00Z</cp:lastPrinted>
  <dcterms:created xsi:type="dcterms:W3CDTF">2025-06-17T08:45:00Z</dcterms:created>
  <dcterms:modified xsi:type="dcterms:W3CDTF">2025-07-23T12:33:00Z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