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477F47" w:rsidRDefault="00477F47" w:rsidP="00477F47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Čestné prohlášení o splnění požadovaných technických parametrů</w:t>
      </w:r>
    </w:p>
    <w:p w14:paraId="4EF49367" w14:textId="77777777" w:rsidR="00477F47" w:rsidRPr="00477F47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17C7BDF9" w14:textId="6457BFE0" w:rsidR="00477F47" w:rsidRPr="00477F47" w:rsidRDefault="00477F47" w:rsidP="00477F47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Pr="00477F47">
        <w:rPr>
          <w:rFonts w:eastAsia="Times New Roman" w:cs="Times New Roman"/>
          <w:b/>
          <w:sz w:val="18"/>
          <w:szCs w:val="18"/>
          <w:lang w:eastAsia="cs-CZ"/>
        </w:rPr>
        <w:tab/>
      </w:r>
      <w:permStart w:id="2018718432" w:edGrp="everyone"/>
      <w:permEnd w:id="2018718432"/>
    </w:p>
    <w:p w14:paraId="64CFADFB" w14:textId="78784E99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Sídlo/místo podnikání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547135865" w:edGrp="everyone"/>
      <w:permEnd w:id="1547135865"/>
    </w:p>
    <w:p w14:paraId="0E525CB0" w14:textId="402032CB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IČO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2006086516" w:edGrp="everyone"/>
      <w:permEnd w:id="2006086516"/>
    </w:p>
    <w:p w14:paraId="787FB71B" w14:textId="187A1D8B" w:rsidR="00477F47" w:rsidRDefault="00477F47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Právní forma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727422526" w:edGrp="everyone"/>
      <w:permEnd w:id="1727422526"/>
    </w:p>
    <w:p w14:paraId="215821A5" w14:textId="77777777" w:rsidR="005069BE" w:rsidRPr="00477F47" w:rsidRDefault="005069BE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</w:p>
    <w:p w14:paraId="56A06DFC" w14:textId="50DD6B64" w:rsidR="00AF58C3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názvem </w:t>
      </w:r>
      <w:r w:rsidR="00873846" w:rsidRPr="00873846">
        <w:rPr>
          <w:rFonts w:eastAsia="Times New Roman" w:cs="Times New Roman"/>
          <w:b/>
          <w:bCs/>
          <w:sz w:val="18"/>
          <w:szCs w:val="18"/>
          <w:lang w:eastAsia="cs-CZ"/>
        </w:rPr>
        <w:t>„Nákup soustruhu na kov pro OŘ PHA 2025“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</w:t>
      </w:r>
      <w:r w:rsidR="006045F2">
        <w:rPr>
          <w:rFonts w:eastAsia="Times New Roman" w:cs="Times New Roman"/>
          <w:sz w:val="18"/>
          <w:szCs w:val="18"/>
          <w:lang w:eastAsia="cs-CZ"/>
        </w:rPr>
        <w:t xml:space="preserve">následující požadované </w:t>
      </w:r>
      <w:r w:rsidRPr="006045F2">
        <w:rPr>
          <w:rFonts w:eastAsia="Times New Roman" w:cs="Times New Roman"/>
          <w:sz w:val="18"/>
          <w:szCs w:val="18"/>
          <w:lang w:eastAsia="cs-CZ"/>
        </w:rPr>
        <w:t>technické parametry</w:t>
      </w:r>
      <w:r w:rsidR="006045F2">
        <w:rPr>
          <w:rFonts w:eastAsia="Times New Roman" w:cs="Times New Roman"/>
          <w:sz w:val="18"/>
          <w:szCs w:val="18"/>
          <w:lang w:eastAsia="cs-CZ"/>
        </w:rPr>
        <w:t>:</w:t>
      </w:r>
    </w:p>
    <w:p w14:paraId="47ED7D9E" w14:textId="4D0F68EB" w:rsidR="003927C3" w:rsidRDefault="003927C3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1602"/>
        <w:gridCol w:w="8344"/>
        <w:gridCol w:w="1527"/>
        <w:gridCol w:w="1669"/>
      </w:tblGrid>
      <w:tr w:rsidR="00DF0265" w:rsidRPr="00C502D5" w14:paraId="1EB01C0F" w14:textId="77777777" w:rsidTr="00875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  <w:vAlign w:val="center"/>
            <w:hideMark/>
          </w:tcPr>
          <w:p w14:paraId="7CF8FCD2" w14:textId="77777777" w:rsidR="003927C3" w:rsidRPr="00FD0DF8" w:rsidRDefault="003927C3" w:rsidP="000A6830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Zboží</w:t>
            </w:r>
          </w:p>
        </w:tc>
        <w:tc>
          <w:tcPr>
            <w:tcW w:w="8344" w:type="dxa"/>
            <w:vMerge w:val="restart"/>
            <w:vAlign w:val="center"/>
            <w:hideMark/>
          </w:tcPr>
          <w:p w14:paraId="7708101A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Požadované technické parametry</w:t>
            </w:r>
          </w:p>
        </w:tc>
        <w:tc>
          <w:tcPr>
            <w:tcW w:w="1527" w:type="dxa"/>
            <w:vMerge w:val="restart"/>
            <w:vAlign w:val="center"/>
            <w:hideMark/>
          </w:tcPr>
          <w:p w14:paraId="0B5EB38E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Výrobce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  <w:tc>
          <w:tcPr>
            <w:tcW w:w="1669" w:type="dxa"/>
            <w:vMerge w:val="restart"/>
            <w:vAlign w:val="center"/>
            <w:hideMark/>
          </w:tcPr>
          <w:p w14:paraId="4B1AF6AC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Model</w:t>
            </w:r>
          </w:p>
          <w:p w14:paraId="64760524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(typ, označení)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</w:tr>
      <w:tr w:rsidR="00DF0265" w:rsidRPr="00C502D5" w14:paraId="5F7B9C68" w14:textId="77777777" w:rsidTr="008752CF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  <w:hideMark/>
          </w:tcPr>
          <w:p w14:paraId="65312717" w14:textId="77777777" w:rsidR="003927C3" w:rsidRPr="00C502D5" w:rsidRDefault="003927C3" w:rsidP="000A68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44" w:type="dxa"/>
            <w:vMerge/>
            <w:hideMark/>
          </w:tcPr>
          <w:p w14:paraId="29B58DAD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27" w:type="dxa"/>
            <w:vMerge/>
            <w:hideMark/>
          </w:tcPr>
          <w:p w14:paraId="3508E40A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hideMark/>
          </w:tcPr>
          <w:p w14:paraId="31212455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DF0265" w:rsidRPr="00C502D5" w14:paraId="5D7626A5" w14:textId="77777777" w:rsidTr="00843E8A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noWrap/>
            <w:hideMark/>
          </w:tcPr>
          <w:p w14:paraId="242C1F38" w14:textId="799C10BE" w:rsidR="003927C3" w:rsidRPr="00843E8A" w:rsidRDefault="00873846" w:rsidP="00843E8A">
            <w:pPr>
              <w:rPr>
                <w:rFonts w:cs="Arial"/>
                <w:sz w:val="16"/>
                <w:szCs w:val="16"/>
              </w:rPr>
            </w:pPr>
            <w:permStart w:id="477715028" w:edGrp="everyone" w:colFirst="2" w:colLast="2"/>
            <w:permStart w:id="448731097" w:edGrp="everyone" w:colFirst="3" w:colLast="3"/>
            <w:r>
              <w:rPr>
                <w:rFonts w:cs="Arial"/>
                <w:sz w:val="16"/>
                <w:szCs w:val="16"/>
              </w:rPr>
              <w:t>Soustruh na kov</w:t>
            </w:r>
          </w:p>
        </w:tc>
        <w:tc>
          <w:tcPr>
            <w:tcW w:w="8344" w:type="dxa"/>
            <w:hideMark/>
          </w:tcPr>
          <w:p w14:paraId="2DA713F1" w14:textId="77777777" w:rsidR="00DE1B93" w:rsidRDefault="0088417E" w:rsidP="0088417E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4"/>
                <w:szCs w:val="14"/>
                <w:u w:val="single"/>
              </w:rPr>
            </w:pPr>
            <w:r w:rsidRPr="0088417E">
              <w:rPr>
                <w:rFonts w:eastAsia="Verdana" w:cs="Arial"/>
                <w:sz w:val="14"/>
                <w:szCs w:val="14"/>
                <w:u w:val="single"/>
              </w:rPr>
              <w:t>Technická specifikace</w:t>
            </w:r>
          </w:p>
          <w:p w14:paraId="0F4B2020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výška hrotu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280 mm </w:t>
            </w:r>
          </w:p>
          <w:p w14:paraId="501C247F" w14:textId="6DBC5D00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točný průměr nad ložem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             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560 mm </w:t>
            </w:r>
          </w:p>
          <w:p w14:paraId="62B0F0CE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točný průměr nad suportem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355 mm</w:t>
            </w:r>
          </w:p>
          <w:p w14:paraId="3912F26B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točný průměr bez můstku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790 mm </w:t>
            </w:r>
          </w:p>
          <w:p w14:paraId="26EAB5B6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šířka lože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350 mm </w:t>
            </w:r>
          </w:p>
          <w:p w14:paraId="1549BB7F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vzdálenost mezi hroty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1500 mm </w:t>
            </w:r>
          </w:p>
          <w:p w14:paraId="48AAA957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délka můstku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270 mm</w:t>
            </w:r>
          </w:p>
          <w:p w14:paraId="562F3CE8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Kužel vřetene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MK7 </w:t>
            </w:r>
          </w:p>
          <w:p w14:paraId="6D406300" w14:textId="6E48B2F2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Otáčky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25 – 1600 ot/min </w:t>
            </w:r>
          </w:p>
          <w:p w14:paraId="5A22E538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počet rychlostních stupňů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12 </w:t>
            </w:r>
          </w:p>
          <w:p w14:paraId="07C076AE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průchod vřetene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80 mm </w:t>
            </w:r>
          </w:p>
          <w:p w14:paraId="7D95A2CF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posuv pinoly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180 mm</w:t>
            </w:r>
          </w:p>
          <w:p w14:paraId="7093E8D7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Kužel pinoly koníka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MK5 </w:t>
            </w:r>
          </w:p>
          <w:p w14:paraId="755873DE" w14:textId="0D63B0BC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posuv nožového suportu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             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130 mm </w:t>
            </w:r>
          </w:p>
          <w:p w14:paraId="5D61FDEA" w14:textId="63681905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posuv příčného suportu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             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316 mm</w:t>
            </w:r>
          </w:p>
          <w:p w14:paraId="1356D400" w14:textId="2C98051F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Min. výkon motoru chladícího čerpadla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             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100 W </w:t>
            </w:r>
          </w:p>
          <w:p w14:paraId="050FBD40" w14:textId="5F093E5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lastRenderedPageBreak/>
              <w:t>Min. příkon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7500 W </w:t>
            </w:r>
          </w:p>
          <w:p w14:paraId="47DBEB09" w14:textId="77777777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Elektrické připojení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400 V</w:t>
            </w:r>
          </w:p>
          <w:p w14:paraId="5AD4873E" w14:textId="00A985C6" w:rsidR="00873846" w:rsidRPr="00873846" w:rsidRDefault="00873846" w:rsidP="00873846">
            <w:pPr>
              <w:numPr>
                <w:ilvl w:val="0"/>
                <w:numId w:val="11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Rozměry (š × v × h)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2840 × 1460 × 1150 mm </w:t>
            </w:r>
          </w:p>
          <w:p w14:paraId="26554099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Hmotnost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2000 kg - 2400 kg</w:t>
            </w:r>
          </w:p>
          <w:p w14:paraId="2F9BF6B7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Upínání vřetene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Camlock DIN ISO 702-2 č. 8 </w:t>
            </w:r>
          </w:p>
          <w:p w14:paraId="0D5488C0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Kalené a broušené vřeteno uložené v nastavitelných kuželíkových ložiscích běží v olejové lázni </w:t>
            </w:r>
          </w:p>
          <w:p w14:paraId="7F0EDF0D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Min. házivost čela vřetene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&lt;0,015 mm</w:t>
            </w:r>
          </w:p>
          <w:p w14:paraId="788FE37D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Posuvová skříň uzavřena, všechna ozubená kola a hřídele kalené v olejové lázni </w:t>
            </w:r>
          </w:p>
          <w:p w14:paraId="431736A9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Podstavec a lože musí být odlity z jednoho kusu litiny </w:t>
            </w:r>
          </w:p>
          <w:p w14:paraId="6C98BBCC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Vyjímatelný můstek lože </w:t>
            </w:r>
          </w:p>
          <w:p w14:paraId="3A69691C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Kalené a broušené vodící plochy lože </w:t>
            </w:r>
          </w:p>
          <w:p w14:paraId="78F23581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Centrální mazání vodících ploch </w:t>
            </w:r>
          </w:p>
          <w:p w14:paraId="7EFB8A00" w14:textId="15A88977" w:rsidR="00873846" w:rsidRPr="00923DDC" w:rsidRDefault="00923DDC" w:rsidP="00923DDC">
            <w:pPr>
              <w:pStyle w:val="Odstavecseseznamem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sz w:val="14"/>
                <w:szCs w:val="14"/>
                <w:lang w:eastAsia="cs-CZ"/>
              </w:rPr>
            </w:pPr>
            <w:bookmarkStart w:id="0" w:name="_Hlk203478162"/>
            <w:r w:rsidRPr="00923DDC">
              <w:rPr>
                <w:rFonts w:eastAsia="Times New Roman" w:cs="Times New Roman"/>
                <w:i/>
                <w:iCs/>
                <w:sz w:val="14"/>
                <w:szCs w:val="14"/>
                <w:lang w:eastAsia="cs-CZ"/>
              </w:rPr>
              <w:t>Dorazová tyč se čtyřmi vačkami pro vypínání podélného posuvu</w:t>
            </w:r>
            <w:r w:rsidRPr="00923DDC">
              <w:rPr>
                <w:rFonts w:eastAsia="Times New Roman" w:cs="Times New Roman"/>
                <w:i/>
                <w:iCs/>
                <w:sz w:val="14"/>
                <w:szCs w:val="14"/>
                <w:lang w:eastAsia="cs-CZ"/>
              </w:rPr>
              <w:t xml:space="preserve"> nebo d</w:t>
            </w:r>
            <w:r w:rsidR="00BB3FAA" w:rsidRPr="00923DDC">
              <w:rPr>
                <w:rFonts w:eastAsia="Times New Roman" w:cs="Times New Roman"/>
                <w:i/>
                <w:iCs/>
                <w:sz w:val="14"/>
                <w:szCs w:val="14"/>
                <w:lang w:eastAsia="cs-CZ"/>
              </w:rPr>
              <w:t>orazová tyč se čtyřmi vačkami pro vypínání podélného posuvu nebo mikrometrický doraz posuvu se čtyřmi délkami dorazu pro vypínání podélného posuvu</w:t>
            </w:r>
          </w:p>
          <w:bookmarkEnd w:id="0"/>
          <w:p w14:paraId="12EA10D2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Chod vpravo-vlevo musí být přepínatelný ovládací pákou přímo na suportu</w:t>
            </w:r>
          </w:p>
          <w:p w14:paraId="389414A4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Podpěťový spínač, nouzový vypínač a jištění motoru </w:t>
            </w:r>
          </w:p>
          <w:p w14:paraId="23E8B4F1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Nutná mechanická nožní brzda vřetene </w:t>
            </w:r>
          </w:p>
          <w:p w14:paraId="31724177" w14:textId="546AF1DA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Sklíčidlo 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 xml:space="preserve">3čelisťové </w:t>
            </w:r>
          </w:p>
          <w:p w14:paraId="074649C0" w14:textId="77777777" w:rsidR="00873846" w:rsidRPr="00873846" w:rsidRDefault="00873846" w:rsidP="00873846">
            <w:pPr>
              <w:numPr>
                <w:ilvl w:val="0"/>
                <w:numId w:val="10"/>
              </w:num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Digitální odměřování polohy</w:t>
            </w:r>
          </w:p>
          <w:p w14:paraId="471992F4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u w:val="single"/>
                <w:lang w:eastAsia="cs-CZ"/>
              </w:rPr>
            </w:pPr>
          </w:p>
          <w:p w14:paraId="3B277F92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u w:val="single"/>
                <w:lang w:eastAsia="cs-CZ"/>
              </w:rPr>
              <w:t xml:space="preserve">Příslušenství k soustruhu: </w:t>
            </w:r>
          </w:p>
          <w:p w14:paraId="7555D136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</w:p>
          <w:p w14:paraId="78480843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lang w:eastAsia="cs-CZ"/>
              </w:rPr>
            </w:pPr>
            <w:r w:rsidRPr="00873846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lang w:eastAsia="cs-CZ"/>
              </w:rPr>
              <w:t>Sada výměnných hrotů s kuželem MK3:</w:t>
            </w:r>
          </w:p>
          <w:p w14:paraId="7E71F815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Držák otočných hrotů s kuželem MK3 </w:t>
            </w:r>
          </w:p>
          <w:p w14:paraId="754746AB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Nástavce o průměry/délky: 20/12 mm; 20/15 mm; 20/20 mm; 18/27 mm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br/>
              <w:t xml:space="preserve">(s tvrdokovovou špičkou); 30/20 mm, 35/18 mm (opačný kužel). </w:t>
            </w:r>
          </w:p>
          <w:p w14:paraId="4A6F16DD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Max. otáčky: 3600 ot/min </w:t>
            </w:r>
          </w:p>
          <w:p w14:paraId="22CD0928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Max. zatížení: 220 kg </w:t>
            </w:r>
          </w:p>
          <w:p w14:paraId="2EE51A73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</w:p>
          <w:p w14:paraId="26347C3B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lang w:eastAsia="cs-CZ"/>
              </w:rPr>
            </w:pPr>
            <w:r w:rsidRPr="00873846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lang w:eastAsia="cs-CZ"/>
              </w:rPr>
              <w:t>Sklíčidlo</w:t>
            </w:r>
          </w:p>
          <w:p w14:paraId="468E9DBA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Technické údaje: </w:t>
            </w:r>
          </w:p>
          <w:p w14:paraId="6845CE8C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Průměr: 160 mm </w:t>
            </w:r>
          </w:p>
          <w:p w14:paraId="5911B2DD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Typ upínání: M1 </w:t>
            </w:r>
          </w:p>
          <w:p w14:paraId="1707B89B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Počet čelistí: 4</w:t>
            </w:r>
          </w:p>
          <w:p w14:paraId="1E41D080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Těleso sklíčidla – tvárná litina</w:t>
            </w:r>
          </w:p>
          <w:p w14:paraId="5DE88F32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</w:p>
          <w:p w14:paraId="3DCA630E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lang w:eastAsia="cs-CZ"/>
              </w:rPr>
            </w:pPr>
            <w:r w:rsidRPr="00873846">
              <w:rPr>
                <w:rFonts w:eastAsia="Times New Roman" w:cs="Times New Roman"/>
                <w:b/>
                <w:bCs/>
                <w:sz w:val="14"/>
                <w:szCs w:val="14"/>
                <w:u w:val="single"/>
                <w:lang w:eastAsia="cs-CZ"/>
              </w:rPr>
              <w:t>Sada soustružnických nožů 20mm</w:t>
            </w:r>
          </w:p>
          <w:p w14:paraId="7412F48F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Soustružnický nůž SE R2020 K16 </w:t>
            </w:r>
          </w:p>
          <w:p w14:paraId="163D0BB6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Soustružnický nůž PRGN R2020 K10 </w:t>
            </w:r>
          </w:p>
          <w:p w14:paraId="3EF6FF0A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lastRenderedPageBreak/>
              <w:t xml:space="preserve">Soustružnický nůž PRAN N2020 K10 </w:t>
            </w:r>
          </w:p>
          <w:p w14:paraId="24A2E5C5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Soustružnický nůž MVVN N2020 K16 </w:t>
            </w:r>
          </w:p>
          <w:p w14:paraId="185586D1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Soustružnický nůž MVJN R2020 K16</w:t>
            </w:r>
          </w:p>
          <w:p w14:paraId="2421C802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</w:p>
          <w:p w14:paraId="3F02C487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 xml:space="preserve">+ ke každému noži výměnou břitovou destičku po pěti kusech. </w:t>
            </w:r>
          </w:p>
          <w:p w14:paraId="683A33AD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</w:p>
          <w:p w14:paraId="1BDD5C60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Označení ISO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16ER AG60</w:t>
            </w:r>
          </w:p>
          <w:p w14:paraId="162D9144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Označení ISO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RNMM1003MO</w:t>
            </w:r>
          </w:p>
          <w:p w14:paraId="6D2A8EA1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Označení ISO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VNMG160408</w:t>
            </w:r>
          </w:p>
          <w:p w14:paraId="14AEA7C8" w14:textId="77777777" w:rsidR="00873846" w:rsidRPr="00873846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Označení ISO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SCMT060204</w:t>
            </w:r>
          </w:p>
          <w:p w14:paraId="7FA42823" w14:textId="0B676FB6" w:rsidR="0088417E" w:rsidRPr="0088417E" w:rsidRDefault="00873846" w:rsidP="00873846">
            <w:pPr>
              <w:autoSpaceDE w:val="0"/>
              <w:autoSpaceDN w:val="0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4"/>
                <w:szCs w:val="14"/>
                <w:lang w:eastAsia="cs-CZ"/>
              </w:rPr>
            </w:pP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>Označení ISO</w:t>
            </w:r>
            <w:r w:rsidRPr="00873846">
              <w:rPr>
                <w:rFonts w:eastAsia="Times New Roman" w:cs="Times New Roman"/>
                <w:sz w:val="14"/>
                <w:szCs w:val="14"/>
                <w:lang w:eastAsia="cs-CZ"/>
              </w:rPr>
              <w:tab/>
              <w:t>TCMT090204</w:t>
            </w:r>
          </w:p>
        </w:tc>
        <w:tc>
          <w:tcPr>
            <w:tcW w:w="1527" w:type="dxa"/>
          </w:tcPr>
          <w:p w14:paraId="57A4BA67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8FECA3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ermEnd w:id="477715028"/>
    <w:permEnd w:id="448731097"/>
    <w:p w14:paraId="4CB1ADEE" w14:textId="4896EF1B" w:rsidR="008E43C9" w:rsidRPr="005461F8" w:rsidRDefault="008E06F1" w:rsidP="005461F8">
      <w:pPr>
        <w:spacing w:before="120" w:after="120"/>
        <w:jc w:val="both"/>
        <w:rPr>
          <w:sz w:val="18"/>
          <w:szCs w:val="18"/>
        </w:rPr>
      </w:pPr>
      <w:r w:rsidRPr="005A495C">
        <w:rPr>
          <w:sz w:val="18"/>
          <w:szCs w:val="18"/>
        </w:rPr>
        <w:lastRenderedPageBreak/>
        <w:t>*doplní dodavatel</w:t>
      </w:r>
    </w:p>
    <w:p w14:paraId="576A70A1" w14:textId="39BE2640" w:rsidR="006E3A77" w:rsidRPr="005A495C" w:rsidRDefault="00A075C6" w:rsidP="008E06F1">
      <w:pPr>
        <w:rPr>
          <w:b/>
          <w:bCs/>
          <w:sz w:val="18"/>
          <w:szCs w:val="18"/>
        </w:rPr>
      </w:pPr>
      <w:r w:rsidRPr="00A075C6">
        <w:rPr>
          <w:b/>
          <w:bCs/>
          <w:sz w:val="18"/>
          <w:szCs w:val="18"/>
        </w:rPr>
        <w:t>Při dodání zboží bude provedeno předvedení a proškolení jak na ovládání, tak na provádění běžné údržby.</w:t>
      </w:r>
    </w:p>
    <w:sectPr w:rsidR="006E3A77" w:rsidRPr="005A495C" w:rsidSect="005A495C">
      <w:headerReference w:type="even" r:id="rId8"/>
      <w:headerReference w:type="default" r:id="rId9"/>
      <w:headerReference w:type="first" r:id="rId10"/>
      <w:pgSz w:w="16838" w:h="11906" w:orient="landscape"/>
      <w:pgMar w:top="1418" w:right="2268" w:bottom="130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B7D0" w14:textId="58C616A2" w:rsidR="00A075C6" w:rsidRDefault="00A075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7D" w14:textId="478F1FDC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 w:rsidR="00FF58A1">
      <w:rPr>
        <w:rFonts w:eastAsia="Calibri" w:cstheme="minorHAnsi"/>
        <w:sz w:val="18"/>
        <w:szCs w:val="18"/>
        <w:lang w:eastAsia="cs-CZ"/>
      </w:rPr>
      <w:t xml:space="preserve">č. </w:t>
    </w:r>
    <w:r w:rsidR="00B23550">
      <w:rPr>
        <w:rFonts w:eastAsia="Calibri" w:cstheme="minorHAnsi"/>
        <w:sz w:val="18"/>
        <w:szCs w:val="18"/>
        <w:lang w:eastAsia="cs-CZ"/>
      </w:rPr>
      <w:t>6</w:t>
    </w:r>
    <w:r w:rsidR="00FF58A1">
      <w:rPr>
        <w:rFonts w:eastAsia="Calibri" w:cstheme="minorHAnsi"/>
        <w:sz w:val="18"/>
        <w:szCs w:val="18"/>
        <w:lang w:eastAsia="cs-CZ"/>
      </w:rPr>
      <w:t xml:space="preserve">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3158F6AB" w14:textId="77777777" w:rsid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Čestné prohlášení o splnění požadovaných </w:t>
    </w:r>
  </w:p>
  <w:p w14:paraId="3CFBD051" w14:textId="77777777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technických parametrů</w:t>
    </w:r>
  </w:p>
  <w:p w14:paraId="2373973B" w14:textId="77777777" w:rsidR="00477F47" w:rsidRDefault="00477F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AF00" w14:textId="207870E1" w:rsidR="00A075C6" w:rsidRDefault="00A075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D9"/>
    <w:multiLevelType w:val="hybridMultilevel"/>
    <w:tmpl w:val="12B63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9FA"/>
    <w:multiLevelType w:val="hybridMultilevel"/>
    <w:tmpl w:val="20D623DE"/>
    <w:lvl w:ilvl="0" w:tplc="F948F010">
      <w:start w:val="65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6DF"/>
    <w:multiLevelType w:val="hybridMultilevel"/>
    <w:tmpl w:val="A8508708"/>
    <w:lvl w:ilvl="0" w:tplc="8EAA8C08">
      <w:start w:val="65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E10C5"/>
    <w:multiLevelType w:val="hybridMultilevel"/>
    <w:tmpl w:val="18943A44"/>
    <w:lvl w:ilvl="0" w:tplc="8FA88B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F5CC2"/>
    <w:multiLevelType w:val="hybridMultilevel"/>
    <w:tmpl w:val="316ED3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10"/>
  </w:num>
  <w:num w:numId="3" w16cid:durableId="1219560342">
    <w:abstractNumId w:val="4"/>
  </w:num>
  <w:num w:numId="4" w16cid:durableId="1253706123">
    <w:abstractNumId w:val="7"/>
  </w:num>
  <w:num w:numId="5" w16cid:durableId="1890680439">
    <w:abstractNumId w:val="6"/>
  </w:num>
  <w:num w:numId="6" w16cid:durableId="123428224">
    <w:abstractNumId w:val="2"/>
  </w:num>
  <w:num w:numId="7" w16cid:durableId="1622229346">
    <w:abstractNumId w:val="0"/>
  </w:num>
  <w:num w:numId="8" w16cid:durableId="1852717141">
    <w:abstractNumId w:val="9"/>
  </w:num>
  <w:num w:numId="9" w16cid:durableId="499275476">
    <w:abstractNumId w:val="8"/>
  </w:num>
  <w:num w:numId="10" w16cid:durableId="613094686">
    <w:abstractNumId w:val="1"/>
  </w:num>
  <w:num w:numId="11" w16cid:durableId="1183784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OIAOsFLYXtZL14sDfja7kDCJfxPS0kEdTvSChLQOy65XouyBsy6kcVXhWL2EszYIspAGwJneD9P3LKilY9NHg==" w:salt="5umHXXXi9hgmSg/jLHyuE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801E5"/>
    <w:rsid w:val="000849CA"/>
    <w:rsid w:val="00094F68"/>
    <w:rsid w:val="000B535D"/>
    <w:rsid w:val="000E236B"/>
    <w:rsid w:val="00127826"/>
    <w:rsid w:val="00156FB1"/>
    <w:rsid w:val="00157882"/>
    <w:rsid w:val="001646F0"/>
    <w:rsid w:val="001A76B1"/>
    <w:rsid w:val="001B369D"/>
    <w:rsid w:val="002300C1"/>
    <w:rsid w:val="00246EEF"/>
    <w:rsid w:val="0028157A"/>
    <w:rsid w:val="002D4A95"/>
    <w:rsid w:val="002E564C"/>
    <w:rsid w:val="00315533"/>
    <w:rsid w:val="0032329B"/>
    <w:rsid w:val="00326BFB"/>
    <w:rsid w:val="003727EC"/>
    <w:rsid w:val="003927C3"/>
    <w:rsid w:val="003D7AB1"/>
    <w:rsid w:val="003F0C28"/>
    <w:rsid w:val="00401A79"/>
    <w:rsid w:val="00425471"/>
    <w:rsid w:val="00460C5A"/>
    <w:rsid w:val="00464039"/>
    <w:rsid w:val="00465E21"/>
    <w:rsid w:val="004673AC"/>
    <w:rsid w:val="00477F47"/>
    <w:rsid w:val="004B6497"/>
    <w:rsid w:val="004C69A3"/>
    <w:rsid w:val="004F303A"/>
    <w:rsid w:val="005069BE"/>
    <w:rsid w:val="00523067"/>
    <w:rsid w:val="005461F8"/>
    <w:rsid w:val="0055216D"/>
    <w:rsid w:val="005972FD"/>
    <w:rsid w:val="005A495C"/>
    <w:rsid w:val="005B3BAF"/>
    <w:rsid w:val="005C455A"/>
    <w:rsid w:val="006045F2"/>
    <w:rsid w:val="00631F90"/>
    <w:rsid w:val="00682F10"/>
    <w:rsid w:val="00697EDC"/>
    <w:rsid w:val="006A7465"/>
    <w:rsid w:val="006E0028"/>
    <w:rsid w:val="006E3A77"/>
    <w:rsid w:val="006F5D01"/>
    <w:rsid w:val="006F6E96"/>
    <w:rsid w:val="00703B17"/>
    <w:rsid w:val="00767D75"/>
    <w:rsid w:val="007762F1"/>
    <w:rsid w:val="007944E1"/>
    <w:rsid w:val="007B3484"/>
    <w:rsid w:val="007E25BB"/>
    <w:rsid w:val="008077E2"/>
    <w:rsid w:val="00811215"/>
    <w:rsid w:val="00843E8A"/>
    <w:rsid w:val="00873846"/>
    <w:rsid w:val="008752CF"/>
    <w:rsid w:val="0088417E"/>
    <w:rsid w:val="008B69AE"/>
    <w:rsid w:val="008E06F1"/>
    <w:rsid w:val="008E43C9"/>
    <w:rsid w:val="009106D6"/>
    <w:rsid w:val="00921DFD"/>
    <w:rsid w:val="00923DDC"/>
    <w:rsid w:val="00942FAF"/>
    <w:rsid w:val="009449B8"/>
    <w:rsid w:val="00963D6C"/>
    <w:rsid w:val="00984851"/>
    <w:rsid w:val="009D1084"/>
    <w:rsid w:val="009D5EAC"/>
    <w:rsid w:val="00A02BA5"/>
    <w:rsid w:val="00A075C6"/>
    <w:rsid w:val="00A26F85"/>
    <w:rsid w:val="00A5789D"/>
    <w:rsid w:val="00A64579"/>
    <w:rsid w:val="00A9004A"/>
    <w:rsid w:val="00AB2B82"/>
    <w:rsid w:val="00AC2F30"/>
    <w:rsid w:val="00AF58C3"/>
    <w:rsid w:val="00B03F10"/>
    <w:rsid w:val="00B11718"/>
    <w:rsid w:val="00B12674"/>
    <w:rsid w:val="00B1327D"/>
    <w:rsid w:val="00B23550"/>
    <w:rsid w:val="00B476B6"/>
    <w:rsid w:val="00B64ADD"/>
    <w:rsid w:val="00B708B6"/>
    <w:rsid w:val="00BB3FAA"/>
    <w:rsid w:val="00BD37D4"/>
    <w:rsid w:val="00BE3D8A"/>
    <w:rsid w:val="00BF6A6B"/>
    <w:rsid w:val="00C76D0B"/>
    <w:rsid w:val="00CA0CD5"/>
    <w:rsid w:val="00CA4C86"/>
    <w:rsid w:val="00D1127E"/>
    <w:rsid w:val="00D83724"/>
    <w:rsid w:val="00DE1B93"/>
    <w:rsid w:val="00DF0265"/>
    <w:rsid w:val="00E12524"/>
    <w:rsid w:val="00E4136A"/>
    <w:rsid w:val="00E74177"/>
    <w:rsid w:val="00E8461C"/>
    <w:rsid w:val="00EC75D7"/>
    <w:rsid w:val="00F07B9C"/>
    <w:rsid w:val="00F30988"/>
    <w:rsid w:val="00F4607A"/>
    <w:rsid w:val="00F71C10"/>
    <w:rsid w:val="00FD46B8"/>
    <w:rsid w:val="00FD62D7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FC0-2941-4249-8B82-1744D7B588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421</Words>
  <Characters>2489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67</cp:revision>
  <cp:lastPrinted>2025-07-15T11:24:00Z</cp:lastPrinted>
  <dcterms:created xsi:type="dcterms:W3CDTF">2023-03-30T09:40:00Z</dcterms:created>
  <dcterms:modified xsi:type="dcterms:W3CDTF">2025-07-15T11:25:00Z</dcterms:modified>
</cp:coreProperties>
</file>