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87FB" w14:textId="0E9E6323" w:rsidR="005C6F9D" w:rsidRPr="005C6F9D" w:rsidRDefault="005C6F9D" w:rsidP="005C6F9D">
      <w:pPr>
        <w:keepNext/>
        <w:keepLines/>
        <w:suppressAutoHyphens/>
        <w:spacing w:before="320" w:after="0"/>
        <w:outlineLvl w:val="0"/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</w:pPr>
      <w:r w:rsidRPr="005C6F9D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 xml:space="preserve">Předběžná tržní konzultace </w:t>
      </w:r>
      <w:r w:rsidRPr="00B70D07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k </w:t>
      </w:r>
      <w:r w:rsidR="009F5CBE" w:rsidRPr="004B4E5D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 xml:space="preserve">Pojištění odpovědnosti Správy železnic na rok </w:t>
      </w:r>
      <w:proofErr w:type="gramStart"/>
      <w:r w:rsidR="009F5CBE" w:rsidRPr="004B4E5D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202</w:t>
      </w:r>
      <w:r w:rsidR="00AF24AC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6</w:t>
      </w:r>
      <w:r w:rsidRPr="005C6F9D">
        <w:rPr>
          <w:rFonts w:ascii="Verdana" w:eastAsia="Times New Roman" w:hAnsi="Verdana" w:cs="Times New Roman"/>
          <w:b/>
          <w:bCs/>
          <w:color w:val="FF5200"/>
          <w:spacing w:val="-6"/>
          <w:sz w:val="36"/>
          <w:szCs w:val="36"/>
        </w:rPr>
        <w:t xml:space="preserve"> </w:t>
      </w:r>
      <w:r w:rsidRPr="005C6F9D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 xml:space="preserve"> –</w:t>
      </w:r>
      <w:proofErr w:type="gramEnd"/>
      <w:r w:rsidRPr="005C6F9D"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 xml:space="preserve"> Příloha č. </w:t>
      </w:r>
      <w:r>
        <w:rPr>
          <w:rFonts w:ascii="Verdana" w:eastAsia="Times New Roman" w:hAnsi="Verdana" w:cs="Times New Roman"/>
          <w:b/>
          <w:color w:val="FF5200"/>
          <w:spacing w:val="-6"/>
          <w:sz w:val="36"/>
          <w:szCs w:val="36"/>
        </w:rPr>
        <w:t>1</w:t>
      </w:r>
    </w:p>
    <w:p w14:paraId="033C9A01" w14:textId="5167882C" w:rsidR="005C6F9D" w:rsidRPr="005C6F9D" w:rsidRDefault="00A17FA0" w:rsidP="005C6F9D">
      <w:pPr>
        <w:keepNext/>
        <w:keepLines/>
        <w:pBdr>
          <w:top w:val="single" w:sz="4" w:space="1" w:color="00A1E0"/>
        </w:pBdr>
        <w:spacing w:before="240" w:after="0"/>
        <w:outlineLvl w:val="1"/>
        <w:rPr>
          <w:rFonts w:ascii="Verdana" w:eastAsia="Times New Roman" w:hAnsi="Verdana" w:cs="Times New Roman"/>
          <w:b/>
          <w:color w:val="00A1E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A1E0"/>
          <w:sz w:val="24"/>
          <w:szCs w:val="24"/>
        </w:rPr>
        <w:t>Identifikace účastníka</w:t>
      </w:r>
    </w:p>
    <w:p w14:paraId="46ECC878" w14:textId="0275920B" w:rsidR="006751C1" w:rsidRPr="003D0455" w:rsidRDefault="006751C1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sz w:val="18"/>
          <w:szCs w:val="18"/>
        </w:rPr>
      </w:pPr>
      <w:r w:rsidRPr="003D0455">
        <w:rPr>
          <w:rFonts w:ascii="Verdana" w:hAnsi="Verdana"/>
          <w:bCs w:val="0"/>
          <w:caps w:val="0"/>
          <w:sz w:val="18"/>
          <w:szCs w:val="18"/>
          <w:lang w:eastAsia="cs-CZ"/>
        </w:rPr>
        <w:t xml:space="preserve">Identifikace </w:t>
      </w:r>
      <w:r w:rsidRPr="003D0455">
        <w:rPr>
          <w:rFonts w:ascii="Verdana" w:hAnsi="Verdana"/>
          <w:caps w:val="0"/>
          <w:sz w:val="18"/>
          <w:szCs w:val="18"/>
          <w:lang w:eastAsia="cs-CZ"/>
        </w:rPr>
        <w:t xml:space="preserve">účastníka </w:t>
      </w:r>
      <w:r w:rsidR="007B2394">
        <w:rPr>
          <w:rFonts w:ascii="Verdana" w:hAnsi="Verdana"/>
          <w:caps w:val="0"/>
          <w:sz w:val="18"/>
          <w:szCs w:val="18"/>
          <w:lang w:eastAsia="cs-CZ"/>
        </w:rPr>
        <w:t>PTK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5439"/>
      </w:tblGrid>
      <w:tr w:rsidR="006751C1" w:rsidRPr="003D0455" w14:paraId="3D4A8DF9" w14:textId="77777777" w:rsidTr="003C5977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04D36E9A" w14:textId="77777777" w:rsidR="006751C1" w:rsidRPr="003D0455" w:rsidRDefault="006751C1" w:rsidP="003C5977">
            <w:pPr>
              <w:spacing w:after="0"/>
              <w:contextualSpacing/>
              <w:rPr>
                <w:rFonts w:ascii="Verdana" w:hAnsi="Verdana"/>
                <w:bCs/>
                <w:lang w:eastAsia="cs-CZ"/>
              </w:rPr>
            </w:pPr>
            <w:r w:rsidRPr="003D0455">
              <w:rPr>
                <w:rFonts w:ascii="Verdana" w:hAnsi="Verdana"/>
                <w:bCs/>
                <w:lang w:eastAsia="cs-CZ"/>
              </w:rPr>
              <w:t xml:space="preserve">Název: </w:t>
            </w:r>
          </w:p>
        </w:tc>
        <w:tc>
          <w:tcPr>
            <w:tcW w:w="3203" w:type="pct"/>
            <w:vAlign w:val="center"/>
          </w:tcPr>
          <w:p w14:paraId="3E46CD9B" w14:textId="77777777" w:rsidR="006751C1" w:rsidRPr="003D0455" w:rsidRDefault="006751C1" w:rsidP="003C5977">
            <w:pPr>
              <w:spacing w:before="60"/>
              <w:rPr>
                <w:rFonts w:ascii="Verdana" w:hAnsi="Verdana"/>
                <w:bCs/>
              </w:rPr>
            </w:pPr>
            <w:r w:rsidRPr="003D0455">
              <w:rPr>
                <w:rFonts w:ascii="Verdana" w:hAnsi="Verdana"/>
                <w:highlight w:val="yellow"/>
              </w:rPr>
              <w:t>[●]</w:t>
            </w:r>
          </w:p>
        </w:tc>
      </w:tr>
      <w:tr w:rsidR="006751C1" w:rsidRPr="003D0455" w14:paraId="09811F94" w14:textId="77777777" w:rsidTr="003C5977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70355B0D" w14:textId="77777777" w:rsidR="006751C1" w:rsidRPr="003D0455" w:rsidRDefault="006751C1" w:rsidP="003C5977">
            <w:pPr>
              <w:spacing w:after="0"/>
              <w:contextualSpacing/>
              <w:rPr>
                <w:rFonts w:ascii="Verdana" w:hAnsi="Verdana"/>
                <w:bCs/>
                <w:lang w:eastAsia="cs-CZ"/>
              </w:rPr>
            </w:pPr>
            <w:r w:rsidRPr="003D0455">
              <w:rPr>
                <w:rFonts w:ascii="Verdana" w:hAnsi="Verdana"/>
                <w:bCs/>
                <w:lang w:eastAsia="cs-CZ"/>
              </w:rPr>
              <w:t>IČO:</w:t>
            </w:r>
          </w:p>
        </w:tc>
        <w:tc>
          <w:tcPr>
            <w:tcW w:w="3203" w:type="pct"/>
            <w:vAlign w:val="center"/>
          </w:tcPr>
          <w:p w14:paraId="49F2FA82" w14:textId="77777777" w:rsidR="006751C1" w:rsidRPr="003D0455" w:rsidRDefault="006751C1" w:rsidP="003C5977">
            <w:pPr>
              <w:spacing w:before="60"/>
              <w:rPr>
                <w:rFonts w:ascii="Verdana" w:hAnsi="Verdana"/>
                <w:b/>
              </w:rPr>
            </w:pPr>
            <w:r w:rsidRPr="003D0455">
              <w:rPr>
                <w:rFonts w:ascii="Verdana" w:hAnsi="Verdana"/>
                <w:highlight w:val="yellow"/>
              </w:rPr>
              <w:t>[●]</w:t>
            </w:r>
          </w:p>
        </w:tc>
      </w:tr>
      <w:tr w:rsidR="006751C1" w:rsidRPr="003D0455" w14:paraId="216BF2A8" w14:textId="77777777" w:rsidTr="003C5977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39A515C8" w14:textId="77777777" w:rsidR="006751C1" w:rsidRPr="003D0455" w:rsidRDefault="006751C1" w:rsidP="003C5977">
            <w:pPr>
              <w:spacing w:after="0"/>
              <w:contextualSpacing/>
              <w:rPr>
                <w:rFonts w:ascii="Verdana" w:hAnsi="Verdana"/>
                <w:bCs/>
                <w:lang w:eastAsia="cs-CZ"/>
              </w:rPr>
            </w:pPr>
            <w:r w:rsidRPr="003D0455">
              <w:rPr>
                <w:rFonts w:ascii="Verdana" w:hAnsi="Verdana"/>
                <w:bCs/>
                <w:lang w:eastAsia="cs-CZ"/>
              </w:rPr>
              <w:t>Sídlo:</w:t>
            </w:r>
          </w:p>
        </w:tc>
        <w:tc>
          <w:tcPr>
            <w:tcW w:w="3203" w:type="pct"/>
            <w:vAlign w:val="center"/>
          </w:tcPr>
          <w:p w14:paraId="0D416929" w14:textId="77777777" w:rsidR="006751C1" w:rsidRPr="003D0455" w:rsidRDefault="006751C1" w:rsidP="003C5977">
            <w:pPr>
              <w:spacing w:before="60"/>
              <w:rPr>
                <w:rFonts w:ascii="Verdana" w:hAnsi="Verdana"/>
                <w:b/>
              </w:rPr>
            </w:pPr>
            <w:r w:rsidRPr="003D0455">
              <w:rPr>
                <w:rFonts w:ascii="Verdana" w:hAnsi="Verdana"/>
                <w:highlight w:val="yellow"/>
              </w:rPr>
              <w:t>[●]</w:t>
            </w:r>
          </w:p>
        </w:tc>
      </w:tr>
      <w:tr w:rsidR="006751C1" w:rsidRPr="003D0455" w14:paraId="4CE79976" w14:textId="77777777" w:rsidTr="003C5977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4548E9AD" w14:textId="77777777" w:rsidR="006751C1" w:rsidRPr="003D0455" w:rsidRDefault="006751C1" w:rsidP="003C5977">
            <w:pPr>
              <w:spacing w:after="0"/>
              <w:contextualSpacing/>
              <w:rPr>
                <w:rFonts w:ascii="Verdana" w:hAnsi="Verdana"/>
                <w:bCs/>
                <w:lang w:eastAsia="cs-CZ"/>
              </w:rPr>
            </w:pPr>
            <w:r w:rsidRPr="003D0455">
              <w:rPr>
                <w:rFonts w:ascii="Verdana" w:hAnsi="Verdana"/>
                <w:bCs/>
                <w:lang w:eastAsia="cs-CZ"/>
              </w:rPr>
              <w:t>Kontaktní e-mail a tel.:</w:t>
            </w:r>
          </w:p>
        </w:tc>
        <w:tc>
          <w:tcPr>
            <w:tcW w:w="3203" w:type="pct"/>
            <w:vAlign w:val="center"/>
          </w:tcPr>
          <w:p w14:paraId="1939791A" w14:textId="77777777" w:rsidR="006751C1" w:rsidRPr="003D0455" w:rsidRDefault="006751C1" w:rsidP="003C5977">
            <w:pPr>
              <w:spacing w:before="60"/>
              <w:rPr>
                <w:rFonts w:ascii="Verdana" w:hAnsi="Verdana"/>
                <w:highlight w:val="yellow"/>
              </w:rPr>
            </w:pPr>
            <w:r w:rsidRPr="003D0455">
              <w:rPr>
                <w:rFonts w:ascii="Verdana" w:hAnsi="Verdana"/>
                <w:highlight w:val="yellow"/>
              </w:rPr>
              <w:t>[●]</w:t>
            </w:r>
          </w:p>
        </w:tc>
      </w:tr>
    </w:tbl>
    <w:p w14:paraId="6B49C613" w14:textId="77777777" w:rsidR="00005B22" w:rsidRDefault="00005B22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Cs w:val="0"/>
          <w:caps w:val="0"/>
          <w:sz w:val="18"/>
          <w:szCs w:val="18"/>
          <w:lang w:eastAsia="cs-CZ"/>
        </w:rPr>
      </w:pPr>
    </w:p>
    <w:p w14:paraId="682A344C" w14:textId="37E14B08" w:rsidR="00005B22" w:rsidRPr="005C6F9D" w:rsidRDefault="00005B22" w:rsidP="00005B22">
      <w:pPr>
        <w:keepNext/>
        <w:keepLines/>
        <w:pBdr>
          <w:top w:val="single" w:sz="4" w:space="1" w:color="00A1E0"/>
        </w:pBdr>
        <w:spacing w:before="240" w:after="0"/>
        <w:outlineLvl w:val="1"/>
        <w:rPr>
          <w:rFonts w:ascii="Verdana" w:eastAsia="Times New Roman" w:hAnsi="Verdana" w:cs="Times New Roman"/>
          <w:b/>
          <w:color w:val="00A1E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A1E0"/>
          <w:sz w:val="24"/>
          <w:szCs w:val="24"/>
        </w:rPr>
        <w:t>Informační podklady k předmětu veřejné zakázky</w:t>
      </w:r>
    </w:p>
    <w:p w14:paraId="77CF83F5" w14:textId="77777777" w:rsidR="00A17FA0" w:rsidRDefault="00A17FA0" w:rsidP="00005B22">
      <w:pPr>
        <w:spacing w:before="120" w:after="120" w:line="240" w:lineRule="auto"/>
        <w:rPr>
          <w:rFonts w:ascii="Verdana" w:hAnsi="Verdana"/>
          <w:b/>
        </w:rPr>
      </w:pPr>
    </w:p>
    <w:p w14:paraId="19397ECD" w14:textId="0D5549A2" w:rsidR="00005B22" w:rsidRDefault="00005B22" w:rsidP="00A17FA0">
      <w:pPr>
        <w:spacing w:before="120" w:after="120" w:line="240" w:lineRule="auto"/>
        <w:rPr>
          <w:rFonts w:ascii="Verdana" w:hAnsi="Verdana" w:cs="Arial"/>
          <w:bCs/>
        </w:rPr>
      </w:pPr>
      <w:r w:rsidRPr="00005B22">
        <w:rPr>
          <w:rFonts w:ascii="Verdana" w:hAnsi="Verdana"/>
          <w:b/>
        </w:rPr>
        <w:t xml:space="preserve">Předmětem zamýšlené veřejné zakázky </w:t>
      </w:r>
      <w:r w:rsidR="00A17FA0" w:rsidRPr="00A17FA0">
        <w:rPr>
          <w:rFonts w:ascii="Verdana" w:hAnsi="Verdana" w:cs="Arial"/>
          <w:bCs/>
        </w:rPr>
        <w:t>je uzavření pojistné smlouvy pro případ právním předpisem stanovené odpovědnosti za újmu vzniklou jinému v souvislosti se zajištěním provozování železniční dopravní cesty a její provozuschopnosti, se zajišťováním údržby, opravy, rozvoje a modernizace železniční dopravní cesty, prováděním staveb, provozováním celostátní dráhy a regionálních drah, v souvislosti s činnostmi vyplývajícími z předmětu podnikání a předmětu činnosti, uvedenými ve výpisu z obchodního rejstříku a v souvislosti s provozem neveřejn</w:t>
      </w:r>
      <w:r w:rsidR="003E3FF1">
        <w:rPr>
          <w:rFonts w:ascii="Verdana" w:hAnsi="Verdana" w:cs="Arial"/>
          <w:bCs/>
        </w:rPr>
        <w:t>é drážní dopravy podle zákona o dráhách</w:t>
      </w:r>
      <w:r w:rsidRPr="003D0455">
        <w:rPr>
          <w:rFonts w:ascii="Verdana" w:hAnsi="Verdana" w:cs="Arial"/>
          <w:bCs/>
        </w:rPr>
        <w:t xml:space="preserve">. </w:t>
      </w:r>
    </w:p>
    <w:p w14:paraId="68DE838E" w14:textId="019C5D71" w:rsidR="007B2394" w:rsidRDefault="00A17FA0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  <w:r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Zadavatel nemá doposud k dispozici aktualizované podklady pro kalkulaci pojistného</w:t>
      </w:r>
      <w:r w:rsidR="006F542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z roku 202</w:t>
      </w:r>
      <w:r w:rsidR="00E13F1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5</w:t>
      </w:r>
      <w:r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, z uvedeného důvodu poskytuje</w:t>
      </w:r>
      <w:r w:rsidR="006F542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odkazem na zadávací dokumentaci veřejné zakázky </w:t>
      </w:r>
      <w:r w:rsidR="006F5426" w:rsidRPr="00A17FA0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„</w:t>
      </w:r>
      <w:r w:rsidR="006F5426" w:rsidRPr="007B2394">
        <w:rPr>
          <w:rFonts w:ascii="Verdana" w:hAnsi="Verdana"/>
          <w:b w:val="0"/>
          <w:bCs w:val="0"/>
          <w:i/>
          <w:caps w:val="0"/>
          <w:sz w:val="18"/>
          <w:szCs w:val="18"/>
          <w:lang w:eastAsia="cs-CZ"/>
        </w:rPr>
        <w:t xml:space="preserve">Pojištění odpovědnosti Správy železnic na rok </w:t>
      </w:r>
      <w:r w:rsidR="00307672" w:rsidRPr="007B2394">
        <w:rPr>
          <w:rFonts w:ascii="Verdana" w:hAnsi="Verdana"/>
          <w:b w:val="0"/>
          <w:bCs w:val="0"/>
          <w:i/>
          <w:caps w:val="0"/>
          <w:sz w:val="18"/>
          <w:szCs w:val="18"/>
          <w:lang w:eastAsia="cs-CZ"/>
        </w:rPr>
        <w:t>20</w:t>
      </w:r>
      <w:r w:rsidR="00307672">
        <w:rPr>
          <w:rFonts w:ascii="Verdana" w:hAnsi="Verdana"/>
          <w:b w:val="0"/>
          <w:bCs w:val="0"/>
          <w:i/>
          <w:caps w:val="0"/>
          <w:sz w:val="18"/>
          <w:szCs w:val="18"/>
          <w:lang w:eastAsia="cs-CZ"/>
        </w:rPr>
        <w:t>25</w:t>
      </w:r>
      <w:r w:rsidR="006F5426" w:rsidRPr="00A17FA0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“</w:t>
      </w:r>
      <w:r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údaje z roku </w:t>
      </w:r>
      <w:r w:rsidR="006F542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202</w:t>
      </w:r>
      <w:r w:rsidR="00F0233B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4</w:t>
      </w:r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:</w:t>
      </w:r>
    </w:p>
    <w:p w14:paraId="5AB06318" w14:textId="3BD67386" w:rsidR="00F0233B" w:rsidRPr="00307672" w:rsidRDefault="00F0233B" w:rsidP="007B2394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  <w:hyperlink r:id="rId8" w:history="1">
        <w:r w:rsidRPr="00AE5E25">
          <w:rPr>
            <w:rFonts w:ascii="Verdana" w:hAnsi="Verdana"/>
            <w:caps w:val="0"/>
            <w:sz w:val="18"/>
            <w:szCs w:val="18"/>
            <w:lang w:eastAsia="cs-CZ"/>
          </w:rPr>
          <w:t>https://zakazky.spravazeleznic.cz/contract_display_15495.html</w:t>
        </w:r>
      </w:hyperlink>
    </w:p>
    <w:p w14:paraId="1692F375" w14:textId="5C3A7F84" w:rsidR="00F0233B" w:rsidRDefault="00CF6B2B" w:rsidP="007B2394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  <w:r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Tyto podklady se nachází zejména v příloze č. 2 Zadávací dokumentace </w:t>
      </w:r>
      <w:proofErr w:type="gramStart"/>
      <w:r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- </w:t>
      </w:r>
      <w:r w:rsidR="006F542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</w:t>
      </w:r>
      <w:r w:rsidRPr="00CF6B2B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Podklady</w:t>
      </w:r>
      <w:proofErr w:type="gramEnd"/>
      <w:r w:rsidRPr="00CF6B2B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ke kalkulaci pojistného</w:t>
      </w:r>
      <w:r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.</w:t>
      </w:r>
      <w:r w:rsidRPr="00CF6B2B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</w:t>
      </w:r>
      <w:r w:rsidR="006F542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Zadavatel k těmto údajům doplňuje, že </w:t>
      </w:r>
      <w:r w:rsidR="006F5426" w:rsidRPr="006F542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nedošlo ke změnám ve struktuře organizace, které by mohly vést k zásadním r</w:t>
      </w:r>
      <w:r w:rsidR="006F542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ozdílům v kalkulaci pojištění</w:t>
      </w:r>
      <w:r w:rsidR="00AE6B0C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. </w:t>
      </w:r>
    </w:p>
    <w:p w14:paraId="350E0904" w14:textId="267E4953" w:rsidR="007B2394" w:rsidRDefault="00F0233B" w:rsidP="007B2394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  <w:r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Z</w:t>
      </w:r>
      <w:r w:rsidR="007B2394" w:rsidRPr="00A17FA0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adavatel zamýšlí zadat zamýšlenou veřejnou zakázku za </w:t>
      </w:r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obdobných</w:t>
      </w:r>
      <w:r w:rsidR="007B2394" w:rsidRPr="00A17FA0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podmínek, jako byla zadána veřejná zakázka „</w:t>
      </w:r>
      <w:r w:rsidR="007B2394" w:rsidRPr="007B2394">
        <w:rPr>
          <w:rFonts w:ascii="Verdana" w:hAnsi="Verdana"/>
          <w:b w:val="0"/>
          <w:bCs w:val="0"/>
          <w:i/>
          <w:caps w:val="0"/>
          <w:sz w:val="18"/>
          <w:szCs w:val="18"/>
          <w:lang w:eastAsia="cs-CZ"/>
        </w:rPr>
        <w:t xml:space="preserve">Pojištění odpovědnosti Správy železnic na rok </w:t>
      </w:r>
      <w:r w:rsidR="00307672" w:rsidRPr="007B2394">
        <w:rPr>
          <w:rFonts w:ascii="Verdana" w:hAnsi="Verdana"/>
          <w:b w:val="0"/>
          <w:bCs w:val="0"/>
          <w:i/>
          <w:caps w:val="0"/>
          <w:sz w:val="18"/>
          <w:szCs w:val="18"/>
          <w:lang w:eastAsia="cs-CZ"/>
        </w:rPr>
        <w:t>202</w:t>
      </w:r>
      <w:r w:rsidR="00307672">
        <w:rPr>
          <w:rFonts w:ascii="Verdana" w:hAnsi="Verdana"/>
          <w:b w:val="0"/>
          <w:bCs w:val="0"/>
          <w:i/>
          <w:caps w:val="0"/>
          <w:sz w:val="18"/>
          <w:szCs w:val="18"/>
          <w:lang w:eastAsia="cs-CZ"/>
        </w:rPr>
        <w:t>5</w:t>
      </w:r>
      <w:r w:rsidR="007B2394" w:rsidRPr="00A17FA0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“</w:t>
      </w:r>
      <w:r w:rsidR="008D37D9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(</w:t>
      </w:r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jejíž zadávací dokumentaci i s přílohami naleznou účastníci PTK na výše uvedeném odkazu</w:t>
      </w:r>
      <w:r w:rsidR="008D37D9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)</w:t>
      </w:r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, a to zejména za podmínek stanovených v čl.</w:t>
      </w:r>
      <w:r w:rsidR="008D37D9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4 a čl.</w:t>
      </w:r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</w:t>
      </w:r>
      <w:r w:rsidR="005F5CE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24</w:t>
      </w:r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.</w:t>
      </w:r>
      <w:r w:rsidR="005F5CE6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3 </w:t>
      </w:r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Zadávací dokumentace a v příloze č. 1 Zadávací </w:t>
      </w:r>
      <w:proofErr w:type="gramStart"/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dokumentace - </w:t>
      </w:r>
      <w:r w:rsidR="007B2394" w:rsidRP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Podmínky</w:t>
      </w:r>
      <w:proofErr w:type="gramEnd"/>
      <w:r w:rsidR="007B2394" w:rsidRP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pojištění</w:t>
      </w:r>
      <w:r w:rsidR="007B2394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>.</w:t>
      </w:r>
      <w:r w:rsidR="008D37D9"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  <w:t xml:space="preserve"> Zadavatel zvažuje změnu podmínek pouze ve vztahu k délce plnění a případné cenové doložce.</w:t>
      </w:r>
    </w:p>
    <w:p w14:paraId="54992571" w14:textId="77777777" w:rsidR="007B2394" w:rsidRPr="00A17FA0" w:rsidRDefault="007B2394" w:rsidP="007B2394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</w:p>
    <w:p w14:paraId="4389AF99" w14:textId="4231DF3D" w:rsidR="007B2394" w:rsidRDefault="007B2394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</w:p>
    <w:p w14:paraId="0E4DEC19" w14:textId="6D0C0DA4" w:rsidR="007B2394" w:rsidRDefault="007B2394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</w:p>
    <w:p w14:paraId="02744D4F" w14:textId="4BCAEC2C" w:rsidR="007B2394" w:rsidRDefault="007B2394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</w:p>
    <w:p w14:paraId="42D331A5" w14:textId="77777777" w:rsidR="007B2394" w:rsidRPr="00A17FA0" w:rsidRDefault="007B2394" w:rsidP="006751C1">
      <w:pPr>
        <w:pStyle w:val="StyleNadpis1CenteredLeft0cmFirstline0cm"/>
        <w:tabs>
          <w:tab w:val="clear" w:pos="360"/>
        </w:tabs>
        <w:jc w:val="left"/>
        <w:rPr>
          <w:rFonts w:ascii="Verdana" w:hAnsi="Verdana"/>
          <w:b w:val="0"/>
          <w:bCs w:val="0"/>
          <w:caps w:val="0"/>
          <w:sz w:val="18"/>
          <w:szCs w:val="18"/>
          <w:lang w:eastAsia="cs-CZ"/>
        </w:rPr>
      </w:pPr>
    </w:p>
    <w:p w14:paraId="18F91CE9" w14:textId="77777777" w:rsidR="00005B22" w:rsidRPr="005C6F9D" w:rsidRDefault="00005B22" w:rsidP="00005B22">
      <w:pPr>
        <w:keepNext/>
        <w:keepLines/>
        <w:pBdr>
          <w:top w:val="single" w:sz="4" w:space="1" w:color="00A1E0"/>
        </w:pBdr>
        <w:spacing w:before="240" w:after="0"/>
        <w:outlineLvl w:val="1"/>
        <w:rPr>
          <w:rFonts w:ascii="Verdana" w:eastAsia="Times New Roman" w:hAnsi="Verdana" w:cs="Times New Roman"/>
          <w:b/>
          <w:color w:val="00A1E0"/>
          <w:sz w:val="24"/>
          <w:szCs w:val="24"/>
        </w:rPr>
      </w:pPr>
      <w:r w:rsidRPr="005C6F9D">
        <w:rPr>
          <w:rFonts w:ascii="Verdana" w:eastAsia="Times New Roman" w:hAnsi="Verdana" w:cs="Times New Roman"/>
          <w:b/>
          <w:color w:val="00A1E0"/>
          <w:sz w:val="24"/>
          <w:szCs w:val="24"/>
        </w:rPr>
        <w:t>Dotazník k předběžné tržní konzultaci</w:t>
      </w:r>
    </w:p>
    <w:p w14:paraId="42FFA083" w14:textId="77777777" w:rsidR="006751C1" w:rsidRPr="003D0455" w:rsidRDefault="006751C1" w:rsidP="006751C1">
      <w:pPr>
        <w:rPr>
          <w:rFonts w:ascii="Verdana" w:hAnsi="Verdana"/>
          <w:i/>
          <w:lang w:eastAsia="cs-CZ"/>
        </w:rPr>
      </w:pPr>
    </w:p>
    <w:p w14:paraId="32EF71E0" w14:textId="5F712831" w:rsidR="004B2C0B" w:rsidRPr="004B2C0B" w:rsidRDefault="004B2C0B" w:rsidP="004B2C0B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rPr>
          <w:rFonts w:ascii="Verdana" w:hAnsi="Verdana"/>
        </w:rPr>
      </w:pPr>
      <w:r w:rsidRPr="004B2C0B">
        <w:rPr>
          <w:rFonts w:ascii="Verdana" w:hAnsi="Verdana"/>
        </w:rPr>
        <w:t>P</w:t>
      </w:r>
      <w:r>
        <w:rPr>
          <w:rFonts w:ascii="Verdana" w:hAnsi="Verdana"/>
        </w:rPr>
        <w:t xml:space="preserve">rosíme o uvedení Vašeho návrhu </w:t>
      </w:r>
      <w:r w:rsidR="001B3042">
        <w:rPr>
          <w:rFonts w:ascii="Verdana" w:hAnsi="Verdana"/>
        </w:rPr>
        <w:t xml:space="preserve">celkové </w:t>
      </w:r>
      <w:r>
        <w:rPr>
          <w:rFonts w:ascii="Verdana" w:hAnsi="Verdana"/>
        </w:rPr>
        <w:t>p</w:t>
      </w:r>
      <w:r w:rsidRPr="004B2C0B">
        <w:rPr>
          <w:rFonts w:ascii="Verdana" w:hAnsi="Verdana"/>
        </w:rPr>
        <w:t>ředpokládan</w:t>
      </w:r>
      <w:r w:rsidR="003E3FF1">
        <w:rPr>
          <w:rFonts w:ascii="Verdana" w:hAnsi="Verdana"/>
        </w:rPr>
        <w:t>é hodnoty</w:t>
      </w:r>
      <w:r w:rsidRPr="004B2C0B">
        <w:rPr>
          <w:rFonts w:ascii="Verdana" w:hAnsi="Verdana"/>
        </w:rPr>
        <w:t xml:space="preserve"> </w:t>
      </w:r>
      <w:r w:rsidR="003E3FF1">
        <w:rPr>
          <w:rFonts w:ascii="Verdana" w:hAnsi="Verdana"/>
        </w:rPr>
        <w:t>p</w:t>
      </w:r>
      <w:r w:rsidRPr="004B2C0B">
        <w:rPr>
          <w:rFonts w:ascii="Verdana" w:hAnsi="Verdana"/>
        </w:rPr>
        <w:t xml:space="preserve">ojištění odpovědnosti </w:t>
      </w:r>
      <w:r w:rsidR="003E3FF1">
        <w:rPr>
          <w:rFonts w:ascii="Verdana" w:hAnsi="Verdana"/>
        </w:rPr>
        <w:t>Správy železnic, státní organizace (dále též jen „SŽ“)</w:t>
      </w:r>
      <w:r w:rsidRPr="004B2C0B">
        <w:rPr>
          <w:rFonts w:ascii="Verdana" w:hAnsi="Verdana"/>
        </w:rPr>
        <w:t xml:space="preserve"> na rok 202</w:t>
      </w:r>
      <w:r w:rsidR="00907568">
        <w:rPr>
          <w:rFonts w:ascii="Verdana" w:hAnsi="Verdana"/>
        </w:rPr>
        <w:t>6</w:t>
      </w:r>
      <w:r w:rsidR="004D457C">
        <w:rPr>
          <w:rFonts w:ascii="Verdana" w:hAnsi="Verdana"/>
        </w:rPr>
        <w:t xml:space="preserve"> (1. 1. 202</w:t>
      </w:r>
      <w:r w:rsidR="00F0233B">
        <w:rPr>
          <w:rFonts w:ascii="Verdana" w:hAnsi="Verdana"/>
        </w:rPr>
        <w:t>6</w:t>
      </w:r>
      <w:r w:rsidR="004D457C">
        <w:rPr>
          <w:rFonts w:ascii="Verdana" w:hAnsi="Verdana"/>
        </w:rPr>
        <w:t xml:space="preserve"> – 31. 12. 202</w:t>
      </w:r>
      <w:r w:rsidR="00F0233B">
        <w:rPr>
          <w:rFonts w:ascii="Verdana" w:hAnsi="Verdana"/>
        </w:rPr>
        <w:t>6</w:t>
      </w:r>
      <w:r w:rsidR="004D457C">
        <w:rPr>
          <w:rFonts w:ascii="Verdana" w:hAnsi="Verdana"/>
        </w:rPr>
        <w:t>)</w:t>
      </w:r>
      <w:r w:rsidR="003E3FF1">
        <w:rPr>
          <w:rFonts w:ascii="Verdana" w:hAnsi="Verdana"/>
        </w:rPr>
        <w:t>, za podmínek uvedených v Informačních podkladech výše:</w:t>
      </w:r>
    </w:p>
    <w:p w14:paraId="0724B0BB" w14:textId="77777777" w:rsidR="004B2C0B" w:rsidRP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215A12FE" w14:textId="71D71596" w:rsidR="004B2C0B" w:rsidRDefault="003E3FF1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  <w:r w:rsidRPr="004D457C">
        <w:rPr>
          <w:rFonts w:ascii="Verdana" w:hAnsi="Verdana"/>
          <w:b/>
        </w:rPr>
        <w:t>Odpověď</w:t>
      </w:r>
      <w:r>
        <w:rPr>
          <w:rFonts w:ascii="Verdana" w:hAnsi="Verdana"/>
        </w:rPr>
        <w:t>:</w:t>
      </w:r>
    </w:p>
    <w:p w14:paraId="636407C3" w14:textId="77777777" w:rsidR="003E3FF1" w:rsidRPr="004B2C0B" w:rsidRDefault="003E3FF1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151AEE2B" w14:textId="77777777" w:rsidR="004B2C0B" w:rsidRP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6DD41A9B" w14:textId="26E30206" w:rsidR="004B2C0B" w:rsidRPr="004B2C0B" w:rsidRDefault="003E3FF1" w:rsidP="004B2C0B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rPr>
          <w:rFonts w:ascii="Verdana" w:hAnsi="Verdana"/>
        </w:rPr>
      </w:pPr>
      <w:r w:rsidRPr="004B2C0B">
        <w:rPr>
          <w:rFonts w:ascii="Verdana" w:hAnsi="Verdana"/>
        </w:rPr>
        <w:t>P</w:t>
      </w:r>
      <w:r>
        <w:rPr>
          <w:rFonts w:ascii="Verdana" w:hAnsi="Verdana"/>
        </w:rPr>
        <w:t xml:space="preserve">rosíme o uvedení Vašeho návrhu </w:t>
      </w:r>
      <w:r w:rsidR="001B3042">
        <w:rPr>
          <w:rFonts w:ascii="Verdana" w:hAnsi="Verdana"/>
        </w:rPr>
        <w:t xml:space="preserve">celkové </w:t>
      </w:r>
      <w:r>
        <w:rPr>
          <w:rFonts w:ascii="Verdana" w:hAnsi="Verdana"/>
        </w:rPr>
        <w:t>p</w:t>
      </w:r>
      <w:r w:rsidRPr="004B2C0B">
        <w:rPr>
          <w:rFonts w:ascii="Verdana" w:hAnsi="Verdana"/>
        </w:rPr>
        <w:t>ředpokládan</w:t>
      </w:r>
      <w:r>
        <w:rPr>
          <w:rFonts w:ascii="Verdana" w:hAnsi="Verdana"/>
        </w:rPr>
        <w:t>é hodnoty</w:t>
      </w:r>
      <w:r w:rsidRPr="004B2C0B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4B2C0B">
        <w:rPr>
          <w:rFonts w:ascii="Verdana" w:hAnsi="Verdana"/>
        </w:rPr>
        <w:t>ojištění</w:t>
      </w:r>
      <w:r>
        <w:rPr>
          <w:rFonts w:ascii="Verdana" w:hAnsi="Verdana"/>
        </w:rPr>
        <w:t xml:space="preserve"> odpovědnosti</w:t>
      </w:r>
      <w:r w:rsidRPr="004B2C0B">
        <w:rPr>
          <w:rFonts w:ascii="Verdana" w:hAnsi="Verdana"/>
        </w:rPr>
        <w:t xml:space="preserve"> </w:t>
      </w:r>
      <w:r>
        <w:rPr>
          <w:rFonts w:ascii="Verdana" w:hAnsi="Verdana"/>
        </w:rPr>
        <w:t>SŽ</w:t>
      </w:r>
      <w:r w:rsidR="004B2C0B" w:rsidRPr="004B2C0B">
        <w:rPr>
          <w:rFonts w:ascii="Verdana" w:hAnsi="Verdana"/>
        </w:rPr>
        <w:t xml:space="preserve"> na </w:t>
      </w:r>
      <w:r w:rsidR="004D457C">
        <w:rPr>
          <w:rFonts w:ascii="Verdana" w:hAnsi="Verdana"/>
        </w:rPr>
        <w:t xml:space="preserve">období </w:t>
      </w:r>
      <w:r w:rsidR="00F0233B">
        <w:rPr>
          <w:rFonts w:ascii="Verdana" w:hAnsi="Verdana"/>
        </w:rPr>
        <w:t xml:space="preserve">dvou </w:t>
      </w:r>
      <w:r w:rsidR="004D457C">
        <w:rPr>
          <w:rFonts w:ascii="Verdana" w:hAnsi="Verdana"/>
        </w:rPr>
        <w:t>let</w:t>
      </w:r>
      <w:r w:rsidR="004B2C0B" w:rsidRPr="004B2C0B">
        <w:rPr>
          <w:rFonts w:ascii="Verdana" w:hAnsi="Verdana"/>
        </w:rPr>
        <w:t xml:space="preserve"> </w:t>
      </w:r>
      <w:r w:rsidR="004D457C">
        <w:rPr>
          <w:rFonts w:ascii="Verdana" w:hAnsi="Verdana"/>
        </w:rPr>
        <w:t xml:space="preserve">1. 1. </w:t>
      </w:r>
      <w:r w:rsidR="004B2C0B" w:rsidRPr="004B2C0B">
        <w:rPr>
          <w:rFonts w:ascii="Verdana" w:hAnsi="Verdana"/>
        </w:rPr>
        <w:t>202</w:t>
      </w:r>
      <w:r w:rsidR="00F0233B">
        <w:rPr>
          <w:rFonts w:ascii="Verdana" w:hAnsi="Verdana"/>
        </w:rPr>
        <w:t>6</w:t>
      </w:r>
      <w:r w:rsidR="004B2C0B" w:rsidRPr="004B2C0B">
        <w:rPr>
          <w:rFonts w:ascii="Verdana" w:hAnsi="Verdana"/>
        </w:rPr>
        <w:t xml:space="preserve"> – </w:t>
      </w:r>
      <w:r w:rsidR="004D457C">
        <w:rPr>
          <w:rFonts w:ascii="Verdana" w:hAnsi="Verdana"/>
        </w:rPr>
        <w:t xml:space="preserve">31. 12. </w:t>
      </w:r>
      <w:r w:rsidR="004B2C0B" w:rsidRPr="004B2C0B">
        <w:rPr>
          <w:rFonts w:ascii="Verdana" w:hAnsi="Verdana"/>
        </w:rPr>
        <w:t>202</w:t>
      </w:r>
      <w:r w:rsidR="00F0233B">
        <w:rPr>
          <w:rFonts w:ascii="Verdana" w:hAnsi="Verdana"/>
        </w:rPr>
        <w:t>7</w:t>
      </w:r>
      <w:r>
        <w:rPr>
          <w:rFonts w:ascii="Verdana" w:hAnsi="Verdana"/>
        </w:rPr>
        <w:t>,</w:t>
      </w:r>
      <w:r w:rsidR="004B2C0B" w:rsidRPr="004B2C0B">
        <w:rPr>
          <w:rFonts w:ascii="Verdana" w:hAnsi="Verdana"/>
        </w:rPr>
        <w:t xml:space="preserve"> </w:t>
      </w:r>
      <w:r>
        <w:rPr>
          <w:rFonts w:ascii="Verdana" w:hAnsi="Verdana"/>
        </w:rPr>
        <w:t>za podmínek uvedených v Informačních podkladech výše a se zohledněním toho, že by ve smluvních podmínkách nebyla stanovena žádná cenová doložka umožňující změnu výše pojistného:</w:t>
      </w:r>
    </w:p>
    <w:p w14:paraId="7D0D9222" w14:textId="50F408B1" w:rsid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3D363639" w14:textId="77777777" w:rsidR="003E3FF1" w:rsidRPr="004B2C0B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  <w:r w:rsidRPr="004D457C">
        <w:rPr>
          <w:rFonts w:ascii="Verdana" w:hAnsi="Verdana"/>
          <w:b/>
        </w:rPr>
        <w:t>Odpověď</w:t>
      </w:r>
      <w:r>
        <w:rPr>
          <w:rFonts w:ascii="Verdana" w:hAnsi="Verdana"/>
        </w:rPr>
        <w:t>:</w:t>
      </w:r>
    </w:p>
    <w:p w14:paraId="3CFE4944" w14:textId="04C46E23" w:rsid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7EC1F659" w14:textId="77777777" w:rsidR="004B2C0B" w:rsidRP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0CAC1CDD" w14:textId="1EEFC332" w:rsidR="004B2C0B" w:rsidRPr="004B2C0B" w:rsidRDefault="003E3FF1" w:rsidP="004B2C0B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rPr>
          <w:rFonts w:ascii="Verdana" w:hAnsi="Verdana"/>
        </w:rPr>
      </w:pPr>
      <w:r w:rsidRPr="004B2C0B">
        <w:rPr>
          <w:rFonts w:ascii="Verdana" w:hAnsi="Verdana"/>
        </w:rPr>
        <w:t>P</w:t>
      </w:r>
      <w:r>
        <w:rPr>
          <w:rFonts w:ascii="Verdana" w:hAnsi="Verdana"/>
        </w:rPr>
        <w:t xml:space="preserve">rosíme o uvedení Vašeho návrhu </w:t>
      </w:r>
      <w:r w:rsidR="001B3042">
        <w:rPr>
          <w:rFonts w:ascii="Verdana" w:hAnsi="Verdana"/>
        </w:rPr>
        <w:t xml:space="preserve">celkové </w:t>
      </w:r>
      <w:r>
        <w:rPr>
          <w:rFonts w:ascii="Verdana" w:hAnsi="Verdana"/>
        </w:rPr>
        <w:t>p</w:t>
      </w:r>
      <w:r w:rsidRPr="004B2C0B">
        <w:rPr>
          <w:rFonts w:ascii="Verdana" w:hAnsi="Verdana"/>
        </w:rPr>
        <w:t>ředpokládan</w:t>
      </w:r>
      <w:r>
        <w:rPr>
          <w:rFonts w:ascii="Verdana" w:hAnsi="Verdana"/>
        </w:rPr>
        <w:t>é hodnoty</w:t>
      </w:r>
      <w:r w:rsidRPr="004B2C0B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4B2C0B">
        <w:rPr>
          <w:rFonts w:ascii="Verdana" w:hAnsi="Verdana"/>
        </w:rPr>
        <w:t>ojištění</w:t>
      </w:r>
      <w:r>
        <w:rPr>
          <w:rFonts w:ascii="Verdana" w:hAnsi="Verdana"/>
        </w:rPr>
        <w:t xml:space="preserve"> odpovědnosti</w:t>
      </w:r>
      <w:r w:rsidRPr="004B2C0B">
        <w:rPr>
          <w:rFonts w:ascii="Verdana" w:hAnsi="Verdana"/>
        </w:rPr>
        <w:t xml:space="preserve"> </w:t>
      </w:r>
      <w:r>
        <w:rPr>
          <w:rFonts w:ascii="Verdana" w:hAnsi="Verdana"/>
        </w:rPr>
        <w:t>SŽ</w:t>
      </w:r>
      <w:r w:rsidRPr="004B2C0B">
        <w:rPr>
          <w:rFonts w:ascii="Verdana" w:hAnsi="Verdana"/>
        </w:rPr>
        <w:t xml:space="preserve"> na </w:t>
      </w:r>
      <w:r w:rsidR="004D457C">
        <w:rPr>
          <w:rFonts w:ascii="Verdana" w:hAnsi="Verdana"/>
        </w:rPr>
        <w:t xml:space="preserve">období 1. 1. </w:t>
      </w:r>
      <w:r w:rsidR="004D457C" w:rsidRPr="004B2C0B">
        <w:rPr>
          <w:rFonts w:ascii="Verdana" w:hAnsi="Verdana"/>
        </w:rPr>
        <w:t>202</w:t>
      </w:r>
      <w:r w:rsidR="00B544FE">
        <w:rPr>
          <w:rFonts w:ascii="Verdana" w:hAnsi="Verdana"/>
        </w:rPr>
        <w:t>6</w:t>
      </w:r>
      <w:r w:rsidR="004D457C" w:rsidRPr="004B2C0B">
        <w:rPr>
          <w:rFonts w:ascii="Verdana" w:hAnsi="Verdana"/>
        </w:rPr>
        <w:t xml:space="preserve"> – </w:t>
      </w:r>
      <w:r w:rsidR="004D457C">
        <w:rPr>
          <w:rFonts w:ascii="Verdana" w:hAnsi="Verdana"/>
        </w:rPr>
        <w:t xml:space="preserve">31. 12. </w:t>
      </w:r>
      <w:r w:rsidR="004D457C" w:rsidRPr="004B2C0B">
        <w:rPr>
          <w:rFonts w:ascii="Verdana" w:hAnsi="Verdana"/>
        </w:rPr>
        <w:t>202</w:t>
      </w:r>
      <w:r w:rsidR="0047725F">
        <w:rPr>
          <w:rFonts w:ascii="Verdana" w:hAnsi="Verdana"/>
        </w:rPr>
        <w:t>9</w:t>
      </w:r>
      <w:r>
        <w:rPr>
          <w:rFonts w:ascii="Verdana" w:hAnsi="Verdana"/>
        </w:rPr>
        <w:t>,</w:t>
      </w:r>
      <w:r w:rsidRPr="004B2C0B">
        <w:rPr>
          <w:rFonts w:ascii="Verdana" w:hAnsi="Verdana"/>
        </w:rPr>
        <w:t xml:space="preserve"> </w:t>
      </w:r>
      <w:r>
        <w:rPr>
          <w:rFonts w:ascii="Verdana" w:hAnsi="Verdana"/>
        </w:rPr>
        <w:t>za podmínek uvedených v Informačních podkladech výše a se zohledněním toho, že by ve smluvních podmínkách byla stanovena cenová doložka umožňující změnu výše pojistného</w:t>
      </w:r>
      <w:r w:rsidR="004B2C0B" w:rsidRPr="004B2C0B">
        <w:rPr>
          <w:rFonts w:ascii="Verdana" w:hAnsi="Verdana"/>
        </w:rPr>
        <w:t>;</w:t>
      </w:r>
    </w:p>
    <w:p w14:paraId="41DBFD29" w14:textId="33FB9E9C" w:rsid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5A56A105" w14:textId="3B62325E" w:rsidR="003E3FF1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  <w:r w:rsidRPr="004D457C">
        <w:rPr>
          <w:rFonts w:ascii="Verdana" w:hAnsi="Verdana"/>
          <w:b/>
        </w:rPr>
        <w:t>Odpověď</w:t>
      </w:r>
      <w:r>
        <w:rPr>
          <w:rFonts w:ascii="Verdana" w:hAnsi="Verdana"/>
        </w:rPr>
        <w:t>:</w:t>
      </w:r>
    </w:p>
    <w:p w14:paraId="41331F16" w14:textId="77777777" w:rsidR="003E3FF1" w:rsidRPr="004B2C0B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54E0F15A" w14:textId="77777777" w:rsidR="004B2C0B" w:rsidRP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33324B70" w14:textId="55CFBAAF" w:rsidR="004B2C0B" w:rsidRDefault="004B2C0B" w:rsidP="004B2C0B">
      <w:pPr>
        <w:pStyle w:val="Odstavecseseznamem"/>
        <w:numPr>
          <w:ilvl w:val="0"/>
          <w:numId w:val="1"/>
        </w:numPr>
        <w:spacing w:before="120" w:after="120" w:line="240" w:lineRule="auto"/>
        <w:ind w:left="426" w:hanging="426"/>
        <w:rPr>
          <w:rFonts w:ascii="Verdana" w:hAnsi="Verdana"/>
        </w:rPr>
      </w:pPr>
      <w:r w:rsidRPr="004B2C0B">
        <w:rPr>
          <w:rFonts w:ascii="Verdana" w:hAnsi="Verdana"/>
        </w:rPr>
        <w:t xml:space="preserve">Jaké typy </w:t>
      </w:r>
      <w:r w:rsidR="003E3FF1">
        <w:rPr>
          <w:rFonts w:ascii="Verdana" w:hAnsi="Verdana"/>
        </w:rPr>
        <w:t xml:space="preserve">cenových </w:t>
      </w:r>
      <w:r w:rsidRPr="004B2C0B">
        <w:rPr>
          <w:rFonts w:ascii="Verdana" w:hAnsi="Verdana"/>
        </w:rPr>
        <w:t xml:space="preserve">doložek </w:t>
      </w:r>
      <w:r w:rsidR="003E3FF1">
        <w:rPr>
          <w:rFonts w:ascii="Verdana" w:hAnsi="Verdana"/>
        </w:rPr>
        <w:t>či jiných ustanovení umožňujících</w:t>
      </w:r>
      <w:r w:rsidRPr="004B2C0B">
        <w:rPr>
          <w:rFonts w:ascii="Verdana" w:hAnsi="Verdana"/>
        </w:rPr>
        <w:t xml:space="preserve"> meziroční úpravu ceny </w:t>
      </w:r>
      <w:r w:rsidR="003E3FF1">
        <w:rPr>
          <w:rFonts w:ascii="Verdana" w:hAnsi="Verdana"/>
        </w:rPr>
        <w:t>pojistného</w:t>
      </w:r>
      <w:r w:rsidRPr="004B2C0B">
        <w:rPr>
          <w:rFonts w:ascii="Verdana" w:hAnsi="Verdana"/>
        </w:rPr>
        <w:t xml:space="preserve"> byste </w:t>
      </w:r>
      <w:r w:rsidR="003E3FF1">
        <w:rPr>
          <w:rFonts w:ascii="Verdana" w:hAnsi="Verdana"/>
        </w:rPr>
        <w:t>Zadavateli doporučili v případě možnosti popsané v otázce 3 výše,</w:t>
      </w:r>
      <w:r w:rsidRPr="004B2C0B">
        <w:rPr>
          <w:rFonts w:ascii="Verdana" w:hAnsi="Verdana"/>
        </w:rPr>
        <w:t xml:space="preserve"> a v jakém znění? </w:t>
      </w:r>
      <w:r w:rsidR="004D457C">
        <w:rPr>
          <w:rFonts w:ascii="Verdana" w:hAnsi="Verdana"/>
        </w:rPr>
        <w:t>Z</w:t>
      </w:r>
      <w:r w:rsidR="003E3FF1">
        <w:rPr>
          <w:rFonts w:ascii="Verdana" w:hAnsi="Verdana"/>
        </w:rPr>
        <w:t>adavatel upozorňuje, že cenová doložka či jiné obdobné ustanovení musí</w:t>
      </w:r>
      <w:r w:rsidR="004D457C">
        <w:rPr>
          <w:rFonts w:ascii="Verdana" w:hAnsi="Verdana"/>
        </w:rPr>
        <w:t xml:space="preserve"> v případě zamýšlené veřejné zakázky</w:t>
      </w:r>
      <w:r w:rsidR="003E3FF1">
        <w:rPr>
          <w:rFonts w:ascii="Verdana" w:hAnsi="Verdana"/>
        </w:rPr>
        <w:t xml:space="preserve"> splňovat podmínky pro vyhrazenou změnu závazku v § </w:t>
      </w:r>
      <w:r w:rsidR="004D457C">
        <w:rPr>
          <w:rFonts w:ascii="Verdana" w:hAnsi="Verdana"/>
        </w:rPr>
        <w:t xml:space="preserve">100 </w:t>
      </w:r>
      <w:r w:rsidR="005F5CE6" w:rsidRPr="005F5CE6">
        <w:rPr>
          <w:rFonts w:ascii="Verdana" w:hAnsi="Verdana"/>
        </w:rPr>
        <w:t>zákona č. 134/2016 Sb., o zadávání veřejných zakázek</w:t>
      </w:r>
      <w:r w:rsidRPr="004B2C0B">
        <w:rPr>
          <w:rFonts w:ascii="Verdana" w:hAnsi="Verdana"/>
        </w:rPr>
        <w:t>.</w:t>
      </w:r>
    </w:p>
    <w:p w14:paraId="6041DED2" w14:textId="77777777" w:rsid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50EC1174" w14:textId="1FCC78ED" w:rsidR="003E3FF1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  <w:r w:rsidRPr="004D457C">
        <w:rPr>
          <w:rFonts w:ascii="Verdana" w:hAnsi="Verdana"/>
          <w:b/>
        </w:rPr>
        <w:t>Odpověď</w:t>
      </w:r>
      <w:r>
        <w:rPr>
          <w:rFonts w:ascii="Verdana" w:hAnsi="Verdana"/>
        </w:rPr>
        <w:t>:</w:t>
      </w:r>
    </w:p>
    <w:p w14:paraId="0247D93E" w14:textId="77777777" w:rsidR="003E3FF1" w:rsidRPr="004B2C0B" w:rsidRDefault="003E3FF1" w:rsidP="003E3FF1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640D8005" w14:textId="77777777" w:rsidR="004B2C0B" w:rsidRDefault="004B2C0B" w:rsidP="004B2C0B">
      <w:pPr>
        <w:pStyle w:val="Odstavecseseznamem"/>
        <w:spacing w:before="120" w:after="120" w:line="240" w:lineRule="auto"/>
        <w:ind w:left="426"/>
        <w:rPr>
          <w:rFonts w:ascii="Verdana" w:hAnsi="Verdana"/>
        </w:rPr>
      </w:pPr>
    </w:p>
    <w:p w14:paraId="3D15FE00" w14:textId="77777777" w:rsidR="006D2A11" w:rsidRPr="003D0455" w:rsidRDefault="006D2A11">
      <w:pPr>
        <w:rPr>
          <w:rFonts w:ascii="Verdana" w:hAnsi="Verdana"/>
        </w:rPr>
      </w:pPr>
    </w:p>
    <w:sectPr w:rsidR="006D2A11" w:rsidRPr="003D0455" w:rsidSect="003D045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93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4101" w14:textId="77777777" w:rsidR="004C0394" w:rsidRDefault="004C0394">
      <w:pPr>
        <w:spacing w:after="0" w:line="240" w:lineRule="auto"/>
      </w:pPr>
      <w:r>
        <w:separator/>
      </w:r>
    </w:p>
  </w:endnote>
  <w:endnote w:type="continuationSeparator" w:id="0">
    <w:p w14:paraId="13BA6B84" w14:textId="77777777" w:rsidR="004C0394" w:rsidRDefault="004C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A7A58" w14:paraId="5D02796B" w14:textId="77777777" w:rsidTr="00840A93">
      <w:trPr>
        <w:trHeight w:val="108"/>
      </w:trPr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0AB81DD" w14:textId="5E0039D0" w:rsidR="00E356B4" w:rsidRPr="00B8518B" w:rsidRDefault="006751C1" w:rsidP="004267E4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C48D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C48D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EA1AEAF" w14:textId="77777777" w:rsidR="00E356B4" w:rsidRDefault="00E356B4" w:rsidP="004267E4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2BB760A5" w14:textId="77777777" w:rsidR="00E356B4" w:rsidRDefault="00E356B4" w:rsidP="004267E4">
          <w:pPr>
            <w:pStyle w:val="Zpat"/>
          </w:pPr>
        </w:p>
      </w:tc>
      <w:tc>
        <w:tcPr>
          <w:tcW w:w="2921" w:type="dxa"/>
        </w:tcPr>
        <w:p w14:paraId="35035C8E" w14:textId="77777777" w:rsidR="00E356B4" w:rsidRDefault="00E356B4" w:rsidP="004267E4">
          <w:pPr>
            <w:pStyle w:val="Zpat"/>
          </w:pPr>
        </w:p>
      </w:tc>
    </w:tr>
  </w:tbl>
  <w:p w14:paraId="42F8E2CD" w14:textId="77777777" w:rsidR="00E356B4" w:rsidRPr="00B8518B" w:rsidRDefault="006751C1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70DA2A5D" wp14:editId="7C98139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B5D217" id="Straight Connector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1337D29" wp14:editId="5F5585D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C9A6A2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A7A58" w14:paraId="65618ED0" w14:textId="77777777" w:rsidTr="004267E4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B62DF2E" w14:textId="4FFB6579" w:rsidR="00E356B4" w:rsidRPr="00B8518B" w:rsidRDefault="006751C1" w:rsidP="004267E4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C48D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C48D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B18E571" w14:textId="77777777" w:rsidR="00E356B4" w:rsidRDefault="006751C1" w:rsidP="004267E4">
          <w:pPr>
            <w:pStyle w:val="Zpat"/>
          </w:pPr>
          <w:r>
            <w:t>Správa železnic, státní organizace</w:t>
          </w:r>
        </w:p>
        <w:p w14:paraId="1526F21A" w14:textId="77777777" w:rsidR="00E356B4" w:rsidRDefault="006751C1" w:rsidP="00F61DF5">
          <w:pPr>
            <w:pStyle w:val="Zpat"/>
            <w:tabs>
              <w:tab w:val="clear" w:pos="4536"/>
              <w:tab w:val="center" w:pos="3462"/>
            </w:tabs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2227EF4" w14:textId="77777777" w:rsidR="00E356B4" w:rsidRDefault="006751C1" w:rsidP="004267E4">
          <w:pPr>
            <w:pStyle w:val="Zpat"/>
          </w:pPr>
          <w:r>
            <w:t>Sídlo: Dlážděná 1003/7, 110 00 Praha 1</w:t>
          </w:r>
        </w:p>
        <w:p w14:paraId="506D1043" w14:textId="77777777" w:rsidR="00E356B4" w:rsidRDefault="006751C1" w:rsidP="004267E4">
          <w:pPr>
            <w:pStyle w:val="Zpat"/>
          </w:pPr>
          <w:r>
            <w:t>IČ: 709 94 234 DIČ: CZ 709 94 234</w:t>
          </w:r>
        </w:p>
        <w:p w14:paraId="0315A7F8" w14:textId="77777777" w:rsidR="00E356B4" w:rsidRDefault="006751C1" w:rsidP="004267E4">
          <w:pPr>
            <w:pStyle w:val="Zpat"/>
          </w:pPr>
          <w:r>
            <w:t>www.szdc.cz</w:t>
          </w:r>
        </w:p>
      </w:tc>
      <w:tc>
        <w:tcPr>
          <w:tcW w:w="2921" w:type="dxa"/>
        </w:tcPr>
        <w:p w14:paraId="70D98F76" w14:textId="77777777" w:rsidR="00E356B4" w:rsidRDefault="00E356B4" w:rsidP="004267E4">
          <w:pPr>
            <w:pStyle w:val="Zpat"/>
          </w:pPr>
        </w:p>
      </w:tc>
    </w:tr>
  </w:tbl>
  <w:p w14:paraId="6AB0B686" w14:textId="77777777" w:rsidR="00E356B4" w:rsidRPr="00B8518B" w:rsidRDefault="006751C1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57F37DAC" wp14:editId="332925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F4E393" id="Straight Connector 7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LM8SGeAAAAALAQAADwAAAGRycy9kb3ducmV2&#10;LnhtbEyPQUvDQBCF74L/YRnBm90kYmxjNiUURKgWMRXU2zY7TYLZ2ZDdtvHfOx5Ej/Pm8d738uVk&#10;e3HE0XeOFMSzCARS7UxHjYLX7f3VHIQPmozuHaGCL/SwLM7Pcp0Zd6IXPFahERxCPtMK2hCGTEpf&#10;t2i1n7kBiX97N1od+BwbaUZ94nDbyySKUml1R9zQ6gFXLdaf1cEqWKwfm6F6uIndalO+rcv3/dP2&#10;41mpy4upvAMRcAp/ZvjBZ3QomGnnDmS86BWkc54SWI+T5BYEOxbpNYjdryKLXP7fUHwD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LM8SGeAAAAAL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C9BD5AE" wp14:editId="1161547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75292F" id="Straight Connector 10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" strokecolor="#c0504d [3205]" strokeweight="2pt">
              <w10:wrap anchorx="page" anchory="page"/>
              <w10:anchorlock/>
            </v:line>
          </w:pict>
        </mc:Fallback>
      </mc:AlternateContent>
    </w:r>
  </w:p>
  <w:p w14:paraId="18572147" w14:textId="77777777" w:rsidR="00E356B4" w:rsidRPr="00460660" w:rsidRDefault="00E356B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11F1" w14:textId="77777777" w:rsidR="004C0394" w:rsidRDefault="004C0394">
      <w:pPr>
        <w:spacing w:after="0" w:line="240" w:lineRule="auto"/>
      </w:pPr>
      <w:r>
        <w:separator/>
      </w:r>
    </w:p>
  </w:footnote>
  <w:footnote w:type="continuationSeparator" w:id="0">
    <w:p w14:paraId="1A813D7B" w14:textId="77777777" w:rsidR="004C0394" w:rsidRDefault="004C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3C95" w14:textId="35843003" w:rsidR="00F0233B" w:rsidRDefault="00F023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4A7A58" w14:paraId="5B9A3A3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AA19C69" w14:textId="35014F4E" w:rsidR="00E356B4" w:rsidRPr="00B8518B" w:rsidRDefault="00E356B4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4FA6546" w14:textId="77777777" w:rsidR="00E356B4" w:rsidRDefault="00E356B4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0C154F" w14:textId="77777777" w:rsidR="00E356B4" w:rsidRPr="00D6163D" w:rsidRDefault="00E356B4" w:rsidP="00D6163D">
          <w:pPr>
            <w:pStyle w:val="Druhdokumentu"/>
          </w:pPr>
        </w:p>
      </w:tc>
    </w:tr>
  </w:tbl>
  <w:p w14:paraId="46B8F506" w14:textId="77777777" w:rsidR="00E356B4" w:rsidRPr="00D6163D" w:rsidRDefault="00E356B4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4A7A58" w14:paraId="4AF7FEA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61F68097" w14:textId="671B2AEB" w:rsidR="00E356B4" w:rsidRPr="00B8518B" w:rsidRDefault="00E356B4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8B0002A" w14:textId="77777777" w:rsidR="00E356B4" w:rsidRDefault="00E356B4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230326E6" w14:textId="77777777" w:rsidR="00E356B4" w:rsidRPr="00D6163D" w:rsidRDefault="00E356B4" w:rsidP="00FC6389">
          <w:pPr>
            <w:pStyle w:val="Druhdokumentu"/>
          </w:pPr>
        </w:p>
      </w:tc>
    </w:tr>
    <w:tr w:rsidR="004A7A58" w14:paraId="7017EEE7" w14:textId="77777777" w:rsidTr="004A727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26F10FE1" w14:textId="77777777" w:rsidR="00E356B4" w:rsidRPr="00B8518B" w:rsidRDefault="00E356B4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8FB01F5" w14:textId="77777777" w:rsidR="00E356B4" w:rsidRDefault="00E356B4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2086D7F7" w14:textId="77777777" w:rsidR="00E356B4" w:rsidRDefault="00E356B4" w:rsidP="00FC6389">
          <w:pPr>
            <w:pStyle w:val="Druhdokumentu"/>
            <w:rPr>
              <w:noProof/>
            </w:rPr>
          </w:pPr>
        </w:p>
      </w:tc>
    </w:tr>
  </w:tbl>
  <w:p w14:paraId="6134FB64" w14:textId="77777777" w:rsidR="00E356B4" w:rsidRPr="00D6163D" w:rsidRDefault="006751C1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4" behindDoc="0" locked="1" layoutInCell="1" allowOverlap="1" wp14:anchorId="6EFCF50D" wp14:editId="7951F366">
          <wp:simplePos x="0" y="0"/>
          <wp:positionH relativeFrom="page">
            <wp:posOffset>457200</wp:posOffset>
          </wp:positionH>
          <wp:positionV relativeFrom="page">
            <wp:posOffset>332105</wp:posOffset>
          </wp:positionV>
          <wp:extent cx="1727835" cy="640715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D25B0" w14:textId="77777777" w:rsidR="00E356B4" w:rsidRPr="00460660" w:rsidRDefault="00E356B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4E6C"/>
    <w:multiLevelType w:val="hybridMultilevel"/>
    <w:tmpl w:val="B0A07A18"/>
    <w:lvl w:ilvl="0" w:tplc="243698AE">
      <w:start w:val="1"/>
      <w:numFmt w:val="bullet"/>
      <w:lvlText w:val="-"/>
      <w:lvlJc w:val="left"/>
      <w:pPr>
        <w:ind w:left="786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D604DCC"/>
    <w:multiLevelType w:val="multilevel"/>
    <w:tmpl w:val="2B40A5B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70C0"/>
      </w:rPr>
    </w:lvl>
  </w:abstractNum>
  <w:abstractNum w:abstractNumId="2" w15:restartNumberingAfterBreak="0">
    <w:nsid w:val="3D68004C"/>
    <w:multiLevelType w:val="multilevel"/>
    <w:tmpl w:val="2B40A5B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  <w:color w:val="0070C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70C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70C0"/>
      </w:rPr>
    </w:lvl>
  </w:abstractNum>
  <w:abstractNum w:abstractNumId="3" w15:restartNumberingAfterBreak="0">
    <w:nsid w:val="5DCA48D0"/>
    <w:multiLevelType w:val="hybridMultilevel"/>
    <w:tmpl w:val="24AE9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133AA"/>
    <w:multiLevelType w:val="multilevel"/>
    <w:tmpl w:val="267AA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06831">
    <w:abstractNumId w:val="3"/>
  </w:num>
  <w:num w:numId="2" w16cid:durableId="1981765402">
    <w:abstractNumId w:val="4"/>
  </w:num>
  <w:num w:numId="3" w16cid:durableId="1165898381">
    <w:abstractNumId w:val="2"/>
  </w:num>
  <w:num w:numId="4" w16cid:durableId="1685784999">
    <w:abstractNumId w:val="0"/>
  </w:num>
  <w:num w:numId="5" w16cid:durableId="37770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C1"/>
    <w:rsid w:val="00005072"/>
    <w:rsid w:val="00005B22"/>
    <w:rsid w:val="00026C76"/>
    <w:rsid w:val="00042D55"/>
    <w:rsid w:val="00052226"/>
    <w:rsid w:val="0005459D"/>
    <w:rsid w:val="00063A1D"/>
    <w:rsid w:val="00063F23"/>
    <w:rsid w:val="000C48D6"/>
    <w:rsid w:val="001B3042"/>
    <w:rsid w:val="00263C46"/>
    <w:rsid w:val="0028402D"/>
    <w:rsid w:val="002B75D7"/>
    <w:rsid w:val="002F3F58"/>
    <w:rsid w:val="00307672"/>
    <w:rsid w:val="00397986"/>
    <w:rsid w:val="003D0455"/>
    <w:rsid w:val="003E3FF1"/>
    <w:rsid w:val="003E5428"/>
    <w:rsid w:val="004029D5"/>
    <w:rsid w:val="0040718D"/>
    <w:rsid w:val="00413A38"/>
    <w:rsid w:val="0047725F"/>
    <w:rsid w:val="004A1583"/>
    <w:rsid w:val="004A32EA"/>
    <w:rsid w:val="004B2C0B"/>
    <w:rsid w:val="004B4E5D"/>
    <w:rsid w:val="004C0394"/>
    <w:rsid w:val="004D457C"/>
    <w:rsid w:val="004D5718"/>
    <w:rsid w:val="004E17FF"/>
    <w:rsid w:val="004F0387"/>
    <w:rsid w:val="004F0D9B"/>
    <w:rsid w:val="00500521"/>
    <w:rsid w:val="005112AF"/>
    <w:rsid w:val="0053237D"/>
    <w:rsid w:val="005474AD"/>
    <w:rsid w:val="005C1294"/>
    <w:rsid w:val="005C6F9D"/>
    <w:rsid w:val="005E2B29"/>
    <w:rsid w:val="005F5CE6"/>
    <w:rsid w:val="00625962"/>
    <w:rsid w:val="006427A0"/>
    <w:rsid w:val="00656FCA"/>
    <w:rsid w:val="006751C1"/>
    <w:rsid w:val="006D2A11"/>
    <w:rsid w:val="006F1725"/>
    <w:rsid w:val="006F5426"/>
    <w:rsid w:val="00707912"/>
    <w:rsid w:val="007674EF"/>
    <w:rsid w:val="00770D57"/>
    <w:rsid w:val="00785A0C"/>
    <w:rsid w:val="007A3792"/>
    <w:rsid w:val="007B2394"/>
    <w:rsid w:val="007D2E7E"/>
    <w:rsid w:val="00806B60"/>
    <w:rsid w:val="008368F2"/>
    <w:rsid w:val="00880AC5"/>
    <w:rsid w:val="008A0AFE"/>
    <w:rsid w:val="008A1945"/>
    <w:rsid w:val="008A1D79"/>
    <w:rsid w:val="008C2452"/>
    <w:rsid w:val="008D37D9"/>
    <w:rsid w:val="00907568"/>
    <w:rsid w:val="00911B38"/>
    <w:rsid w:val="009F5CBE"/>
    <w:rsid w:val="00A17FA0"/>
    <w:rsid w:val="00A63B18"/>
    <w:rsid w:val="00A875AC"/>
    <w:rsid w:val="00AB2EB9"/>
    <w:rsid w:val="00AE5BAC"/>
    <w:rsid w:val="00AE5E25"/>
    <w:rsid w:val="00AE6B0C"/>
    <w:rsid w:val="00AF24AC"/>
    <w:rsid w:val="00B02E80"/>
    <w:rsid w:val="00B51A32"/>
    <w:rsid w:val="00B544FE"/>
    <w:rsid w:val="00B70D07"/>
    <w:rsid w:val="00B95862"/>
    <w:rsid w:val="00BE1F65"/>
    <w:rsid w:val="00C0556C"/>
    <w:rsid w:val="00C55AD1"/>
    <w:rsid w:val="00C611AE"/>
    <w:rsid w:val="00C66F23"/>
    <w:rsid w:val="00C865FB"/>
    <w:rsid w:val="00CB3224"/>
    <w:rsid w:val="00CE56FF"/>
    <w:rsid w:val="00CF6B2B"/>
    <w:rsid w:val="00D166A2"/>
    <w:rsid w:val="00D21092"/>
    <w:rsid w:val="00D44F90"/>
    <w:rsid w:val="00D531EE"/>
    <w:rsid w:val="00D81F01"/>
    <w:rsid w:val="00D86345"/>
    <w:rsid w:val="00D87975"/>
    <w:rsid w:val="00DA66A8"/>
    <w:rsid w:val="00DC0026"/>
    <w:rsid w:val="00DC314F"/>
    <w:rsid w:val="00E13F14"/>
    <w:rsid w:val="00E21172"/>
    <w:rsid w:val="00E25DA3"/>
    <w:rsid w:val="00E3270C"/>
    <w:rsid w:val="00E356B4"/>
    <w:rsid w:val="00E51816"/>
    <w:rsid w:val="00E6314D"/>
    <w:rsid w:val="00E87D8D"/>
    <w:rsid w:val="00EE7587"/>
    <w:rsid w:val="00F0233B"/>
    <w:rsid w:val="00F21223"/>
    <w:rsid w:val="00F760B9"/>
    <w:rsid w:val="00F97522"/>
    <w:rsid w:val="00FD1B74"/>
    <w:rsid w:val="00FE1286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00AD"/>
  <w15:docId w15:val="{241929D8-032D-41F8-AC98-B82EEF71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1C1"/>
    <w:pPr>
      <w:spacing w:after="240" w:line="264" w:lineRule="auto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1C1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751C1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6751C1"/>
    <w:rPr>
      <w:sz w:val="12"/>
      <w:szCs w:val="18"/>
    </w:rPr>
  </w:style>
  <w:style w:type="character" w:styleId="slostrnky">
    <w:name w:val="page number"/>
    <w:basedOn w:val="Standardnpsmoodstavce"/>
    <w:uiPriority w:val="99"/>
    <w:unhideWhenUsed/>
    <w:rsid w:val="006751C1"/>
    <w:rPr>
      <w:b/>
      <w:color w:val="C0504D" w:themeColor="accent2"/>
      <w:sz w:val="14"/>
    </w:rPr>
  </w:style>
  <w:style w:type="table" w:styleId="Mkatabulky">
    <w:name w:val="Table Grid"/>
    <w:basedOn w:val="Normlntabulka"/>
    <w:uiPriority w:val="39"/>
    <w:rsid w:val="006751C1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6751C1"/>
    <w:pPr>
      <w:suppressAutoHyphens/>
      <w:spacing w:after="240" w:line="240" w:lineRule="auto"/>
      <w:jc w:val="right"/>
    </w:pPr>
    <w:rPr>
      <w:rFonts w:asciiTheme="majorHAnsi" w:eastAsiaTheme="majorEastAsia" w:hAnsiTheme="majorHAnsi" w:cstheme="majorBidi"/>
      <w:b/>
      <w:color w:val="4F81BD" w:themeColor="accent1"/>
      <w:spacing w:val="-6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751C1"/>
    <w:pPr>
      <w:ind w:left="720"/>
      <w:contextualSpacing/>
    </w:pPr>
  </w:style>
  <w:style w:type="paragraph" w:customStyle="1" w:styleId="StyleNadpis1CenteredLeft0cmFirstline0cm">
    <w:name w:val="Style Nadpis 1 + Centered Left:  0 cm First line:  0 cm"/>
    <w:basedOn w:val="Normln"/>
    <w:semiHidden/>
    <w:rsid w:val="006751C1"/>
    <w:pPr>
      <w:tabs>
        <w:tab w:val="num" w:pos="36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055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55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55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5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5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56C"/>
    <w:rPr>
      <w:rFonts w:ascii="Tahoma" w:hAnsi="Tahoma" w:cs="Tahoma"/>
      <w:sz w:val="16"/>
      <w:szCs w:val="16"/>
    </w:rPr>
  </w:style>
  <w:style w:type="paragraph" w:customStyle="1" w:styleId="Nazev">
    <w:name w:val="Nazev"/>
    <w:basedOn w:val="Nzev"/>
    <w:next w:val="Normln"/>
    <w:qFormat/>
    <w:rsid w:val="003D0455"/>
    <w:pPr>
      <w:pBdr>
        <w:bottom w:val="none" w:sz="0" w:space="0" w:color="auto"/>
      </w:pBdr>
      <w:spacing w:before="840" w:after="480"/>
      <w:contextualSpacing w:val="0"/>
      <w:jc w:val="both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D04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04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70791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6B2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0233B"/>
    <w:pPr>
      <w:spacing w:after="0" w:line="240" w:lineRule="auto"/>
    </w:pPr>
    <w:rPr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0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ravazeleznic.cz/contract_display_15495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4311-348B-4B68-9F7C-8C24260293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Zachová Tereza, Ing.</dc:creator>
  <cp:lastModifiedBy>Chyba Radim, Ing. PhDr.</cp:lastModifiedBy>
  <cp:revision>3</cp:revision>
  <cp:lastPrinted>2025-07-09T12:59:00Z</cp:lastPrinted>
  <dcterms:created xsi:type="dcterms:W3CDTF">2025-07-09T12:59:00Z</dcterms:created>
  <dcterms:modified xsi:type="dcterms:W3CDTF">2025-07-09T12:59:00Z</dcterms:modified>
</cp:coreProperties>
</file>