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1CA9018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AB313C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 xml:space="preserve">– </w:t>
      </w:r>
      <w:r w:rsidR="00AB313C">
        <w:rPr>
          <w:rFonts w:asciiTheme="majorHAnsi" w:eastAsia="Times New Roman" w:hAnsiTheme="majorHAnsi" w:cs="Times New Roman"/>
          <w:lang w:eastAsia="cs-CZ"/>
        </w:rPr>
        <w:t>Seznam p</w:t>
      </w:r>
      <w:r w:rsidR="001C22B6">
        <w:rPr>
          <w:rFonts w:asciiTheme="majorHAnsi" w:eastAsia="Times New Roman" w:hAnsiTheme="majorHAnsi" w:cs="Times New Roman"/>
          <w:lang w:eastAsia="cs-CZ"/>
        </w:rPr>
        <w:t>oddodavatel</w:t>
      </w:r>
      <w:r w:rsidR="00AB313C">
        <w:rPr>
          <w:rFonts w:asciiTheme="majorHAnsi" w:eastAsia="Times New Roman" w:hAnsiTheme="majorHAnsi" w:cs="Times New Roman"/>
          <w:lang w:eastAsia="cs-CZ"/>
        </w:rPr>
        <w:t>ů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26D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154EE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B313C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2024-01-25T09:37:00Z</dcterms:created>
  <dcterms:modified xsi:type="dcterms:W3CDTF">2025-03-06T12:45:00Z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