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8770" w14:textId="77777777" w:rsidR="00014B53" w:rsidRPr="00014B53" w:rsidRDefault="00014B53" w:rsidP="00014B53">
      <w:pPr>
        <w:keepNext/>
        <w:keepLines/>
        <w:suppressAutoHyphens/>
        <w:spacing w:before="320" w:after="0"/>
        <w:outlineLvl w:val="0"/>
        <w:rPr>
          <w:rFonts w:ascii="Verdana" w:eastAsia="MS Gothic" w:hAnsi="Verdana" w:cs="Times New Roman"/>
          <w:b/>
          <w:color w:val="FF5200"/>
          <w:spacing w:val="-6"/>
          <w:sz w:val="36"/>
          <w:szCs w:val="36"/>
        </w:rPr>
      </w:pPr>
      <w:r w:rsidRPr="00014B53">
        <w:rPr>
          <w:rFonts w:ascii="Verdana" w:eastAsia="MS Gothic" w:hAnsi="Verdana" w:cs="Times New Roman"/>
          <w:b/>
          <w:color w:val="FF5200"/>
          <w:spacing w:val="-6"/>
          <w:sz w:val="36"/>
          <w:szCs w:val="36"/>
        </w:rPr>
        <w:t>Předběžná tržní konzultace k „Výběr nástroje pro zpracování a prezentaci ESG dat" – Příloha č. 2</w:t>
      </w:r>
    </w:p>
    <w:p w14:paraId="7712A4AF" w14:textId="77777777" w:rsidR="00014B53" w:rsidRPr="00014B53" w:rsidRDefault="00014B53" w:rsidP="00014B53">
      <w:pPr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Tato příloha obsahuje seznam otázek za účelem ověření dostupnosti a kvality všech požadovaných vlastností cílového řešení.</w:t>
      </w:r>
    </w:p>
    <w:p w14:paraId="2144B4FA" w14:textId="77777777" w:rsidR="00014B53" w:rsidRPr="00014B53" w:rsidRDefault="00014B53" w:rsidP="00014B53">
      <w:pPr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Odpovědí prosím doplňujte do přiložené XLS verze (Příloha č. 2a).</w:t>
      </w:r>
    </w:p>
    <w:p w14:paraId="63DFA7C5" w14:textId="77777777" w:rsidR="00014B53" w:rsidRPr="00014B53" w:rsidRDefault="00014B53" w:rsidP="00014B53">
      <w:pPr>
        <w:keepNext/>
        <w:keepLines/>
        <w:pBdr>
          <w:top w:val="single" w:sz="4" w:space="1" w:color="00A1E0"/>
        </w:pBdr>
        <w:spacing w:before="240"/>
        <w:outlineLvl w:val="1"/>
        <w:rPr>
          <w:rFonts w:ascii="Verdana" w:eastAsia="MS Gothic" w:hAnsi="Verdana" w:cs="Times New Roman"/>
          <w:b/>
          <w:color w:val="00A1E0"/>
          <w:sz w:val="24"/>
          <w:szCs w:val="24"/>
        </w:rPr>
      </w:pPr>
      <w:r w:rsidRPr="00014B53">
        <w:rPr>
          <w:rFonts w:ascii="Verdana" w:eastAsia="MS Gothic" w:hAnsi="Verdana" w:cs="Times New Roman"/>
          <w:b/>
          <w:color w:val="00A1E0"/>
          <w:sz w:val="24"/>
          <w:szCs w:val="24"/>
        </w:rPr>
        <w:t>Dotazy k přípravě implementace a k technickému řešení</w:t>
      </w:r>
    </w:p>
    <w:p w14:paraId="16341F50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S jakými výzvami se organizace typicky setkávají při identifikaci a integraci datových zdrojů pro ESG reporting?</w:t>
      </w:r>
    </w:p>
    <w:p w14:paraId="68A2055E" w14:textId="77777777" w:rsidR="00014B53" w:rsidRPr="00014B53" w:rsidRDefault="00014B53" w:rsidP="00014B53">
      <w:pPr>
        <w:numPr>
          <w:ilvl w:val="1"/>
          <w:numId w:val="9"/>
        </w:numPr>
        <w:spacing w:after="0"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Popište běžné překážky a způsoby jejich překonávání při implementaci ESG nástrojů.</w:t>
      </w:r>
    </w:p>
    <w:p w14:paraId="2AB4E807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možnosti importu dat z různých formátů (CSV, PDF, DOCX, PPTX, XLSX atd.) by mělo ESG řešení nabízet?</w:t>
      </w:r>
    </w:p>
    <w:p w14:paraId="79361833" w14:textId="77777777" w:rsidR="00014B53" w:rsidRPr="00014B53" w:rsidRDefault="00014B53" w:rsidP="00014B53">
      <w:pPr>
        <w:numPr>
          <w:ilvl w:val="1"/>
          <w:numId w:val="9"/>
        </w:numPr>
        <w:spacing w:after="0"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Jaké jsou limity a omezení při zpracování těchto formátů</w:t>
      </w:r>
    </w:p>
    <w:p w14:paraId="2B4B5D8E" w14:textId="77777777" w:rsidR="00014B53" w:rsidRPr="00014B53" w:rsidRDefault="00014B53" w:rsidP="00014B53">
      <w:pPr>
        <w:numPr>
          <w:ilvl w:val="0"/>
          <w:numId w:val="9"/>
        </w:numPr>
        <w:spacing w:after="0"/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funkcionality moderních ESG nástrojů nejvíce usnadňují proces analýzy datových zdrojů a definice metrik?</w:t>
      </w:r>
    </w:p>
    <w:p w14:paraId="0550E256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Specifikujte klíčové vlastnosti a funkce, které by měl obsahovat efektivní nástroj pro ESG reporting.</w:t>
      </w:r>
    </w:p>
    <w:p w14:paraId="0B07B73E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Je vámi nabízený nástroj v souladu s aktuálními požadavky CSRD a ESRS?</w:t>
      </w:r>
    </w:p>
    <w:p w14:paraId="420D6944" w14:textId="77777777" w:rsidR="00014B53" w:rsidRPr="00014B53" w:rsidRDefault="00014B53" w:rsidP="00014B53">
      <w:pPr>
        <w:numPr>
          <w:ilvl w:val="1"/>
          <w:numId w:val="9"/>
        </w:numPr>
        <w:spacing w:after="0"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Uveďte, které konkrétní požadavky legislativy váš nástroj pokrývá a jakým způsobem je připraven na případné budoucí změny v těchto standardech.</w:t>
      </w:r>
    </w:p>
    <w:p w14:paraId="178C21D5" w14:textId="77777777" w:rsidR="00014B53" w:rsidRPr="00014B53" w:rsidRDefault="00014B53" w:rsidP="00014B53">
      <w:pPr>
        <w:numPr>
          <w:ilvl w:val="0"/>
          <w:numId w:val="9"/>
        </w:numPr>
        <w:spacing w:after="0"/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klíčové funkcionality nabízí vaše řešení pro správu ESG dat?</w:t>
      </w:r>
    </w:p>
    <w:p w14:paraId="75FAB0D5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 xml:space="preserve">Popište možnosti správy metrik, KPI, datových struktur a </w:t>
      </w:r>
      <w:proofErr w:type="spellStart"/>
      <w:r w:rsidRPr="00014B53">
        <w:rPr>
          <w:rFonts w:ascii="Verdana" w:eastAsia="Verdana" w:hAnsi="Verdana" w:cs="Times New Roman"/>
        </w:rPr>
        <w:t>workflow</w:t>
      </w:r>
      <w:proofErr w:type="spellEnd"/>
      <w:r w:rsidRPr="00014B53">
        <w:rPr>
          <w:rFonts w:ascii="Verdana" w:eastAsia="Verdana" w:hAnsi="Verdana" w:cs="Times New Roman"/>
        </w:rPr>
        <w:t xml:space="preserve"> procesů.</w:t>
      </w:r>
    </w:p>
    <w:p w14:paraId="2D5ECE05" w14:textId="77777777" w:rsidR="00014B53" w:rsidRPr="00014B53" w:rsidRDefault="00014B53" w:rsidP="00014B53">
      <w:pPr>
        <w:numPr>
          <w:ilvl w:val="0"/>
          <w:numId w:val="9"/>
        </w:numPr>
        <w:spacing w:after="0"/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metody sběru a validace dat vaše řešení podporuje?</w:t>
      </w:r>
    </w:p>
    <w:p w14:paraId="29126C5C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Uveďte podporované metody automatizovaného sběru dat, validační mechanismy a nástroje pro zajištění kvality dat.</w:t>
      </w:r>
    </w:p>
    <w:p w14:paraId="42D3D765" w14:textId="77777777" w:rsidR="00014B53" w:rsidRPr="00014B53" w:rsidRDefault="00014B53" w:rsidP="00014B53">
      <w:pPr>
        <w:numPr>
          <w:ilvl w:val="0"/>
          <w:numId w:val="9"/>
        </w:numPr>
        <w:spacing w:after="0"/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 vaše řešení podporuje reporting a vizualizaci ESG dat?</w:t>
      </w:r>
    </w:p>
    <w:p w14:paraId="53FB0C97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Popište reportingové nástroje, typy dashboardů a možnosti exportu dat.</w:t>
      </w:r>
    </w:p>
    <w:p w14:paraId="611EE0F5" w14:textId="77777777" w:rsidR="00014B53" w:rsidRPr="00014B53" w:rsidRDefault="00014B53" w:rsidP="00014B53">
      <w:pPr>
        <w:numPr>
          <w:ilvl w:val="0"/>
          <w:numId w:val="9"/>
        </w:numPr>
        <w:spacing w:after="0"/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Využívá váš nástroj AI?</w:t>
      </w:r>
    </w:p>
    <w:p w14:paraId="78A90A9D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Pokud ano, popište případné využití AI (v jakých fázích procesu či pouze při tvorbě finální Zprávy o udržitelnosti apod.).</w:t>
      </w:r>
    </w:p>
    <w:p w14:paraId="080933A8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Které bezpečnostní funkce považujete za nezbytné pro ESG reportingový nástroj?</w:t>
      </w:r>
    </w:p>
    <w:p w14:paraId="640F6901" w14:textId="77777777" w:rsidR="00014B53" w:rsidRPr="00014B53" w:rsidRDefault="00014B53" w:rsidP="00014B53">
      <w:pPr>
        <w:numPr>
          <w:ilvl w:val="1"/>
          <w:numId w:val="9"/>
        </w:numPr>
        <w:spacing w:after="0"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Jaké konkrétní funkcionality v oblasti autentizace, řízení přístupů a auditních mechanismů by měl ESG nástroj obsahovat, aby splňoval požadavky zákona o kybernetické bezpečnosti.</w:t>
      </w:r>
    </w:p>
    <w:p w14:paraId="3E3C3550" w14:textId="77777777" w:rsidR="00014B53" w:rsidRPr="00014B53" w:rsidRDefault="00014B53" w:rsidP="00014B53">
      <w:pPr>
        <w:numPr>
          <w:ilvl w:val="0"/>
          <w:numId w:val="9"/>
        </w:numPr>
        <w:spacing w:after="0"/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jsou požadavky na infrastrukturu a jak je zajištěna škálovatelnost?</w:t>
      </w:r>
    </w:p>
    <w:p w14:paraId="26D611C2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Specifikujte hardwarové a softwarové požadavky pro on-premise nebo cloudové nasazení a mechanismy škálovatelnosti.</w:t>
      </w:r>
    </w:p>
    <w:p w14:paraId="7D741531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možnosti integrace nabízí vaše řešení?</w:t>
      </w:r>
    </w:p>
    <w:p w14:paraId="695DF135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  <w:lang w:val="en-US"/>
        </w:rPr>
      </w:pPr>
      <w:proofErr w:type="spellStart"/>
      <w:r w:rsidRPr="00014B53">
        <w:rPr>
          <w:rFonts w:ascii="Verdana" w:eastAsia="Verdana" w:hAnsi="Verdana" w:cs="Times New Roman"/>
          <w:lang w:val="en-US"/>
        </w:rPr>
        <w:t>Popište</w:t>
      </w:r>
      <w:proofErr w:type="spellEnd"/>
      <w:r w:rsidRPr="00014B53">
        <w:rPr>
          <w:rFonts w:ascii="Verdana" w:eastAsia="Verdana" w:hAnsi="Verdana" w:cs="Times New Roman"/>
          <w:lang w:val="en-US"/>
        </w:rPr>
        <w:t xml:space="preserve"> </w:t>
      </w:r>
      <w:proofErr w:type="spellStart"/>
      <w:r w:rsidRPr="00014B53">
        <w:rPr>
          <w:rFonts w:ascii="Verdana" w:eastAsia="Verdana" w:hAnsi="Verdana" w:cs="Times New Roman"/>
          <w:lang w:val="en-US"/>
        </w:rPr>
        <w:t>integraci</w:t>
      </w:r>
      <w:proofErr w:type="spellEnd"/>
      <w:r w:rsidRPr="00014B53">
        <w:rPr>
          <w:rFonts w:ascii="Verdana" w:eastAsia="Verdana" w:hAnsi="Verdana" w:cs="Times New Roman"/>
          <w:lang w:val="en-US"/>
        </w:rPr>
        <w:t xml:space="preserve"> s Active Directory, SSO, MS Office, MS Teams, SAP a </w:t>
      </w:r>
      <w:proofErr w:type="spellStart"/>
      <w:r w:rsidRPr="00014B53">
        <w:rPr>
          <w:rFonts w:ascii="Verdana" w:eastAsia="Verdana" w:hAnsi="Verdana" w:cs="Times New Roman"/>
          <w:lang w:val="en-US"/>
        </w:rPr>
        <w:t>dalšími</w:t>
      </w:r>
      <w:proofErr w:type="spellEnd"/>
      <w:r w:rsidRPr="00014B53">
        <w:rPr>
          <w:rFonts w:ascii="Verdana" w:eastAsia="Verdana" w:hAnsi="Verdana" w:cs="Times New Roman"/>
          <w:lang w:val="en-US"/>
        </w:rPr>
        <w:t xml:space="preserve"> </w:t>
      </w:r>
      <w:proofErr w:type="spellStart"/>
      <w:r w:rsidRPr="00014B53">
        <w:rPr>
          <w:rFonts w:ascii="Verdana" w:eastAsia="Verdana" w:hAnsi="Verdana" w:cs="Times New Roman"/>
          <w:lang w:val="en-US"/>
        </w:rPr>
        <w:t>systémy</w:t>
      </w:r>
      <w:proofErr w:type="spellEnd"/>
      <w:r w:rsidRPr="00014B53">
        <w:rPr>
          <w:rFonts w:ascii="Verdana" w:eastAsia="Verdana" w:hAnsi="Verdana" w:cs="Times New Roman"/>
          <w:lang w:val="en-US"/>
        </w:rPr>
        <w:t>.</w:t>
      </w:r>
    </w:p>
    <w:p w14:paraId="53FB7A8F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jsou aktuální standardy a osvědčené postupy pro monitoring a logování v ESG reportingových nástrojích?</w:t>
      </w:r>
    </w:p>
    <w:p w14:paraId="7199A6E6" w14:textId="77777777" w:rsidR="00014B53" w:rsidRPr="00014B53" w:rsidRDefault="00014B53" w:rsidP="00014B53">
      <w:pPr>
        <w:numPr>
          <w:ilvl w:val="1"/>
          <w:numId w:val="9"/>
        </w:numPr>
        <w:spacing w:after="0"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Popište typy událostí, které by měly být standardně logovány v ESG nástroji a jaké monitorovací funkce jsou klíčové pro zajištění bezpečnosti a výkonnosti.</w:t>
      </w:r>
    </w:p>
    <w:p w14:paraId="2EA4B56D" w14:textId="77777777" w:rsidR="00014B53" w:rsidRPr="00014B53" w:rsidRDefault="00014B53" w:rsidP="00014B53">
      <w:pPr>
        <w:numPr>
          <w:ilvl w:val="0"/>
          <w:numId w:val="9"/>
        </w:numPr>
        <w:spacing w:after="0"/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 xml:space="preserve">Jaký licenční model nabízíte a </w:t>
      </w:r>
      <w:proofErr w:type="spellStart"/>
      <w:r w:rsidRPr="00014B53">
        <w:rPr>
          <w:rFonts w:ascii="Verdana" w:eastAsia="Verdana" w:hAnsi="Verdana" w:cs="Times New Roman"/>
          <w:b/>
          <w:bCs/>
        </w:rPr>
        <w:t>a</w:t>
      </w:r>
      <w:proofErr w:type="spellEnd"/>
      <w:r w:rsidRPr="00014B53">
        <w:rPr>
          <w:rFonts w:ascii="Verdana" w:eastAsia="Verdana" w:hAnsi="Verdana" w:cs="Times New Roman"/>
          <w:b/>
          <w:bCs/>
        </w:rPr>
        <w:t xml:space="preserve"> jak řešíte flexibilní změny počtu uživatelů?</w:t>
      </w:r>
    </w:p>
    <w:p w14:paraId="7FD0D16A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Popište mechanismus licencování, navyšování či snižování počtu uživatelských licencí a cenové podmínky pro různé typy uživatelů.</w:t>
      </w:r>
    </w:p>
    <w:p w14:paraId="08FEBFE7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 xml:space="preserve">Je pro vás níže uvedený požadavek na úrovně podpory a reakční doby splnitelný? Pokud ne, uveďte, jaké parametry SLA můžete garantovat a jaké jsou případné </w:t>
      </w:r>
      <w:r w:rsidRPr="00014B53">
        <w:rPr>
          <w:rFonts w:ascii="Verdana" w:eastAsia="Verdana" w:hAnsi="Verdana" w:cs="Times New Roman"/>
          <w:b/>
          <w:bCs/>
        </w:rPr>
        <w:lastRenderedPageBreak/>
        <w:t>limity či podmínky, zejména s ohledem na reakční dobu pro kritické incidenty mimo pracovní dobu.</w:t>
      </w:r>
    </w:p>
    <w:p w14:paraId="3014C614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Reakční doba pro incidenty klasifikované jako kritické (priorita 1) nesmí překročit: 2 hodiny v pracovní době (Po–Pá, 8:00–17:00) 24 hodin mimo pracovní dobu, o víkendech a svátcích.</w:t>
      </w:r>
    </w:p>
    <w:p w14:paraId="27FFB9D8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úpravy navrhovaného složení realizačního týmu a kvalifikačních požadavků (Příloha č. 1) byste doporučili?</w:t>
      </w:r>
    </w:p>
    <w:p w14:paraId="18895F60" w14:textId="77777777" w:rsidR="00014B53" w:rsidRPr="00014B53" w:rsidRDefault="00014B53" w:rsidP="00014B53">
      <w:pPr>
        <w:numPr>
          <w:ilvl w:val="1"/>
          <w:numId w:val="9"/>
        </w:numPr>
        <w:spacing w:after="0"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Zhodnoťte námi navržené složení týmu (Příloha č. 1) z hlediska potřeb různých fází projektu (analýza, implementace, testování, školení, podpora).</w:t>
      </w:r>
    </w:p>
    <w:p w14:paraId="691C996C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Které role jsou klíčové v jednotlivých fázích a jak by mělo být nastaveno jejich zapojení?</w:t>
      </w:r>
    </w:p>
    <w:p w14:paraId="0936C33E" w14:textId="77777777" w:rsidR="00014B53" w:rsidRPr="00014B53" w:rsidRDefault="00014B53" w:rsidP="00014B53">
      <w:pPr>
        <w:numPr>
          <w:ilvl w:val="1"/>
          <w:numId w:val="9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Jaké úpravy byste doporučili pro optimální využití týmu napříč celým projektem?</w:t>
      </w:r>
    </w:p>
    <w:p w14:paraId="14ECD06E" w14:textId="77777777" w:rsidR="00014B53" w:rsidRPr="00014B53" w:rsidRDefault="00014B53" w:rsidP="00014B53">
      <w:pPr>
        <w:numPr>
          <w:ilvl w:val="0"/>
          <w:numId w:val="9"/>
        </w:numPr>
        <w:spacing w:after="0"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Jaký harmonogram implementace navrhujete?</w:t>
      </w:r>
    </w:p>
    <w:p w14:paraId="5C04DA8F" w14:textId="77777777" w:rsidR="00014B53" w:rsidRPr="00014B53" w:rsidRDefault="00014B53" w:rsidP="00014B53">
      <w:pPr>
        <w:numPr>
          <w:ilvl w:val="1"/>
          <w:numId w:val="9"/>
        </w:numPr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Vyjádřete se k předpokládanému harmonogramu a případně navrhněte úpravy.</w:t>
      </w:r>
    </w:p>
    <w:p w14:paraId="41418E8B" w14:textId="77777777" w:rsidR="00014B53" w:rsidRPr="00014B53" w:rsidRDefault="00014B53" w:rsidP="00014B53">
      <w:pPr>
        <w:numPr>
          <w:ilvl w:val="0"/>
          <w:numId w:val="9"/>
        </w:numPr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faktory považujete za klíčové pro úspěšnou implementaci?</w:t>
      </w:r>
    </w:p>
    <w:p w14:paraId="0B06483C" w14:textId="77777777" w:rsidR="00014B53" w:rsidRPr="00014B53" w:rsidRDefault="00014B53" w:rsidP="00014B53">
      <w:pPr>
        <w:numPr>
          <w:ilvl w:val="1"/>
          <w:numId w:val="9"/>
        </w:numPr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Identifikujte kritické faktory úspěchu a způsoby jejich zajištění.</w:t>
      </w:r>
    </w:p>
    <w:p w14:paraId="0B0DE231" w14:textId="77777777" w:rsidR="00014B53" w:rsidRPr="00014B53" w:rsidRDefault="00014B53" w:rsidP="00014B53">
      <w:pPr>
        <w:numPr>
          <w:ilvl w:val="0"/>
          <w:numId w:val="9"/>
        </w:numPr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Jaká je předpokládaná cenová kalkulace jednotlivých částí projektu?</w:t>
      </w:r>
    </w:p>
    <w:p w14:paraId="2EAB34B7" w14:textId="77777777" w:rsidR="00014B53" w:rsidRPr="00014B53" w:rsidRDefault="00014B53" w:rsidP="00014B53">
      <w:pPr>
        <w:numPr>
          <w:ilvl w:val="1"/>
          <w:numId w:val="9"/>
        </w:numPr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Uveďte orientační cenovou indikaci pro analýzu, implementaci, licence, integraci a podporu.</w:t>
      </w:r>
    </w:p>
    <w:p w14:paraId="79120BD2" w14:textId="77777777" w:rsidR="00014B53" w:rsidRPr="00014B53" w:rsidRDefault="00014B53" w:rsidP="00014B53">
      <w:pPr>
        <w:numPr>
          <w:ilvl w:val="0"/>
          <w:numId w:val="9"/>
        </w:numPr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specifické výzvy očekáváte při implementaci v prostředí SŽ?</w:t>
      </w:r>
    </w:p>
    <w:p w14:paraId="445C7219" w14:textId="77777777" w:rsidR="00014B53" w:rsidRPr="00014B53" w:rsidRDefault="00014B53" w:rsidP="00014B53">
      <w:pPr>
        <w:numPr>
          <w:ilvl w:val="1"/>
          <w:numId w:val="9"/>
        </w:numPr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Identifikujte potenciální rizika a navrhněte strategie jejich řešení.</w:t>
      </w:r>
    </w:p>
    <w:p w14:paraId="2991F7D5" w14:textId="77777777" w:rsidR="00014B53" w:rsidRPr="00014B53" w:rsidRDefault="00014B53" w:rsidP="00014B53">
      <w:pPr>
        <w:numPr>
          <w:ilvl w:val="0"/>
          <w:numId w:val="9"/>
        </w:numPr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Jaké požadavky na součinnost ze strany SŽ předpokládáte?</w:t>
      </w:r>
    </w:p>
    <w:p w14:paraId="5FDD7C8B" w14:textId="77777777" w:rsidR="00014B53" w:rsidRPr="00014B53" w:rsidRDefault="00014B53" w:rsidP="00014B53">
      <w:pPr>
        <w:numPr>
          <w:ilvl w:val="1"/>
          <w:numId w:val="9"/>
        </w:numPr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Specifikujte očekávanou součinnost v jednotlivých fázích projektu.</w:t>
      </w:r>
    </w:p>
    <w:p w14:paraId="4EFFDC5A" w14:textId="77777777" w:rsidR="00014B53" w:rsidRPr="00014B53" w:rsidRDefault="00014B53" w:rsidP="00014B53">
      <w:pPr>
        <w:numPr>
          <w:ilvl w:val="0"/>
          <w:numId w:val="9"/>
        </w:numPr>
        <w:contextualSpacing/>
        <w:jc w:val="both"/>
        <w:rPr>
          <w:rFonts w:ascii="Verdana" w:eastAsia="Verdana" w:hAnsi="Verdana" w:cs="Times New Roman"/>
          <w:b/>
          <w:bCs/>
        </w:rPr>
      </w:pPr>
      <w:r w:rsidRPr="00014B53">
        <w:rPr>
          <w:rFonts w:ascii="Verdana" w:eastAsia="Verdana" w:hAnsi="Verdana" w:cs="Times New Roman"/>
          <w:b/>
          <w:bCs/>
        </w:rPr>
        <w:t>Uveďte následující informace:</w:t>
      </w:r>
    </w:p>
    <w:p w14:paraId="48B54C33" w14:textId="77777777" w:rsidR="00014B53" w:rsidRPr="00014B53" w:rsidRDefault="00014B53" w:rsidP="00014B53">
      <w:pPr>
        <w:numPr>
          <w:ilvl w:val="1"/>
          <w:numId w:val="8"/>
        </w:numPr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Detailní profil společnosti, portfolio produktů a služeb se zaměřením na ESG řešení.</w:t>
      </w:r>
    </w:p>
    <w:p w14:paraId="6E3922C1" w14:textId="77777777" w:rsidR="00014B53" w:rsidRPr="00014B53" w:rsidRDefault="00014B53" w:rsidP="00014B53">
      <w:pPr>
        <w:numPr>
          <w:ilvl w:val="1"/>
          <w:numId w:val="8"/>
        </w:numPr>
        <w:spacing w:after="0"/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Konkrétní platební a záruční podmínky, včetně délky záruky a rozsahu podpory nabízeného nástroje pro oblast ESG.</w:t>
      </w:r>
    </w:p>
    <w:p w14:paraId="20F74B57" w14:textId="77777777" w:rsidR="00014B53" w:rsidRPr="00014B53" w:rsidRDefault="00014B53" w:rsidP="00014B53">
      <w:pPr>
        <w:numPr>
          <w:ilvl w:val="2"/>
          <w:numId w:val="8"/>
        </w:numPr>
        <w:spacing w:after="0"/>
        <w:contextualSpacing/>
        <w:jc w:val="both"/>
        <w:rPr>
          <w:rFonts w:ascii="Verdana" w:eastAsia="Verdana" w:hAnsi="Verdana" w:cs="Times New Roman"/>
          <w:i/>
          <w:iCs/>
        </w:rPr>
      </w:pPr>
      <w:r w:rsidRPr="00014B53">
        <w:rPr>
          <w:rFonts w:ascii="Verdana" w:eastAsia="Verdana" w:hAnsi="Verdana" w:cs="Times New Roman"/>
        </w:rPr>
        <w:t xml:space="preserve">Komentář: </w:t>
      </w:r>
      <w:r w:rsidRPr="00014B53">
        <w:rPr>
          <w:rFonts w:ascii="Verdana" w:eastAsia="Verdana" w:hAnsi="Verdana" w:cs="Times New Roman"/>
          <w:i/>
          <w:iCs/>
        </w:rPr>
        <w:t>Jsme si vědomi, že platební a záruční podmínky mohou být předmětem individuální dohody v rámci smluvního jednání. Uveďte proto vaše standardní podmínky, případně možnosti jejich úpravy a dopad na celkovou cenu.</w:t>
      </w:r>
    </w:p>
    <w:p w14:paraId="4A11FA95" w14:textId="77777777" w:rsidR="00014B53" w:rsidRPr="00014B53" w:rsidRDefault="00014B53" w:rsidP="00014B53">
      <w:pPr>
        <w:numPr>
          <w:ilvl w:val="1"/>
          <w:numId w:val="8"/>
        </w:numPr>
        <w:spacing w:after="0"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</w:rPr>
        <w:t>Seznam realizovaných ESG implementací v souladu s CSRD a ESRS s kontaktními osobami pro ověření.</w:t>
      </w:r>
    </w:p>
    <w:p w14:paraId="2EC705E3" w14:textId="77777777" w:rsidR="00014B53" w:rsidRPr="00014B53" w:rsidRDefault="00014B53" w:rsidP="00014B53">
      <w:pPr>
        <w:numPr>
          <w:ilvl w:val="0"/>
          <w:numId w:val="9"/>
        </w:numPr>
        <w:contextualSpacing/>
        <w:jc w:val="both"/>
        <w:rPr>
          <w:rFonts w:ascii="Verdana" w:eastAsia="Verdana" w:hAnsi="Verdana" w:cs="Times New Roman"/>
        </w:rPr>
      </w:pPr>
      <w:r w:rsidRPr="00014B53">
        <w:rPr>
          <w:rFonts w:ascii="Verdana" w:eastAsia="Verdana" w:hAnsi="Verdana" w:cs="Times New Roman"/>
          <w:b/>
          <w:bCs/>
        </w:rPr>
        <w:t>V případě, že považujete za vhodné nám sdělit Vaše další komentáře nebo doporučení k předmětu této PTK nebo možným budoucím veřejným zakázkám s PTK spojených, prosíme o vaše další vyjádření.</w:t>
      </w:r>
    </w:p>
    <w:p w14:paraId="38CF823F" w14:textId="77777777" w:rsidR="003727EC" w:rsidRPr="00014B53" w:rsidRDefault="003727EC" w:rsidP="00014B53"/>
    <w:sectPr w:rsidR="003727EC" w:rsidRPr="00014B5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6056" w14:textId="77777777" w:rsidR="003953BE" w:rsidRDefault="003953BE" w:rsidP="000F5011">
      <w:pPr>
        <w:spacing w:after="0" w:line="240" w:lineRule="auto"/>
      </w:pPr>
      <w:r>
        <w:separator/>
      </w:r>
    </w:p>
  </w:endnote>
  <w:endnote w:type="continuationSeparator" w:id="0">
    <w:p w14:paraId="4C5D0665" w14:textId="77777777" w:rsidR="003953BE" w:rsidRDefault="003953BE" w:rsidP="000F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0829" w14:textId="77777777" w:rsidR="003953BE" w:rsidRDefault="003953BE" w:rsidP="000F5011">
      <w:pPr>
        <w:spacing w:after="0" w:line="240" w:lineRule="auto"/>
      </w:pPr>
      <w:r>
        <w:separator/>
      </w:r>
    </w:p>
  </w:footnote>
  <w:footnote w:type="continuationSeparator" w:id="0">
    <w:p w14:paraId="37F4E109" w14:textId="77777777" w:rsidR="003953BE" w:rsidRDefault="003953BE" w:rsidP="000F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23C6" w14:textId="75FC987C" w:rsidR="000F5011" w:rsidRDefault="000F501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2C621" wp14:editId="7168EC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09245"/>
              <wp:effectExtent l="0" t="0" r="1270" b="14605"/>
              <wp:wrapNone/>
              <wp:docPr id="212372977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65A75" w14:textId="45391DC9" w:rsidR="000F5011" w:rsidRPr="000F5011" w:rsidRDefault="000F5011" w:rsidP="000F501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F501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2C6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3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BYCQIAABUEAAAOAAAAZHJzL2Uyb0RvYy54bWysU8Fu2zAMvQ/YPwi6L3bSdFiM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Y5zcY4Ri6yRez+W1Eya4/W+fDNwGaRKOkDreSyGKn&#10;rQ996pgSaxnYNEqlzSjzmwMxoye7dhit0O27oe09VGecxkG/aG/5psGaW+bDM3O4WWwT1Rqe8JAK&#10;2pLCYFFSg/v5N3/MR8IxSkmLSimpQSlTor4bXEQUVTKmi/w2x5sb3fvRMEd9D6i/KT4Fy5MZ84Ia&#10;TelAv6KO17EQhpjhWK6kYTTvQy9ZfAdcrNcpCfVjWdianeUROvIUSXzpXpmzA9MBV/QIo4xY8Y7w&#10;Pjf+6e36GJD2tI3IaU/kQDVqL+1zeCdR3G/vKev6mle/AAAA//8DAFBLAwQUAAYACAAAACEAuhZL&#10;V9oAAAADAQAADwAAAGRycy9kb3ducmV2LnhtbEyPzW7CMBCE75V4B2uReitOqtKgNA5CSBy4Ufpz&#10;XuJtkhKvo9hAytN320t7GWk1q5lviuXoOnWmIbSeDaSzBBRx5W3LtYHXl83dAlSIyBY7z2TgiwIs&#10;y8lNgbn1F36m8z7WSkI45GigibHPtQ5VQw7DzPfE4n34wWGUc6i1HfAi4a7T90nyqB22LA0N9rRu&#10;qDruT85AO1/5mNLbdvP57lKfXnfb+XVnzO10XD2BijTGv2f4wRd0KIXp4E9sg+oMyJD4q+Jlmaw4&#10;GHhYZKDLQv9nL78BAAD//wMAUEsBAi0AFAAGAAgAAAAhALaDOJL+AAAA4QEAABMAAAAAAAAAAAAA&#10;AAAAAAAAAFtDb250ZW50X1R5cGVzXS54bWxQSwECLQAUAAYACAAAACEAOP0h/9YAAACUAQAACwAA&#10;AAAAAAAAAAAAAAAvAQAAX3JlbHMvLnJlbHNQSwECLQAUAAYACAAAACEAb6nAWAkCAAAVBAAADgAA&#10;AAAAAAAAAAAAAAAuAgAAZHJzL2Uyb0RvYy54bWxQSwECLQAUAAYACAAAACEAuhZLV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9365A75" w14:textId="45391DC9" w:rsidR="000F5011" w:rsidRPr="000F5011" w:rsidRDefault="000F5011" w:rsidP="000F501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F501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2ED3" w14:textId="65AD9908" w:rsidR="000F5011" w:rsidRDefault="000F501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D4AD5C" wp14:editId="2D2A1CE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09245"/>
              <wp:effectExtent l="0" t="0" r="1270" b="14605"/>
              <wp:wrapNone/>
              <wp:docPr id="1571063405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32BC2" w14:textId="5CC29AD3" w:rsidR="000F5011" w:rsidRPr="000F5011" w:rsidRDefault="000F5011" w:rsidP="000F501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F501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4AD5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3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NUCwIAABwEAAAOAAAAZHJzL2Uyb0RvYy54bWysU8Fu2zAMvQ/YPwi6L3bSdFiM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Y5zcY4Ri6yRez+W1Eya4/W+fDNwGaRKOkDreSyGKn&#10;rQ996pgSaxnYNEqlzSjzmwMxoye7dhit0O070lRvut9DdcahHPT79pZvGiy9ZT48M4cLxm5RtOEJ&#10;D6mgLSkMFiU1uJ9/88d85B2jlLQomJIaVDQl6rvBfURtJWO6yG9zvLnRvR8Nc9T3gDKc4ouwPJkx&#10;L6jRlA70K8p5HQthiBmO5UoaRvM+9MrF58DFep2SUEaWha3ZWR6hI12Ry5fulTk7EB5wU48wqokV&#10;73jvc+Of3q6PAdlPS4nU9kQOjKME01qH5xI1/vaesq6PevULAAD//wMAUEsDBBQABgAIAAAAIQC6&#10;FktX2gAAAAMBAAAPAAAAZHJzL2Rvd25yZXYueG1sTI/NbsIwEITvlXgHa5F6K06q0qA0DkJIHLhR&#10;+nNe4m2SEq+j2EDK03fbS3sZaTWrmW+K5eg6daYhtJ4NpLMEFHHlbcu1gdeXzd0CVIjIFjvPZOCL&#10;AizLyU2BufUXfqbzPtZKQjjkaKCJsc+1DlVDDsPM98TiffjBYZRzqLUd8CLhrtP3SfKoHbYsDQ32&#10;tG6oOu5PzkA7X/mY0tt28/nuUp9ed9v5dWfM7XRcPYGKNMa/Z/jBF3QohengT2yD6gzIkPir4mWZ&#10;rDgYeFhkoMtC/2cvvwEAAP//AwBQSwECLQAUAAYACAAAACEAtoM4kv4AAADhAQAAEwAAAAAAAAAA&#10;AAAAAAAAAAAAW0NvbnRlbnRfVHlwZXNdLnhtbFBLAQItABQABgAIAAAAIQA4/SH/1gAAAJQBAAAL&#10;AAAAAAAAAAAAAAAAAC8BAABfcmVscy8ucmVsc1BLAQItABQABgAIAAAAIQBW8jNUCwIAABwEAAAO&#10;AAAAAAAAAAAAAAAAAC4CAABkcnMvZTJvRG9jLnhtbFBLAQItABQABgAIAAAAIQC6Fkt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7532BC2" w14:textId="5CC29AD3" w:rsidR="000F5011" w:rsidRPr="000F5011" w:rsidRDefault="000F5011" w:rsidP="000F501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F501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FBDD" w14:textId="621092AE" w:rsidR="000F5011" w:rsidRDefault="000F501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D80031" wp14:editId="0DE960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09245"/>
              <wp:effectExtent l="0" t="0" r="1270" b="14605"/>
              <wp:wrapNone/>
              <wp:docPr id="186875918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C6F97" w14:textId="2DD1DE54" w:rsidR="000F5011" w:rsidRPr="000F5011" w:rsidRDefault="000F5011" w:rsidP="000F501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F501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8003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3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QSDQIAABwEAAAOAAAAZHJzL2Uyb0RvYy54bWysU8Fu2zAMvQ/YPwi6L3bSdFiM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Y5zcY4Ri6yRez+W1Eya4/W+fDNwGaRKOkDreSyGKn&#10;rQ996pgSaxnYNEqlzSjzmwMxoye7dhit0O070lQlnY3d76E641AO+n17yzcNlt4yH56ZwwVjtyja&#10;8ISHVNCWFAaLkhrcz7/5Yz7yjlFKWhRMSQ0qmhL13eA+oraSMV3ktzne3Ojej4Y56ntAGU7xRVie&#10;zJgX1GhKB/oV5byOhTDEDMdyJQ2jeR965eJz4GK9TkkoI8vC1uwsj9CRrsjlS/fKnB0ID7ipRxjV&#10;xIp3vPe58U9v18eA7KelRGp7IgfGUYJprcNziRp/e09Z10e9+gUAAP//AwBQSwMEFAAGAAgAAAAh&#10;ALoWS1faAAAAAwEAAA8AAABkcnMvZG93bnJldi54bWxMj81uwjAQhO+VeAdrkXorTqrSoDQOQkgc&#10;uFH6c17ibZISr6PYQMrTd9tLexlpNauZb4rl6Dp1piG0ng2kswQUceVty7WB15fN3QJUiMgWO89k&#10;4IsCLMvJTYG59Rd+pvM+1kpCOORooImxz7UOVUMOw8z3xOJ9+MFhlHOotR3wIuGu0/dJ8qgdtiwN&#10;Dfa0bqg67k/OQDtf+ZjS23bz+e5Sn1532/l1Z8ztdFw9gYo0xr9n+MEXdCiF6eBPbIPqDMiQ+Kvi&#10;ZZmsOBh4WGSgy0L/Zy+/AQAA//8DAFBLAQItABQABgAIAAAAIQC2gziS/gAAAOEBAAATAAAAAAAA&#10;AAAAAAAAAAAAAABbQ29udGVudF9UeXBlc10ueG1sUEsBAi0AFAAGAAgAAAAhADj9If/WAAAAlAEA&#10;AAsAAAAAAAAAAAAAAAAALwEAAF9yZWxzLy5yZWxzUEsBAi0AFAAGAAgAAAAhAOEz5BINAgAAHAQA&#10;AA4AAAAAAAAAAAAAAAAALgIAAGRycy9lMm9Eb2MueG1sUEsBAi0AFAAGAAgAAAAhALoWS1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17C6F97" w14:textId="2DD1DE54" w:rsidR="000F5011" w:rsidRPr="000F5011" w:rsidRDefault="000F5011" w:rsidP="000F501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F501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4DEE"/>
    <w:multiLevelType w:val="hybridMultilevel"/>
    <w:tmpl w:val="AB7E9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A0A28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052"/>
    <w:multiLevelType w:val="hybridMultilevel"/>
    <w:tmpl w:val="94C4AF92"/>
    <w:lvl w:ilvl="0" w:tplc="126CFD3E"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A2C"/>
    <w:multiLevelType w:val="hybridMultilevel"/>
    <w:tmpl w:val="D070D664"/>
    <w:lvl w:ilvl="0" w:tplc="126CFD3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69C8DE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77D"/>
    <w:multiLevelType w:val="hybridMultilevel"/>
    <w:tmpl w:val="A7EC895E"/>
    <w:lvl w:ilvl="0" w:tplc="126CFD3E">
      <w:numFmt w:val="bullet"/>
      <w:lvlText w:val="•"/>
      <w:lvlJc w:val="left"/>
      <w:pPr>
        <w:ind w:left="1134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B014905"/>
    <w:multiLevelType w:val="hybridMultilevel"/>
    <w:tmpl w:val="55FC04F8"/>
    <w:lvl w:ilvl="0" w:tplc="126CFD3E"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E1DA0504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520B6"/>
    <w:multiLevelType w:val="hybridMultilevel"/>
    <w:tmpl w:val="97F078E2"/>
    <w:lvl w:ilvl="0" w:tplc="126CFD3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C6418"/>
    <w:multiLevelType w:val="hybridMultilevel"/>
    <w:tmpl w:val="E13A3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426D"/>
    <w:multiLevelType w:val="hybridMultilevel"/>
    <w:tmpl w:val="A8B81B4E"/>
    <w:lvl w:ilvl="0" w:tplc="126CFD3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C39B7"/>
    <w:multiLevelType w:val="hybridMultilevel"/>
    <w:tmpl w:val="CB588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49846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09040">
    <w:abstractNumId w:val="1"/>
  </w:num>
  <w:num w:numId="2" w16cid:durableId="763454238">
    <w:abstractNumId w:val="3"/>
  </w:num>
  <w:num w:numId="3" w16cid:durableId="50230275">
    <w:abstractNumId w:val="8"/>
  </w:num>
  <w:num w:numId="4" w16cid:durableId="1854761925">
    <w:abstractNumId w:val="4"/>
  </w:num>
  <w:num w:numId="5" w16cid:durableId="573510895">
    <w:abstractNumId w:val="7"/>
  </w:num>
  <w:num w:numId="6" w16cid:durableId="410590037">
    <w:abstractNumId w:val="2"/>
  </w:num>
  <w:num w:numId="7" w16cid:durableId="421532144">
    <w:abstractNumId w:val="5"/>
  </w:num>
  <w:num w:numId="8" w16cid:durableId="798914524">
    <w:abstractNumId w:val="0"/>
  </w:num>
  <w:num w:numId="9" w16cid:durableId="863321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11"/>
    <w:rsid w:val="00014B53"/>
    <w:rsid w:val="000F5011"/>
    <w:rsid w:val="00127826"/>
    <w:rsid w:val="003727EC"/>
    <w:rsid w:val="003953BE"/>
    <w:rsid w:val="00BF6A6B"/>
    <w:rsid w:val="00E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DF2D"/>
  <w15:chartTrackingRefBased/>
  <w15:docId w15:val="{F9369990-1C6A-4BE6-AAA7-E84AB4CF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011"/>
    <w:pPr>
      <w:spacing w:after="240" w:line="264" w:lineRule="auto"/>
    </w:pPr>
    <w:rPr>
      <w:rFonts w:asciiTheme="minorHAnsi" w:hAnsiTheme="minorHAnsi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0F5011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011"/>
    <w:rPr>
      <w:b/>
      <w:bCs/>
      <w:smallCaps/>
      <w:color w:val="365F91" w:themeColor="accent1" w:themeShade="BF"/>
      <w:spacing w:val="5"/>
    </w:rPr>
  </w:style>
  <w:style w:type="character" w:styleId="Siln">
    <w:name w:val="Strong"/>
    <w:aliases w:val="Zvýraznění"/>
    <w:basedOn w:val="Standardnpsmoodstavce"/>
    <w:uiPriority w:val="2"/>
    <w:qFormat/>
    <w:rsid w:val="000F501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F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011"/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4297</Characters>
  <Application>Microsoft Office Word</Application>
  <DocSecurity>0</DocSecurity>
  <Lines>35</Lines>
  <Paragraphs>10</Paragraphs>
  <ScaleCrop>false</ScaleCrop>
  <Company>Sprava zeleznic, statni organizace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Mecerová Klára</dc:creator>
  <cp:keywords/>
  <dc:description/>
  <cp:lastModifiedBy>Mecerová Klára</cp:lastModifiedBy>
  <cp:revision>2</cp:revision>
  <dcterms:created xsi:type="dcterms:W3CDTF">2025-05-27T12:18:00Z</dcterms:created>
  <dcterms:modified xsi:type="dcterms:W3CDTF">2025-05-27T12:18:00Z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b23800e,ca88df1,5da4866d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