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4317AD63" w14:textId="219678DD" w:rsidR="00652EFD" w:rsidRPr="00FB3188" w:rsidRDefault="00E738BF" w:rsidP="00EB46E5">
      <w:pPr>
        <w:pStyle w:val="Titul2"/>
      </w:pPr>
      <w:r>
        <w:t>Geotechnický monitoring SO 22-19-91 Němčický tunel</w:t>
      </w:r>
    </w:p>
    <w:p w14:paraId="52E430AB" w14:textId="77777777" w:rsidR="00053304" w:rsidRPr="00870E17" w:rsidRDefault="00053304" w:rsidP="00EB46E5">
      <w:pPr>
        <w:pStyle w:val="Titul2"/>
      </w:pPr>
    </w:p>
    <w:p w14:paraId="7E638D12" w14:textId="09015CC0" w:rsidR="0035531B" w:rsidRDefault="0035531B" w:rsidP="00EB46E5">
      <w:pPr>
        <w:pStyle w:val="Titul2"/>
      </w:pPr>
      <w:r w:rsidRPr="00870E17">
        <w:t>„</w:t>
      </w:r>
      <w:r w:rsidR="00E738BF" w:rsidRPr="00870E17">
        <w:t xml:space="preserve">Modernizace trati Brno-Přerov, 4. stavba </w:t>
      </w:r>
      <w:proofErr w:type="gramStart"/>
      <w:r w:rsidR="00E738BF" w:rsidRPr="00870E17">
        <w:t>Nezamyslice - Kojetín</w:t>
      </w:r>
      <w:proofErr w:type="gramEnd"/>
      <w:r w:rsidRPr="00870E17">
        <w:t>“</w:t>
      </w:r>
    </w:p>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4D38692B" w:rsidR="000E125F" w:rsidRDefault="000E125F" w:rsidP="00136BBF">
      <w:pPr>
        <w:pStyle w:val="Text1-1"/>
        <w:numPr>
          <w:ilvl w:val="0"/>
          <w:numId w:val="0"/>
        </w:numPr>
        <w:tabs>
          <w:tab w:val="left" w:pos="708"/>
        </w:tabs>
        <w:spacing w:line="240" w:lineRule="auto"/>
        <w:ind w:left="737" w:hanging="737"/>
      </w:pPr>
      <w:r>
        <w:t xml:space="preserve">Č.j. </w:t>
      </w:r>
      <w:r w:rsidR="00A24F5B">
        <w:t>2984/2025-SŽ-SSV-Ú3</w:t>
      </w:r>
    </w:p>
    <w:p w14:paraId="217A4000" w14:textId="77777777" w:rsidR="00E738BF" w:rsidRDefault="00E738BF" w:rsidP="00136BBF">
      <w:pPr>
        <w:pStyle w:val="Text1-1"/>
        <w:numPr>
          <w:ilvl w:val="0"/>
          <w:numId w:val="0"/>
        </w:numPr>
        <w:tabs>
          <w:tab w:val="left" w:pos="708"/>
        </w:tabs>
        <w:spacing w:line="240" w:lineRule="auto"/>
        <w:ind w:left="737" w:hanging="737"/>
      </w:pPr>
    </w:p>
    <w:p w14:paraId="1B736208" w14:textId="77777777" w:rsidR="00E738BF" w:rsidRDefault="00E738BF" w:rsidP="00136BBF">
      <w:pPr>
        <w:pStyle w:val="Text1-1"/>
        <w:numPr>
          <w:ilvl w:val="0"/>
          <w:numId w:val="0"/>
        </w:numPr>
        <w:tabs>
          <w:tab w:val="left" w:pos="708"/>
        </w:tabs>
        <w:spacing w:line="240" w:lineRule="auto"/>
        <w:ind w:left="737" w:hanging="737"/>
      </w:pPr>
    </w:p>
    <w:p w14:paraId="595DCB5C" w14:textId="77777777" w:rsidR="00E738BF" w:rsidRDefault="00E738BF" w:rsidP="00136BBF">
      <w:pPr>
        <w:pStyle w:val="Text1-1"/>
        <w:numPr>
          <w:ilvl w:val="0"/>
          <w:numId w:val="0"/>
        </w:numPr>
        <w:tabs>
          <w:tab w:val="left" w:pos="708"/>
        </w:tabs>
        <w:spacing w:line="240" w:lineRule="auto"/>
        <w:ind w:left="737" w:hanging="737"/>
      </w:pPr>
    </w:p>
    <w:p w14:paraId="4895DDB3" w14:textId="77777777" w:rsidR="00E738BF" w:rsidRDefault="00E738BF" w:rsidP="00136BBF">
      <w:pPr>
        <w:pStyle w:val="Text1-1"/>
        <w:numPr>
          <w:ilvl w:val="0"/>
          <w:numId w:val="0"/>
        </w:numPr>
        <w:tabs>
          <w:tab w:val="left" w:pos="708"/>
        </w:tabs>
        <w:spacing w:line="240" w:lineRule="auto"/>
        <w:ind w:left="737" w:hanging="737"/>
      </w:pPr>
    </w:p>
    <w:p w14:paraId="5FC824C5" w14:textId="77777777" w:rsidR="00E738BF" w:rsidRDefault="00E738BF" w:rsidP="00136BBF">
      <w:pPr>
        <w:pStyle w:val="Text1-1"/>
        <w:numPr>
          <w:ilvl w:val="0"/>
          <w:numId w:val="0"/>
        </w:numPr>
        <w:tabs>
          <w:tab w:val="left" w:pos="708"/>
        </w:tabs>
        <w:spacing w:line="240" w:lineRule="auto"/>
        <w:ind w:left="737" w:hanging="737"/>
      </w:pPr>
    </w:p>
    <w:p w14:paraId="173EE3DA" w14:textId="77777777" w:rsidR="00E738BF" w:rsidRDefault="00E738BF" w:rsidP="00136BBF">
      <w:pPr>
        <w:pStyle w:val="Text1-1"/>
        <w:numPr>
          <w:ilvl w:val="0"/>
          <w:numId w:val="0"/>
        </w:numPr>
        <w:tabs>
          <w:tab w:val="left" w:pos="708"/>
        </w:tabs>
        <w:spacing w:line="240" w:lineRule="auto"/>
        <w:ind w:left="737" w:hanging="737"/>
      </w:pPr>
    </w:p>
    <w:p w14:paraId="3EE39A9D" w14:textId="77777777" w:rsidR="00E738BF" w:rsidRDefault="00E738BF" w:rsidP="00136BBF">
      <w:pPr>
        <w:pStyle w:val="Text1-1"/>
        <w:numPr>
          <w:ilvl w:val="0"/>
          <w:numId w:val="0"/>
        </w:numPr>
        <w:tabs>
          <w:tab w:val="left" w:pos="708"/>
        </w:tabs>
        <w:spacing w:line="240" w:lineRule="auto"/>
        <w:ind w:left="737" w:hanging="737"/>
      </w:pPr>
    </w:p>
    <w:p w14:paraId="7FFE2CBD" w14:textId="77777777" w:rsidR="00053304" w:rsidRDefault="00053304" w:rsidP="00053304">
      <w:pPr>
        <w:spacing w:after="0" w:line="240" w:lineRule="auto"/>
        <w:rPr>
          <w:i/>
          <w:color w:val="FF0000"/>
        </w:rPr>
      </w:pPr>
    </w:p>
    <w:p w14:paraId="5CC0F62C" w14:textId="77777777"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lastRenderedPageBreak/>
        <w:t xml:space="preserve"> </w:t>
      </w:r>
    </w:p>
    <w:p w14:paraId="56BB0385" w14:textId="77777777" w:rsidR="00E738BF" w:rsidRDefault="00E738BF" w:rsidP="00FE4333">
      <w:pPr>
        <w:pStyle w:val="Nadpisbezsl1-1"/>
      </w:pPr>
    </w:p>
    <w:p w14:paraId="3B41CCFF" w14:textId="77777777" w:rsidR="00E738BF" w:rsidRDefault="00E738BF" w:rsidP="00FE4333">
      <w:pPr>
        <w:pStyle w:val="Nadpisbezsl1-1"/>
      </w:pPr>
    </w:p>
    <w:p w14:paraId="5E59E11D" w14:textId="77777777" w:rsidR="00E738BF" w:rsidRDefault="00E738BF" w:rsidP="00FE4333">
      <w:pPr>
        <w:pStyle w:val="Nadpisbezsl1-1"/>
      </w:pPr>
    </w:p>
    <w:p w14:paraId="4DC2788B" w14:textId="77777777" w:rsidR="00E738BF" w:rsidRDefault="00E738BF" w:rsidP="00FE4333">
      <w:pPr>
        <w:pStyle w:val="Nadpisbezsl1-1"/>
      </w:pPr>
    </w:p>
    <w:p w14:paraId="14783ECE" w14:textId="391DF811" w:rsidR="00BD7E91" w:rsidRDefault="00BD7E91" w:rsidP="00FE4333">
      <w:pPr>
        <w:pStyle w:val="Nadpisbezsl1-1"/>
      </w:pPr>
      <w:r>
        <w:t>Obsah</w:t>
      </w:r>
      <w:r w:rsidR="00887F36">
        <w:t xml:space="preserve"> </w:t>
      </w:r>
    </w:p>
    <w:p w14:paraId="3ECAE28E" w14:textId="6501FC0D"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406F7C">
          <w:rPr>
            <w:noProof/>
            <w:webHidden/>
          </w:rPr>
          <w:t>3</w:t>
        </w:r>
        <w:r w:rsidR="00B104FA">
          <w:rPr>
            <w:noProof/>
            <w:webHidden/>
          </w:rPr>
          <w:fldChar w:fldCharType="end"/>
        </w:r>
      </w:hyperlink>
    </w:p>
    <w:p w14:paraId="086227F3" w14:textId="6F9E2D5B"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406F7C">
          <w:rPr>
            <w:noProof/>
            <w:webHidden/>
          </w:rPr>
          <w:t>3</w:t>
        </w:r>
        <w:r>
          <w:rPr>
            <w:noProof/>
            <w:webHidden/>
          </w:rPr>
          <w:fldChar w:fldCharType="end"/>
        </w:r>
      </w:hyperlink>
    </w:p>
    <w:p w14:paraId="38A34EE6" w14:textId="631042BA"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406F7C">
          <w:rPr>
            <w:noProof/>
            <w:webHidden/>
          </w:rPr>
          <w:t>4</w:t>
        </w:r>
        <w:r>
          <w:rPr>
            <w:noProof/>
            <w:webHidden/>
          </w:rPr>
          <w:fldChar w:fldCharType="end"/>
        </w:r>
      </w:hyperlink>
    </w:p>
    <w:p w14:paraId="6C169B2E" w14:textId="0C936108"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406F7C">
          <w:rPr>
            <w:noProof/>
            <w:webHidden/>
          </w:rPr>
          <w:t>4</w:t>
        </w:r>
        <w:r>
          <w:rPr>
            <w:noProof/>
            <w:webHidden/>
          </w:rPr>
          <w:fldChar w:fldCharType="end"/>
        </w:r>
      </w:hyperlink>
    </w:p>
    <w:p w14:paraId="3A4C1472" w14:textId="0FCDCAAC"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406F7C">
          <w:rPr>
            <w:noProof/>
            <w:webHidden/>
          </w:rPr>
          <w:t>5</w:t>
        </w:r>
        <w:r>
          <w:rPr>
            <w:noProof/>
            <w:webHidden/>
          </w:rPr>
          <w:fldChar w:fldCharType="end"/>
        </w:r>
      </w:hyperlink>
    </w:p>
    <w:p w14:paraId="13B92013" w14:textId="3A93551B"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406F7C">
          <w:rPr>
            <w:noProof/>
            <w:webHidden/>
          </w:rPr>
          <w:t>5</w:t>
        </w:r>
        <w:r>
          <w:rPr>
            <w:noProof/>
            <w:webHidden/>
          </w:rPr>
          <w:fldChar w:fldCharType="end"/>
        </w:r>
      </w:hyperlink>
    </w:p>
    <w:p w14:paraId="40103765" w14:textId="1E1D9DDA"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406F7C">
          <w:rPr>
            <w:noProof/>
            <w:webHidden/>
          </w:rPr>
          <w:t>6</w:t>
        </w:r>
        <w:r>
          <w:rPr>
            <w:noProof/>
            <w:webHidden/>
          </w:rPr>
          <w:fldChar w:fldCharType="end"/>
        </w:r>
      </w:hyperlink>
    </w:p>
    <w:p w14:paraId="4929E3E6" w14:textId="605C6E00"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406F7C">
          <w:rPr>
            <w:noProof/>
            <w:webHidden/>
          </w:rPr>
          <w:t>6</w:t>
        </w:r>
        <w:r>
          <w:rPr>
            <w:noProof/>
            <w:webHidden/>
          </w:rPr>
          <w:fldChar w:fldCharType="end"/>
        </w:r>
      </w:hyperlink>
    </w:p>
    <w:p w14:paraId="6718CFF6" w14:textId="53AA452B"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406F7C">
          <w:rPr>
            <w:noProof/>
            <w:webHidden/>
          </w:rPr>
          <w:t>14</w:t>
        </w:r>
        <w:r>
          <w:rPr>
            <w:noProof/>
            <w:webHidden/>
          </w:rPr>
          <w:fldChar w:fldCharType="end"/>
        </w:r>
      </w:hyperlink>
    </w:p>
    <w:p w14:paraId="3DEEEF4D" w14:textId="2DB8F9FE"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406F7C">
          <w:rPr>
            <w:noProof/>
            <w:webHidden/>
          </w:rPr>
          <w:t>16</w:t>
        </w:r>
        <w:r>
          <w:rPr>
            <w:noProof/>
            <w:webHidden/>
          </w:rPr>
          <w:fldChar w:fldCharType="end"/>
        </w:r>
      </w:hyperlink>
    </w:p>
    <w:p w14:paraId="125F3C22" w14:textId="4388A4D1"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406F7C">
          <w:rPr>
            <w:noProof/>
            <w:webHidden/>
          </w:rPr>
          <w:t>17</w:t>
        </w:r>
        <w:r>
          <w:rPr>
            <w:noProof/>
            <w:webHidden/>
          </w:rPr>
          <w:fldChar w:fldCharType="end"/>
        </w:r>
      </w:hyperlink>
    </w:p>
    <w:p w14:paraId="6A92B20D" w14:textId="4CFD07FA"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406F7C">
          <w:rPr>
            <w:noProof/>
            <w:webHidden/>
          </w:rPr>
          <w:t>19</w:t>
        </w:r>
        <w:r>
          <w:rPr>
            <w:noProof/>
            <w:webHidden/>
          </w:rPr>
          <w:fldChar w:fldCharType="end"/>
        </w:r>
      </w:hyperlink>
    </w:p>
    <w:p w14:paraId="18C5846D" w14:textId="6EC3ACD2"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406F7C">
          <w:rPr>
            <w:noProof/>
            <w:webHidden/>
          </w:rPr>
          <w:t>19</w:t>
        </w:r>
        <w:r>
          <w:rPr>
            <w:noProof/>
            <w:webHidden/>
          </w:rPr>
          <w:fldChar w:fldCharType="end"/>
        </w:r>
      </w:hyperlink>
    </w:p>
    <w:p w14:paraId="6C760C0F" w14:textId="558D1954"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406F7C">
          <w:rPr>
            <w:noProof/>
            <w:webHidden/>
          </w:rPr>
          <w:t>19</w:t>
        </w:r>
        <w:r>
          <w:rPr>
            <w:noProof/>
            <w:webHidden/>
          </w:rPr>
          <w:fldChar w:fldCharType="end"/>
        </w:r>
      </w:hyperlink>
    </w:p>
    <w:p w14:paraId="07B979B6" w14:textId="3C15791D"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406F7C">
          <w:rPr>
            <w:noProof/>
            <w:webHidden/>
          </w:rPr>
          <w:t>19</w:t>
        </w:r>
        <w:r>
          <w:rPr>
            <w:noProof/>
            <w:webHidden/>
          </w:rPr>
          <w:fldChar w:fldCharType="end"/>
        </w:r>
      </w:hyperlink>
    </w:p>
    <w:p w14:paraId="717F0212" w14:textId="4B8D0455"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406F7C">
          <w:rPr>
            <w:noProof/>
            <w:webHidden/>
          </w:rPr>
          <w:t>20</w:t>
        </w:r>
        <w:r>
          <w:rPr>
            <w:noProof/>
            <w:webHidden/>
          </w:rPr>
          <w:fldChar w:fldCharType="end"/>
        </w:r>
      </w:hyperlink>
    </w:p>
    <w:p w14:paraId="307F6D44" w14:textId="292D68F9"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406F7C">
          <w:rPr>
            <w:noProof/>
            <w:webHidden/>
          </w:rPr>
          <w:t>23</w:t>
        </w:r>
        <w:r>
          <w:rPr>
            <w:noProof/>
            <w:webHidden/>
          </w:rPr>
          <w:fldChar w:fldCharType="end"/>
        </w:r>
      </w:hyperlink>
    </w:p>
    <w:p w14:paraId="238FA5F1" w14:textId="612A1D36"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406F7C">
          <w:rPr>
            <w:noProof/>
            <w:webHidden/>
          </w:rPr>
          <w:t>23</w:t>
        </w:r>
        <w:r>
          <w:rPr>
            <w:noProof/>
            <w:webHidden/>
          </w:rPr>
          <w:fldChar w:fldCharType="end"/>
        </w:r>
      </w:hyperlink>
    </w:p>
    <w:p w14:paraId="58DDD907" w14:textId="13865A55"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406F7C">
          <w:rPr>
            <w:noProof/>
            <w:webHidden/>
          </w:rPr>
          <w:t>26</w:t>
        </w:r>
        <w:r>
          <w:rPr>
            <w:noProof/>
            <w:webHidden/>
          </w:rPr>
          <w:fldChar w:fldCharType="end"/>
        </w:r>
      </w:hyperlink>
    </w:p>
    <w:p w14:paraId="51DBD083" w14:textId="65D843DD"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406F7C">
          <w:rPr>
            <w:noProof/>
            <w:webHidden/>
          </w:rPr>
          <w:t>26</w:t>
        </w:r>
        <w:r>
          <w:rPr>
            <w:noProof/>
            <w:webHidden/>
          </w:rPr>
          <w:fldChar w:fldCharType="end"/>
        </w:r>
      </w:hyperlink>
    </w:p>
    <w:p w14:paraId="78DB0BCD" w14:textId="70645068"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406F7C">
          <w:rPr>
            <w:noProof/>
            <w:webHidden/>
          </w:rPr>
          <w:t>26</w:t>
        </w:r>
        <w:r>
          <w:rPr>
            <w:noProof/>
            <w:webHidden/>
          </w:rPr>
          <w:fldChar w:fldCharType="end"/>
        </w:r>
      </w:hyperlink>
    </w:p>
    <w:p w14:paraId="0660ABFD" w14:textId="30128B78"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406F7C">
          <w:rPr>
            <w:noProof/>
            <w:webHidden/>
          </w:rPr>
          <w:t>27</w:t>
        </w:r>
        <w:r>
          <w:rPr>
            <w:noProof/>
            <w:webHidden/>
          </w:rPr>
          <w:fldChar w:fldCharType="end"/>
        </w:r>
      </w:hyperlink>
    </w:p>
    <w:p w14:paraId="45B2CDC5" w14:textId="2A0C3B4E"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406F7C">
          <w:rPr>
            <w:noProof/>
            <w:webHidden/>
          </w:rPr>
          <w:t>28</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0" w:name="_Toc178766803"/>
      <w:bookmarkStart w:id="1" w:name="_Toc389559699"/>
      <w:bookmarkStart w:id="2" w:name="_Toc397429847"/>
      <w:bookmarkStart w:id="3" w:name="_Ref433028040"/>
      <w:bookmarkStart w:id="4" w:name="_Toc1048197"/>
      <w:r>
        <w:lastRenderedPageBreak/>
        <w:t>ÚVODNÍ USTANOVENÍ</w:t>
      </w:r>
      <w:bookmarkEnd w:id="0"/>
    </w:p>
    <w:p w14:paraId="4650BAC4" w14:textId="5B21E1C6"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xml:space="preserve">“) a dalšími právními předpisy. </w:t>
      </w:r>
      <w:r w:rsidR="00EA6661">
        <w:t>Podáním nabídky</w:t>
      </w:r>
      <w:r>
        <w:t xml:space="preserve"> účastník zadávacího řízení zcela a bez výhrad akceptuje zadávací podmínky této veřejné zakázky. </w:t>
      </w:r>
    </w:p>
    <w:p w14:paraId="2219CD5E" w14:textId="3B83F50C" w:rsidR="00652EFD" w:rsidRPr="00652EFD" w:rsidRDefault="00652EFD" w:rsidP="00652EFD">
      <w:pPr>
        <w:pStyle w:val="Text1-1"/>
        <w:rPr>
          <w:b/>
        </w:rPr>
      </w:pPr>
      <w:r w:rsidRPr="00652EFD">
        <w:rPr>
          <w:b/>
        </w:rPr>
        <w:t xml:space="preserve">Zadavatel je veřejným zadavatelem, který zadává tuto veřejnou zakázku při výkonu relevantní činnosti ve </w:t>
      </w:r>
      <w:r w:rsidR="00EA6661" w:rsidRPr="00652EFD">
        <w:rPr>
          <w:b/>
        </w:rPr>
        <w:t>smyslu §</w:t>
      </w:r>
      <w:r w:rsidRPr="00652EFD">
        <w:rPr>
          <w:b/>
        </w:rPr>
        <w:t xml:space="preserve">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4F8E7AF8"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EA6661">
        <w:t>vyhotoven v</w:t>
      </w:r>
      <w:r>
        <w:t xml:space="preserve">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5" w:name="_Toc178766804"/>
      <w:r>
        <w:t>IDENTIFIKAČNÍ ÚDAJE ZADAVATELE</w:t>
      </w:r>
      <w:bookmarkEnd w:id="5"/>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74D7E2ED" w14:textId="77777777" w:rsidR="0035531B" w:rsidRPr="000174E8" w:rsidRDefault="0035531B" w:rsidP="0035531B">
      <w:pPr>
        <w:pStyle w:val="Textbezslovn"/>
        <w:spacing w:after="0"/>
        <w:ind w:left="2127" w:hanging="1390"/>
      </w:pPr>
      <w:r>
        <w:t xml:space="preserve">zastoupená: </w:t>
      </w:r>
      <w:r>
        <w:tab/>
      </w:r>
      <w:r w:rsidRPr="000174E8">
        <w:t>Ing. Mojmírem Nejezchlebem, náměstkem generálního ředitele pro modernizaci dráhy, na základě pověření č. 2372 ze dne 26. 02. 2018.</w:t>
      </w:r>
    </w:p>
    <w:p w14:paraId="1929855A" w14:textId="090A1816" w:rsidR="0035531B" w:rsidRDefault="0035531B" w:rsidP="0035531B">
      <w:pPr>
        <w:pStyle w:val="Textbezslovn"/>
      </w:pPr>
      <w:r w:rsidRPr="000174E8">
        <w:lastRenderedPageBreak/>
        <w:tab/>
      </w:r>
      <w:r w:rsidRPr="000174E8">
        <w:tab/>
      </w:r>
    </w:p>
    <w:p w14:paraId="68ED8CDC" w14:textId="77777777" w:rsidR="0035531B" w:rsidRDefault="0035531B" w:rsidP="0035531B">
      <w:pPr>
        <w:pStyle w:val="Nadpis1-1"/>
      </w:pPr>
      <w:bookmarkStart w:id="6" w:name="_Toc178766805"/>
      <w:r>
        <w:t>KOMUNIKACE MEZI ZADAVATELEM</w:t>
      </w:r>
      <w:r w:rsidR="00845C50">
        <w:t xml:space="preserve"> a </w:t>
      </w:r>
      <w:r>
        <w:t>DODAVATELEM</w:t>
      </w:r>
      <w:bookmarkEnd w:id="6"/>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1394E978" w:rsidR="0035531B" w:rsidRDefault="0035531B" w:rsidP="0035531B">
      <w:pPr>
        <w:pStyle w:val="Text1-1"/>
      </w:pPr>
      <w:r>
        <w:t xml:space="preserve">Kontaktní osobou zadavatele pro zadávací řízení je: </w:t>
      </w:r>
      <w:r w:rsidR="00CE7975">
        <w:t>Kateřina Příleská</w:t>
      </w:r>
    </w:p>
    <w:p w14:paraId="7980012A" w14:textId="556580C8" w:rsidR="0035531B" w:rsidRDefault="0035531B" w:rsidP="0035531B">
      <w:pPr>
        <w:pStyle w:val="Textbezslovn"/>
        <w:spacing w:after="0"/>
      </w:pPr>
      <w:r>
        <w:t xml:space="preserve">telefon: </w:t>
      </w:r>
      <w:r>
        <w:tab/>
      </w:r>
      <w:r w:rsidR="00CE7975">
        <w:t>+420 722 823 916</w:t>
      </w:r>
    </w:p>
    <w:p w14:paraId="3EB99521" w14:textId="5DD035C7" w:rsidR="0035531B" w:rsidRDefault="0035531B" w:rsidP="0035531B">
      <w:pPr>
        <w:pStyle w:val="Textbezslovn"/>
        <w:spacing w:after="0"/>
      </w:pPr>
      <w:r>
        <w:t xml:space="preserve">e-mail: </w:t>
      </w:r>
      <w:r w:rsidR="00652EFD">
        <w:tab/>
      </w:r>
      <w:r w:rsidR="00CE7975">
        <w:t>Prileska@spravazeleznic.cz</w:t>
      </w:r>
    </w:p>
    <w:p w14:paraId="709AE9FA" w14:textId="27472B27" w:rsidR="0035531B" w:rsidRDefault="0035531B" w:rsidP="0035531B">
      <w:pPr>
        <w:pStyle w:val="Textbezslovn"/>
      </w:pPr>
      <w:r>
        <w:t xml:space="preserve">adresa: </w:t>
      </w:r>
      <w:r>
        <w:tab/>
      </w:r>
      <w:r w:rsidR="00CE7975">
        <w:t>Stavební správa východ, Nerudova 773/1, 779 00 Olomouc.</w:t>
      </w:r>
    </w:p>
    <w:p w14:paraId="020F179B" w14:textId="77777777" w:rsidR="0035531B" w:rsidRDefault="0035531B" w:rsidP="0035531B">
      <w:pPr>
        <w:pStyle w:val="Nadpis1-1"/>
      </w:pPr>
      <w:bookmarkStart w:id="7" w:name="_Toc178766806"/>
      <w:r>
        <w:t>ÚČEL</w:t>
      </w:r>
      <w:r w:rsidR="00845C50">
        <w:t xml:space="preserve"> a </w:t>
      </w:r>
      <w:r>
        <w:t>PŘEDMĚT PLNĚNÍ VEŘEJNÉ ZAKÁZKY</w:t>
      </w:r>
      <w:bookmarkEnd w:id="7"/>
    </w:p>
    <w:p w14:paraId="18094B7C" w14:textId="77777777" w:rsidR="0035531B" w:rsidRDefault="0035531B" w:rsidP="0035531B">
      <w:pPr>
        <w:pStyle w:val="Text1-1"/>
      </w:pPr>
      <w:r>
        <w:t>Účel veřejné zakázky</w:t>
      </w:r>
    </w:p>
    <w:p w14:paraId="6E9B5DFA" w14:textId="734ED678" w:rsidR="00CE7975" w:rsidRPr="000E7F35" w:rsidRDefault="00CE7975" w:rsidP="00CE7975">
      <w:pPr>
        <w:pStyle w:val="Textbezslovn"/>
      </w:pPr>
      <w:r w:rsidRPr="000E7F35">
        <w:t>Provedení geotechnického monitoringu při výstavbě nového Němčického tunelu. Povinnost provádět Geotechnický monitoring stanovuje ČSN EN 1997-1. Geotechnický monitoring bude prováděn v souladu s TKP 20 a ČSN EN 18674-1.</w:t>
      </w:r>
    </w:p>
    <w:p w14:paraId="398B917C" w14:textId="77777777" w:rsidR="00CE7975" w:rsidRPr="000E7F35" w:rsidRDefault="0035531B" w:rsidP="00CE7975">
      <w:pPr>
        <w:pStyle w:val="Text1-1"/>
      </w:pPr>
      <w:r w:rsidRPr="000E7F35">
        <w:t>Předmět plnění veřejné zakázky</w:t>
      </w:r>
    </w:p>
    <w:p w14:paraId="129F395B" w14:textId="4645C49C" w:rsidR="00CE7975" w:rsidRPr="000E7F35" w:rsidRDefault="00CE7975" w:rsidP="00CE7975">
      <w:pPr>
        <w:pStyle w:val="Text1-1"/>
        <w:numPr>
          <w:ilvl w:val="0"/>
          <w:numId w:val="0"/>
        </w:numPr>
        <w:ind w:left="737"/>
      </w:pPr>
      <w:bookmarkStart w:id="8" w:name="_Hlk191974020"/>
      <w:r w:rsidRPr="000E7F35">
        <w:t>Předmětem zakázky je dlouhodobý geotechnický monitoring novostavby Němčického tunelu</w:t>
      </w:r>
      <w:r w:rsidR="00A17168" w:rsidRPr="000E7F35">
        <w:t>, včetně Závěrečné zprávy geotechnického monitoringu v rozsahu určeném zadávací dokumentací se zapracovanými připomínkami včetně všech pasportů, výpočtů a příloh</w:t>
      </w:r>
      <w:r w:rsidRPr="000E7F35">
        <w:t>. Dlouhodobý geotechnický monitoring navazuje a doplňuje činnosti, které budou realizovány v rámci hlavní stavby SO 22-19-90 (Němčický tunel). Vlastní výstavba je součástí stavby: „Modernizace trati Brno-Přerov, 4. stavba Nezamyslice – Kojetín“.</w:t>
      </w:r>
    </w:p>
    <w:p w14:paraId="13832AEC" w14:textId="77777777" w:rsidR="00CE7975" w:rsidRPr="000E7F35" w:rsidRDefault="00CE7975" w:rsidP="00866E71">
      <w:pPr>
        <w:pStyle w:val="Text1-1"/>
        <w:numPr>
          <w:ilvl w:val="0"/>
          <w:numId w:val="0"/>
        </w:numPr>
      </w:pPr>
    </w:p>
    <w:p w14:paraId="0F1480F7" w14:textId="77777777" w:rsidR="00CE7975" w:rsidRPr="000E7F35" w:rsidRDefault="00CE7975" w:rsidP="00CE7975">
      <w:pPr>
        <w:pStyle w:val="Text1-1"/>
        <w:numPr>
          <w:ilvl w:val="0"/>
          <w:numId w:val="0"/>
        </w:numPr>
        <w:ind w:left="737"/>
      </w:pPr>
      <w:r w:rsidRPr="000E7F35">
        <w:t>Geotechnick</w:t>
      </w:r>
      <w:r w:rsidRPr="000E7F35">
        <w:rPr>
          <w:rFonts w:hint="eastAsia"/>
        </w:rPr>
        <w:t>ý</w:t>
      </w:r>
      <w:r w:rsidRPr="000E7F35">
        <w:t xml:space="preserve"> monitoring (d</w:t>
      </w:r>
      <w:r w:rsidRPr="000E7F35">
        <w:rPr>
          <w:rFonts w:hint="eastAsia"/>
        </w:rPr>
        <w:t>á</w:t>
      </w:r>
      <w:r w:rsidRPr="000E7F35">
        <w:t>le jen GTM) je soubor m</w:t>
      </w:r>
      <w:r w:rsidRPr="000E7F35">
        <w:rPr>
          <w:rFonts w:hint="eastAsia"/>
        </w:rPr>
        <w:t>ěř</w:t>
      </w:r>
      <w:r w:rsidRPr="000E7F35">
        <w:t>en</w:t>
      </w:r>
      <w:r w:rsidRPr="000E7F35">
        <w:rPr>
          <w:rFonts w:hint="eastAsia"/>
        </w:rPr>
        <w:t>í</w:t>
      </w:r>
      <w:r w:rsidRPr="000E7F35">
        <w:t>, pozorov</w:t>
      </w:r>
      <w:r w:rsidRPr="000E7F35">
        <w:rPr>
          <w:rFonts w:hint="eastAsia"/>
        </w:rPr>
        <w:t>á</w:t>
      </w:r>
      <w:r w:rsidRPr="000E7F35">
        <w:t>n</w:t>
      </w:r>
      <w:r w:rsidRPr="000E7F35">
        <w:rPr>
          <w:rFonts w:hint="eastAsia"/>
        </w:rPr>
        <w:t>í</w:t>
      </w:r>
      <w:r w:rsidRPr="000E7F35">
        <w:t xml:space="preserve"> a hodnocen</w:t>
      </w:r>
      <w:r w:rsidRPr="000E7F35">
        <w:rPr>
          <w:rFonts w:hint="eastAsia"/>
        </w:rPr>
        <w:t>í</w:t>
      </w:r>
      <w:r w:rsidRPr="000E7F35">
        <w:t xml:space="preserve"> zam</w:t>
      </w:r>
      <w:r w:rsidRPr="000E7F35">
        <w:rPr>
          <w:rFonts w:hint="eastAsia"/>
        </w:rPr>
        <w:t>ěř</w:t>
      </w:r>
      <w:r w:rsidRPr="000E7F35">
        <w:t>en</w:t>
      </w:r>
      <w:r w:rsidRPr="000E7F35">
        <w:rPr>
          <w:rFonts w:hint="eastAsia"/>
        </w:rPr>
        <w:t>ý</w:t>
      </w:r>
      <w:r w:rsidRPr="000E7F35">
        <w:t xml:space="preserve"> na sledov</w:t>
      </w:r>
      <w:r w:rsidRPr="000E7F35">
        <w:rPr>
          <w:rFonts w:hint="eastAsia"/>
        </w:rPr>
        <w:t>á</w:t>
      </w:r>
      <w:r w:rsidRPr="000E7F35">
        <w:t>n</w:t>
      </w:r>
      <w:r w:rsidRPr="000E7F35">
        <w:rPr>
          <w:rFonts w:hint="eastAsia"/>
        </w:rPr>
        <w:t>í</w:t>
      </w:r>
      <w:r w:rsidRPr="000E7F35">
        <w:t xml:space="preserve"> a kontrolu reakce horninov</w:t>
      </w:r>
      <w:r w:rsidRPr="000E7F35">
        <w:rPr>
          <w:rFonts w:hint="eastAsia"/>
        </w:rPr>
        <w:t>é</w:t>
      </w:r>
      <w:r w:rsidRPr="000E7F35">
        <w:t>ho prost</w:t>
      </w:r>
      <w:r w:rsidRPr="000E7F35">
        <w:rPr>
          <w:rFonts w:hint="eastAsia"/>
        </w:rPr>
        <w:t>ř</w:t>
      </w:r>
      <w:r w:rsidRPr="000E7F35">
        <w:t>ed</w:t>
      </w:r>
      <w:r w:rsidRPr="000E7F35">
        <w:rPr>
          <w:rFonts w:hint="eastAsia"/>
        </w:rPr>
        <w:t>í</w:t>
      </w:r>
      <w:r w:rsidRPr="000E7F35">
        <w:t xml:space="preserve"> a do</w:t>
      </w:r>
      <w:r w:rsidRPr="000E7F35">
        <w:rPr>
          <w:rFonts w:hint="eastAsia"/>
        </w:rPr>
        <w:t>č</w:t>
      </w:r>
      <w:r w:rsidRPr="000E7F35">
        <w:t>asn</w:t>
      </w:r>
      <w:r w:rsidRPr="000E7F35">
        <w:rPr>
          <w:rFonts w:hint="eastAsia"/>
        </w:rPr>
        <w:t>é</w:t>
      </w:r>
      <w:r w:rsidRPr="000E7F35">
        <w:t xml:space="preserve"> v</w:t>
      </w:r>
      <w:r w:rsidRPr="000E7F35">
        <w:rPr>
          <w:rFonts w:hint="eastAsia"/>
        </w:rPr>
        <w:t>ý</w:t>
      </w:r>
      <w:r w:rsidRPr="000E7F35">
        <w:t>stroje a na sledov</w:t>
      </w:r>
      <w:r w:rsidRPr="000E7F35">
        <w:rPr>
          <w:rFonts w:hint="eastAsia"/>
        </w:rPr>
        <w:t>á</w:t>
      </w:r>
      <w:r w:rsidRPr="000E7F35">
        <w:t>n</w:t>
      </w:r>
      <w:r w:rsidRPr="000E7F35">
        <w:rPr>
          <w:rFonts w:hint="eastAsia"/>
        </w:rPr>
        <w:t>í</w:t>
      </w:r>
      <w:r w:rsidRPr="000E7F35">
        <w:t xml:space="preserve"> v</w:t>
      </w:r>
      <w:r w:rsidRPr="000E7F35">
        <w:rPr>
          <w:rFonts w:hint="eastAsia"/>
        </w:rPr>
        <w:t>š</w:t>
      </w:r>
      <w:r w:rsidRPr="000E7F35">
        <w:t>ech indukovan</w:t>
      </w:r>
      <w:r w:rsidRPr="000E7F35">
        <w:rPr>
          <w:rFonts w:hint="eastAsia"/>
        </w:rPr>
        <w:t>ý</w:t>
      </w:r>
      <w:r w:rsidRPr="000E7F35">
        <w:t xml:space="preserve">ch </w:t>
      </w:r>
      <w:r w:rsidRPr="000E7F35">
        <w:rPr>
          <w:rFonts w:hint="eastAsia"/>
        </w:rPr>
        <w:t>úč</w:t>
      </w:r>
      <w:r w:rsidRPr="000E7F35">
        <w:t>ink</w:t>
      </w:r>
      <w:r w:rsidRPr="000E7F35">
        <w:rPr>
          <w:rFonts w:hint="eastAsia"/>
        </w:rPr>
        <w:t>ů</w:t>
      </w:r>
      <w:r w:rsidRPr="000E7F35">
        <w:t xml:space="preserve"> v oblasti dot</w:t>
      </w:r>
      <w:r w:rsidRPr="000E7F35">
        <w:rPr>
          <w:rFonts w:hint="eastAsia"/>
        </w:rPr>
        <w:t>č</w:t>
      </w:r>
      <w:r w:rsidRPr="000E7F35">
        <w:t>en</w:t>
      </w:r>
      <w:r w:rsidRPr="000E7F35">
        <w:rPr>
          <w:rFonts w:hint="eastAsia"/>
        </w:rPr>
        <w:t>é</w:t>
      </w:r>
      <w:r w:rsidRPr="000E7F35">
        <w:t xml:space="preserve"> stavbou. Vn</w:t>
      </w:r>
      <w:r w:rsidRPr="000E7F35">
        <w:rPr>
          <w:rFonts w:hint="eastAsia"/>
        </w:rPr>
        <w:t>ě</w:t>
      </w:r>
      <w:r w:rsidRPr="000E7F35">
        <w:t>j</w:t>
      </w:r>
      <w:r w:rsidRPr="000E7F35">
        <w:rPr>
          <w:rFonts w:hint="eastAsia"/>
        </w:rPr>
        <w:t>ší</w:t>
      </w:r>
      <w:r w:rsidRPr="000E7F35">
        <w:t xml:space="preserve"> ob</w:t>
      </w:r>
      <w:r w:rsidRPr="000E7F35">
        <w:rPr>
          <w:rFonts w:hint="eastAsia"/>
        </w:rPr>
        <w:t>á</w:t>
      </w:r>
      <w:r w:rsidRPr="000E7F35">
        <w:t>lka t</w:t>
      </w:r>
      <w:r w:rsidRPr="000E7F35">
        <w:rPr>
          <w:rFonts w:hint="eastAsia"/>
        </w:rPr>
        <w:t>ě</w:t>
      </w:r>
      <w:r w:rsidRPr="000E7F35">
        <w:t>chto oblast</w:t>
      </w:r>
      <w:r w:rsidRPr="000E7F35">
        <w:rPr>
          <w:rFonts w:hint="eastAsia"/>
        </w:rPr>
        <w:t>í</w:t>
      </w:r>
      <w:r w:rsidRPr="000E7F35">
        <w:t xml:space="preserve"> se naz</w:t>
      </w:r>
      <w:r w:rsidRPr="000E7F35">
        <w:rPr>
          <w:rFonts w:hint="eastAsia"/>
        </w:rPr>
        <w:t>ý</w:t>
      </w:r>
      <w:r w:rsidRPr="000E7F35">
        <w:t>v</w:t>
      </w:r>
      <w:r w:rsidRPr="000E7F35">
        <w:rPr>
          <w:rFonts w:hint="eastAsia"/>
        </w:rPr>
        <w:t>á</w:t>
      </w:r>
      <w:r w:rsidRPr="000E7F35">
        <w:t xml:space="preserve"> z</w:t>
      </w:r>
      <w:r w:rsidRPr="000E7F35">
        <w:rPr>
          <w:rFonts w:hint="eastAsia"/>
        </w:rPr>
        <w:t>ó</w:t>
      </w:r>
      <w:r w:rsidRPr="000E7F35">
        <w:t>nou sledov</w:t>
      </w:r>
      <w:r w:rsidRPr="000E7F35">
        <w:rPr>
          <w:rFonts w:hint="eastAsia"/>
        </w:rPr>
        <w:t>á</w:t>
      </w:r>
      <w:r w:rsidRPr="000E7F35">
        <w:t>n</w:t>
      </w:r>
      <w:r w:rsidRPr="000E7F35">
        <w:rPr>
          <w:rFonts w:hint="eastAsia"/>
        </w:rPr>
        <w:t>í</w:t>
      </w:r>
      <w:r w:rsidRPr="000E7F35">
        <w:t>. V t</w:t>
      </w:r>
      <w:r w:rsidRPr="000E7F35">
        <w:rPr>
          <w:rFonts w:hint="eastAsia"/>
        </w:rPr>
        <w:t>é</w:t>
      </w:r>
      <w:r w:rsidRPr="000E7F35">
        <w:t>to z</w:t>
      </w:r>
      <w:r w:rsidRPr="000E7F35">
        <w:rPr>
          <w:rFonts w:hint="eastAsia"/>
        </w:rPr>
        <w:t>ó</w:t>
      </w:r>
      <w:r w:rsidRPr="000E7F35">
        <w:t>n</w:t>
      </w:r>
      <w:r w:rsidRPr="000E7F35">
        <w:rPr>
          <w:rFonts w:hint="eastAsia"/>
        </w:rPr>
        <w:t>ě</w:t>
      </w:r>
      <w:r w:rsidRPr="000E7F35">
        <w:t xml:space="preserve"> je pak realizov</w:t>
      </w:r>
      <w:r w:rsidRPr="000E7F35">
        <w:rPr>
          <w:rFonts w:hint="eastAsia"/>
        </w:rPr>
        <w:t>á</w:t>
      </w:r>
      <w:r w:rsidRPr="000E7F35">
        <w:t>n GTM.</w:t>
      </w:r>
    </w:p>
    <w:p w14:paraId="4F5ED998" w14:textId="77777777" w:rsidR="00CE7975" w:rsidRPr="000E7F35" w:rsidRDefault="00CE7975" w:rsidP="00CE7975">
      <w:pPr>
        <w:pStyle w:val="Text1-1"/>
        <w:numPr>
          <w:ilvl w:val="0"/>
          <w:numId w:val="0"/>
        </w:numPr>
        <w:ind w:left="737"/>
      </w:pPr>
      <w:r w:rsidRPr="000E7F35">
        <w:t>Doba výstavby objektu SO 22-19-91 Němčický tunel se předpokládá 26 měsíců. Po provedení stavby bude geotechnický monitoring realizován po dobu 3 let jako kontrolní monitoring v souvislosti se zkušebním provozem trati.</w:t>
      </w:r>
    </w:p>
    <w:p w14:paraId="4BBA50FB" w14:textId="77777777" w:rsidR="00CE7975" w:rsidRPr="000E7F35" w:rsidRDefault="00CE7975" w:rsidP="00CE7975">
      <w:pPr>
        <w:pStyle w:val="Text1-1"/>
        <w:numPr>
          <w:ilvl w:val="0"/>
          <w:numId w:val="0"/>
        </w:numPr>
        <w:ind w:left="737"/>
      </w:pPr>
      <w:r w:rsidRPr="000E7F35">
        <w:t>Z</w:t>
      </w:r>
      <w:r w:rsidRPr="000E7F35">
        <w:rPr>
          <w:rFonts w:hint="eastAsia"/>
        </w:rPr>
        <w:t>á</w:t>
      </w:r>
      <w:r w:rsidRPr="000E7F35">
        <w:t>kladn</w:t>
      </w:r>
      <w:r w:rsidRPr="000E7F35">
        <w:rPr>
          <w:rFonts w:hint="eastAsia"/>
        </w:rPr>
        <w:t>í</w:t>
      </w:r>
      <w:r w:rsidRPr="000E7F35">
        <w:t>mi sou</w:t>
      </w:r>
      <w:r w:rsidRPr="000E7F35">
        <w:rPr>
          <w:rFonts w:hint="eastAsia"/>
        </w:rPr>
        <w:t>čá</w:t>
      </w:r>
      <w:r w:rsidRPr="000E7F35">
        <w:t>stmi GTM jsou jednak m</w:t>
      </w:r>
      <w:r w:rsidRPr="000E7F35">
        <w:rPr>
          <w:rFonts w:hint="eastAsia"/>
        </w:rPr>
        <w:t>ěř</w:t>
      </w:r>
      <w:r w:rsidRPr="000E7F35">
        <w:t>en</w:t>
      </w:r>
      <w:r w:rsidRPr="000E7F35">
        <w:rPr>
          <w:rFonts w:hint="eastAsia"/>
        </w:rPr>
        <w:t>í</w:t>
      </w:r>
      <w:r w:rsidRPr="000E7F35">
        <w:t xml:space="preserve"> r</w:t>
      </w:r>
      <w:r w:rsidRPr="000E7F35">
        <w:rPr>
          <w:rFonts w:hint="eastAsia"/>
        </w:rPr>
        <w:t>ů</w:t>
      </w:r>
      <w:r w:rsidRPr="000E7F35">
        <w:t>zn</w:t>
      </w:r>
      <w:r w:rsidRPr="000E7F35">
        <w:rPr>
          <w:rFonts w:hint="eastAsia"/>
        </w:rPr>
        <w:t>é</w:t>
      </w:r>
      <w:r w:rsidRPr="000E7F35">
        <w:t xml:space="preserve">ho typu, </w:t>
      </w:r>
      <w:r w:rsidRPr="000E7F35">
        <w:rPr>
          <w:rFonts w:hint="eastAsia"/>
        </w:rPr>
        <w:t>úč</w:t>
      </w:r>
      <w:r w:rsidRPr="000E7F35">
        <w:t>eln</w:t>
      </w:r>
      <w:r w:rsidRPr="000E7F35">
        <w:rPr>
          <w:rFonts w:hint="eastAsia"/>
        </w:rPr>
        <w:t>ě</w:t>
      </w:r>
      <w:r w:rsidRPr="000E7F35">
        <w:t xml:space="preserve"> vybran</w:t>
      </w:r>
      <w:r w:rsidRPr="000E7F35">
        <w:rPr>
          <w:rFonts w:hint="eastAsia"/>
        </w:rPr>
        <w:t>á</w:t>
      </w:r>
      <w:r w:rsidRPr="000E7F35">
        <w:t xml:space="preserve"> v p</w:t>
      </w:r>
      <w:r w:rsidRPr="000E7F35">
        <w:rPr>
          <w:rFonts w:hint="eastAsia"/>
        </w:rPr>
        <w:t>ř</w:t>
      </w:r>
      <w:r w:rsidRPr="000E7F35">
        <w:t>im</w:t>
      </w:r>
      <w:r w:rsidRPr="000E7F35">
        <w:rPr>
          <w:rFonts w:hint="eastAsia"/>
        </w:rPr>
        <w:t>ěř</w:t>
      </w:r>
      <w:r w:rsidRPr="000E7F35">
        <w:t>en</w:t>
      </w:r>
      <w:r w:rsidRPr="000E7F35">
        <w:rPr>
          <w:rFonts w:hint="eastAsia"/>
        </w:rPr>
        <w:t>é</w:t>
      </w:r>
      <w:r w:rsidRPr="000E7F35">
        <w:t xml:space="preserve"> </w:t>
      </w:r>
      <w:r w:rsidRPr="000E7F35">
        <w:rPr>
          <w:rFonts w:hint="eastAsia"/>
        </w:rPr>
        <w:t>č</w:t>
      </w:r>
      <w:r w:rsidRPr="000E7F35">
        <w:t>etnosti vzhledem k v</w:t>
      </w:r>
      <w:r w:rsidRPr="000E7F35">
        <w:rPr>
          <w:rFonts w:hint="eastAsia"/>
        </w:rPr>
        <w:t>ý</w:t>
      </w:r>
      <w:r w:rsidRPr="000E7F35">
        <w:t>znamu a podm</w:t>
      </w:r>
      <w:r w:rsidRPr="000E7F35">
        <w:rPr>
          <w:rFonts w:hint="eastAsia"/>
        </w:rPr>
        <w:t>í</w:t>
      </w:r>
      <w:r w:rsidRPr="000E7F35">
        <w:t>nk</w:t>
      </w:r>
      <w:r w:rsidRPr="000E7F35">
        <w:rPr>
          <w:rFonts w:hint="eastAsia"/>
        </w:rPr>
        <w:t>á</w:t>
      </w:r>
      <w:r w:rsidRPr="000E7F35">
        <w:t>m stavby a jednak v</w:t>
      </w:r>
      <w:r w:rsidRPr="000E7F35">
        <w:rPr>
          <w:rFonts w:hint="eastAsia"/>
        </w:rPr>
        <w:t>ý</w:t>
      </w:r>
      <w:r w:rsidRPr="000E7F35">
        <w:t>kon geologick</w:t>
      </w:r>
      <w:r w:rsidRPr="000E7F35">
        <w:rPr>
          <w:rFonts w:hint="eastAsia"/>
        </w:rPr>
        <w:t>é</w:t>
      </w:r>
      <w:r w:rsidRPr="000E7F35">
        <w:t xml:space="preserve"> slu</w:t>
      </w:r>
      <w:r w:rsidRPr="000E7F35">
        <w:rPr>
          <w:rFonts w:hint="eastAsia"/>
        </w:rPr>
        <w:t>ž</w:t>
      </w:r>
      <w:r w:rsidRPr="000E7F35">
        <w:t>by p</w:t>
      </w:r>
      <w:r w:rsidRPr="000E7F35">
        <w:rPr>
          <w:rFonts w:hint="eastAsia"/>
        </w:rPr>
        <w:t>ř</w:t>
      </w:r>
      <w:r w:rsidRPr="000E7F35">
        <w:t>i hlouben</w:t>
      </w:r>
      <w:r w:rsidRPr="000E7F35">
        <w:rPr>
          <w:rFonts w:hint="eastAsia"/>
        </w:rPr>
        <w:t>í</w:t>
      </w:r>
      <w:r w:rsidRPr="000E7F35">
        <w:t xml:space="preserve"> </w:t>
      </w:r>
      <w:proofErr w:type="spellStart"/>
      <w:r w:rsidRPr="000E7F35">
        <w:t>p</w:t>
      </w:r>
      <w:r w:rsidRPr="000E7F35">
        <w:rPr>
          <w:rFonts w:hint="eastAsia"/>
        </w:rPr>
        <w:t>ř</w:t>
      </w:r>
      <w:r w:rsidRPr="000E7F35">
        <w:t>edv</w:t>
      </w:r>
      <w:r w:rsidRPr="000E7F35">
        <w:rPr>
          <w:rFonts w:hint="eastAsia"/>
        </w:rPr>
        <w:t>ý</w:t>
      </w:r>
      <w:r w:rsidRPr="000E7F35">
        <w:t>kopu</w:t>
      </w:r>
      <w:proofErr w:type="spellEnd"/>
      <w:r w:rsidRPr="000E7F35">
        <w:t>, hlouben</w:t>
      </w:r>
      <w:r w:rsidRPr="000E7F35">
        <w:rPr>
          <w:rFonts w:hint="eastAsia"/>
        </w:rPr>
        <w:t>í</w:t>
      </w:r>
      <w:r w:rsidRPr="000E7F35">
        <w:t xml:space="preserve"> podzemn</w:t>
      </w:r>
      <w:r w:rsidRPr="000E7F35">
        <w:rPr>
          <w:rFonts w:hint="eastAsia"/>
        </w:rPr>
        <w:t>í</w:t>
      </w:r>
      <w:r w:rsidRPr="000E7F35">
        <w:t>ch st</w:t>
      </w:r>
      <w:r w:rsidRPr="000E7F35">
        <w:rPr>
          <w:rFonts w:hint="eastAsia"/>
        </w:rPr>
        <w:t>ě</w:t>
      </w:r>
      <w:r w:rsidRPr="000E7F35">
        <w:t>n a raz</w:t>
      </w:r>
      <w:r w:rsidRPr="000E7F35">
        <w:rPr>
          <w:rFonts w:hint="eastAsia"/>
        </w:rPr>
        <w:t>í</w:t>
      </w:r>
      <w:r w:rsidRPr="000E7F35">
        <w:t>c</w:t>
      </w:r>
      <w:r w:rsidRPr="000E7F35">
        <w:rPr>
          <w:rFonts w:hint="eastAsia"/>
        </w:rPr>
        <w:t>í</w:t>
      </w:r>
      <w:r w:rsidRPr="000E7F35">
        <w:t>ch prac</w:t>
      </w:r>
      <w:r w:rsidRPr="000E7F35">
        <w:rPr>
          <w:rFonts w:hint="eastAsia"/>
        </w:rPr>
        <w:t>í</w:t>
      </w:r>
      <w:r w:rsidRPr="000E7F35">
        <w:t xml:space="preserve"> pod ochrannou stropn</w:t>
      </w:r>
      <w:r w:rsidRPr="000E7F35">
        <w:rPr>
          <w:rFonts w:hint="eastAsia"/>
        </w:rPr>
        <w:t>í</w:t>
      </w:r>
      <w:r w:rsidRPr="000E7F35">
        <w:t xml:space="preserve"> konstrukce.</w:t>
      </w:r>
    </w:p>
    <w:p w14:paraId="128001F3" w14:textId="77777777" w:rsidR="00CE7975" w:rsidRPr="000E7F35" w:rsidRDefault="00CE7975" w:rsidP="00CE7975">
      <w:pPr>
        <w:pStyle w:val="Text1-1"/>
        <w:numPr>
          <w:ilvl w:val="0"/>
          <w:numId w:val="0"/>
        </w:numPr>
        <w:ind w:left="737"/>
      </w:pPr>
      <w:r w:rsidRPr="000E7F35">
        <w:t>Prvky monitoringu jsou um</w:t>
      </w:r>
      <w:r w:rsidRPr="000E7F35">
        <w:rPr>
          <w:rFonts w:hint="eastAsia"/>
        </w:rPr>
        <w:t>í</w:t>
      </w:r>
      <w:r w:rsidRPr="000E7F35">
        <w:t>st</w:t>
      </w:r>
      <w:r w:rsidRPr="000E7F35">
        <w:rPr>
          <w:rFonts w:hint="eastAsia"/>
        </w:rPr>
        <w:t>ě</w:t>
      </w:r>
      <w:r w:rsidRPr="000E7F35">
        <w:t>ny do 27 m</w:t>
      </w:r>
      <w:r w:rsidRPr="000E7F35">
        <w:rPr>
          <w:rFonts w:hint="eastAsia"/>
        </w:rPr>
        <w:t>ěří</w:t>
      </w:r>
      <w:r w:rsidRPr="000E7F35">
        <w:t>c</w:t>
      </w:r>
      <w:r w:rsidRPr="000E7F35">
        <w:rPr>
          <w:rFonts w:hint="eastAsia"/>
        </w:rPr>
        <w:t>í</w:t>
      </w:r>
      <w:r w:rsidRPr="000E7F35">
        <w:t>ch profil</w:t>
      </w:r>
      <w:r w:rsidRPr="000E7F35">
        <w:rPr>
          <w:rFonts w:hint="eastAsia"/>
        </w:rPr>
        <w:t>ů</w:t>
      </w:r>
      <w:r w:rsidRPr="000E7F35">
        <w:t>. M</w:t>
      </w:r>
      <w:r w:rsidRPr="000E7F35">
        <w:rPr>
          <w:rFonts w:hint="eastAsia"/>
        </w:rPr>
        <w:t>ěří</w:t>
      </w:r>
      <w:r w:rsidRPr="000E7F35">
        <w:t>c</w:t>
      </w:r>
      <w:r w:rsidRPr="000E7F35">
        <w:rPr>
          <w:rFonts w:hint="eastAsia"/>
        </w:rPr>
        <w:t>í</w:t>
      </w:r>
      <w:r w:rsidRPr="000E7F35">
        <w:t xml:space="preserve"> profily jsou rozd</w:t>
      </w:r>
      <w:r w:rsidRPr="000E7F35">
        <w:rPr>
          <w:rFonts w:hint="eastAsia"/>
        </w:rPr>
        <w:t>ě</w:t>
      </w:r>
      <w:r w:rsidRPr="000E7F35">
        <w:t xml:space="preserve">leny na profil typu </w:t>
      </w:r>
      <w:r w:rsidRPr="000E7F35">
        <w:rPr>
          <w:rFonts w:hint="eastAsia"/>
        </w:rPr>
        <w:t>„</w:t>
      </w:r>
      <w:r w:rsidRPr="000E7F35">
        <w:t>A</w:t>
      </w:r>
      <w:r w:rsidRPr="000E7F35">
        <w:rPr>
          <w:rFonts w:hint="eastAsia"/>
        </w:rPr>
        <w:t>“</w:t>
      </w:r>
      <w:r w:rsidRPr="000E7F35">
        <w:t xml:space="preserve"> (pouze geodetick</w:t>
      </w:r>
      <w:r w:rsidRPr="000E7F35">
        <w:rPr>
          <w:rFonts w:hint="eastAsia"/>
        </w:rPr>
        <w:t>é</w:t>
      </w:r>
      <w:r w:rsidRPr="000E7F35">
        <w:t xml:space="preserve"> m</w:t>
      </w:r>
      <w:r w:rsidRPr="000E7F35">
        <w:rPr>
          <w:rFonts w:hint="eastAsia"/>
        </w:rPr>
        <w:t>ěř</w:t>
      </w:r>
      <w:r w:rsidRPr="000E7F35">
        <w:t>en</w:t>
      </w:r>
      <w:r w:rsidRPr="000E7F35">
        <w:rPr>
          <w:rFonts w:hint="eastAsia"/>
        </w:rPr>
        <w:t>í</w:t>
      </w:r>
      <w:r w:rsidRPr="000E7F35">
        <w:t>) a na sdru</w:t>
      </w:r>
      <w:r w:rsidRPr="000E7F35">
        <w:rPr>
          <w:rFonts w:hint="eastAsia"/>
        </w:rPr>
        <w:t>ž</w:t>
      </w:r>
      <w:r w:rsidRPr="000E7F35">
        <w:t>en</w:t>
      </w:r>
      <w:r w:rsidRPr="000E7F35">
        <w:rPr>
          <w:rFonts w:hint="eastAsia"/>
        </w:rPr>
        <w:t>ý</w:t>
      </w:r>
      <w:r w:rsidRPr="000E7F35">
        <w:t xml:space="preserve"> profil typu </w:t>
      </w:r>
      <w:r w:rsidRPr="000E7F35">
        <w:rPr>
          <w:rFonts w:hint="eastAsia"/>
        </w:rPr>
        <w:t>„</w:t>
      </w:r>
      <w:r w:rsidRPr="000E7F35">
        <w:t>B</w:t>
      </w:r>
      <w:r w:rsidRPr="000E7F35">
        <w:rPr>
          <w:rFonts w:hint="eastAsia"/>
        </w:rPr>
        <w:t>“</w:t>
      </w:r>
      <w:r w:rsidRPr="000E7F35">
        <w:t>, ve kter</w:t>
      </w:r>
      <w:r w:rsidRPr="000E7F35">
        <w:rPr>
          <w:rFonts w:hint="eastAsia"/>
        </w:rPr>
        <w:t>ý</w:t>
      </w:r>
      <w:r w:rsidRPr="000E7F35">
        <w:t>ch jsou sdru</w:t>
      </w:r>
      <w:r w:rsidRPr="000E7F35">
        <w:rPr>
          <w:rFonts w:hint="eastAsia"/>
        </w:rPr>
        <w:t>ž</w:t>
      </w:r>
      <w:r w:rsidRPr="000E7F35">
        <w:t>eny geodetick</w:t>
      </w:r>
      <w:r w:rsidRPr="000E7F35">
        <w:rPr>
          <w:rFonts w:hint="eastAsia"/>
        </w:rPr>
        <w:t>é</w:t>
      </w:r>
      <w:r w:rsidRPr="000E7F35">
        <w:t xml:space="preserve"> body, tenzometry a inklinometrick</w:t>
      </w:r>
      <w:r w:rsidRPr="000E7F35">
        <w:rPr>
          <w:rFonts w:hint="eastAsia"/>
        </w:rPr>
        <w:t>é</w:t>
      </w:r>
      <w:r w:rsidRPr="000E7F35">
        <w:t xml:space="preserve"> pa</w:t>
      </w:r>
      <w:r w:rsidRPr="000E7F35">
        <w:rPr>
          <w:rFonts w:hint="eastAsia"/>
        </w:rPr>
        <w:t>ž</w:t>
      </w:r>
      <w:r w:rsidRPr="000E7F35">
        <w:t>nice instalovan</w:t>
      </w:r>
      <w:r w:rsidRPr="000E7F35">
        <w:rPr>
          <w:rFonts w:hint="eastAsia"/>
        </w:rPr>
        <w:t>é</w:t>
      </w:r>
      <w:r w:rsidRPr="000E7F35">
        <w:t xml:space="preserve"> v podzemn</w:t>
      </w:r>
      <w:r w:rsidRPr="000E7F35">
        <w:rPr>
          <w:rFonts w:hint="eastAsia"/>
        </w:rPr>
        <w:t>í</w:t>
      </w:r>
      <w:r w:rsidRPr="000E7F35">
        <w:t>ch st</w:t>
      </w:r>
      <w:r w:rsidRPr="000E7F35">
        <w:rPr>
          <w:rFonts w:hint="eastAsia"/>
        </w:rPr>
        <w:t>ě</w:t>
      </w:r>
      <w:r w:rsidRPr="000E7F35">
        <w:t>n</w:t>
      </w:r>
      <w:r w:rsidRPr="000E7F35">
        <w:rPr>
          <w:rFonts w:hint="eastAsia"/>
        </w:rPr>
        <w:t>á</w:t>
      </w:r>
      <w:r w:rsidRPr="000E7F35">
        <w:t>ch. Z</w:t>
      </w:r>
      <w:r w:rsidRPr="000E7F35">
        <w:rPr>
          <w:rFonts w:hint="eastAsia"/>
        </w:rPr>
        <w:t>á</w:t>
      </w:r>
      <w:r w:rsidRPr="000E7F35">
        <w:t>kladn</w:t>
      </w:r>
      <w:r w:rsidRPr="000E7F35">
        <w:rPr>
          <w:rFonts w:hint="eastAsia"/>
        </w:rPr>
        <w:t>í</w:t>
      </w:r>
      <w:r w:rsidRPr="000E7F35">
        <w:t xml:space="preserve"> osnova m</w:t>
      </w:r>
      <w:r w:rsidRPr="000E7F35">
        <w:rPr>
          <w:rFonts w:hint="eastAsia"/>
        </w:rPr>
        <w:t>ěří</w:t>
      </w:r>
      <w:r w:rsidRPr="000E7F35">
        <w:t>c</w:t>
      </w:r>
      <w:r w:rsidRPr="000E7F35">
        <w:rPr>
          <w:rFonts w:hint="eastAsia"/>
        </w:rPr>
        <w:t>í</w:t>
      </w:r>
      <w:r w:rsidRPr="000E7F35">
        <w:t>ch profil</w:t>
      </w:r>
      <w:r w:rsidRPr="000E7F35">
        <w:rPr>
          <w:rFonts w:hint="eastAsia"/>
        </w:rPr>
        <w:t>ů</w:t>
      </w:r>
      <w:r w:rsidRPr="000E7F35">
        <w:t xml:space="preserve"> je cca 30 metr</w:t>
      </w:r>
      <w:r w:rsidRPr="000E7F35">
        <w:rPr>
          <w:rFonts w:hint="eastAsia"/>
        </w:rPr>
        <w:t>ů</w:t>
      </w:r>
      <w:r w:rsidRPr="000E7F35">
        <w:t>. Sdru</w:t>
      </w:r>
      <w:r w:rsidRPr="000E7F35">
        <w:rPr>
          <w:rFonts w:hint="eastAsia"/>
        </w:rPr>
        <w:t>ž</w:t>
      </w:r>
      <w:r w:rsidRPr="000E7F35">
        <w:t>en</w:t>
      </w:r>
      <w:r w:rsidRPr="000E7F35">
        <w:rPr>
          <w:rFonts w:hint="eastAsia"/>
        </w:rPr>
        <w:t>é</w:t>
      </w:r>
      <w:r w:rsidRPr="000E7F35">
        <w:t xml:space="preserve"> profily </w:t>
      </w:r>
      <w:r w:rsidRPr="000E7F35">
        <w:rPr>
          <w:rFonts w:hint="eastAsia"/>
        </w:rPr>
        <w:lastRenderedPageBreak/>
        <w:t>„</w:t>
      </w:r>
      <w:r w:rsidRPr="000E7F35">
        <w:t>B</w:t>
      </w:r>
      <w:r w:rsidRPr="000E7F35">
        <w:rPr>
          <w:rFonts w:hint="eastAsia"/>
        </w:rPr>
        <w:t>“</w:t>
      </w:r>
      <w:r w:rsidRPr="000E7F35">
        <w:t xml:space="preserve"> jsou po 90 metrech. Situace m</w:t>
      </w:r>
      <w:r w:rsidRPr="000E7F35">
        <w:rPr>
          <w:rFonts w:hint="eastAsia"/>
        </w:rPr>
        <w:t>ěří</w:t>
      </w:r>
      <w:r w:rsidRPr="000E7F35">
        <w:t>c</w:t>
      </w:r>
      <w:r w:rsidRPr="000E7F35">
        <w:rPr>
          <w:rFonts w:hint="eastAsia"/>
        </w:rPr>
        <w:t>í</w:t>
      </w:r>
      <w:r w:rsidRPr="000E7F35">
        <w:t>ch profil</w:t>
      </w:r>
      <w:r w:rsidRPr="000E7F35">
        <w:rPr>
          <w:rFonts w:hint="eastAsia"/>
        </w:rPr>
        <w:t>ů</w:t>
      </w:r>
      <w:r w:rsidRPr="000E7F35">
        <w:t xml:space="preserve"> v</w:t>
      </w:r>
      <w:r w:rsidRPr="000E7F35">
        <w:rPr>
          <w:rFonts w:hint="eastAsia"/>
        </w:rPr>
        <w:t>č</w:t>
      </w:r>
      <w:r w:rsidRPr="000E7F35">
        <w:t>etn</w:t>
      </w:r>
      <w:r w:rsidRPr="000E7F35">
        <w:rPr>
          <w:rFonts w:hint="eastAsia"/>
        </w:rPr>
        <w:t>ě</w:t>
      </w:r>
      <w:r w:rsidRPr="000E7F35">
        <w:t xml:space="preserve"> </w:t>
      </w:r>
      <w:r w:rsidRPr="000E7F35">
        <w:rPr>
          <w:rFonts w:hint="eastAsia"/>
        </w:rPr>
        <w:t>ř</w:t>
      </w:r>
      <w:r w:rsidRPr="000E7F35">
        <w:t>ez</w:t>
      </w:r>
      <w:r w:rsidRPr="000E7F35">
        <w:rPr>
          <w:rFonts w:hint="eastAsia"/>
        </w:rPr>
        <w:t>ů</w:t>
      </w:r>
      <w:r w:rsidRPr="000E7F35">
        <w:t xml:space="preserve"> </w:t>
      </w:r>
      <w:r w:rsidRPr="000E7F35">
        <w:rPr>
          <w:rFonts w:hint="eastAsia"/>
        </w:rPr>
        <w:t>„</w:t>
      </w:r>
      <w:r w:rsidRPr="000E7F35">
        <w:t>A</w:t>
      </w:r>
      <w:r w:rsidRPr="000E7F35">
        <w:rPr>
          <w:rFonts w:hint="eastAsia"/>
        </w:rPr>
        <w:t>“</w:t>
      </w:r>
      <w:r w:rsidRPr="000E7F35">
        <w:t xml:space="preserve"> a </w:t>
      </w:r>
      <w:r w:rsidRPr="000E7F35">
        <w:rPr>
          <w:rFonts w:hint="eastAsia"/>
        </w:rPr>
        <w:t>„</w:t>
      </w:r>
      <w:r w:rsidRPr="000E7F35">
        <w:t>B</w:t>
      </w:r>
      <w:r w:rsidRPr="000E7F35">
        <w:rPr>
          <w:rFonts w:hint="eastAsia"/>
        </w:rPr>
        <w:t>“</w:t>
      </w:r>
      <w:r w:rsidRPr="000E7F35">
        <w:t xml:space="preserve"> je zobrazena v Koordina</w:t>
      </w:r>
      <w:r w:rsidRPr="000E7F35">
        <w:rPr>
          <w:rFonts w:hint="eastAsia"/>
        </w:rPr>
        <w:t>č</w:t>
      </w:r>
      <w:r w:rsidRPr="000E7F35">
        <w:t>n</w:t>
      </w:r>
      <w:r w:rsidRPr="000E7F35">
        <w:rPr>
          <w:rFonts w:hint="eastAsia"/>
        </w:rPr>
        <w:t>í</w:t>
      </w:r>
      <w:r w:rsidRPr="000E7F35">
        <w:t xml:space="preserve"> situaci monitoringu v p</w:t>
      </w:r>
      <w:r w:rsidRPr="000E7F35">
        <w:rPr>
          <w:rFonts w:hint="eastAsia"/>
        </w:rPr>
        <w:t>ří</w:t>
      </w:r>
      <w:r w:rsidRPr="000E7F35">
        <w:t xml:space="preserve">loze </w:t>
      </w:r>
      <w:r w:rsidRPr="000E7F35">
        <w:rPr>
          <w:rFonts w:hint="eastAsia"/>
        </w:rPr>
        <w:t>č</w:t>
      </w:r>
      <w:r w:rsidRPr="000E7F35">
        <w:t>. 2.001.</w:t>
      </w:r>
    </w:p>
    <w:p w14:paraId="15F2DB30" w14:textId="44A5EC37" w:rsidR="00F743C4" w:rsidRDefault="00CE7975" w:rsidP="00AF22AF">
      <w:pPr>
        <w:pStyle w:val="Text1-1"/>
        <w:numPr>
          <w:ilvl w:val="0"/>
          <w:numId w:val="0"/>
        </w:numPr>
        <w:ind w:left="737"/>
      </w:pPr>
      <w:r w:rsidRPr="000E7F35">
        <w:t>Pr</w:t>
      </w:r>
      <w:r w:rsidRPr="000E7F35">
        <w:rPr>
          <w:rFonts w:hint="eastAsia"/>
        </w:rPr>
        <w:t>ů</w:t>
      </w:r>
      <w:r w:rsidRPr="000E7F35">
        <w:t>b</w:t>
      </w:r>
      <w:r w:rsidRPr="000E7F35">
        <w:rPr>
          <w:rFonts w:hint="eastAsia"/>
        </w:rPr>
        <w:t>ě</w:t>
      </w:r>
      <w:r w:rsidRPr="000E7F35">
        <w:t>h prac</w:t>
      </w:r>
      <w:r w:rsidRPr="000E7F35">
        <w:rPr>
          <w:rFonts w:hint="eastAsia"/>
        </w:rPr>
        <w:t>í</w:t>
      </w:r>
      <w:r w:rsidRPr="000E7F35">
        <w:t xml:space="preserve"> geotechnick</w:t>
      </w:r>
      <w:r w:rsidRPr="000E7F35">
        <w:rPr>
          <w:rFonts w:hint="eastAsia"/>
        </w:rPr>
        <w:t>é</w:t>
      </w:r>
      <w:r w:rsidRPr="000E7F35">
        <w:t>ho monitoringu, jejich komplexnost, spr</w:t>
      </w:r>
      <w:r w:rsidRPr="000E7F35">
        <w:rPr>
          <w:rFonts w:hint="eastAsia"/>
        </w:rPr>
        <w:t>á</w:t>
      </w:r>
      <w:r w:rsidRPr="000E7F35">
        <w:t>vnou interpretaci v</w:t>
      </w:r>
      <w:r w:rsidRPr="000E7F35">
        <w:rPr>
          <w:rFonts w:hint="eastAsia"/>
        </w:rPr>
        <w:t>ý</w:t>
      </w:r>
      <w:r w:rsidRPr="000E7F35">
        <w:t>sledk</w:t>
      </w:r>
      <w:r w:rsidRPr="000E7F35">
        <w:rPr>
          <w:rFonts w:hint="eastAsia"/>
        </w:rPr>
        <w:t>ů</w:t>
      </w:r>
      <w:r w:rsidRPr="000E7F35">
        <w:t xml:space="preserve"> m</w:t>
      </w:r>
      <w:r w:rsidRPr="000E7F35">
        <w:rPr>
          <w:rFonts w:hint="eastAsia"/>
        </w:rPr>
        <w:t>ěř</w:t>
      </w:r>
      <w:r w:rsidRPr="000E7F35">
        <w:t>en</w:t>
      </w:r>
      <w:r w:rsidRPr="000E7F35">
        <w:rPr>
          <w:rFonts w:hint="eastAsia"/>
        </w:rPr>
        <w:t>í</w:t>
      </w:r>
      <w:r w:rsidRPr="000E7F35">
        <w:t xml:space="preserve"> a sledov</w:t>
      </w:r>
      <w:r w:rsidRPr="000E7F35">
        <w:rPr>
          <w:rFonts w:hint="eastAsia"/>
        </w:rPr>
        <w:t>á</w:t>
      </w:r>
      <w:r w:rsidRPr="000E7F35">
        <w:t>n</w:t>
      </w:r>
      <w:r w:rsidRPr="000E7F35">
        <w:rPr>
          <w:rFonts w:hint="eastAsia"/>
        </w:rPr>
        <w:t>í</w:t>
      </w:r>
      <w:r w:rsidRPr="000E7F35">
        <w:t xml:space="preserve"> bude projedn</w:t>
      </w:r>
      <w:r w:rsidRPr="000E7F35">
        <w:rPr>
          <w:rFonts w:hint="eastAsia"/>
        </w:rPr>
        <w:t>á</w:t>
      </w:r>
      <w:r w:rsidRPr="000E7F35">
        <w:t>v</w:t>
      </w:r>
      <w:r w:rsidRPr="000E7F35">
        <w:rPr>
          <w:rFonts w:hint="eastAsia"/>
        </w:rPr>
        <w:t>á</w:t>
      </w:r>
      <w:r w:rsidRPr="000E7F35">
        <w:t>n na pravideln</w:t>
      </w:r>
      <w:r w:rsidRPr="000E7F35">
        <w:rPr>
          <w:rFonts w:hint="eastAsia"/>
        </w:rPr>
        <w:t>ý</w:t>
      </w:r>
      <w:r w:rsidRPr="000E7F35">
        <w:t>ch sch</w:t>
      </w:r>
      <w:r w:rsidRPr="000E7F35">
        <w:rPr>
          <w:rFonts w:hint="eastAsia"/>
        </w:rPr>
        <w:t>ů</w:t>
      </w:r>
      <w:r w:rsidRPr="000E7F35">
        <w:t>zk</w:t>
      </w:r>
      <w:r w:rsidRPr="000E7F35">
        <w:rPr>
          <w:rFonts w:hint="eastAsia"/>
        </w:rPr>
        <w:t>á</w:t>
      </w:r>
      <w:r w:rsidRPr="000E7F35">
        <w:t xml:space="preserve">ch za </w:t>
      </w:r>
      <w:r w:rsidRPr="000E7F35">
        <w:rPr>
          <w:rFonts w:hint="eastAsia"/>
        </w:rPr>
        <w:t>úč</w:t>
      </w:r>
      <w:r w:rsidRPr="000E7F35">
        <w:t>asti z</w:t>
      </w:r>
      <w:r w:rsidRPr="000E7F35">
        <w:rPr>
          <w:rFonts w:hint="eastAsia"/>
        </w:rPr>
        <w:t>á</w:t>
      </w:r>
      <w:r w:rsidRPr="000E7F35">
        <w:t>stupc</w:t>
      </w:r>
      <w:r w:rsidRPr="000E7F35">
        <w:rPr>
          <w:rFonts w:hint="eastAsia"/>
        </w:rPr>
        <w:t>ů</w:t>
      </w:r>
      <w:r w:rsidRPr="000E7F35">
        <w:t xml:space="preserve"> investora, projektanta, zhotovitele stavby a zhotovitele GTM.</w:t>
      </w:r>
    </w:p>
    <w:p w14:paraId="6530B2E5" w14:textId="2C63D5B2" w:rsidR="00F743C4" w:rsidRDefault="00F743C4" w:rsidP="00AF22AF">
      <w:pPr>
        <w:pStyle w:val="Text1-1"/>
        <w:numPr>
          <w:ilvl w:val="0"/>
          <w:numId w:val="0"/>
        </w:numPr>
        <w:ind w:left="737"/>
      </w:pPr>
      <w:r>
        <w:t>Bližší specifikace předmětu plnění veřejné zakázky je upravena v dalších částech zadávací dokumentace, zejména v </w:t>
      </w:r>
      <w:r w:rsidRPr="00BA040C">
        <w:rPr>
          <w:rFonts w:eastAsia="Times New Roman" w:cs="Arial"/>
          <w:lang w:eastAsia="cs-CZ"/>
        </w:rPr>
        <w:t xml:space="preserve">projektu (PDPS) a v rozsahu SO 22-19-91 </w:t>
      </w:r>
      <w:r w:rsidRPr="004D0A54">
        <w:rPr>
          <w:rFonts w:eastAsia="Times New Roman" w:cs="Arial"/>
          <w:lang w:eastAsia="cs-CZ"/>
        </w:rPr>
        <w:t xml:space="preserve">Němčický </w:t>
      </w:r>
      <w:proofErr w:type="gramStart"/>
      <w:r w:rsidRPr="004D0A54">
        <w:rPr>
          <w:rFonts w:eastAsia="Times New Roman" w:cs="Arial"/>
          <w:lang w:eastAsia="cs-CZ"/>
        </w:rPr>
        <w:t>tunel - Monitoring</w:t>
      </w:r>
      <w:proofErr w:type="gramEnd"/>
      <w:r w:rsidRPr="00BA040C">
        <w:rPr>
          <w:rFonts w:eastAsia="Times New Roman" w:cs="Arial"/>
          <w:lang w:eastAsia="cs-CZ"/>
        </w:rPr>
        <w:t xml:space="preserve"> a </w:t>
      </w:r>
      <w:r w:rsidRPr="004D0A54">
        <w:rPr>
          <w:rFonts w:eastAsia="Times New Roman" w:cs="Arial"/>
          <w:lang w:eastAsia="cs-CZ"/>
        </w:rPr>
        <w:t>SO 22-19-90 Němčický tunel</w:t>
      </w:r>
      <w:r w:rsidRPr="00BA040C">
        <w:t>.</w:t>
      </w:r>
    </w:p>
    <w:p w14:paraId="675EE6CA" w14:textId="2A46E19A" w:rsidR="00F743C4" w:rsidRPr="00B02D33" w:rsidRDefault="00F743C4" w:rsidP="00F743C4">
      <w:pPr>
        <w:pStyle w:val="Text1-1"/>
        <w:numPr>
          <w:ilvl w:val="0"/>
          <w:numId w:val="0"/>
        </w:numPr>
        <w:ind w:left="737" w:hanging="28"/>
        <w:rPr>
          <w:rFonts w:ascii="Verdana" w:hAnsi="Verdana" w:cs="Verdana"/>
        </w:rPr>
      </w:pPr>
      <w:bookmarkStart w:id="9" w:name="_Hlk191974580"/>
      <w:r w:rsidRPr="00B02D33">
        <w:t>Při provádění G</w:t>
      </w:r>
      <w:r>
        <w:t>TM</w:t>
      </w:r>
      <w:r w:rsidRPr="00B02D33">
        <w:t xml:space="preserve"> je zhotovitel </w:t>
      </w:r>
      <w:r>
        <w:t xml:space="preserve">povinen </w:t>
      </w:r>
      <w:r w:rsidRPr="00B02D33">
        <w:t xml:space="preserve">zajistit veškeré podmínky dle zákona </w:t>
      </w:r>
      <w:r w:rsidRPr="00B02D33">
        <w:rPr>
          <w:rFonts w:ascii="Verdana" w:hAnsi="Verdana" w:cs="Verdana"/>
        </w:rPr>
        <w:t>č. 309/2006 Sb., kterým se upravují další požadavky bezpečnosti a ochrany zdraví</w:t>
      </w:r>
      <w:r>
        <w:rPr>
          <w:rFonts w:ascii="Verdana" w:hAnsi="Verdana" w:cs="Verdana"/>
        </w:rPr>
        <w:t xml:space="preserve"> </w:t>
      </w:r>
      <w:r w:rsidRPr="00B02D33">
        <w:rPr>
          <w:rFonts w:ascii="Verdana" w:hAnsi="Verdana" w:cs="Verdana"/>
        </w:rPr>
        <w:t>při práci v pracovněprávních vztazích a o zajištění bezpečnosti a ochrany zdraví při činnosti</w:t>
      </w:r>
      <w:r>
        <w:rPr>
          <w:rFonts w:ascii="Verdana" w:hAnsi="Verdana" w:cs="Verdana"/>
        </w:rPr>
        <w:t xml:space="preserve"> </w:t>
      </w:r>
      <w:r w:rsidRPr="00B02D33">
        <w:rPr>
          <w:rFonts w:ascii="Verdana" w:hAnsi="Verdana" w:cs="Verdana"/>
        </w:rPr>
        <w:t>nebo poskytování služeb mimo pracovněprávní vztahy (zákon o zajištění dalších podmínek</w:t>
      </w:r>
      <w:r>
        <w:rPr>
          <w:rFonts w:ascii="Verdana" w:hAnsi="Verdana" w:cs="Verdana"/>
        </w:rPr>
        <w:t xml:space="preserve"> </w:t>
      </w:r>
      <w:r w:rsidRPr="00B02D33">
        <w:rPr>
          <w:rFonts w:ascii="Verdana" w:hAnsi="Verdana" w:cs="Verdana"/>
        </w:rPr>
        <w:t>bezpečnosti a ochrany zdraví při práci), v platném znění, včetně prováděcích předpisů</w:t>
      </w:r>
      <w:r>
        <w:rPr>
          <w:rFonts w:ascii="Verdana" w:hAnsi="Verdana" w:cs="Verdana"/>
        </w:rPr>
        <w:t xml:space="preserve"> </w:t>
      </w:r>
      <w:r w:rsidRPr="00B02D33">
        <w:rPr>
          <w:rFonts w:ascii="Verdana" w:hAnsi="Verdana" w:cs="Verdana"/>
        </w:rPr>
        <w:t>k tomuto zákonu v platném znění</w:t>
      </w:r>
      <w:r w:rsidR="002A6859">
        <w:rPr>
          <w:rFonts w:ascii="Verdana" w:hAnsi="Verdana" w:cs="Verdana"/>
        </w:rPr>
        <w:t xml:space="preserve">. </w:t>
      </w:r>
      <w:r w:rsidR="00762E5A">
        <w:rPr>
          <w:rFonts w:ascii="Verdana" w:hAnsi="Verdana" w:cs="Verdana"/>
        </w:rPr>
        <w:t>P</w:t>
      </w:r>
      <w:r w:rsidR="00B52365">
        <w:rPr>
          <w:rFonts w:ascii="Verdana" w:hAnsi="Verdana" w:cs="Verdana"/>
        </w:rPr>
        <w:t xml:space="preserve">o dobu </w:t>
      </w:r>
      <w:r w:rsidR="00B925FB">
        <w:rPr>
          <w:rFonts w:ascii="Verdana" w:hAnsi="Verdana" w:cs="Verdana"/>
        </w:rPr>
        <w:t xml:space="preserve">trvání </w:t>
      </w:r>
      <w:r w:rsidR="00B52365">
        <w:rPr>
          <w:rFonts w:ascii="Verdana" w:hAnsi="Verdana" w:cs="Verdana"/>
        </w:rPr>
        <w:t xml:space="preserve">stavebních prací </w:t>
      </w:r>
      <w:r w:rsidR="00762E5A">
        <w:rPr>
          <w:rFonts w:ascii="Verdana" w:hAnsi="Verdana" w:cs="Verdana"/>
        </w:rPr>
        <w:t xml:space="preserve">na stavbě Němčického tunelu </w:t>
      </w:r>
      <w:r w:rsidR="00B52365">
        <w:rPr>
          <w:rFonts w:ascii="Verdana" w:hAnsi="Verdana" w:cs="Verdana"/>
        </w:rPr>
        <w:t>je z</w:t>
      </w:r>
      <w:r w:rsidR="002A6859" w:rsidRPr="003C31C0">
        <w:t xml:space="preserve">hotovitel </w:t>
      </w:r>
      <w:r w:rsidR="002A6859">
        <w:t xml:space="preserve">současně povinen poskytovat </w:t>
      </w:r>
      <w:r w:rsidR="002A6859" w:rsidRPr="003C31C0">
        <w:t xml:space="preserve">součinnost </w:t>
      </w:r>
      <w:r w:rsidR="002A6859">
        <w:t>k</w:t>
      </w:r>
      <w:r w:rsidR="002A6859" w:rsidRPr="003C31C0">
        <w:t>oordinátor</w:t>
      </w:r>
      <w:r w:rsidR="002A6859">
        <w:t>ovi</w:t>
      </w:r>
      <w:r w:rsidR="002A6859" w:rsidRPr="003C31C0">
        <w:t xml:space="preserve"> BOZP</w:t>
      </w:r>
      <w:r w:rsidR="00B52365">
        <w:t xml:space="preserve">, jehož jmenoval zadavatel v souladu se zákonem č. 309/2006 Sb., </w:t>
      </w:r>
      <w:r w:rsidR="002A6859" w:rsidRPr="003C31C0">
        <w:t xml:space="preserve">a </w:t>
      </w:r>
      <w:r w:rsidR="00B52365">
        <w:t xml:space="preserve">současně se </w:t>
      </w:r>
      <w:r w:rsidR="002A6859" w:rsidRPr="003C31C0">
        <w:t xml:space="preserve">zavazuje smluvně zavázat k součinnosti s </w:t>
      </w:r>
      <w:r w:rsidR="00B52365">
        <w:t>k</w:t>
      </w:r>
      <w:r w:rsidR="002A6859" w:rsidRPr="003C31C0">
        <w:t xml:space="preserve">oordinátorem BOZP </w:t>
      </w:r>
      <w:r w:rsidR="00B52365">
        <w:t xml:space="preserve">ve shora uvedeném rozsahu </w:t>
      </w:r>
      <w:r w:rsidR="002A6859" w:rsidRPr="003C31C0">
        <w:t>i</w:t>
      </w:r>
      <w:r w:rsidR="00B925FB">
        <w:t> </w:t>
      </w:r>
      <w:r w:rsidR="002A6859" w:rsidRPr="003C31C0">
        <w:t xml:space="preserve">všechny své </w:t>
      </w:r>
      <w:r w:rsidR="00B52365">
        <w:t>případné p</w:t>
      </w:r>
      <w:r w:rsidR="002A6859" w:rsidRPr="003C31C0">
        <w:t>oddodavatele</w:t>
      </w:r>
      <w:r w:rsidR="00B52365">
        <w:t>.</w:t>
      </w:r>
    </w:p>
    <w:bookmarkEnd w:id="8"/>
    <w:bookmarkEnd w:id="9"/>
    <w:p w14:paraId="182F664C" w14:textId="77777777" w:rsidR="00652EFD" w:rsidRDefault="00652EFD" w:rsidP="00652EFD">
      <w:pPr>
        <w:pStyle w:val="Text1-1"/>
      </w:pPr>
      <w:r>
        <w:t>Klasifikace předmětu veřejné zakázky</w:t>
      </w:r>
    </w:p>
    <w:p w14:paraId="1E09F449" w14:textId="6C76AB40" w:rsidR="00652EFD" w:rsidRDefault="00652EFD" w:rsidP="005354B0">
      <w:pPr>
        <w:pStyle w:val="Text1-1"/>
        <w:numPr>
          <w:ilvl w:val="0"/>
          <w:numId w:val="0"/>
        </w:numPr>
        <w:spacing w:after="0"/>
        <w:ind w:left="737"/>
      </w:pPr>
      <w:r>
        <w:t>kód CPV 713</w:t>
      </w:r>
      <w:r w:rsidR="005354B0">
        <w:t>32000-4 Geotechnické služby</w:t>
      </w:r>
    </w:p>
    <w:p w14:paraId="262E3D11" w14:textId="77777777" w:rsidR="005354B0" w:rsidRPr="00BD6850" w:rsidRDefault="005354B0" w:rsidP="005354B0">
      <w:pPr>
        <w:pStyle w:val="Text1-1"/>
        <w:numPr>
          <w:ilvl w:val="0"/>
          <w:numId w:val="0"/>
        </w:numPr>
        <w:spacing w:after="0"/>
        <w:ind w:left="737"/>
        <w:rPr>
          <w:highlight w:val="green"/>
        </w:rPr>
      </w:pPr>
    </w:p>
    <w:p w14:paraId="0515094C" w14:textId="77777777" w:rsidR="0035531B" w:rsidRDefault="00652EFD" w:rsidP="00652EFD">
      <w:pPr>
        <w:pStyle w:val="Text1-1"/>
      </w:pPr>
      <w:r>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Default="0035531B" w:rsidP="006F6B09">
      <w:pPr>
        <w:pStyle w:val="Nadpis1-1"/>
      </w:pPr>
      <w:bookmarkStart w:id="10" w:name="_Toc178766807"/>
      <w:r>
        <w:t>ZDROJE FINANCOVÁNÍ</w:t>
      </w:r>
      <w:r w:rsidR="00845C50">
        <w:t xml:space="preserve"> a </w:t>
      </w:r>
      <w:r>
        <w:t>PŘEDPOKLÁDANÁ HODNOTA VEŘEJNÉ ZAKÁZKY</w:t>
      </w:r>
      <w:bookmarkEnd w:id="10"/>
    </w:p>
    <w:p w14:paraId="7832C094" w14:textId="77454B0A" w:rsidR="001954B0" w:rsidRDefault="001954B0" w:rsidP="001954B0">
      <w:pPr>
        <w:pStyle w:val="Text1-1"/>
      </w:pPr>
      <w:r>
        <w:t>U této zakázky se předpokládá, že bude financována z prostředků Státního fondu dopravní infrastruktury.</w:t>
      </w:r>
    </w:p>
    <w:p w14:paraId="2726859F" w14:textId="77777777" w:rsidR="0035531B" w:rsidRDefault="0035531B" w:rsidP="0035531B">
      <w:pPr>
        <w:pStyle w:val="Text1-1"/>
      </w:pPr>
      <w:r>
        <w:t>Konečným příjemcem prostředků ze zdrojů uvedených</w:t>
      </w:r>
      <w:r w:rsidR="00092CC9">
        <w:t xml:space="preserve"> v </w:t>
      </w:r>
      <w:r>
        <w:t>článku 5.1 těchto Pokynů je Správa železni</w:t>
      </w:r>
      <w:r w:rsidR="00040961">
        <w:t>c</w:t>
      </w:r>
      <w:r>
        <w:t>, státní organizace, se sídlem Praha 1, Nové Město, Dlážděná 1003/7, PSČ 110 00 (zadavatel).</w:t>
      </w:r>
    </w:p>
    <w:p w14:paraId="0BE0E80D" w14:textId="69F0513B" w:rsidR="0035531B" w:rsidRDefault="0035531B" w:rsidP="0035531B">
      <w:pPr>
        <w:pStyle w:val="Text1-1"/>
      </w:pPr>
      <w:r>
        <w:t xml:space="preserve">Předpokládaná hodnota veřejné zakázky činí </w:t>
      </w:r>
      <w:proofErr w:type="gramStart"/>
      <w:r w:rsidR="00CC211C" w:rsidRPr="00CC211C">
        <w:rPr>
          <w:b/>
          <w:bCs/>
        </w:rPr>
        <w:t>31.175.600,-</w:t>
      </w:r>
      <w:proofErr w:type="gramEnd"/>
      <w:r>
        <w:t xml:space="preserve"> </w:t>
      </w:r>
      <w:r w:rsidRPr="00EB138E">
        <w:rPr>
          <w:b/>
        </w:rPr>
        <w:t>Kč</w:t>
      </w:r>
      <w:r>
        <w:t xml:space="preserve"> (bez DPH).</w:t>
      </w:r>
    </w:p>
    <w:p w14:paraId="4E32F28B" w14:textId="77777777" w:rsidR="0035531B" w:rsidRDefault="0035531B" w:rsidP="006F6B09">
      <w:pPr>
        <w:pStyle w:val="Nadpis1-1"/>
      </w:pPr>
      <w:bookmarkStart w:id="11" w:name="_Toc178766808"/>
      <w:r>
        <w:t>OBSAH ZADÁVACÍ DOKUMENTACE</w:t>
      </w:r>
      <w:bookmarkEnd w:id="11"/>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06053E13" w:rsidR="00ED116C" w:rsidRDefault="00ED116C" w:rsidP="00ED116C">
      <w:pPr>
        <w:pStyle w:val="Textbezslovn"/>
        <w:tabs>
          <w:tab w:val="left" w:pos="1701"/>
        </w:tabs>
        <w:spacing w:after="0"/>
        <w:ind w:left="1701" w:hanging="964"/>
      </w:pPr>
      <w:r>
        <w:t>Část 2</w:t>
      </w:r>
      <w:r>
        <w:tab/>
        <w:t>Obchodní podmínky</w:t>
      </w:r>
      <w:r w:rsidR="00B37852">
        <w:t xml:space="preserve"> SSV pro smlouvu o dílo na poskytování služeb OP SSV/06/24</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2DBDA07D" w:rsidR="00ED116C" w:rsidRDefault="00ED116C" w:rsidP="00ED116C">
      <w:pPr>
        <w:pStyle w:val="Textbezslovn"/>
        <w:tabs>
          <w:tab w:val="left" w:pos="1701"/>
        </w:tabs>
        <w:spacing w:after="0"/>
        <w:ind w:left="1701" w:hanging="964"/>
      </w:pPr>
      <w:r>
        <w:t>Část 4</w:t>
      </w:r>
      <w:r>
        <w:tab/>
        <w:t>Všeobecné technické podmínky</w:t>
      </w:r>
      <w:r w:rsidR="00CC211C">
        <w:t xml:space="preserve"> VTP/DOKUMENTACE/07/24</w:t>
      </w:r>
      <w:r>
        <w:t xml:space="preserve"> </w:t>
      </w:r>
      <w:r w:rsidR="00CC211C">
        <w:t>se použijí v rozsahu odpovídajícím předmětu plnění veřejné zakázky</w:t>
      </w:r>
    </w:p>
    <w:p w14:paraId="32CC4C77" w14:textId="4E831DB7" w:rsidR="00703549" w:rsidRDefault="00703549" w:rsidP="00703549">
      <w:pPr>
        <w:pStyle w:val="Textbezslovn"/>
        <w:tabs>
          <w:tab w:val="left" w:pos="1701"/>
        </w:tabs>
        <w:ind w:left="1701" w:hanging="964"/>
      </w:pPr>
      <w:r>
        <w:tab/>
      </w:r>
    </w:p>
    <w:p w14:paraId="19E411BE" w14:textId="77777777" w:rsidR="00ED116C" w:rsidRPr="00ED116C" w:rsidRDefault="00ED116C" w:rsidP="00ED116C">
      <w:pPr>
        <w:pStyle w:val="Textbezslovn"/>
        <w:tabs>
          <w:tab w:val="left" w:pos="1701"/>
        </w:tabs>
        <w:ind w:left="1701" w:hanging="964"/>
        <w:rPr>
          <w:b/>
        </w:rPr>
      </w:pPr>
      <w:r w:rsidRPr="00ED116C">
        <w:rPr>
          <w:b/>
        </w:rPr>
        <w:t>DÍL 3</w:t>
      </w:r>
      <w:r w:rsidRPr="00ED116C">
        <w:rPr>
          <w:b/>
        </w:rPr>
        <w:tab/>
        <w:t>VÝCHOZÍ A SOUVISEJÍCÍ PODKLADY PŘEDÁVANÉ ZADAVATELEM</w:t>
      </w:r>
    </w:p>
    <w:p w14:paraId="58DA4652" w14:textId="337155E9" w:rsidR="00CC211C" w:rsidRPr="006C4675" w:rsidRDefault="00CC211C" w:rsidP="002D68C7">
      <w:pPr>
        <w:pStyle w:val="Textbezslovn"/>
        <w:tabs>
          <w:tab w:val="left" w:pos="1701"/>
        </w:tabs>
        <w:ind w:left="1701" w:hanging="964"/>
      </w:pPr>
      <w:r w:rsidRPr="006C4675">
        <w:lastRenderedPageBreak/>
        <w:t>Část 1</w:t>
      </w:r>
      <w:r w:rsidRPr="006C4675">
        <w:tab/>
        <w:t>PDPS (Projektová dokumentace pro provádění stavby), zpracovan</w:t>
      </w:r>
      <w:r>
        <w:t>ý</w:t>
      </w:r>
      <w:r w:rsidR="00F92CE6">
        <w:t xml:space="preserve"> </w:t>
      </w:r>
      <w:r w:rsidRPr="006C4675">
        <w:t xml:space="preserve">společností MORAVIA CONSULT Olomouc a.s., sídlo Legionářská 1085/8, 779 00 Olomouc, IČO: 646 10 357, z 05/2023 V rozsahu SO 22-19-91 Němčický </w:t>
      </w:r>
      <w:proofErr w:type="gramStart"/>
      <w:r w:rsidRPr="006C4675">
        <w:t>tunel - Monitoring</w:t>
      </w:r>
      <w:proofErr w:type="gramEnd"/>
      <w:r w:rsidRPr="006C4675">
        <w:t xml:space="preserve"> a SO 22-19-90 Němčický tunel </w:t>
      </w:r>
    </w:p>
    <w:p w14:paraId="7946D4A7" w14:textId="7C66BCB7" w:rsidR="00ED116C" w:rsidRPr="00ED116C" w:rsidRDefault="00ED116C" w:rsidP="00ED116C">
      <w:pPr>
        <w:pStyle w:val="Text1-1"/>
        <w:numPr>
          <w:ilvl w:val="0"/>
          <w:numId w:val="0"/>
        </w:numPr>
        <w:ind w:left="737"/>
        <w:rPr>
          <w:highlight w:val="green"/>
        </w:rPr>
      </w:pPr>
    </w:p>
    <w:p w14:paraId="49793BFC" w14:textId="1F701021" w:rsidR="005A3D2F" w:rsidRPr="001954B0" w:rsidRDefault="0035531B" w:rsidP="00A47DE5">
      <w:pPr>
        <w:pStyle w:val="Text1-1"/>
        <w:spacing w:after="0"/>
      </w:pPr>
      <w:r w:rsidRPr="001954B0">
        <w:t>Zadávací dokumentace je přístupná na profilu zadavatele</w:t>
      </w:r>
      <w:r w:rsidR="005A3D2F" w:rsidRPr="001954B0">
        <w:t xml:space="preserve"> </w:t>
      </w:r>
      <w:hyperlink r:id="rId13"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4" w:history="1">
        <w:r w:rsidR="003E7071">
          <w:rPr>
            <w:rStyle w:val="Hypertextovodkaz"/>
          </w:rPr>
          <w:t>https://vvz.nipez.cz/</w:t>
        </w:r>
      </w:hyperlink>
      <w:hyperlink r:id="rId15" w:history="1"/>
      <w:r w:rsidR="00F073CB">
        <w:rPr>
          <w:rStyle w:val="Hypertextovodkaz"/>
          <w:noProof w:val="0"/>
        </w:rPr>
        <w:t>.</w:t>
      </w:r>
    </w:p>
    <w:p w14:paraId="56141691" w14:textId="3EFC0B87" w:rsidR="0035531B" w:rsidRDefault="0035531B" w:rsidP="00845C50">
      <w:pPr>
        <w:pStyle w:val="Textbezslovn"/>
      </w:pPr>
    </w:p>
    <w:p w14:paraId="5BB28FF7" w14:textId="77777777" w:rsidR="005A3D2F" w:rsidRPr="0013496A" w:rsidRDefault="0035531B" w:rsidP="005A3D2F">
      <w:pPr>
        <w:pStyle w:val="Text1-1"/>
        <w:spacing w:after="0"/>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4137A8">
        <w:t xml:space="preserve"> </w:t>
      </w:r>
      <w:hyperlink r:id="rId17" w:history="1">
        <w:r w:rsidR="00AF7036" w:rsidRPr="007A76CC">
          <w:rPr>
            <w:rStyle w:val="Hypertextovodkaz"/>
          </w:rPr>
          <w:t>https://www.spravazeleznic.cz/</w:t>
        </w:r>
      </w:hyperlink>
      <w:r w:rsidR="004137A8">
        <w:t xml:space="preserve"> (v sekci „O nás“ –&gt; „Vnitřní předpisy“ odkaz „Dokumenty a předpisy“).</w:t>
      </w:r>
    </w:p>
    <w:p w14:paraId="6C49E805" w14:textId="77777777" w:rsidR="0035531B" w:rsidRDefault="0035531B" w:rsidP="005A3D2F">
      <w:pPr>
        <w:pStyle w:val="Text1-1"/>
        <w:numPr>
          <w:ilvl w:val="0"/>
          <w:numId w:val="0"/>
        </w:numPr>
        <w:spacing w:after="0"/>
        <w:ind w:left="737"/>
      </w:pPr>
    </w:p>
    <w:p w14:paraId="6A56FA3B" w14:textId="22F1F983" w:rsidR="00ED116C" w:rsidRDefault="00ED116C" w:rsidP="00ED116C">
      <w:pPr>
        <w:pStyle w:val="Text1-1"/>
      </w:pPr>
      <w:r w:rsidRPr="00ED116C">
        <w:t xml:space="preserve">Dodavatelé jsou zcela odpovědni za dostatečně pečlivé prostudování zadávací dokumentace této veřejné zakázky, jakýchkoliv vysvětlení zadávací dokumentace nebo jejích změn a doplnění </w:t>
      </w:r>
      <w:r w:rsidR="00C70CB5">
        <w:t xml:space="preserve">uveřejněných </w:t>
      </w:r>
      <w:r w:rsidR="00C70CB5" w:rsidRPr="00ED116C">
        <w:t>během</w:t>
      </w:r>
      <w:r w:rsidRPr="00ED116C">
        <w:t xml:space="preserve"> lhůty pro podání nabídek</w:t>
      </w:r>
      <w:r w:rsidR="00D932D1">
        <w:t xml:space="preserve">. </w:t>
      </w:r>
    </w:p>
    <w:p w14:paraId="2CA85FA5" w14:textId="5438FE9F" w:rsidR="007B6C9E" w:rsidRDefault="00ED116C" w:rsidP="007B6C9E">
      <w:pPr>
        <w:pStyle w:val="Text1-1"/>
      </w:pPr>
      <w:r w:rsidRPr="00ED116C">
        <w:t xml:space="preserve">Zadavatel sděluje, že následující části zadávací dokumentace vypracovala osoba odlišná od zadavatele, a to: </w:t>
      </w:r>
    </w:p>
    <w:p w14:paraId="001EB6AA" w14:textId="37FDE710" w:rsidR="007B6C9E" w:rsidRPr="00A95B69" w:rsidRDefault="007B6C9E" w:rsidP="008823AF">
      <w:pPr>
        <w:pStyle w:val="Odstavecseseznamem"/>
        <w:numPr>
          <w:ilvl w:val="0"/>
          <w:numId w:val="20"/>
        </w:numPr>
        <w:jc w:val="both"/>
        <w:rPr>
          <w:rFonts w:eastAsia="Times New Roman" w:cs="Arial"/>
          <w:bCs/>
          <w:lang w:eastAsia="cs-CZ"/>
        </w:rPr>
      </w:pPr>
      <w:r w:rsidRPr="00415ACE">
        <w:rPr>
          <w:rFonts w:eastAsia="Times New Roman" w:cs="Arial"/>
          <w:bCs/>
          <w:lang w:eastAsia="cs-CZ"/>
        </w:rPr>
        <w:t>PDPS (Projektová dokumentace pro provádění stavby), zpracovaný společností MORAVIA CONSULT Olomouc a.s., sídlo Legionářská 1085/8, 779 00 Olomouc, IČO: 646 10 357., z 05/2023</w:t>
      </w:r>
      <w:r>
        <w:rPr>
          <w:rFonts w:eastAsia="Times New Roman" w:cs="Arial"/>
          <w:bCs/>
          <w:lang w:eastAsia="cs-CZ"/>
        </w:rPr>
        <w:t xml:space="preserve"> V rozsahu </w:t>
      </w:r>
      <w:r w:rsidRPr="008823AF">
        <w:rPr>
          <w:rFonts w:eastAsia="Times New Roman" w:cs="Arial"/>
          <w:bCs/>
          <w:lang w:eastAsia="cs-CZ"/>
        </w:rPr>
        <w:t>SO 22-19-91</w:t>
      </w:r>
      <w:r w:rsidRPr="008823AF">
        <w:rPr>
          <w:rFonts w:ascii="Verdana-Bold" w:hAnsi="Verdana-Bold" w:cs="Verdana-Bold"/>
          <w:bCs/>
          <w:sz w:val="27"/>
          <w:szCs w:val="27"/>
        </w:rPr>
        <w:t xml:space="preserve"> </w:t>
      </w:r>
      <w:bookmarkStart w:id="12" w:name="_Hlk191974448"/>
      <w:r w:rsidRPr="008823AF">
        <w:rPr>
          <w:rFonts w:eastAsia="Times New Roman" w:cs="Arial"/>
          <w:bCs/>
          <w:lang w:eastAsia="cs-CZ"/>
        </w:rPr>
        <w:t xml:space="preserve">Němčický </w:t>
      </w:r>
      <w:proofErr w:type="gramStart"/>
      <w:r w:rsidRPr="008823AF">
        <w:rPr>
          <w:rFonts w:eastAsia="Times New Roman" w:cs="Arial"/>
          <w:bCs/>
          <w:lang w:eastAsia="cs-CZ"/>
        </w:rPr>
        <w:t>tunel - Monitoring</w:t>
      </w:r>
      <w:proofErr w:type="gramEnd"/>
      <w:r w:rsidRPr="008823AF">
        <w:rPr>
          <w:rFonts w:eastAsia="Times New Roman" w:cs="Arial"/>
          <w:bCs/>
          <w:lang w:eastAsia="cs-CZ"/>
        </w:rPr>
        <w:t xml:space="preserve"> a SO 22-19-90 Němčický tunel</w:t>
      </w:r>
      <w:r w:rsidR="00C70CB5">
        <w:rPr>
          <w:rFonts w:eastAsia="Times New Roman" w:cs="Arial"/>
          <w:bCs/>
          <w:lang w:eastAsia="cs-CZ"/>
        </w:rPr>
        <w:t>.</w:t>
      </w:r>
      <w:r>
        <w:rPr>
          <w:rFonts w:eastAsia="Times New Roman" w:cs="Arial"/>
          <w:bCs/>
          <w:lang w:eastAsia="cs-CZ"/>
        </w:rPr>
        <w:t xml:space="preserve"> </w:t>
      </w:r>
    </w:p>
    <w:bookmarkEnd w:id="12"/>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13" w:name="_Toc178766809"/>
      <w:r>
        <w:t>VYSVĚTLENÍ, ZMĚNY</w:t>
      </w:r>
      <w:r w:rsidR="00845C50">
        <w:t xml:space="preserve"> a </w:t>
      </w:r>
      <w:r>
        <w:t>DOPLNĚNÍ ZADÁVACÍ DOKUMENTACE</w:t>
      </w:r>
      <w:bookmarkEnd w:id="13"/>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6F45F938" w14:textId="77777777" w:rsidR="0035531B" w:rsidRDefault="0035531B" w:rsidP="00CC4380">
      <w:pPr>
        <w:pStyle w:val="Nadpis1-1"/>
      </w:pPr>
      <w:bookmarkStart w:id="14" w:name="_Toc178766810"/>
      <w:r>
        <w:t>POŽADAVKY ZADAVATELE NA KVALIFIKACI</w:t>
      </w:r>
      <w:bookmarkEnd w:id="14"/>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lastRenderedPageBreak/>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lastRenderedPageBreak/>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Default="0035531B" w:rsidP="00CC4380">
      <w:pPr>
        <w:pStyle w:val="Textbezslovn"/>
        <w:ind w:left="1077"/>
      </w:pPr>
      <w:r>
        <w:t>Dodavatel doloží, že má</w:t>
      </w:r>
      <w:r w:rsidR="00BC6D2B">
        <w:t xml:space="preserve"> k </w:t>
      </w:r>
      <w:r>
        <w:t xml:space="preserve">dispozici </w:t>
      </w:r>
      <w:r w:rsidR="00F10664">
        <w:t xml:space="preserve">živnostenské </w:t>
      </w:r>
      <w:r>
        <w:t>oprávnění</w:t>
      </w:r>
      <w:r w:rsidR="00BC6D2B">
        <w:t xml:space="preserve"> k </w:t>
      </w:r>
      <w:r>
        <w:t xml:space="preserve">podnikání pro následující činnosti: </w:t>
      </w:r>
    </w:p>
    <w:p w14:paraId="6A9023DA" w14:textId="49506499" w:rsidR="001D6E71" w:rsidRPr="00A95B69" w:rsidRDefault="001D6E71" w:rsidP="00BD5A0E">
      <w:pPr>
        <w:pStyle w:val="Odrka1-2-"/>
        <w:spacing w:after="0"/>
      </w:pPr>
      <w:r w:rsidRPr="00A95B69">
        <w:t>výkon zeměměřických činností</w:t>
      </w:r>
      <w:r w:rsidR="00F92CE6">
        <w:t>,</w:t>
      </w:r>
    </w:p>
    <w:p w14:paraId="55A0FBDD" w14:textId="2F25B4E4" w:rsidR="007B592C" w:rsidRPr="00A95B69" w:rsidRDefault="001D6E71" w:rsidP="008823AF">
      <w:pPr>
        <w:pStyle w:val="Odrka1-2-"/>
        <w:spacing w:after="120"/>
      </w:pPr>
      <w:r w:rsidRPr="00A95B69">
        <w:t>geologické práce</w:t>
      </w:r>
      <w:r w:rsidR="00F92CE6">
        <w:t>.</w:t>
      </w:r>
    </w:p>
    <w:p w14:paraId="49AD27E5" w14:textId="77777777" w:rsidR="0035531B" w:rsidRDefault="0035531B" w:rsidP="00092CC9">
      <w:pPr>
        <w:pStyle w:val="Odrka1-1"/>
      </w:pPr>
      <w:r>
        <w:t>Odborná způsobilost:</w:t>
      </w:r>
    </w:p>
    <w:p w14:paraId="12E053EF" w14:textId="1DBFDC42" w:rsidR="00BD5A0E" w:rsidRPr="00783E22" w:rsidRDefault="00BD5A0E" w:rsidP="00BD5A0E">
      <w:pPr>
        <w:pStyle w:val="Odrka1-2-"/>
      </w:pPr>
      <w:r>
        <w:t xml:space="preserve">Zadavatel požaduje předložení dokladu o autorizaci v rozsahu dle § 5 odst. 3 </w:t>
      </w:r>
      <w:r w:rsidRPr="00783E22">
        <w:t xml:space="preserve">písm. </w:t>
      </w:r>
      <w:r w:rsidRPr="00A95B69">
        <w:rPr>
          <w:b/>
        </w:rPr>
        <w:t xml:space="preserve">i) </w:t>
      </w:r>
      <w:r w:rsidRPr="00783E22">
        <w:t>zákona č. 360/1992 Sb., o výkonu povolání autorizovaných architektů a o výkonu povolání autorizovaných inženýrů a techniků činných ve výstavbě, ve znění pozdějších předpisů.</w:t>
      </w:r>
    </w:p>
    <w:p w14:paraId="4300C633" w14:textId="5FFCF409" w:rsidR="00BD5A0E" w:rsidRPr="00A95B69" w:rsidRDefault="00BD5A0E" w:rsidP="00BD5A0E">
      <w:pPr>
        <w:pStyle w:val="Odrka1-2-"/>
      </w:pPr>
      <w:r w:rsidRPr="00A95B69">
        <w:t xml:space="preserve">Zadavatel požaduje předložení </w:t>
      </w:r>
      <w:r w:rsidR="0031758D" w:rsidRPr="00A95B69">
        <w:t xml:space="preserve">autorizace </w:t>
      </w:r>
      <w:r w:rsidRPr="00A95B69">
        <w:t>pro ověřování výsledků zeměměřických činností v rozsahu dle §</w:t>
      </w:r>
      <w:r w:rsidR="0031758D" w:rsidRPr="00A95B69">
        <w:t xml:space="preserve"> 16f</w:t>
      </w:r>
      <w:r w:rsidRPr="00A95B69">
        <w:t xml:space="preserve"> odst. 1 písm. c) zákona č. 200/1994 Sb., o zeměměřictví a o změně a doplnění některých zákonů souvisejících s jeho zavedením, ve znění pozdějších předpisů.</w:t>
      </w:r>
    </w:p>
    <w:p w14:paraId="2D0AB946" w14:textId="77777777" w:rsidR="00BD5A0E" w:rsidRDefault="00BD5A0E" w:rsidP="00BD5A0E">
      <w:pPr>
        <w:pStyle w:val="Odrka1-2-"/>
        <w:numPr>
          <w:ilvl w:val="0"/>
          <w:numId w:val="0"/>
        </w:numPr>
        <w:ind w:left="1077"/>
      </w:pPr>
      <w:r>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343D75A0" w14:textId="77777777" w:rsidR="00A15641" w:rsidRDefault="00A15641"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1B30744E" w14:textId="25A20D30" w:rsidR="00392730" w:rsidRDefault="00392730" w:rsidP="00392730">
      <w:pPr>
        <w:pStyle w:val="Textbezslovn"/>
      </w:pPr>
      <w:r>
        <w:t xml:space="preserve">Zadavatel požaduje předložení seznamu ukončených významných služeb obdobného charakteru poskytnutých dodavatelem v posledních </w:t>
      </w:r>
      <w:r w:rsidR="005660F7">
        <w:t xml:space="preserve">10 </w:t>
      </w:r>
      <w:r>
        <w:t xml:space="preserve">letech před zahájením zadávacího řízení. </w:t>
      </w:r>
    </w:p>
    <w:p w14:paraId="2CEA948D" w14:textId="4A567AA8" w:rsidR="00392730" w:rsidRDefault="00392730" w:rsidP="005660F7">
      <w:pPr>
        <w:pStyle w:val="Textbezslovn"/>
      </w:pPr>
      <w:r>
        <w:t xml:space="preserve">Za služby obdobného charakteru se pokládají práce </w:t>
      </w:r>
      <w:r w:rsidR="005660F7">
        <w:t xml:space="preserve">na provedení Geotechnického monitoringu (dále jen „GTM“) </w:t>
      </w:r>
      <w:r>
        <w:t xml:space="preserve">pro </w:t>
      </w:r>
      <w:r w:rsidR="00B31408">
        <w:t>dopravní stavby nebo jinou obdobnou činnost, která svým obsahem odpovídá předmětu veřejné zakázky, jak je vymezen v těchto Pokynech</w:t>
      </w:r>
      <w:r>
        <w:t xml:space="preserve">. </w:t>
      </w:r>
    </w:p>
    <w:p w14:paraId="3E51B240" w14:textId="2A303DD3" w:rsidR="00392730" w:rsidRPr="008823AF" w:rsidRDefault="00392730" w:rsidP="007D44B5">
      <w:pPr>
        <w:pStyle w:val="Textbezslovn"/>
        <w:spacing w:after="0"/>
      </w:pPr>
      <w:r>
        <w:t xml:space="preserve">Za významné služby obdobného charakteru se pokládají pouze takové služby obdobného charakteru, jejichž předmětem byly následující činnosti uvedené níže v tomto článku pod písm. </w:t>
      </w:r>
      <w:r w:rsidRPr="008823AF">
        <w:t>a) (dále jen „</w:t>
      </w:r>
      <w:r w:rsidRPr="008823AF">
        <w:rPr>
          <w:b/>
        </w:rPr>
        <w:t>významné služby</w:t>
      </w:r>
      <w:r w:rsidRPr="008823AF">
        <w:t xml:space="preserve">“). Dodavatel musí informacemi uvedenými v předloženém seznamu významných služeb prokázat, že v uvedeném období poskytl významné služby, jejichž předmětem byly následující činnosti: </w:t>
      </w:r>
    </w:p>
    <w:p w14:paraId="549B5420" w14:textId="5C9C13D3" w:rsidR="005660F7" w:rsidRPr="008823AF" w:rsidRDefault="005660F7" w:rsidP="007D44B5">
      <w:pPr>
        <w:pStyle w:val="Textbezslovn"/>
        <w:numPr>
          <w:ilvl w:val="0"/>
          <w:numId w:val="14"/>
        </w:numPr>
        <w:spacing w:before="120"/>
      </w:pPr>
      <w:r w:rsidRPr="008823AF">
        <w:lastRenderedPageBreak/>
        <w:t xml:space="preserve">geotechnický monitoring stavební konstrukce pro dopravní stavbu nebo jinou obdobnou činnost, která svým obsahem odpovídá předmětu veřejné zakázky, jak je vymezen </w:t>
      </w:r>
      <w:r w:rsidR="00D97AC7" w:rsidRPr="008823AF">
        <w:t>v těchto pokynech</w:t>
      </w:r>
      <w:r w:rsidRPr="008823AF">
        <w:t>.</w:t>
      </w:r>
    </w:p>
    <w:p w14:paraId="2500CE3E" w14:textId="5AA22E98" w:rsidR="00392730" w:rsidRDefault="00392730" w:rsidP="00392730">
      <w:pPr>
        <w:pStyle w:val="Textbezslovn"/>
      </w:pPr>
      <w:r w:rsidRPr="008823AF">
        <w:t xml:space="preserve">Celkový součet </w:t>
      </w:r>
      <w:r w:rsidR="00656A03" w:rsidRPr="008823AF">
        <w:t xml:space="preserve">hodnot </w:t>
      </w:r>
      <w:r w:rsidRPr="008823AF">
        <w:t xml:space="preserve">významných služeb za posledních </w:t>
      </w:r>
      <w:r w:rsidR="00D97AC7" w:rsidRPr="008823AF">
        <w:t xml:space="preserve">10 </w:t>
      </w:r>
      <w:r w:rsidRPr="008823AF">
        <w:t>let před zahájením zadávacího řízení, které do</w:t>
      </w:r>
      <w:r>
        <w:t xml:space="preserve">davatel poskytl, musí dosahovat v souhrnu, včetně případných poddodávek, minimálně </w:t>
      </w:r>
      <w:r w:rsidR="00D97AC7" w:rsidRPr="009D0A59">
        <w:rPr>
          <w:b/>
          <w:bCs/>
        </w:rPr>
        <w:t>7.000.000,-</w:t>
      </w:r>
      <w:r>
        <w:t xml:space="preserve"> </w:t>
      </w:r>
      <w:r w:rsidRPr="00392730">
        <w:rPr>
          <w:b/>
        </w:rPr>
        <w:t>Kč</w:t>
      </w:r>
      <w:r>
        <w:t xml:space="preserve"> bez DPH, přičemž alespoň jedna významná služba musí dosahovat </w:t>
      </w:r>
      <w:r w:rsidR="00656A03">
        <w:t xml:space="preserve">hodnoty </w:t>
      </w:r>
      <w:r>
        <w:t xml:space="preserve">nejméně </w:t>
      </w:r>
      <w:r w:rsidR="00D97AC7" w:rsidRPr="009D0A59">
        <w:rPr>
          <w:b/>
          <w:bCs/>
        </w:rPr>
        <w:t>3.500.000,-</w:t>
      </w:r>
      <w:r>
        <w:t xml:space="preserve"> </w:t>
      </w:r>
      <w:r w:rsidRPr="00392730">
        <w:rPr>
          <w:b/>
        </w:rPr>
        <w:t>Kč</w:t>
      </w:r>
      <w:r>
        <w:t xml:space="preserve"> bez DPH </w:t>
      </w:r>
      <w:r w:rsidR="00026A71">
        <w:t>(u</w:t>
      </w:r>
      <w:r w:rsidR="007D44B5">
        <w:t>vedené částky se vztahují k hodnotě geotechnického monitoringu stavební konstrukce pro dopravní stavbu nebo jinou obdobnou činnost, nikoli k hodnotě zakázky jako celku</w:t>
      </w:r>
      <w:r w:rsidR="00026A71">
        <w:t>,</w:t>
      </w:r>
      <w:r w:rsidR="007D44B5">
        <w:t xml:space="preserve"> byl-li výkon geotechnického monitoringu součástí rozsáhlejšího plnění</w:t>
      </w:r>
      <w:r w:rsidR="00026A71">
        <w:t>)</w:t>
      </w:r>
      <w:r w:rsidR="007D44B5">
        <w:t>. H</w:t>
      </w:r>
      <w:r w:rsidR="00656A03">
        <w:t>odnot</w:t>
      </w:r>
      <w:r w:rsidR="007D44B5">
        <w:t>ou</w:t>
      </w:r>
      <w:r w:rsidR="00656A03">
        <w:t xml:space="preserve"> významných služeb se </w:t>
      </w:r>
      <w:r w:rsidR="00656A03" w:rsidRPr="00E74F21">
        <w:rPr>
          <w:rFonts w:cs="Arial"/>
          <w:iCs/>
        </w:rPr>
        <w:t>pro účely posouzení splnění kritérií technické kvalifikace</w:t>
      </w:r>
      <w:r w:rsidR="00656A03">
        <w:t xml:space="preserve"> rozumí cena, za kterou dodavatel provedl předmětné </w:t>
      </w:r>
      <w:r w:rsidR="00026A71">
        <w:t xml:space="preserve">významné </w:t>
      </w:r>
      <w:r w:rsidR="00656A03">
        <w:t xml:space="preserve">služby; tato cena nebude upravována o míru inflace tak, aby odpovídala současným hodnotám služeb. </w:t>
      </w:r>
    </w:p>
    <w:p w14:paraId="2AF4DF9D" w14:textId="46DEAB76"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F3361A1" w14:textId="6764AC80" w:rsidR="00392730" w:rsidRDefault="00392730" w:rsidP="00392730">
      <w:pPr>
        <w:pStyle w:val="Textbezslovn"/>
      </w:pPr>
      <w:r>
        <w:t xml:space="preserve">Doba </w:t>
      </w:r>
      <w:r w:rsidR="005A5847">
        <w:t xml:space="preserve">10 </w:t>
      </w:r>
      <w:r>
        <w:t xml:space="preserve">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byly požadované minimální hodnoty významných služeb dosaženy za celou dobu poskytování významných služeb, nikoliv pouze v průběhu posledních </w:t>
      </w:r>
      <w:r w:rsidR="001A33CE">
        <w:t xml:space="preserve">10 </w:t>
      </w:r>
      <w:r>
        <w:t xml:space="preserve">let před zahájením zadávacího řízení. V případě, že byla referovaná významná služba, resp. činnost </w:t>
      </w:r>
      <w:r w:rsidR="001A33CE">
        <w:t xml:space="preserve">(tj. Geotechnický monitoring) </w:t>
      </w:r>
      <w:r>
        <w:t xml:space="preserve">součástí rozsáhlejšího plnění pro téhož dodavatele, je pro prokázání splnění kvalifikace relevantní pouze ta jeho část, která odpovídá zadavatelem stanovené </w:t>
      </w:r>
      <w:r w:rsidR="008D7D26">
        <w:t xml:space="preserve">definici </w:t>
      </w:r>
      <w:r>
        <w:t>významné služby</w:t>
      </w:r>
      <w:r w:rsidR="00393494">
        <w:t xml:space="preserve"> (postačí, pokud je v uvedené době dokončeno plnění v rozsahu referované činnosti s tím, že zakázka jako celek dokončena není; zároveň však platí, že nestačí, tj. nepovažuje se za plnění dokončené v požadované době, pokud je v posledních 10 letech dokončena zakázka rozsáhlejšího plnění jako celek, avšak plnění v rozsahu referované činnosti bylo dokončeno dříve než před 10 lety)</w:t>
      </w:r>
      <w:r>
        <w:t>. Zadavatel upozorňuje, že z předloženého seznamu musí pro potřeby posouzení kvalifikace konkrétně vyplývat, jaká byla cena té části plnění, kter</w:t>
      </w:r>
      <w:r w:rsidR="006A1D4B">
        <w:t>á</w:t>
      </w:r>
      <w:r>
        <w:t xml:space="preserve"> obsahově odpovídá zadavatelem stanovené </w:t>
      </w:r>
      <w:r w:rsidR="00A03E79">
        <w:t xml:space="preserve">definici </w:t>
      </w:r>
      <w:r>
        <w:t xml:space="preserve">významné služby, a v jakém časovém období byly tyto konkrétní </w:t>
      </w:r>
      <w:r w:rsidR="008A5E06">
        <w:t xml:space="preserve">části plnění odpovídající zadavatelem stanovené definici významné </w:t>
      </w:r>
      <w:r>
        <w:t>služby</w:t>
      </w:r>
      <w:r w:rsidR="00097DD8">
        <w:t xml:space="preserve"> </w:t>
      </w:r>
      <w:r w:rsidR="008A5E06">
        <w:t>dokončeny</w:t>
      </w:r>
      <w:r>
        <w:t>.</w:t>
      </w:r>
      <w:r w:rsidR="00880C36">
        <w:t xml:space="preserve"> </w:t>
      </w:r>
    </w:p>
    <w:p w14:paraId="7BBB1C9D" w14:textId="5B7D8F35" w:rsidR="001A33CE" w:rsidRDefault="001A33CE" w:rsidP="001A33CE">
      <w:pPr>
        <w:pStyle w:val="Textbezslovn"/>
      </w:pPr>
      <w:r>
        <w:t>Pro odstranění pochybností zadavatel upřesňuje, že pro potřeby doložení referenčních zakázek (významných služeb) se zakázka na geotechnický monitoring</w:t>
      </w:r>
      <w:r w:rsidDel="00647128">
        <w:t xml:space="preserve"> </w:t>
      </w:r>
      <w:r>
        <w:t>považuje za dokončen</w:t>
      </w:r>
      <w:r w:rsidR="00393494">
        <w:t>ou</w:t>
      </w:r>
      <w:r>
        <w:t xml:space="preserve"> předáním kompletní závěrečné zprávy o geotechnickém monitoringu (včetně všech pasportů, výpočtů a příloh) objednateli po zapracování všech připomínek ze strany objednatele.</w:t>
      </w:r>
    </w:p>
    <w:p w14:paraId="2DC9EF08" w14:textId="77777777" w:rsidR="00392730" w:rsidRDefault="00392730" w:rsidP="00392730">
      <w:pPr>
        <w:pStyle w:val="Textbezslovn"/>
      </w:pPr>
      <w:r>
        <w:t>Dodavatel může použít k prokázání splnění kritéria kvalifikace týkajícího se požadavku na předložení seznamu referenčních zakázek i takové významné služby, které poskytl</w:t>
      </w:r>
    </w:p>
    <w:p w14:paraId="36E3C8E5" w14:textId="77777777" w:rsidR="00392730" w:rsidRDefault="00392730" w:rsidP="00C97246">
      <w:pPr>
        <w:pStyle w:val="Odstavec1-1a"/>
        <w:numPr>
          <w:ilvl w:val="0"/>
          <w:numId w:val="17"/>
        </w:numPr>
        <w:spacing w:after="0"/>
      </w:pPr>
      <w:r>
        <w:t>společně s jinými dodavateli, a to v rozsahu, v jakém se na plnění zakázky podílel, nebo</w:t>
      </w:r>
    </w:p>
    <w:p w14:paraId="5B9EBB80" w14:textId="2E997A44" w:rsidR="00392730" w:rsidRDefault="00392730" w:rsidP="00C97246">
      <w:pPr>
        <w:pStyle w:val="Odstavec1-1a"/>
        <w:numPr>
          <w:ilvl w:val="0"/>
          <w:numId w:val="17"/>
        </w:numPr>
        <w:spacing w:after="0"/>
      </w:pPr>
      <w:r>
        <w:t>jako poddodavatel, a to v rozsahu, v jakém se na plnění zakázky podílel.</w:t>
      </w:r>
    </w:p>
    <w:p w14:paraId="738C142F" w14:textId="77777777" w:rsidR="00392730" w:rsidRDefault="00392730" w:rsidP="000C3DEC">
      <w:pPr>
        <w:pStyle w:val="Textbezslovn"/>
        <w:spacing w:before="240"/>
      </w:pPr>
      <w:r>
        <w:t xml:space="preserve">Pokud se jiná osoba, prostřednictvím které účastník prokazuje část kvalifikace dle § 83 ZZVZ, v rámci prokazování poskytnutí významných služeb prokáže stejnou referenční </w:t>
      </w:r>
      <w:r>
        <w:lastRenderedPageBreak/>
        <w:t>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Default="00935206" w:rsidP="00392730">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p w14:paraId="79233B29" w14:textId="77777777" w:rsidR="0035531B" w:rsidRPr="00930B79" w:rsidRDefault="0035531B" w:rsidP="0035531B">
      <w:pPr>
        <w:pStyle w:val="Text1-1"/>
        <w:rPr>
          <w:rStyle w:val="Tun9b"/>
        </w:rPr>
      </w:pPr>
      <w:r w:rsidRPr="00930B79">
        <w:rPr>
          <w:rStyle w:val="Tun9b"/>
        </w:rPr>
        <w:t>Technická kvalifikace – seznam odborného personálu:</w:t>
      </w:r>
    </w:p>
    <w:p w14:paraId="57A1863C" w14:textId="05F82833" w:rsidR="009E1AEE" w:rsidRDefault="009E1AEE" w:rsidP="009E1AEE">
      <w:pPr>
        <w:pStyle w:val="Textbezslovn"/>
      </w:pPr>
      <w:r>
        <w:t>Zadavatel požaduje předložení seznamu odborného personálu dodavatele. Pro každou osobu odborného personálu v níže uvedené funkci může být za účelem splnění kvalifikace doložena pouze jedna osoba. Jednotlivé požadavky na kvalifikační kritéria u každé jednotlivé funkce nelze jakkoliv rozdělit mezi více fyzických osob, takže u téže funkce člena odborného personálu nemůže být prokázáno splnění např. požadované</w:t>
      </w:r>
      <w:r w:rsidR="00D148BC">
        <w:t xml:space="preserve"> praxe</w:t>
      </w:r>
      <w:r>
        <w:t xml:space="preserve"> jednou osobou a pomocí jiné osoby odborná způsobilost. Dodavatel je oprávněn svěřit jedné fyzické osobě výkon více funkcí člena odborného personálu za předpokladu, že tato osoba splňuje všechna kvalifikační kritéria požadovaná 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4C4C57" w:rsidRDefault="009E1AEE" w:rsidP="009E1AEE">
      <w:pPr>
        <w:pStyle w:val="Textbezslovn"/>
      </w:pPr>
      <w:r>
        <w:t xml:space="preserve">Dodavatel v nabídce předloží profesní životopisy každého člena odborného personálu a </w:t>
      </w:r>
      <w:r w:rsidRPr="004C4C57">
        <w:t xml:space="preserve">doklady k prokázání odborné způsobilosti. Pro plnění této veřejné zakázky musí mít dodavatel k dispozici odborný personál, který splňuje následující podmínky (což musí vyplývat </w:t>
      </w:r>
      <w:proofErr w:type="gramStart"/>
      <w:r w:rsidRPr="004C4C57">
        <w:t>z</w:t>
      </w:r>
      <w:proofErr w:type="gramEnd"/>
      <w:r w:rsidRPr="004C4C57">
        <w:t xml:space="preserve"> dodavatelem předkládaných dokumentů):</w:t>
      </w:r>
    </w:p>
    <w:p w14:paraId="5F439790" w14:textId="40BADB3E" w:rsidR="009E1AEE" w:rsidRPr="004C4C57" w:rsidRDefault="009E1AEE" w:rsidP="001B3571">
      <w:pPr>
        <w:pStyle w:val="Odstavec1-1a"/>
        <w:numPr>
          <w:ilvl w:val="0"/>
          <w:numId w:val="11"/>
        </w:numPr>
        <w:rPr>
          <w:b/>
        </w:rPr>
      </w:pPr>
      <w:r w:rsidRPr="004C4C57">
        <w:rPr>
          <w:b/>
        </w:rPr>
        <w:t xml:space="preserve">specialista na geotechniku </w:t>
      </w:r>
    </w:p>
    <w:p w14:paraId="73A25338" w14:textId="0BD6F531" w:rsidR="00355D2A" w:rsidRPr="004C4C57" w:rsidRDefault="009E1AEE" w:rsidP="00355D2A">
      <w:pPr>
        <w:pStyle w:val="Odrka1-2-"/>
      </w:pPr>
      <w:r w:rsidRPr="004C4C57">
        <w:t>nejméně 5 let praxe v oboru své specializace</w:t>
      </w:r>
      <w:r w:rsidR="00503605" w:rsidRPr="004C4C57">
        <w:t xml:space="preserve"> (geotechnika)</w:t>
      </w:r>
      <w:r w:rsidRPr="004C4C57">
        <w:t xml:space="preserve">; </w:t>
      </w:r>
    </w:p>
    <w:p w14:paraId="355F7717" w14:textId="77777777" w:rsidR="009E1AEE" w:rsidRPr="004C4C57" w:rsidRDefault="009E1AEE" w:rsidP="00355D2A">
      <w:pPr>
        <w:pStyle w:val="Odrka1-2-"/>
      </w:pPr>
      <w:r w:rsidRPr="004C4C57">
        <w:t>autorizace v rozsahu dle § 5 odst. 3 písm. i) autorizačního zákona, tedy v oboru geotechnika;</w:t>
      </w:r>
    </w:p>
    <w:p w14:paraId="5D9E2B98" w14:textId="77777777" w:rsidR="00F46A55" w:rsidRPr="004C4C57" w:rsidRDefault="00F46A55" w:rsidP="00F46A55">
      <w:pPr>
        <w:pStyle w:val="Odstavec1-1a"/>
        <w:numPr>
          <w:ilvl w:val="0"/>
          <w:numId w:val="11"/>
        </w:numPr>
        <w:rPr>
          <w:b/>
        </w:rPr>
      </w:pPr>
      <w:r w:rsidRPr="004C4C57">
        <w:rPr>
          <w:b/>
        </w:rPr>
        <w:t>autorizovaný zeměměřický inženýr</w:t>
      </w:r>
    </w:p>
    <w:p w14:paraId="17FB5EDB" w14:textId="77777777" w:rsidR="00F46A55" w:rsidRPr="004C4C57" w:rsidRDefault="00F46A55" w:rsidP="00F46A55">
      <w:pPr>
        <w:pStyle w:val="Odrka1-2-"/>
      </w:pPr>
      <w:r w:rsidRPr="004C4C57">
        <w:t xml:space="preserve">nejméně 5 let praxe ve svém oboru; </w:t>
      </w:r>
    </w:p>
    <w:p w14:paraId="4685AD77" w14:textId="6E694C25" w:rsidR="009E1AEE" w:rsidRPr="004C4C57" w:rsidRDefault="00F46A55" w:rsidP="00A95B69">
      <w:pPr>
        <w:pStyle w:val="Odrka1-2-"/>
      </w:pPr>
      <w:r w:rsidRPr="004C4C57">
        <w:t>autorizace pro ověřování výsledků zeměměřických činností v rozsahu dle § 16f odst. 1 písm. c) zákona č. 200/1994 Sb., o zeměměřictví a o změně a doplnění některých zákonů souvisejících s jeho zavedením, ve znění pozdějších předpisů</w:t>
      </w:r>
      <w:r w:rsidR="00B039F3">
        <w:t>.</w:t>
      </w:r>
    </w:p>
    <w:p w14:paraId="02049CBA" w14:textId="7B7ABAD5" w:rsidR="009E1AEE" w:rsidRDefault="009E1AEE" w:rsidP="009E1AEE">
      <w:pPr>
        <w:pStyle w:val="Textbezslovn"/>
      </w:pPr>
      <w:r w:rsidRPr="004C4C57">
        <w:t>Seznam odborného personálu dodavatele zadavatel doporučuje předložit ve formě dle vzorového formuláře obsaženého v Příloze č. 5 těchto Pokynů</w:t>
      </w:r>
      <w:r>
        <w:t xml:space="preserve">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618208D9" w14:textId="77777777" w:rsidR="009E1AEE" w:rsidRDefault="009E1AEE" w:rsidP="009E1AEE">
      <w:pPr>
        <w:pStyle w:val="Textbezslovn"/>
      </w:pPr>
      <w:r>
        <w:t xml:space="preserve">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w:t>
      </w:r>
      <w:r>
        <w:lastRenderedPageBreak/>
        <w:t>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C229507" w14:textId="2F689A09" w:rsidR="006C21E8"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w:t>
      </w:r>
      <w:r>
        <w:lastRenderedPageBreak/>
        <w:t xml:space="preserve">osvědčením pro veřejné zakázky. Jednotným evropským osvědčením pro veřejné zakázky se rozumí písemné čestné prohlášení </w:t>
      </w:r>
      <w:r w:rsidR="00CB6AC6">
        <w:t xml:space="preserve">dodavatele </w:t>
      </w:r>
      <w:r>
        <w:t>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w:t>
      </w:r>
      <w:r>
        <w:lastRenderedPageBreak/>
        <w:t xml:space="preserve">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66155F3B" w14:textId="5C28C1FA" w:rsidR="006C21E8" w:rsidRDefault="006C21E8" w:rsidP="006C21E8">
      <w:pPr>
        <w:pStyle w:val="Odrka1-1"/>
      </w:pPr>
      <w:r>
        <w:t xml:space="preserve">Informace k doložení </w:t>
      </w:r>
      <w:r w:rsidR="00916A2E">
        <w:t xml:space="preserve">autorizace </w:t>
      </w:r>
      <w:r>
        <w:t>pro ověřování výsledků zeměměřických činností v rozsahu dle §</w:t>
      </w:r>
      <w:r w:rsidR="00916A2E">
        <w:t xml:space="preserve"> 16f</w:t>
      </w:r>
      <w:r>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t xml:space="preserve"> autorizace</w:t>
      </w:r>
      <w:r>
        <w:t xml:space="preserve">. </w:t>
      </w:r>
      <w:r w:rsidR="00916A2E">
        <w:t xml:space="preserve">Autorizaci </w:t>
      </w:r>
      <w:r>
        <w:t xml:space="preserve">udělí </w:t>
      </w:r>
      <w:r w:rsidR="00916A2E" w:rsidRPr="00B370A2">
        <w:t>Česk</w:t>
      </w:r>
      <w:r w:rsidR="00916A2E">
        <w:t>á</w:t>
      </w:r>
      <w:r w:rsidR="00916A2E" w:rsidRPr="00B370A2">
        <w:t xml:space="preserve"> komor</w:t>
      </w:r>
      <w:r w:rsidR="00916A2E">
        <w:t>a</w:t>
      </w:r>
      <w:r w:rsidR="00916A2E" w:rsidRPr="00B370A2">
        <w:t xml:space="preserve"> zeměměřičů</w:t>
      </w:r>
      <w:r w:rsidR="00916A2E">
        <w:t xml:space="preserve"> </w:t>
      </w:r>
      <w:r>
        <w:t>fyzické osobě, které uzná odbornou kvalifikaci a bezúhonnost podle zákona o uznávání odborné kvalifikace (zák. č. 18/2004 Sb., ve znění pozdějších předpisů)</w:t>
      </w:r>
      <w:r w:rsidR="00916A2E">
        <w:t xml:space="preserve"> a která složí předepsaný slib</w:t>
      </w:r>
      <w:r>
        <w:t>. Doklady o splnění výše uvedených povinností dokládá vybraný dodavatel jako podmínku pro uzavření smlouvy.</w:t>
      </w:r>
      <w:r w:rsidR="00916A2E">
        <w:t xml:space="preserve"> </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lastRenderedPageBreak/>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71B5E10D"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r w:rsidR="005D2F8D">
        <w:t>2 ZZVZ</w:t>
      </w:r>
      <w:r>
        <w:t xml:space="preserve">,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15" w:name="_Toc178766811"/>
      <w:r>
        <w:t>DALŠÍ INFORMACE/DOKUMENTY PŘEDKLÁDANÉ DODAVATELEM</w:t>
      </w:r>
      <w:r w:rsidR="00092CC9">
        <w:t xml:space="preserve"> v </w:t>
      </w:r>
      <w:r>
        <w:t>NABÍDCE</w:t>
      </w:r>
      <w:bookmarkEnd w:id="15"/>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 xml:space="preserve">Dokument obsahující informace o dodavateli, včetně prohlášení o akceptaci vzorové Smlouvy o dílo a jejích příloh. Tento dokument bude předložen ve formě formuláře </w:t>
      </w:r>
      <w:r w:rsidRPr="00A066DE">
        <w:lastRenderedPageBreak/>
        <w:t>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77777777"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w:t>
      </w:r>
      <w:r>
        <w:lastRenderedPageBreak/>
        <w:t xml:space="preserve">zadavatele (Objednatele ve smyslu Smlouvy o 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74B5B061"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doručená</w:t>
      </w:r>
      <w:r w:rsidR="00C41DEE">
        <w:t>,</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Default="00465FDD" w:rsidP="00465FDD">
      <w:pPr>
        <w:pStyle w:val="Odrka1-1"/>
      </w:pPr>
      <w:r>
        <w:t>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5F10610D" w14:textId="77777777" w:rsidR="00CA2BE9" w:rsidRDefault="00465FDD" w:rsidP="00A619CA">
      <w:pPr>
        <w:pStyle w:val="Odrka1-2-"/>
      </w:pPr>
      <w:r>
        <w:t xml:space="preserve">do těla závazného vzoru smlouvy </w:t>
      </w:r>
      <w:r w:rsidR="00547AD2">
        <w:t xml:space="preserve">v </w:t>
      </w:r>
      <w:r>
        <w:t>čl. 3.3</w:t>
      </w:r>
      <w:r w:rsidR="00CA2BE9">
        <w:t>:</w:t>
      </w:r>
      <w:r w:rsidR="00A619CA">
        <w:t xml:space="preserve"> </w:t>
      </w:r>
    </w:p>
    <w:p w14:paraId="180E6F78" w14:textId="0AAFB759" w:rsidR="00465FDD" w:rsidRDefault="001E1A16" w:rsidP="003A6658">
      <w:pPr>
        <w:pStyle w:val="Odrka1-2-"/>
        <w:numPr>
          <w:ilvl w:val="0"/>
          <w:numId w:val="0"/>
        </w:numPr>
        <w:ind w:left="1531"/>
      </w:pPr>
      <w:r>
        <w:t xml:space="preserve">celkovou </w:t>
      </w:r>
      <w:r w:rsidR="00465FDD">
        <w:t xml:space="preserve">Cenu Díla bez DPH, </w:t>
      </w:r>
      <w:r w:rsidR="00465FDD" w:rsidRPr="001E1A16">
        <w:t xml:space="preserve">která představuje součet Ceny za </w:t>
      </w:r>
      <w:r w:rsidR="00C47181" w:rsidRPr="001E1A16">
        <w:t xml:space="preserve">provedení </w:t>
      </w:r>
      <w:r w:rsidR="004009C3" w:rsidRPr="001E1A16">
        <w:t>geotechnického monitoringu</w:t>
      </w:r>
      <w:r w:rsidR="00C47181" w:rsidRPr="001E1A16">
        <w:t xml:space="preserve"> </w:t>
      </w:r>
      <w:r w:rsidR="000C0205" w:rsidRPr="001E1A16">
        <w:t>za objekt A</w:t>
      </w:r>
      <w:r w:rsidRPr="001E1A16">
        <w:t>. Měření během výstavby (26 měsíců)</w:t>
      </w:r>
      <w:r w:rsidR="000C0205" w:rsidRPr="001E1A16">
        <w:t xml:space="preserve"> a za objekt B</w:t>
      </w:r>
      <w:r w:rsidRPr="001E1A16">
        <w:t>. Měření za provozu</w:t>
      </w:r>
      <w:r>
        <w:t xml:space="preserve"> (</w:t>
      </w:r>
      <w:r w:rsidR="003A6658">
        <w:t xml:space="preserve">36 </w:t>
      </w:r>
      <w:r>
        <w:t>měsíců)</w:t>
      </w:r>
      <w:r w:rsidR="000C0205">
        <w:t xml:space="preserve"> </w:t>
      </w:r>
      <w:r w:rsidR="00465FDD">
        <w:t>bez DPH</w:t>
      </w:r>
      <w:r w:rsidR="00C47181">
        <w:t>;</w:t>
      </w:r>
      <w:r w:rsidR="00465FDD">
        <w:t xml:space="preserve"> </w:t>
      </w:r>
    </w:p>
    <w:p w14:paraId="3DAD0639" w14:textId="2E149882" w:rsidR="0035531B" w:rsidRDefault="00465FDD" w:rsidP="00E035AB">
      <w:pPr>
        <w:pStyle w:val="Odrka1-3"/>
        <w:numPr>
          <w:ilvl w:val="0"/>
          <w:numId w:val="0"/>
        </w:numPr>
        <w:ind w:left="1531"/>
      </w:pPr>
      <w:r>
        <w:t xml:space="preserve">V případě nabídky podávané </w:t>
      </w:r>
      <w:proofErr w:type="gramStart"/>
      <w:r>
        <w:t>fyzickou</w:t>
      </w:r>
      <w:proofErr w:type="gramEnd"/>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16" w:name="_Toc178766812"/>
      <w:r>
        <w:t>JAZYK NABÍDEK</w:t>
      </w:r>
      <w:r w:rsidR="008F0019" w:rsidRPr="008F0019">
        <w:t xml:space="preserve"> </w:t>
      </w:r>
      <w:r w:rsidR="008F0019">
        <w:t>A KOMUNIKAČNÍ JAZYK</w:t>
      </w:r>
      <w:bookmarkEnd w:id="16"/>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w:t>
      </w:r>
      <w:r>
        <w:lastRenderedPageBreak/>
        <w:t xml:space="preserve">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17" w:name="_Toc178766813"/>
      <w:r>
        <w:t>OBSAH</w:t>
      </w:r>
      <w:r w:rsidR="00845C50">
        <w:t xml:space="preserve"> a </w:t>
      </w:r>
      <w:r>
        <w:t>PODÁVÁNÍ NABÍDEK</w:t>
      </w:r>
      <w:bookmarkEnd w:id="17"/>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0D2B0FBE"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r w:rsidR="008F4344">
        <w:t>50</w:t>
      </w:r>
      <w:r w:rsidR="008F4344" w:rsidRPr="00F348C0">
        <w:t xml:space="preserve"> MB</w:t>
      </w:r>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lastRenderedPageBreak/>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03F8315F" w:rsidR="00F348C0" w:rsidRDefault="00F348C0" w:rsidP="00F348C0">
      <w:pPr>
        <w:pStyle w:val="Text1-1"/>
      </w:pPr>
      <w:r>
        <w:t xml:space="preserve">Nabídky podané po uplynutí lhůty pro podání nabídky nebo podané </w:t>
      </w:r>
      <w:r w:rsidR="00A066AF">
        <w:t>jiným</w:t>
      </w:r>
      <w:r>
        <w:t xml:space="preserve">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t xml:space="preserve">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w:t>
      </w:r>
      <w:r>
        <w:lastRenderedPageBreak/>
        <w:t>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18" w:name="_Toc178766814"/>
      <w:r>
        <w:t>POŽADAVKY NA ZPRACOVÁNÍ NABÍDKOVÉ CENY</w:t>
      </w:r>
      <w:bookmarkEnd w:id="18"/>
      <w:r>
        <w:t xml:space="preserve"> </w:t>
      </w:r>
    </w:p>
    <w:p w14:paraId="3CA2B9B8" w14:textId="77777777" w:rsidR="00F348C0" w:rsidRPr="00653553" w:rsidRDefault="00F348C0" w:rsidP="00F348C0">
      <w:pPr>
        <w:pStyle w:val="Text1-1"/>
      </w:pPr>
      <w:r w:rsidRPr="00653553">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Pr="00653553" w:rsidRDefault="00F348C0" w:rsidP="00F348C0">
      <w:pPr>
        <w:pStyle w:val="Text1-1"/>
      </w:pPr>
      <w:r w:rsidRPr="00653553">
        <w:t>Nabídková cena bude ve smlouvě v čl. 3.3 uvedena následujícím způsobem:</w:t>
      </w:r>
    </w:p>
    <w:p w14:paraId="3B59893A" w14:textId="2F157C6A" w:rsidR="00F348C0" w:rsidRPr="00653553" w:rsidRDefault="00F348C0" w:rsidP="00F348C0">
      <w:pPr>
        <w:pStyle w:val="Text1-1"/>
        <w:numPr>
          <w:ilvl w:val="0"/>
          <w:numId w:val="0"/>
        </w:numPr>
        <w:spacing w:after="0"/>
        <w:ind w:left="737"/>
      </w:pPr>
      <w:r w:rsidRPr="00653553">
        <w:t>Cena Díla</w:t>
      </w:r>
      <w:r w:rsidR="00653553" w:rsidRPr="007F0192">
        <w:t xml:space="preserve"> </w:t>
      </w:r>
      <w:r w:rsidRPr="00653553">
        <w:t xml:space="preserve">bez DPH: </w:t>
      </w:r>
      <w:r w:rsidRPr="00653553">
        <w:tab/>
        <w:t>"[VLOŽÍ ZHOTOVITEL]" Kč</w:t>
      </w:r>
    </w:p>
    <w:p w14:paraId="74F23827" w14:textId="638ABA37" w:rsidR="00F348C0" w:rsidRPr="00653553" w:rsidRDefault="00F348C0" w:rsidP="00F348C0">
      <w:pPr>
        <w:pStyle w:val="Text1-1"/>
        <w:numPr>
          <w:ilvl w:val="0"/>
          <w:numId w:val="0"/>
        </w:numPr>
        <w:spacing w:after="0"/>
        <w:ind w:left="737"/>
      </w:pPr>
      <w:r w:rsidRPr="00653553">
        <w:t xml:space="preserve">slovy: </w:t>
      </w:r>
      <w:r w:rsidRPr="00653553">
        <w:tab/>
      </w:r>
      <w:r w:rsidRPr="00653553">
        <w:tab/>
      </w:r>
      <w:r w:rsidRPr="00653553">
        <w:tab/>
        <w:t>"[VLOŽÍ ZHOTOVITEL]" korun českých</w:t>
      </w:r>
    </w:p>
    <w:p w14:paraId="0B613851" w14:textId="23772343" w:rsidR="0035531B" w:rsidRPr="00653553" w:rsidRDefault="00F348C0" w:rsidP="00F348C0">
      <w:pPr>
        <w:pStyle w:val="Text1-1"/>
        <w:numPr>
          <w:ilvl w:val="0"/>
          <w:numId w:val="0"/>
        </w:numPr>
        <w:spacing w:before="240"/>
        <w:ind w:left="737"/>
      </w:pPr>
      <w:r w:rsidRPr="00653553">
        <w:t xml:space="preserve">Cena Díla bez DPH vkládaná ve smyslu těchto Pokynů do čl. 3.3 závazného vzoru smlouvy, která představuje součet Ceny za </w:t>
      </w:r>
      <w:r w:rsidR="004009C3" w:rsidRPr="00653553">
        <w:t xml:space="preserve">provedení </w:t>
      </w:r>
      <w:r w:rsidR="00CE1AF4" w:rsidRPr="00653553">
        <w:t xml:space="preserve">geotechnického monitoringu </w:t>
      </w:r>
      <w:r w:rsidR="001E1A16" w:rsidRPr="001E1A16">
        <w:t>za objekt A. Měření během výstavby (26 měsíců) a za objekt B. Měření za provozu</w:t>
      </w:r>
      <w:r w:rsidR="001E1A16">
        <w:t xml:space="preserve"> (</w:t>
      </w:r>
      <w:r w:rsidR="003A6658">
        <w:t xml:space="preserve">36 </w:t>
      </w:r>
      <w:r w:rsidR="001E1A16">
        <w:t xml:space="preserve">měsíců) </w:t>
      </w:r>
      <w:r w:rsidR="00CE1AF4" w:rsidRPr="00653553">
        <w:t xml:space="preserve">bez </w:t>
      </w:r>
      <w:r w:rsidRPr="00653553">
        <w:t xml:space="preserve">DPH, bude předmětem hodnocení v rámci ekonomické výhodnosti nabídky. Podrobný rozpis ceny bude proveden v </w:t>
      </w:r>
      <w:r w:rsidR="00862DF6" w:rsidRPr="00862DF6">
        <w:rPr>
          <w:lang w:eastAsia="cs-CZ"/>
        </w:rPr>
        <w:t xml:space="preserve">soupisech prací za objekty A. </w:t>
      </w:r>
      <w:r w:rsidR="00862DF6" w:rsidRPr="00862DF6">
        <w:t>Měření během výstavby (26 měsíců) a B. Měření za provozu (36 měsíců)</w:t>
      </w:r>
      <w:r w:rsidR="00862DF6" w:rsidRPr="00862DF6">
        <w:rPr>
          <w:lang w:eastAsia="cs-CZ"/>
        </w:rPr>
        <w:t xml:space="preserve">, které jsou poskytnuty </w:t>
      </w:r>
      <w:r w:rsidR="00862DF6" w:rsidRPr="00862DF6">
        <w:t>jako samostatný soubor v rámci zadávací dokumentace uveřejněné na Profilu zadavatele</w:t>
      </w:r>
      <w:r w:rsidRPr="00653553">
        <w:t>. Dodavatel je povinen vyplnit jednotlivé položky ve smyslu množství, jednotkové ceny a ceny celkem</w:t>
      </w:r>
      <w:r w:rsidR="00653553" w:rsidRPr="007F0192">
        <w:t>.</w:t>
      </w:r>
    </w:p>
    <w:p w14:paraId="2BBA308D" w14:textId="77777777" w:rsidR="0035531B" w:rsidRPr="00653553" w:rsidRDefault="0035531B" w:rsidP="007038DC">
      <w:pPr>
        <w:pStyle w:val="Nadpis1-1"/>
      </w:pPr>
      <w:bookmarkStart w:id="19" w:name="_Toc178766815"/>
      <w:r w:rsidRPr="00653553">
        <w:t>VARIANTY NABÍDKY</w:t>
      </w:r>
      <w:bookmarkEnd w:id="19"/>
    </w:p>
    <w:p w14:paraId="20E562BF" w14:textId="77777777" w:rsidR="0035531B" w:rsidRPr="00653553" w:rsidRDefault="0035531B" w:rsidP="0035531B">
      <w:pPr>
        <w:pStyle w:val="Text1-1"/>
      </w:pPr>
      <w:r w:rsidRPr="00653553">
        <w:t xml:space="preserve">Zadavatel nepřipouští předložení varianty nabídky. </w:t>
      </w:r>
    </w:p>
    <w:p w14:paraId="1B0A04D8" w14:textId="77777777" w:rsidR="0035531B" w:rsidRDefault="0035531B" w:rsidP="007038DC">
      <w:pPr>
        <w:pStyle w:val="Nadpis1-1"/>
      </w:pPr>
      <w:bookmarkStart w:id="20" w:name="_Toc178766816"/>
      <w:r>
        <w:t>OTEVÍRÁNÍ NABÍDEK</w:t>
      </w:r>
      <w:bookmarkEnd w:id="20"/>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21" w:name="_Toc178766817"/>
      <w:r>
        <w:t>POSOUZENÍ SPLNĚNÍ PODMÍNEK ÚČASTI</w:t>
      </w:r>
      <w:bookmarkEnd w:id="21"/>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 xml:space="preserve">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w:t>
      </w:r>
      <w:r>
        <w:lastRenderedPageBreak/>
        <w:t>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22" w:name="_Toc178766818"/>
      <w:r>
        <w:t>HODNOCENÍ NABÍDEK</w:t>
      </w:r>
      <w:bookmarkEnd w:id="22"/>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77777777" w:rsidR="00804D39" w:rsidRPr="00833899" w:rsidRDefault="00804D39"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04D39">
              <w:rPr>
                <w:sz w:val="16"/>
                <w:szCs w:val="16"/>
              </w:rPr>
              <w:t>60 %</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77777777" w:rsidR="00804D39" w:rsidRPr="00804D39" w:rsidRDefault="00804D39"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804D39">
              <w:rPr>
                <w:b w:val="0"/>
                <w:sz w:val="16"/>
                <w:szCs w:val="16"/>
              </w:rPr>
              <w:t>40 %</w:t>
            </w:r>
          </w:p>
        </w:tc>
      </w:tr>
    </w:tbl>
    <w:p w14:paraId="67CAD4E5" w14:textId="77777777" w:rsidR="00804D39" w:rsidRDefault="00804D39" w:rsidP="003A2C23">
      <w:pPr>
        <w:pStyle w:val="Text1-1"/>
        <w:numPr>
          <w:ilvl w:val="0"/>
          <w:numId w:val="0"/>
        </w:numPr>
        <w:ind w:left="737"/>
      </w:pPr>
    </w:p>
    <w:p w14:paraId="6B5637CB" w14:textId="77777777" w:rsidR="003A2C23" w:rsidRDefault="003A2C23" w:rsidP="003A2C23">
      <w:pPr>
        <w:pStyle w:val="Text1-1"/>
        <w:numPr>
          <w:ilvl w:val="0"/>
          <w:numId w:val="0"/>
        </w:numPr>
        <w:ind w:left="737"/>
      </w:pPr>
      <w:r w:rsidRPr="003A2C23">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3A2C23" w:rsidRDefault="003A2C23" w:rsidP="003A2C23">
      <w:pPr>
        <w:pStyle w:val="Text1-1"/>
        <w:rPr>
          <w:b/>
        </w:rPr>
      </w:pPr>
      <w:r w:rsidRPr="003A2C23">
        <w:rPr>
          <w:b/>
        </w:rPr>
        <w:t>Nabídková cena</w:t>
      </w:r>
    </w:p>
    <w:p w14:paraId="625EC770" w14:textId="4B71D9DE"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závazného vzoru smlouvy jako </w:t>
      </w:r>
      <w:r w:rsidR="00862DF6">
        <w:t xml:space="preserve">celková </w:t>
      </w:r>
      <w:r>
        <w:t xml:space="preserve">Cena Díla bez DPH, která představuje součet Ceny </w:t>
      </w:r>
      <w:r w:rsidR="00C53550">
        <w:t>za provedení</w:t>
      </w:r>
      <w:r w:rsidR="00F0113C">
        <w:t xml:space="preserve"> geotechnického monitoringu</w:t>
      </w:r>
      <w:r w:rsidR="001675E3">
        <w:t xml:space="preserve"> </w:t>
      </w:r>
      <w:r w:rsidR="00862DF6" w:rsidRPr="001E1A16">
        <w:t>za objekt A. Měření během výstavby (26 měsíců) a za objekt B. Měření za provozu</w:t>
      </w:r>
      <w:r w:rsidR="00862DF6">
        <w:t xml:space="preserve"> (3</w:t>
      </w:r>
      <w:r w:rsidR="003A6658">
        <w:t>6</w:t>
      </w:r>
      <w:r w:rsidR="00862DF6">
        <w:t xml:space="preserve"> měsíců) </w:t>
      </w:r>
      <w:r>
        <w:t>bez DPH.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77777777" w:rsidR="003A2C23" w:rsidRDefault="003A2C23" w:rsidP="00B77110">
      <w:pPr>
        <w:pStyle w:val="Text1-1"/>
        <w:numPr>
          <w:ilvl w:val="0"/>
          <w:numId w:val="0"/>
        </w:numPr>
        <w:spacing w:before="240"/>
        <w:ind w:left="737"/>
      </w:pPr>
      <w:r>
        <w:t xml:space="preserve">Takto získaný počet bodů bude vynásoben koeficientem 0,60 (tj.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w:t>
      </w:r>
      <w:r>
        <w:lastRenderedPageBreak/>
        <w:t xml:space="preserve">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63CF6">
        <w:trPr>
          <w:trHeight w:val="184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shd w:val="clear" w:color="auto" w:fill="auto"/>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shd w:val="clear" w:color="auto" w:fill="auto"/>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shd w:val="clear" w:color="auto" w:fill="auto"/>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62495D56" w14:textId="77777777" w:rsidTr="00B63CF6">
        <w:trPr>
          <w:trHeight w:val="1210"/>
        </w:trPr>
        <w:tc>
          <w:tcPr>
            <w:tcW w:w="1843" w:type="dxa"/>
            <w:tcBorders>
              <w:top w:val="single" w:sz="4" w:space="0" w:color="auto"/>
              <w:left w:val="single" w:sz="4" w:space="0" w:color="auto"/>
              <w:bottom w:val="single" w:sz="4" w:space="0" w:color="auto"/>
              <w:right w:val="single" w:sz="4" w:space="0" w:color="auto"/>
            </w:tcBorders>
          </w:tcPr>
          <w:p w14:paraId="157B9935" w14:textId="77777777" w:rsidR="00B77110" w:rsidRPr="00B77110" w:rsidRDefault="00B77110" w:rsidP="00631EAA">
            <w:pPr>
              <w:rPr>
                <w:rFonts w:cs="Arial"/>
                <w:bCs/>
              </w:rPr>
            </w:pPr>
            <w:r w:rsidRPr="001F67E0">
              <w:rPr>
                <w:rFonts w:cs="Arial"/>
                <w:bCs/>
              </w:rPr>
              <w:t>specialista na geotechniku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B1517B" w14:textId="2ED5DC73" w:rsidR="00B77110" w:rsidRPr="00B77110" w:rsidRDefault="00565026" w:rsidP="00631EAA">
            <w:pPr>
              <w:jc w:val="both"/>
              <w:rPr>
                <w:rFonts w:cs="Arial"/>
                <w:bCs/>
              </w:rPr>
            </w:pPr>
            <w:r w:rsidRPr="00B77110">
              <w:rPr>
                <w:rFonts w:cs="Arial"/>
                <w:bCs/>
              </w:rPr>
              <w:t xml:space="preserve">zkušenost </w:t>
            </w:r>
            <w:r w:rsidR="00B61F38">
              <w:rPr>
                <w:rFonts w:cs="Arial"/>
                <w:bCs/>
              </w:rPr>
              <w:t>na pozici specialista na geotechniku, se službou, jejímž předmětem byla realizace geotechnického monitoringu, u něhož byla odevzdána nálezová zpráva</w:t>
            </w:r>
            <w:r w:rsidR="000E5DB6">
              <w:rPr>
                <w:rFonts w:cs="Arial"/>
                <w:bCs/>
              </w:rPr>
              <w:t xml:space="preserve"> </w:t>
            </w:r>
            <w:r>
              <w:rPr>
                <w:rFonts w:cs="Arial"/>
                <w:bCs/>
              </w:rPr>
              <w:t>s hodnotou zakázky ve výši</w:t>
            </w:r>
            <w:r w:rsidRPr="00B77110">
              <w:rPr>
                <w:rFonts w:cs="Arial"/>
                <w:bCs/>
              </w:rPr>
              <w:t xml:space="preserve"> nejméně </w:t>
            </w:r>
            <w:proofErr w:type="gramStart"/>
            <w:r w:rsidR="00B61F38">
              <w:rPr>
                <w:rFonts w:cs="Arial"/>
                <w:bCs/>
              </w:rPr>
              <w:t>3.500.000,-</w:t>
            </w:r>
            <w:proofErr w:type="gramEnd"/>
            <w:r w:rsidRPr="00B77110">
              <w:rPr>
                <w:rFonts w:cs="Arial"/>
                <w:bCs/>
              </w:rPr>
              <w:t xml:space="preserve"> Kč bez DPH </w:t>
            </w:r>
            <w:r w:rsidR="00575791">
              <w:t>(uvedená částk</w:t>
            </w:r>
            <w:r w:rsidR="00C41DEE">
              <w:t>a</w:t>
            </w:r>
            <w:r w:rsidR="00575791">
              <w:t xml:space="preserve"> se vztahuj</w:t>
            </w:r>
            <w:r w:rsidR="00C41DEE">
              <w:t>e</w:t>
            </w:r>
            <w:r w:rsidR="00575791">
              <w:t xml:space="preserve"> k hodnotě geotechnického monitoringu, nikoli k hodnotě zakázky jako celku, byl-li výkon geotechnického monitoringu součástí rozsáhlejšího plnění)</w:t>
            </w:r>
            <w:r w:rsidR="00C06166">
              <w:rPr>
                <w:rFonts w:cs="Arial"/>
                <w:bCs/>
              </w:rPr>
              <w:t xml:space="preserve"> </w:t>
            </w:r>
            <w:r>
              <w:rPr>
                <w:rFonts w:cs="Arial"/>
                <w:bCs/>
              </w:rPr>
              <w:t xml:space="preserve">a </w:t>
            </w:r>
            <w:r w:rsidRPr="00B77110">
              <w:rPr>
                <w:rFonts w:cs="Arial"/>
                <w:bCs/>
              </w:rPr>
              <w:t xml:space="preserve">dokončené v posledních </w:t>
            </w:r>
            <w:r w:rsidR="00B61F38">
              <w:rPr>
                <w:rFonts w:cs="Arial"/>
                <w:bCs/>
              </w:rPr>
              <w:t>10</w:t>
            </w:r>
            <w:r w:rsidR="00B61F38" w:rsidRPr="00B77110">
              <w:rPr>
                <w:rFonts w:cs="Arial"/>
                <w:bCs/>
              </w:rPr>
              <w:t xml:space="preserve"> </w:t>
            </w:r>
            <w:r w:rsidRPr="00B77110">
              <w:rPr>
                <w:rFonts w:cs="Arial"/>
                <w:bCs/>
              </w:rPr>
              <w:t>letech před zahájením zadávacího řízení</w:t>
            </w:r>
            <w:r w:rsidR="00B61F38">
              <w:rPr>
                <w:rFonts w:cs="Arial"/>
                <w:bCs/>
              </w:rPr>
              <w:t>.</w:t>
            </w:r>
          </w:p>
        </w:tc>
        <w:tc>
          <w:tcPr>
            <w:tcW w:w="1559" w:type="dxa"/>
            <w:tcBorders>
              <w:top w:val="single" w:sz="4" w:space="0" w:color="auto"/>
              <w:left w:val="nil"/>
              <w:bottom w:val="single" w:sz="4" w:space="0" w:color="auto"/>
              <w:right w:val="single" w:sz="4" w:space="0" w:color="auto"/>
            </w:tcBorders>
            <w:shd w:val="clear" w:color="auto" w:fill="auto"/>
          </w:tcPr>
          <w:p w14:paraId="5878F61C" w14:textId="77777777" w:rsidR="00565026" w:rsidRDefault="00565026" w:rsidP="00631EAA">
            <w:pPr>
              <w:rPr>
                <w:rFonts w:cs="Arial"/>
                <w:bCs/>
              </w:rPr>
            </w:pPr>
          </w:p>
          <w:p w14:paraId="0783C0BD" w14:textId="77777777" w:rsidR="00565026" w:rsidRDefault="00565026" w:rsidP="00631EAA">
            <w:pPr>
              <w:rPr>
                <w:rFonts w:cs="Arial"/>
                <w:bCs/>
              </w:rPr>
            </w:pPr>
          </w:p>
          <w:p w14:paraId="13CF936C" w14:textId="77777777" w:rsidR="00E0557D" w:rsidRDefault="00E0557D" w:rsidP="00631EAA">
            <w:pPr>
              <w:rPr>
                <w:rFonts w:cs="Arial"/>
                <w:bCs/>
              </w:rPr>
            </w:pPr>
          </w:p>
          <w:p w14:paraId="4A8FC39C" w14:textId="48728306" w:rsidR="00B77110" w:rsidRPr="00B77110" w:rsidRDefault="00E429AE" w:rsidP="00631EAA">
            <w:pPr>
              <w:rPr>
                <w:rFonts w:cs="Arial"/>
                <w:bCs/>
              </w:rPr>
            </w:pPr>
            <w:r>
              <w:rPr>
                <w:rFonts w:cs="Arial"/>
                <w:bCs/>
              </w:rPr>
              <w:t>2</w:t>
            </w:r>
            <w:r w:rsidRPr="00B77110">
              <w:rPr>
                <w:rFonts w:cs="Arial"/>
                <w:bCs/>
              </w:rPr>
              <w:t xml:space="preserve"> </w:t>
            </w:r>
            <w:r w:rsidR="00565026" w:rsidRPr="00B77110">
              <w:rPr>
                <w:rFonts w:cs="Arial"/>
                <w:bCs/>
              </w:rPr>
              <w:t>bod</w:t>
            </w:r>
            <w:r w:rsidR="00DA5745">
              <w:rPr>
                <w:rFonts w:cs="Arial"/>
                <w:bCs/>
              </w:rPr>
              <w:t>y</w:t>
            </w:r>
            <w:r w:rsidR="00565026" w:rsidRPr="00B77110">
              <w:rPr>
                <w:rFonts w:cs="Arial"/>
                <w:bCs/>
              </w:rPr>
              <w:t xml:space="preserve">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tcPr>
          <w:p w14:paraId="025DC489" w14:textId="3863C27F" w:rsidR="00B77110" w:rsidRPr="00B77110" w:rsidRDefault="00E429AE" w:rsidP="00631EAA">
            <w:pPr>
              <w:rPr>
                <w:rFonts w:cs="Arial"/>
                <w:bCs/>
              </w:rPr>
            </w:pPr>
            <w:r>
              <w:rPr>
                <w:rFonts w:cs="Arial"/>
                <w:bCs/>
              </w:rPr>
              <w:t>10</w:t>
            </w:r>
          </w:p>
        </w:tc>
      </w:tr>
    </w:tbl>
    <w:p w14:paraId="2758685F" w14:textId="77777777" w:rsidR="00B77110" w:rsidRDefault="00B77110" w:rsidP="00B77110">
      <w:pPr>
        <w:pStyle w:val="Odstavecseseznamem"/>
        <w:ind w:left="1418"/>
        <w:jc w:val="both"/>
        <w:rPr>
          <w:rFonts w:ascii="Calibri" w:hAnsi="Calibri" w:cs="Calibri"/>
          <w:sz w:val="20"/>
          <w:szCs w:val="20"/>
        </w:rPr>
      </w:pPr>
    </w:p>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15685303" w:rsidR="00B77110" w:rsidRDefault="00B77110" w:rsidP="00B77110">
      <w:pPr>
        <w:pStyle w:val="Text1-1"/>
        <w:numPr>
          <w:ilvl w:val="0"/>
          <w:numId w:val="0"/>
        </w:numPr>
        <w:ind w:left="737"/>
      </w:pPr>
      <w:r>
        <w:t>Dodavatel může u každé funkce člena odborného personálu dodavatele určit pouze jednu osobu,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w:t>
      </w:r>
      <w:r w:rsidR="00A8206C">
        <w:lastRenderedPageBreak/>
        <w:t xml:space="preserve">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296B017A" w:rsidR="00B77110" w:rsidRDefault="00B77110" w:rsidP="00B77110">
      <w:pPr>
        <w:pStyle w:val="Text1-1"/>
        <w:numPr>
          <w:ilvl w:val="0"/>
          <w:numId w:val="0"/>
        </w:numPr>
        <w:ind w:left="737"/>
      </w:pPr>
      <w:r>
        <w:t xml:space="preserve">Doba </w:t>
      </w:r>
      <w:r w:rsidR="0071583C">
        <w:t xml:space="preserve">10 </w:t>
      </w:r>
      <w:r>
        <w:t xml:space="preserve">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71583C">
        <w:t>10</w:t>
      </w:r>
      <w:r w:rsidR="0071583C" w:rsidRPr="00446757">
        <w:t xml:space="preserve"> </w:t>
      </w:r>
      <w:r w:rsidR="005B3E86" w:rsidRPr="00446757">
        <w:t>let před zahájením zadávacího řízení</w:t>
      </w:r>
      <w:r>
        <w:t xml:space="preserve">. V případě, že byla zakázka součástí rozsáhlejšího plnění pro objednatele služby postačí, pokud je v uvedené době dokončeno plnění </w:t>
      </w:r>
      <w:r w:rsidR="005446A9">
        <w:t xml:space="preserve">naplňující definici hodnocené zkušenosti </w:t>
      </w:r>
      <w:r>
        <w:t xml:space="preserve">(tj. </w:t>
      </w:r>
      <w:r w:rsidR="0071583C">
        <w:t xml:space="preserve"> provádění GTM</w:t>
      </w:r>
      <w:r w:rsidR="0002092B">
        <w:rPr>
          <w:rFonts w:cs="Arial"/>
          <w:bCs/>
        </w:rPr>
        <w:t>),</w:t>
      </w:r>
      <w:r>
        <w:t xml:space="preserve"> s tím, že zakázka jako celek (tj. ohledně dalších činností) dokončena není; zároveň však platí, že nestačí, </w:t>
      </w:r>
      <w:r w:rsidR="005B3E86">
        <w:t xml:space="preserve">(tj. nepovažuje se za plnění dokončené v požadované době) </w:t>
      </w:r>
      <w:r>
        <w:t xml:space="preserve">pokud je v posledních </w:t>
      </w:r>
      <w:r w:rsidR="0071583C">
        <w:t xml:space="preserve">10 </w:t>
      </w:r>
      <w:r>
        <w:t xml:space="preserve">letech dokončena zakázka rozsáhlejšího plnění jako celek, avšak plnění </w:t>
      </w:r>
      <w:r w:rsidR="005446A9">
        <w:t xml:space="preserve">naplňující definici hodnocené </w:t>
      </w:r>
      <w:r w:rsidR="00A33D32">
        <w:t>zkušenosti bylo</w:t>
      </w:r>
      <w:r>
        <w:t xml:space="preserve"> dokončeno dříve než před </w:t>
      </w:r>
      <w:r w:rsidR="0071583C">
        <w:t xml:space="preserve">10 </w:t>
      </w:r>
      <w:r>
        <w:t xml:space="preserve">lety. </w:t>
      </w:r>
      <w:r w:rsidR="009F3B3B">
        <w:t>Je-li referenční zakázka součástí rozsáhlejšího plnění pro téhož dodavatele, je pro hodnocení relevantní pouze ta jeho část, která odpovídá zadavatelem stanovené definic</w:t>
      </w:r>
      <w:r w:rsidR="002D5CDA">
        <w:t>i</w:t>
      </w:r>
      <w:r w:rsidR="009F3B3B">
        <w:t xml:space="preserve"> hodnocené </w:t>
      </w:r>
      <w:r w:rsidR="00BE0913">
        <w:t>zkušenosti</w:t>
      </w:r>
      <w:r w:rsidR="009F3B3B">
        <w:t xml:space="preserve">. </w:t>
      </w:r>
      <w:r>
        <w:t>Obdobným způsobem je nutno 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 xml:space="preserve">hodnocené zkušenosti, a v jakém časovém období byly tyto konkrétní části plnění </w:t>
      </w:r>
      <w:r w:rsidR="008A5E06">
        <w:t xml:space="preserve">odpovídající zadavatelem stanovené definici hodnocené zkušenosti </w:t>
      </w:r>
      <w:r>
        <w:t xml:space="preserve">dokončeny.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1E07979D"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FE5726">
        <w:t>protokol o provedení díla</w:t>
      </w:r>
      <w:r w:rsidR="000D1296">
        <w:t>,</w:t>
      </w:r>
      <w:r w:rsidR="006102DA">
        <w:t xml:space="preserve"> </w:t>
      </w:r>
      <w:r w:rsidR="00FE5726">
        <w:t>či jiný alternativní doklad</w:t>
      </w:r>
      <w:r w:rsidRPr="003E611F">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zadavatel zjistí, že d</w:t>
      </w:r>
      <w:r w:rsidR="00580BF5">
        <w:t>odavatel předlož</w:t>
      </w:r>
      <w:r w:rsidR="00526554">
        <w:t>il</w:t>
      </w:r>
      <w:r w:rsidR="00580BF5">
        <w:t xml:space="preserve"> v nabídce za účelem hodnocení údaje či informace, které neodpovídají skutečnosti, </w:t>
      </w:r>
      <w:r w:rsidR="00580BF5" w:rsidRPr="00933ED1">
        <w:t>nebude nabídka dodavatel</w:t>
      </w:r>
      <w:r w:rsidR="00580BF5">
        <w:t xml:space="preserve">e ve vztahu k </w:t>
      </w:r>
      <w:r w:rsidR="00580BF5">
        <w:lastRenderedPageBreak/>
        <w:t>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756AC4" w:rsidR="00B77110" w:rsidRDefault="00B77110" w:rsidP="00B77110">
      <w:pPr>
        <w:pStyle w:val="Text1-1"/>
        <w:numPr>
          <w:ilvl w:val="0"/>
          <w:numId w:val="0"/>
        </w:numPr>
        <w:ind w:left="737"/>
      </w:pPr>
      <w:r>
        <w:t xml:space="preserve">Takto získaný počet bodů bude vynásoben koeficientem 0,40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23" w:name="_Toc178766819"/>
      <w:r>
        <w:t>ZRUŠENÍ ZADÁVACÍHO ŘÍZENÍ</w:t>
      </w:r>
      <w:bookmarkEnd w:id="23"/>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24" w:name="_Toc178766820"/>
      <w:r>
        <w:t>UZAVŘENÍ SMLOUVY</w:t>
      </w:r>
      <w:bookmarkEnd w:id="24"/>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w:t>
      </w:r>
      <w:r w:rsidR="0037744B" w:rsidRPr="007B3D4D">
        <w:lastRenderedPageBreak/>
        <w:t xml:space="preserve">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B65F1B7" w14:textId="77777777" w:rsidR="00572F04" w:rsidRDefault="00572F04" w:rsidP="00572F04">
      <w:pPr>
        <w:pStyle w:val="Odrka1-1"/>
      </w:pPr>
      <w:r>
        <w:t>vybraným dodavatelem vyplněné Přílohy č. 6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77777777" w:rsidR="00572F04" w:rsidRDefault="00572F04" w:rsidP="00572F04">
      <w:pPr>
        <w:pStyle w:val="Odrka1-1"/>
      </w:pPr>
      <w:r>
        <w:t>vybraným dodavatelem vyplněné Přílohy č. 8 Smlouvy o dílo s názvem Seznam poddodavatelů, a ve formátu umožňujícím editaci;</w:t>
      </w:r>
    </w:p>
    <w:p w14:paraId="2DFAF334" w14:textId="153CD324" w:rsidR="00572F04" w:rsidRDefault="00572F04" w:rsidP="00572F04">
      <w:pPr>
        <w:pStyle w:val="Odrka1-1"/>
      </w:pPr>
      <w:r>
        <w:t xml:space="preserve">kopií </w:t>
      </w:r>
      <w:r w:rsidR="00A965D3">
        <w:t xml:space="preserve">smluv </w:t>
      </w:r>
      <w:r w:rsidR="00EC2AAB">
        <w:t xml:space="preserve">s poddodavateli </w:t>
      </w:r>
      <w:r w:rsidR="00A965D3">
        <w:t xml:space="preserve">nebo poddodavateli </w:t>
      </w:r>
      <w:r w:rsidR="00A965D3" w:rsidRPr="008578B0">
        <w:t>podepsan</w:t>
      </w:r>
      <w:r w:rsidR="00A965D3">
        <w:t>ých</w:t>
      </w:r>
      <w:r w:rsidR="00A965D3" w:rsidRPr="008578B0">
        <w:t xml:space="preserve"> potvrzení o jej</w:t>
      </w:r>
      <w:r w:rsidR="00A965D3">
        <w:t>ich</w:t>
      </w:r>
      <w:r w:rsidR="00A965D3" w:rsidRPr="008578B0">
        <w:t xml:space="preserve"> existenci</w:t>
      </w:r>
      <w:r w:rsidR="00A965D3">
        <w:t xml:space="preserve"> nebo </w:t>
      </w:r>
      <w:r>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6382CB08" w14:textId="13ED2C9C"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lastRenderedPageBreak/>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6E0467F" w:rsidR="0035531B" w:rsidRDefault="00572F04" w:rsidP="00572F04">
      <w:pPr>
        <w:pStyle w:val="Text1-1"/>
      </w:pPr>
      <w:r w:rsidRPr="00572F04">
        <w:t>Zadavatel u vybraného dodavatele ověří naplnění důvodu pro vyloučení podle § 48 odst. 7 ZZVZ. Vybraný dodavatel se sídlem v zahraničí, 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381CE3D2"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smlouvy prostřednictvím jiné osoby, je povinen předložit veškeré doklady požadované dle čl. </w:t>
      </w:r>
      <w:r w:rsidRPr="00DA5745">
        <w:t>8.9</w:t>
      </w:r>
      <w:r>
        <w:t xml:space="preserve"> těchto Pokynů ve vztahu k této jiné osobě.</w:t>
      </w:r>
    </w:p>
    <w:p w14:paraId="187B794F" w14:textId="77777777" w:rsidR="0035531B" w:rsidRDefault="0035531B" w:rsidP="00B77C6D">
      <w:pPr>
        <w:pStyle w:val="Nadpis1-1"/>
      </w:pPr>
      <w:bookmarkStart w:id="25" w:name="_Toc178766821"/>
      <w:r>
        <w:lastRenderedPageBreak/>
        <w:t>OCHRANA INFORMACÍ</w:t>
      </w:r>
      <w:bookmarkEnd w:id="25"/>
    </w:p>
    <w:p w14:paraId="53E99C8C" w14:textId="77777777"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26" w:name="_Toc178766822"/>
      <w:r>
        <w:t>ZADÁVACÍ LHŮTA</w:t>
      </w:r>
      <w:r w:rsidR="00845C50">
        <w:t xml:space="preserve"> </w:t>
      </w:r>
      <w:r w:rsidR="00092CC9">
        <w:t>A</w:t>
      </w:r>
      <w:r w:rsidR="00845C50">
        <w:t> </w:t>
      </w:r>
      <w:r>
        <w:t>JISTOTA ZA NABÍDKU</w:t>
      </w:r>
      <w:bookmarkEnd w:id="26"/>
    </w:p>
    <w:p w14:paraId="6E8A0614" w14:textId="5CF74836" w:rsidR="0035531B" w:rsidRDefault="00A965D3" w:rsidP="0035531B">
      <w:pPr>
        <w:pStyle w:val="Text1-1"/>
      </w:pPr>
      <w:r>
        <w:t>Zadávací l</w:t>
      </w:r>
      <w:r w:rsidR="0035531B">
        <w:t>hůta</w:t>
      </w:r>
      <w:r w:rsidR="006B1929">
        <w:t xml:space="preserve"> </w:t>
      </w:r>
      <w:r w:rsidR="0035531B">
        <w:t xml:space="preserve">činí </w:t>
      </w:r>
      <w:r w:rsidR="0035531B" w:rsidRPr="008E1138">
        <w:rPr>
          <w:b/>
        </w:rPr>
        <w:t>6 měsíců</w:t>
      </w:r>
      <w:r w:rsidR="0035531B">
        <w:t xml:space="preserve"> od skončení lhůty pro podání nabídek. </w:t>
      </w:r>
    </w:p>
    <w:p w14:paraId="401830FD" w14:textId="23C149FB" w:rsidR="0035531B" w:rsidRDefault="0035531B" w:rsidP="00572F04">
      <w:pPr>
        <w:pStyle w:val="Text1-1"/>
      </w:pPr>
      <w:r>
        <w:t>Zadavatel</w:t>
      </w:r>
      <w:r w:rsidR="00092CC9">
        <w:t xml:space="preserve"> v </w:t>
      </w:r>
      <w:r>
        <w:t>souladu</w:t>
      </w:r>
      <w:r w:rsidR="00845C50">
        <w:t xml:space="preserve"> s </w:t>
      </w:r>
      <w:r>
        <w:t>§ 41 ZZVZ požaduje, aby účastníci</w:t>
      </w:r>
      <w:r w:rsidR="00BC6D2B">
        <w:t xml:space="preserve"> k </w:t>
      </w:r>
      <w:r>
        <w:t>zajištění plnění svých povinností vyplývajících</w:t>
      </w:r>
      <w:r w:rsidR="0060115D">
        <w:t xml:space="preserve"> z </w:t>
      </w:r>
      <w:r>
        <w:t>účasti</w:t>
      </w:r>
      <w:r w:rsidR="00092CC9">
        <w:t xml:space="preserve"> v </w:t>
      </w:r>
      <w:r>
        <w:t xml:space="preserve">zadávacím řízení poskytli jistotu ve výši </w:t>
      </w:r>
      <w:proofErr w:type="gramStart"/>
      <w:r w:rsidR="00027924" w:rsidRPr="00CF3184">
        <w:rPr>
          <w:b/>
          <w:bCs/>
        </w:rPr>
        <w:t>4</w:t>
      </w:r>
      <w:r w:rsidR="00540B8D" w:rsidRPr="00CF3184">
        <w:rPr>
          <w:b/>
          <w:bCs/>
        </w:rPr>
        <w:t>70</w:t>
      </w:r>
      <w:r w:rsidR="00027924" w:rsidRPr="00CF3184">
        <w:rPr>
          <w:b/>
          <w:bCs/>
        </w:rPr>
        <w:t>.000,-</w:t>
      </w:r>
      <w:proofErr w:type="gramEnd"/>
      <w:r w:rsidR="00887342">
        <w:t> </w:t>
      </w:r>
      <w:r w:rsidRPr="00B035B6">
        <w:rPr>
          <w:b/>
        </w:rPr>
        <w:t xml:space="preserve">Kč </w:t>
      </w:r>
      <w:r>
        <w:t xml:space="preserve">(slovy: </w:t>
      </w:r>
      <w:r w:rsidR="00540B8D">
        <w:t>Čtyři</w:t>
      </w:r>
      <w:r w:rsidR="00043FB5">
        <w:t xml:space="preserve"> </w:t>
      </w:r>
      <w:r w:rsidR="00540B8D">
        <w:t xml:space="preserve">sta sedmdesát tisíc </w:t>
      </w:r>
      <w:r>
        <w:t>korun českých).</w:t>
      </w:r>
    </w:p>
    <w:p w14:paraId="7B1C4055" w14:textId="77777777" w:rsidR="0035531B" w:rsidRDefault="0035531B" w:rsidP="0035531B">
      <w:pPr>
        <w:pStyle w:val="Text1-1"/>
      </w:pPr>
      <w:r>
        <w:t>Jistota bude poskytnuta</w:t>
      </w:r>
      <w:r w:rsidR="00092CC9">
        <w:t xml:space="preserve"> v </w:t>
      </w:r>
      <w:r>
        <w:t xml:space="preserve">elektronické podobě formou: </w:t>
      </w:r>
    </w:p>
    <w:p w14:paraId="05DD08B3" w14:textId="77777777" w:rsidR="0035531B" w:rsidRDefault="0035531B" w:rsidP="00564DDD">
      <w:pPr>
        <w:pStyle w:val="Odrka1-1"/>
      </w:pPr>
      <w:r>
        <w:t xml:space="preserve">složení peněžní částky na účet zadavatele („peněžní jistota“), nebo </w:t>
      </w:r>
    </w:p>
    <w:p w14:paraId="0BA36C69" w14:textId="77777777" w:rsidR="0035531B" w:rsidRDefault="0035531B" w:rsidP="00564DDD">
      <w:pPr>
        <w:pStyle w:val="Odrka1-1"/>
      </w:pPr>
      <w:r>
        <w:t xml:space="preserve">bankovní záruky ve prospěch zadavatele, nebo </w:t>
      </w:r>
    </w:p>
    <w:p w14:paraId="1782A029" w14:textId="77777777" w:rsidR="0035531B" w:rsidRDefault="0035531B" w:rsidP="00564DDD">
      <w:pPr>
        <w:pStyle w:val="Odrka1-1"/>
      </w:pPr>
      <w:r>
        <w:t>pojištění záruky ve prospěch zadavatele.</w:t>
      </w:r>
    </w:p>
    <w:p w14:paraId="0946F839" w14:textId="3BD7A78D" w:rsidR="0035531B" w:rsidRDefault="0035531B" w:rsidP="0035531B">
      <w:pPr>
        <w:pStyle w:val="Text1-1"/>
      </w:pPr>
      <w:r>
        <w:t xml:space="preserve">Jistota ve formě složení peněžní částky na účet zadavatele musí být připsána na účet zadavatele ve lhůtě pro podání nabídek. Potřebné údaje pro složení peněžní jistoty na účet zadavatele jsou následující: </w:t>
      </w:r>
      <w:proofErr w:type="spellStart"/>
      <w:r>
        <w:t>č.ú</w:t>
      </w:r>
      <w:proofErr w:type="spellEnd"/>
      <w:r>
        <w:t xml:space="preserve">. </w:t>
      </w:r>
      <w:r w:rsidR="00966E15" w:rsidRPr="00AF0207">
        <w:t>30007-1908811/0710, vedený u České národní banky</w:t>
      </w:r>
      <w:r w:rsidR="00966E15">
        <w:t>, variabilní symbol 5003720017</w:t>
      </w:r>
      <w:r>
        <w:t>. Účastník zadávacího řízení prokáže</w:t>
      </w:r>
      <w:r w:rsidR="00092CC9">
        <w:t xml:space="preserve"> v </w:t>
      </w:r>
      <w:r>
        <w:t>nabídce poskytnutí peněžní jistoty sdělením údajů</w:t>
      </w:r>
      <w:r w:rsidR="00092CC9">
        <w:t xml:space="preserve"> o </w:t>
      </w:r>
      <w:r>
        <w:t>provedené platbě zadavateli. Dokladem prokazujícím poskytnutí peněžní jistoty na účet zadavatele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27" w:name="_Toc59538672"/>
      <w:bookmarkStart w:id="28" w:name="_Toc61510465"/>
      <w:bookmarkStart w:id="29" w:name="_Toc178766823"/>
      <w:r>
        <w:t>SOCIÁLNĚ A ENVIRO</w:t>
      </w:r>
      <w:r w:rsidR="007C1CD8">
        <w:t>N</w:t>
      </w:r>
      <w:r>
        <w:t>MENTÁLNĚ ODPOVĚDNÉ ZADÁVÁNÍ, INOVACE</w:t>
      </w:r>
      <w:bookmarkEnd w:id="27"/>
      <w:bookmarkEnd w:id="28"/>
      <w:bookmarkEnd w:id="29"/>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w:t>
      </w:r>
      <w:r w:rsidRPr="00036D1F">
        <w:lastRenderedPageBreak/>
        <w:t xml:space="preserve">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Default="00423AD4" w:rsidP="00423AD4">
      <w:pPr>
        <w:pStyle w:val="Text1-1"/>
      </w:pPr>
      <w:r>
        <w:t>Zadavatel aplikuje v zadávacím řízení níže uvedené prvky odpovědného zadávání:</w:t>
      </w:r>
    </w:p>
    <w:p w14:paraId="5348ACCB" w14:textId="62906D01" w:rsidR="008217CE" w:rsidRDefault="00423AD4" w:rsidP="000C6C30">
      <w:pPr>
        <w:pStyle w:val="Odrka1-1"/>
      </w:pPr>
      <w:r>
        <w:t>rovnocenné platební podmínky</w:t>
      </w:r>
      <w:r w:rsidR="008217CE">
        <w:t xml:space="preserve"> v rámci dodavatelského řetězce</w:t>
      </w:r>
      <w:r w:rsidR="0059265F">
        <w:t>.</w:t>
      </w:r>
    </w:p>
    <w:p w14:paraId="23D25BD6" w14:textId="7C2E42AE" w:rsidR="00423AD4" w:rsidRDefault="00423AD4" w:rsidP="006A6DF0">
      <w:pPr>
        <w:pStyle w:val="Text1-1"/>
      </w:pPr>
      <w:r>
        <w:t xml:space="preserve">Výše uvedené prvky odpovědného </w:t>
      </w:r>
      <w:r w:rsidRPr="005C1128">
        <w:t>zadávání a povinnosti dodavatele s nimi spojené zadavatel stanovil v</w:t>
      </w:r>
      <w:r w:rsidR="00980909" w:rsidRPr="005C1128">
        <w:t xml:space="preserve"> </w:t>
      </w:r>
      <w:r w:rsidRPr="005C1128">
        <w:t>ustanoveních článku 4</w:t>
      </w:r>
      <w:r w:rsidR="00980909" w:rsidRPr="005C1128">
        <w:t>.</w:t>
      </w:r>
      <w:r w:rsidR="00C14C86" w:rsidRPr="005C1128">
        <w:t>5</w:t>
      </w:r>
      <w:r w:rsidRPr="005C1128">
        <w:t xml:space="preserve"> závazného</w:t>
      </w:r>
      <w:r>
        <w:t xml:space="preserve"> vzoru smlouvy, který je dílem 2 zadávací dokumentace</w:t>
      </w:r>
      <w:r w:rsidR="00980909">
        <w:t>.</w:t>
      </w:r>
    </w:p>
    <w:p w14:paraId="7FD7782A" w14:textId="6A8C2FA1" w:rsidR="004D33A0" w:rsidRDefault="004D33A0" w:rsidP="004D33A0">
      <w:pPr>
        <w:pStyle w:val="Nadpis1-1"/>
        <w:jc w:val="both"/>
      </w:pPr>
      <w:bookmarkStart w:id="30" w:name="_Toc102380477"/>
      <w:bookmarkStart w:id="31" w:name="_Toc103683200"/>
      <w:bookmarkStart w:id="32" w:name="_Toc103932243"/>
      <w:bookmarkStart w:id="33" w:name="_Toc178766824"/>
      <w:r>
        <w:t xml:space="preserve">Další zadávací podmínky v návaznosti na </w:t>
      </w:r>
      <w:bookmarkEnd w:id="30"/>
      <w:bookmarkEnd w:id="31"/>
      <w:bookmarkEnd w:id="32"/>
      <w:r w:rsidR="00CC7F60">
        <w:t>MEZINÁRODNÍ sankce, zákaz zadání veřejné zakázky</w:t>
      </w:r>
      <w:bookmarkEnd w:id="33"/>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6501FAD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1"/>
      </w:r>
      <w:r>
        <w:t xml:space="preserve"> (dále jen </w:t>
      </w:r>
      <w:r w:rsidRPr="00DA0D67">
        <w:t>„Nařízení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CC7F60">
        <w:t xml:space="preserve">článku </w:t>
      </w:r>
      <w:r>
        <w:t xml:space="preserve">7 </w:t>
      </w:r>
      <w:r w:rsidR="00CC7F60" w:rsidRPr="004A650A">
        <w:t>písm. a) až d)</w:t>
      </w:r>
      <w:r w:rsidR="00CC7F60">
        <w:t>, článku</w:t>
      </w:r>
      <w:r>
        <w:t xml:space="preserve"> 8, čl. 10 písm. b) až f) a písm. h) až j) směrnice 2014/24/EU, článku 18, čl. 21 písm. b) až e) a písm. g</w:t>
      </w:r>
      <w:r w:rsidR="00CC7F60">
        <w:t>)</w:t>
      </w:r>
      <w:r>
        <w:t xml:space="preserve"> až i), článků 29 a 30 směrnice 2014/25/EU a čl. 13 písm. a) až d), f) až h) a j) směrnice 2009/81/EC</w:t>
      </w:r>
      <w:r w:rsidR="00CC7F60">
        <w:t xml:space="preserve"> </w:t>
      </w:r>
      <w:r w:rsidR="00CC7F60" w:rsidRPr="004A650A">
        <w:t>a hlavy VII na</w:t>
      </w:r>
      <w:r w:rsidR="00CC7F60" w:rsidRPr="004A650A">
        <w:rPr>
          <w:rFonts w:hint="eastAsia"/>
        </w:rPr>
        <w:t>ří</w:t>
      </w:r>
      <w:r w:rsidR="00CC7F60" w:rsidRPr="004A650A">
        <w:t>zení Evropského parlamentu a Rady (EU, Euratom) 2018/1046 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w:t>
      </w:r>
      <w:r w:rsidRPr="00CD701B">
        <w:rPr>
          <w:rFonts w:eastAsia="Verdana" w:cstheme="majorBidi"/>
          <w:noProof/>
          <w:szCs w:val="26"/>
        </w:rPr>
        <w:lastRenderedPageBreak/>
        <w:t xml:space="preserve">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751B585" w14:textId="5F169177" w:rsidR="0035531B" w:rsidRDefault="0035531B" w:rsidP="00564DDD">
      <w:pPr>
        <w:pStyle w:val="Nadpis1-1"/>
      </w:pPr>
      <w:bookmarkStart w:id="34" w:name="_Toc178766825"/>
      <w:r>
        <w:t>PŘÍLOHY TĚCHTO POKYNŮ</w:t>
      </w:r>
      <w:bookmarkEnd w:id="34"/>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7DE1387E" w14:textId="7D92E3AF" w:rsidR="0035531B" w:rsidRDefault="0035531B" w:rsidP="00564DDD">
      <w:pPr>
        <w:pStyle w:val="Textbezslovn"/>
        <w:spacing w:after="0"/>
      </w:pPr>
      <w:r>
        <w:t xml:space="preserve">V Praze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3EC3AEB8" w14:textId="77777777" w:rsidR="0035531B" w:rsidRDefault="0035531B" w:rsidP="00564DDD">
      <w:pPr>
        <w:pStyle w:val="Textbezslovn"/>
        <w:spacing w:after="0"/>
      </w:pPr>
      <w:r>
        <w:t>…………………………………………….</w:t>
      </w:r>
    </w:p>
    <w:p w14:paraId="7412A501" w14:textId="77777777" w:rsidR="0035531B" w:rsidRDefault="0035531B" w:rsidP="00564DDD">
      <w:pPr>
        <w:pStyle w:val="Textbezslovn"/>
        <w:spacing w:after="0"/>
      </w:pPr>
      <w:r>
        <w:t>Ing. Mojmír Nejezchleb</w:t>
      </w:r>
    </w:p>
    <w:p w14:paraId="0A51013E" w14:textId="77777777" w:rsidR="0035531B" w:rsidRDefault="0035531B" w:rsidP="00564DDD">
      <w:pPr>
        <w:pStyle w:val="Textbezslovn"/>
        <w:spacing w:after="0"/>
      </w:pPr>
      <w:r>
        <w:t>náměstek generálního ředitele pro modernizaci dráhy</w:t>
      </w:r>
    </w:p>
    <w:p w14:paraId="12B786BB" w14:textId="7D6E308D" w:rsidR="000751BA" w:rsidRDefault="0035531B" w:rsidP="00CA466B">
      <w:pPr>
        <w:pStyle w:val="Textbezslovn"/>
        <w:spacing w:after="0"/>
        <w:rPr>
          <w:rFonts w:asciiTheme="majorHAnsi" w:hAnsiTheme="majorHAnsi"/>
          <w:b/>
          <w:caps/>
          <w:sz w:val="22"/>
        </w:rPr>
      </w:pPr>
      <w:r>
        <w:t>Správa železni</w:t>
      </w:r>
      <w:r w:rsidR="00040961">
        <w:t>c</w:t>
      </w:r>
      <w:r>
        <w:t>,</w:t>
      </w:r>
      <w:r w:rsidR="00F67ED4">
        <w:t xml:space="preserve"> </w:t>
      </w:r>
      <w:r>
        <w:t>státní organizace</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3"/>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1F6C0815" w:rsidR="006A540D" w:rsidRDefault="006A540D" w:rsidP="006A540D">
      <w:pPr>
        <w:pStyle w:val="Textbezslovn"/>
        <w:ind w:left="0"/>
      </w:pPr>
      <w:r w:rsidRPr="006A6AF2">
        <w:t xml:space="preserve">Řádně jsme se seznámili se zněním zadávacích podmínek veřejné zakázky s názvem </w:t>
      </w:r>
      <w:r w:rsidR="00027924" w:rsidRPr="00464CF4">
        <w:t>„</w:t>
      </w:r>
      <w:r w:rsidR="00027924" w:rsidRPr="00AF6FCC">
        <w:t>Modernizace trati Brno-Přerov, 4. stavba Nezamyslice – Kojetín“</w:t>
      </w:r>
      <w:r w:rsidRPr="006A6AF2">
        <w:t xml:space="preserve"> 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4"/>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proofErr w:type="gramStart"/>
            <w:r w:rsidRPr="002D5F95">
              <w:rPr>
                <w:b/>
              </w:rPr>
              <w:t>rozsahu - v</w:t>
            </w:r>
            <w:proofErr w:type="gramEnd"/>
            <w:r w:rsidRPr="002D5F95">
              <w:rPr>
                <w:b/>
              </w:rPr>
              <w:t xml:space="preserve">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33D41FD4"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2A1AE564"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 xml:space="preserve">Cena významné služby, kterou dodavatel poskytl** za posledních </w:t>
            </w:r>
            <w:r w:rsidR="00842C41">
              <w:rPr>
                <w:b/>
              </w:rPr>
              <w:t>10</w:t>
            </w:r>
            <w:r w:rsidR="00842C41" w:rsidRPr="002D5F95">
              <w:rPr>
                <w:b/>
              </w:rPr>
              <w:t xml:space="preserve"> </w:t>
            </w:r>
            <w:r w:rsidRPr="002D5F95">
              <w:rPr>
                <w:b/>
              </w:rPr>
              <w:t>let v Kč*** bez DPH</w:t>
            </w:r>
          </w:p>
          <w:p w14:paraId="09CF9652" w14:textId="3B3748C9"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5529" w:type="dxa"/>
        <w:tblLayout w:type="fixed"/>
        <w:tblLook w:val="04E0" w:firstRow="1" w:lastRow="1" w:firstColumn="1" w:lastColumn="0" w:noHBand="0" w:noVBand="1"/>
      </w:tblPr>
      <w:tblGrid>
        <w:gridCol w:w="2410"/>
        <w:gridCol w:w="3119"/>
      </w:tblGrid>
      <w:tr w:rsidR="00A55C4E" w:rsidRPr="00EE3C5F" w14:paraId="6A6021EF" w14:textId="77777777" w:rsidTr="00A55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A8C6DE8" w14:textId="77777777" w:rsidR="00A55C4E" w:rsidRDefault="00A55C4E" w:rsidP="00A40426">
            <w:pPr>
              <w:rPr>
                <w:b/>
                <w:sz w:val="16"/>
                <w:szCs w:val="16"/>
              </w:rPr>
            </w:pPr>
            <w:r w:rsidRPr="00EE3C5F">
              <w:rPr>
                <w:b/>
                <w:sz w:val="16"/>
                <w:szCs w:val="16"/>
              </w:rPr>
              <w:t>Funkce</w:t>
            </w:r>
          </w:p>
          <w:p w14:paraId="5ABB8BEE" w14:textId="5CAD8290" w:rsidR="00A55C4E" w:rsidRPr="00EE3C5F" w:rsidRDefault="00A55C4E" w:rsidP="00A40426">
            <w:pPr>
              <w:rPr>
                <w:b/>
                <w:sz w:val="16"/>
                <w:szCs w:val="16"/>
              </w:rPr>
            </w:pPr>
            <w:r>
              <w:rPr>
                <w:b/>
                <w:sz w:val="16"/>
                <w:szCs w:val="16"/>
              </w:rPr>
              <w:t>J</w:t>
            </w:r>
            <w:r w:rsidRPr="00EE3C5F">
              <w:rPr>
                <w:b/>
                <w:sz w:val="16"/>
                <w:szCs w:val="16"/>
              </w:rPr>
              <w:t xml:space="preserve">méno </w:t>
            </w:r>
            <w:r>
              <w:rPr>
                <w:b/>
                <w:sz w:val="16"/>
                <w:szCs w:val="16"/>
              </w:rPr>
              <w:t>a příjmení</w:t>
            </w:r>
          </w:p>
        </w:tc>
        <w:tc>
          <w:tcPr>
            <w:tcW w:w="3119" w:type="dxa"/>
          </w:tcPr>
          <w:p w14:paraId="288DFE43" w14:textId="77777777" w:rsidR="00A55C4E" w:rsidRPr="00EE3C5F"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55C4E" w:rsidRPr="00454716" w14:paraId="6077F5BF"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0502C69D"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34B009E2"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65C7DB8A" w14:textId="77777777" w:rsidTr="00A55C4E">
        <w:tc>
          <w:tcPr>
            <w:cnfStyle w:val="001000000000" w:firstRow="0" w:lastRow="0" w:firstColumn="1" w:lastColumn="0" w:oddVBand="0" w:evenVBand="0" w:oddHBand="0" w:evenHBand="0" w:firstRowFirstColumn="0" w:firstRowLastColumn="0" w:lastRowFirstColumn="0" w:lastRowLastColumn="0"/>
            <w:tcW w:w="2410" w:type="dxa"/>
          </w:tcPr>
          <w:p w14:paraId="751B87A3"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Pr>
          <w:p w14:paraId="2EED6EFE"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398EB1A8"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F3E3219"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5053CA8F"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5E2A8D30"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32424E7A"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4E5CEE30"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05101AA2" w14:textId="77777777" w:rsidTr="00A55C4E">
        <w:tc>
          <w:tcPr>
            <w:cnfStyle w:val="001000000000" w:firstRow="0" w:lastRow="0" w:firstColumn="1" w:lastColumn="0" w:oddVBand="0" w:evenVBand="0" w:oddHBand="0" w:evenHBand="0" w:firstRowFirstColumn="0" w:firstRowLastColumn="0" w:lastRowFirstColumn="0" w:lastRowLastColumn="0"/>
            <w:tcW w:w="2410" w:type="dxa"/>
            <w:tcBorders>
              <w:bottom w:val="single" w:sz="2" w:space="0" w:color="auto"/>
            </w:tcBorders>
          </w:tcPr>
          <w:p w14:paraId="21775DE7" w14:textId="77777777" w:rsidR="00A55C4E" w:rsidRPr="00454716" w:rsidRDefault="00A55C4E" w:rsidP="00EE3C5F">
            <w:pPr>
              <w:rPr>
                <w:sz w:val="16"/>
                <w:szCs w:val="16"/>
                <w:highlight w:val="yellow"/>
              </w:rPr>
            </w:pPr>
            <w:r w:rsidRPr="00454716">
              <w:rPr>
                <w:sz w:val="16"/>
                <w:szCs w:val="16"/>
                <w:highlight w:val="yellow"/>
              </w:rPr>
              <w:t>[DOPLNÍ DODAVATEL]</w:t>
            </w:r>
          </w:p>
        </w:tc>
        <w:tc>
          <w:tcPr>
            <w:tcW w:w="3119" w:type="dxa"/>
            <w:tcBorders>
              <w:bottom w:val="single" w:sz="2" w:space="0" w:color="auto"/>
            </w:tcBorders>
          </w:tcPr>
          <w:p w14:paraId="1E6E35BB" w14:textId="77777777" w:rsidR="00A55C4E" w:rsidRPr="00454716" w:rsidRDefault="00A55C4E" w:rsidP="00EE3C5F">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55C4E" w:rsidRPr="00454716" w14:paraId="273F8EEB" w14:textId="77777777" w:rsidTr="00A55C4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auto"/>
            </w:tcBorders>
            <w:shd w:val="clear" w:color="auto" w:fill="auto"/>
          </w:tcPr>
          <w:p w14:paraId="55DA6835" w14:textId="77777777" w:rsidR="00A55C4E" w:rsidRPr="00454716" w:rsidRDefault="00A55C4E" w:rsidP="00EE3C5F">
            <w:pPr>
              <w:rPr>
                <w:b w:val="0"/>
                <w:sz w:val="16"/>
                <w:szCs w:val="16"/>
                <w:highlight w:val="yellow"/>
              </w:rPr>
            </w:pPr>
            <w:r w:rsidRPr="00454716">
              <w:rPr>
                <w:b w:val="0"/>
                <w:sz w:val="16"/>
                <w:szCs w:val="16"/>
                <w:highlight w:val="yellow"/>
              </w:rPr>
              <w:t>[DOPLNÍ DODAVATEL]</w:t>
            </w:r>
          </w:p>
        </w:tc>
        <w:tc>
          <w:tcPr>
            <w:tcW w:w="3119" w:type="dxa"/>
            <w:tcBorders>
              <w:top w:val="single" w:sz="2" w:space="0" w:color="auto"/>
            </w:tcBorders>
            <w:shd w:val="clear" w:color="auto" w:fill="auto"/>
          </w:tcPr>
          <w:p w14:paraId="412E45FB" w14:textId="72E24878" w:rsidR="00A55C4E" w:rsidRPr="00454716"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5"/>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5735AEA7"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2EE0B8C3" w:rsidR="0035531B" w:rsidRDefault="00543F07" w:rsidP="00EF5751">
      <w:pPr>
        <w:pStyle w:val="Odstavec1-1a"/>
        <w:numPr>
          <w:ilvl w:val="0"/>
          <w:numId w:val="10"/>
        </w:numPr>
      </w:pPr>
      <w:r w:rsidRPr="00543F07">
        <w:rPr>
          <w:b/>
        </w:rPr>
        <w:t xml:space="preserve">Zkušenosti </w:t>
      </w:r>
      <w:r w:rsidRPr="00543F07">
        <w:t xml:space="preserve">s plněním zakázek </w:t>
      </w:r>
      <w:r w:rsidRPr="00543F07">
        <w:rPr>
          <w:b/>
        </w:rPr>
        <w:t xml:space="preserve">za účelem prokázání kvalifikace </w:t>
      </w:r>
      <w:r w:rsidRPr="00543F07">
        <w:t>(u ostatních osob se tabulka proškrtne nebo nevyplní)</w:t>
      </w:r>
      <w:r w:rsidR="00307641">
        <w:rPr>
          <w:rStyle w:val="Znakapoznpodarou"/>
        </w:rPr>
        <w:footnoteReference w:id="6"/>
      </w:r>
      <w:r w:rsidR="0035531B">
        <w:t>:</w:t>
      </w:r>
      <w:r w:rsidR="00F97A3B">
        <w:t xml:space="preserve"> NEPOŽADUJE SE</w:t>
      </w:r>
    </w:p>
    <w:p w14:paraId="3B2E4A94" w14:textId="7F13FB98" w:rsidR="00EF5751" w:rsidRDefault="00EF5751" w:rsidP="00EF5751">
      <w:pPr>
        <w:pStyle w:val="Odstavec1-1a"/>
        <w:ind w:left="1077"/>
      </w:pPr>
      <w:r>
        <w:rPr>
          <w:b/>
        </w:rPr>
        <w:t xml:space="preserve">Zde uvedené zkušenosti nelze </w:t>
      </w:r>
      <w:r w:rsidR="00396665">
        <w:rPr>
          <w:b/>
        </w:rPr>
        <w:t xml:space="preserve">u téže osoby </w:t>
      </w:r>
      <w:r>
        <w:rPr>
          <w:b/>
        </w:rPr>
        <w:t>zároveň uvést v Příloze č. 9 pro účely hodnocení.</w:t>
      </w:r>
    </w:p>
    <w:p w14:paraId="32F2D85B" w14:textId="77777777" w:rsidR="00327047"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lastRenderedPageBreak/>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0ED6EADA" w:rsidR="00452F69" w:rsidRPr="00833899" w:rsidRDefault="00543F07" w:rsidP="00307641">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sidR="0079069D">
              <w:rPr>
                <w:sz w:val="16"/>
                <w:szCs w:val="16"/>
              </w:rPr>
              <w:t xml:space="preserve"> </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3DF092C2" w:rsidR="00C6339C" w:rsidRPr="00543F07" w:rsidRDefault="00C6339C" w:rsidP="009E1958">
            <w:pPr>
              <w:rPr>
                <w:sz w:val="16"/>
                <w:szCs w:val="16"/>
              </w:rPr>
            </w:pPr>
            <w:r w:rsidRPr="0042061D">
              <w:rPr>
                <w:sz w:val="16"/>
                <w:szCs w:val="16"/>
              </w:rPr>
              <w:t>Cena zakázky v Kč bez DPH, resp. té části plnění zakázky, kter</w:t>
            </w:r>
            <w:r>
              <w:rPr>
                <w:sz w:val="16"/>
                <w:szCs w:val="16"/>
              </w:rPr>
              <w:t>á</w:t>
            </w:r>
            <w:r w:rsidRPr="0042061D">
              <w:rPr>
                <w:sz w:val="16"/>
                <w:szCs w:val="16"/>
              </w:rPr>
              <w:t xml:space="preserve"> 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833899" w:rsidRDefault="00543F07" w:rsidP="00307641">
            <w:pPr>
              <w:rPr>
                <w:sz w:val="16"/>
                <w:szCs w:val="16"/>
              </w:rPr>
            </w:pPr>
            <w:r w:rsidRPr="00543F07">
              <w:rPr>
                <w:sz w:val="16"/>
                <w:szCs w:val="16"/>
              </w:rPr>
              <w:t xml:space="preserve">Objednatel zakázky (obch. firma/název a sídlo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6AE89AF4" w:rsidR="00452F69" w:rsidRPr="00833899" w:rsidRDefault="00543F07" w:rsidP="00035828">
            <w:pPr>
              <w:rPr>
                <w:sz w:val="16"/>
                <w:szCs w:val="16"/>
              </w:rPr>
            </w:pPr>
            <w:r w:rsidRPr="00543F07">
              <w:rPr>
                <w:sz w:val="16"/>
                <w:szCs w:val="16"/>
              </w:rPr>
              <w:t>Termín dokončení zakázky, resp. té části plnění zakázky, kter</w:t>
            </w:r>
            <w:r w:rsidR="007C4ABB">
              <w:rPr>
                <w:sz w:val="16"/>
                <w:szCs w:val="16"/>
              </w:rPr>
              <w:t>á</w:t>
            </w:r>
            <w:r w:rsidRPr="00543F07">
              <w:rPr>
                <w:sz w:val="16"/>
                <w:szCs w:val="16"/>
              </w:rPr>
              <w:t xml:space="preserve"> obsahově odpovídá zadavatelem stanovené </w:t>
            </w:r>
            <w:r w:rsidR="00E33B76">
              <w:rPr>
                <w:sz w:val="16"/>
                <w:szCs w:val="16"/>
              </w:rPr>
              <w:t xml:space="preserve">definici </w:t>
            </w:r>
            <w:r w:rsidRPr="00543F07">
              <w:rPr>
                <w:sz w:val="16"/>
                <w:szCs w:val="16"/>
              </w:rPr>
              <w:t xml:space="preserve">požadované </w:t>
            </w:r>
            <w:r w:rsidR="00E33B76">
              <w:rPr>
                <w:sz w:val="16"/>
                <w:szCs w:val="16"/>
              </w:rPr>
              <w:t xml:space="preserve">zkušenosti </w:t>
            </w:r>
            <w:r w:rsidRPr="00543F07">
              <w:rPr>
                <w:sz w:val="16"/>
                <w:szCs w:val="16"/>
              </w:rPr>
              <w:t>(</w:t>
            </w:r>
            <w:r w:rsidR="00672DAE">
              <w:rPr>
                <w:sz w:val="16"/>
                <w:szCs w:val="16"/>
              </w:rPr>
              <w:t>např.</w:t>
            </w:r>
            <w:r w:rsidRPr="00543F07">
              <w:rPr>
                <w:sz w:val="16"/>
                <w:szCs w:val="16"/>
              </w:rPr>
              <w:t xml:space="preserve"> </w:t>
            </w:r>
            <w:r w:rsidR="00027924">
              <w:rPr>
                <w:sz w:val="16"/>
                <w:szCs w:val="16"/>
              </w:rPr>
              <w:t>provádění geotechnického monitoringu</w:t>
            </w:r>
            <w:r w:rsidRPr="00543F07">
              <w:rPr>
                <w:sz w:val="16"/>
                <w:szCs w:val="16"/>
              </w:rPr>
              <w:t>)</w:t>
            </w:r>
            <w:r w:rsidR="00EF13E3">
              <w:rPr>
                <w:sz w:val="16"/>
                <w:szCs w:val="16"/>
              </w:rPr>
              <w:t xml:space="preserve">; </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030CE4" w14:paraId="6AA7D15E" w14:textId="77777777" w:rsidTr="00030CE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15CAE352" w14:textId="6025829E" w:rsidR="00452F69" w:rsidRPr="00030CE4" w:rsidRDefault="0079069D" w:rsidP="00E33B76">
            <w:pPr>
              <w:rPr>
                <w:b w:val="0"/>
                <w:bCs/>
                <w:sz w:val="16"/>
                <w:szCs w:val="16"/>
              </w:rPr>
            </w:pPr>
            <w:r w:rsidRPr="00030CE4">
              <w:rPr>
                <w:b w:val="0"/>
                <w:bCs/>
                <w:sz w:val="16"/>
                <w:szCs w:val="16"/>
              </w:rPr>
              <w:t>Vykonávaná funkce/pozice a p</w:t>
            </w:r>
            <w:r w:rsidR="00543F07" w:rsidRPr="00030CE4">
              <w:rPr>
                <w:b w:val="0"/>
                <w:bCs/>
                <w:sz w:val="16"/>
                <w:szCs w:val="16"/>
              </w:rPr>
              <w:t>opis pracovních činností vykonávaných členem odb</w:t>
            </w:r>
            <w:r w:rsidR="00E33B76" w:rsidRPr="00030CE4">
              <w:rPr>
                <w:b w:val="0"/>
                <w:bCs/>
                <w:sz w:val="16"/>
                <w:szCs w:val="16"/>
              </w:rPr>
              <w:t>orného</w:t>
            </w:r>
            <w:r w:rsidR="00543F07" w:rsidRPr="00030CE4">
              <w:rPr>
                <w:b w:val="0"/>
                <w:bCs/>
                <w:sz w:val="16"/>
                <w:szCs w:val="16"/>
              </w:rPr>
              <w:t xml:space="preserve"> </w:t>
            </w:r>
            <w:proofErr w:type="gramStart"/>
            <w:r w:rsidR="00543F07" w:rsidRPr="00030CE4">
              <w:rPr>
                <w:b w:val="0"/>
                <w:bCs/>
                <w:sz w:val="16"/>
                <w:szCs w:val="16"/>
              </w:rPr>
              <w:t>personálu - v</w:t>
            </w:r>
            <w:proofErr w:type="gramEnd"/>
            <w:r w:rsidR="00543F07" w:rsidRPr="00030CE4">
              <w:rPr>
                <w:b w:val="0"/>
                <w:bCs/>
                <w:sz w:val="16"/>
                <w:szCs w:val="16"/>
              </w:rPr>
              <w:t xml:space="preserve"> detailu potřebném pro ověření splnění požadavků</w:t>
            </w:r>
          </w:p>
        </w:tc>
        <w:tc>
          <w:tcPr>
            <w:tcW w:w="2835" w:type="dxa"/>
            <w:tcBorders>
              <w:top w:val="single" w:sz="2" w:space="0" w:color="auto"/>
            </w:tcBorders>
            <w:shd w:val="clear" w:color="auto" w:fill="auto"/>
          </w:tcPr>
          <w:p w14:paraId="237F6DE6" w14:textId="77777777" w:rsidR="00452F69" w:rsidRPr="00030CE4" w:rsidRDefault="00452F69" w:rsidP="00307641">
            <w:pPr>
              <w:cnfStyle w:val="010000000000" w:firstRow="0" w:lastRow="1" w:firstColumn="0" w:lastColumn="0" w:oddVBand="0" w:evenVBand="0" w:oddHBand="0" w:evenHBand="0" w:firstRowFirstColumn="0" w:firstRowLastColumn="0" w:lastRowFirstColumn="0" w:lastRowLastColumn="0"/>
              <w:rPr>
                <w:b w:val="0"/>
                <w:bCs/>
                <w:sz w:val="16"/>
                <w:szCs w:val="16"/>
              </w:rPr>
            </w:pPr>
            <w:r w:rsidRPr="00030CE4">
              <w:rPr>
                <w:b w:val="0"/>
                <w:bCs/>
                <w:sz w:val="16"/>
                <w:szCs w:val="16"/>
                <w:highlight w:val="yellow"/>
              </w:rPr>
              <w:t>[DOPLNÍ DODAVATEL]</w:t>
            </w:r>
          </w:p>
        </w:tc>
      </w:tr>
    </w:tbl>
    <w:p w14:paraId="5C17F673" w14:textId="468BF0A1" w:rsidR="0035531B" w:rsidRPr="00833899" w:rsidRDefault="006F29D2" w:rsidP="00474F4D">
      <w:pPr>
        <w:pStyle w:val="Textbezslovn"/>
        <w:ind w:left="0"/>
      </w:pPr>
      <w:r>
        <w:tab/>
      </w:r>
    </w:p>
    <w:p w14:paraId="1E567558" w14:textId="48DC54DC" w:rsidR="0035531B" w:rsidRPr="001950C2" w:rsidRDefault="0035531B" w:rsidP="00867F78">
      <w:pPr>
        <w:pStyle w:val="Odstavec1-1a"/>
        <w:numPr>
          <w:ilvl w:val="0"/>
          <w:numId w:val="10"/>
        </w:numPr>
      </w:pPr>
      <w:r w:rsidRPr="00452F69">
        <w:rPr>
          <w:b/>
        </w:rPr>
        <w:t>Odborná způsobilost</w:t>
      </w:r>
      <w:r>
        <w:t xml:space="preserve"> podle zvláštních právních předpisů: oprávnění</w:t>
      </w:r>
      <w:r w:rsidR="00BC6D2B">
        <w:t xml:space="preserve"> k </w:t>
      </w:r>
      <w:r>
        <w:t xml:space="preserve">výkonu vybraných činností ve </w:t>
      </w:r>
      <w:r w:rsidRPr="00FD5C72">
        <w:t xml:space="preserve">výstavbě / </w:t>
      </w:r>
      <w:r w:rsidR="00A55C9A" w:rsidRPr="00FD5C72">
        <w:t xml:space="preserve">autorizace pro ověřování výsledků zeměměřických činností </w:t>
      </w:r>
      <w:r w:rsidRPr="00FD5C72">
        <w:t>či jiná odborná způsobilost</w:t>
      </w:r>
      <w:r>
        <w:t xml:space="preserve">: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7"/>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8"/>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0AD709FC" w:rsidR="00746A3A" w:rsidRPr="00833899" w:rsidRDefault="00746A3A" w:rsidP="00294DE2">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Pr>
                <w:sz w:val="16"/>
                <w:szCs w:val="16"/>
              </w:rPr>
              <w:t xml:space="preserve"> relevantních pro hodnocení </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4C8C118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4FA6E4A0" w14:textId="2EA83C5C" w:rsidR="00746A3A" w:rsidRPr="00543F07" w:rsidRDefault="00746A3A" w:rsidP="009E1958">
            <w:pPr>
              <w:rPr>
                <w:sz w:val="16"/>
                <w:szCs w:val="16"/>
              </w:rPr>
            </w:pPr>
            <w:r w:rsidRPr="0042061D">
              <w:rPr>
                <w:sz w:val="16"/>
                <w:szCs w:val="16"/>
              </w:rPr>
              <w:t>Cena zakázky v Kč bez DPH, resp. té části plnění zakázky, kter</w:t>
            </w:r>
            <w:r>
              <w:rPr>
                <w:sz w:val="16"/>
                <w:szCs w:val="16"/>
              </w:rPr>
              <w:t>á</w:t>
            </w:r>
            <w:r w:rsidRPr="0042061D">
              <w:rPr>
                <w:sz w:val="16"/>
                <w:szCs w:val="16"/>
              </w:rPr>
              <w:t xml:space="preserve"> obsahově odpovídá zadavatelem stanovené </w:t>
            </w:r>
            <w:r>
              <w:rPr>
                <w:sz w:val="16"/>
                <w:szCs w:val="16"/>
              </w:rPr>
              <w:t xml:space="preserve">definici </w:t>
            </w:r>
            <w:r w:rsidRPr="0042061D">
              <w:rPr>
                <w:sz w:val="16"/>
                <w:szCs w:val="16"/>
              </w:rPr>
              <w:t>hodnocené zkušenosti</w:t>
            </w:r>
            <w:r w:rsidR="00294DE2">
              <w:rPr>
                <w:sz w:val="16"/>
                <w:szCs w:val="16"/>
              </w:rPr>
              <w:t>;</w:t>
            </w:r>
            <w:r>
              <w:rPr>
                <w:sz w:val="16"/>
                <w:szCs w:val="16"/>
              </w:rPr>
              <w:t xml:space="preserve"> </w:t>
            </w:r>
          </w:p>
        </w:tc>
        <w:tc>
          <w:tcPr>
            <w:tcW w:w="2835" w:type="dxa"/>
            <w:tcBorders>
              <w:top w:val="single" w:sz="2" w:space="0" w:color="auto"/>
            </w:tcBorders>
          </w:tcPr>
          <w:p w14:paraId="509DB095"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77777777" w:rsidR="00746A3A" w:rsidRPr="00833899" w:rsidRDefault="00746A3A"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543F07" w:rsidRDefault="00746A3A" w:rsidP="00294DE2">
            <w:pPr>
              <w:rPr>
                <w:sz w:val="16"/>
                <w:szCs w:val="16"/>
              </w:rPr>
            </w:pPr>
            <w:r>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273A42DB" w:rsidR="00746A3A" w:rsidRPr="00833899" w:rsidRDefault="00746A3A" w:rsidP="009E1958">
            <w:pPr>
              <w:rPr>
                <w:sz w:val="16"/>
                <w:szCs w:val="16"/>
              </w:rPr>
            </w:pPr>
            <w:r w:rsidRPr="00543F07">
              <w:rPr>
                <w:sz w:val="16"/>
                <w:szCs w:val="16"/>
              </w:rPr>
              <w:t>Termín dokončení zakázky, resp. té části plnění zakázky</w:t>
            </w:r>
            <w:r w:rsidR="00294DE2">
              <w:rPr>
                <w:sz w:val="16"/>
                <w:szCs w:val="16"/>
              </w:rPr>
              <w:t>,</w:t>
            </w:r>
            <w:r w:rsidR="00294DE2" w:rsidRPr="00543F07">
              <w:rPr>
                <w:sz w:val="16"/>
                <w:szCs w:val="16"/>
              </w:rPr>
              <w:t xml:space="preserve"> </w:t>
            </w:r>
            <w:r w:rsidRPr="00543F07">
              <w:rPr>
                <w:sz w:val="16"/>
                <w:szCs w:val="16"/>
              </w:rPr>
              <w:t>kter</w:t>
            </w:r>
            <w:r>
              <w:rPr>
                <w:sz w:val="16"/>
                <w:szCs w:val="16"/>
              </w:rPr>
              <w:t>á</w:t>
            </w:r>
            <w:r w:rsidRPr="00543F07">
              <w:rPr>
                <w:sz w:val="16"/>
                <w:szCs w:val="16"/>
              </w:rPr>
              <w:t xml:space="preserve"> obsahově odpovídá zadavatelem stanovené </w:t>
            </w:r>
            <w:r>
              <w:rPr>
                <w:sz w:val="16"/>
                <w:szCs w:val="16"/>
              </w:rPr>
              <w:t xml:space="preserve">definici </w:t>
            </w:r>
            <w:r w:rsidRPr="0042061D">
              <w:rPr>
                <w:sz w:val="16"/>
                <w:szCs w:val="16"/>
              </w:rPr>
              <w:t>hodnocené zkušenosti</w:t>
            </w:r>
            <w:r w:rsidR="00EF13E3">
              <w:rPr>
                <w:sz w:val="16"/>
                <w:szCs w:val="16"/>
              </w:rPr>
              <w:t xml:space="preserve">; </w:t>
            </w:r>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77777777"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proofErr w:type="gramStart"/>
            <w:r>
              <w:rPr>
                <w:b w:val="0"/>
                <w:sz w:val="16"/>
                <w:szCs w:val="16"/>
              </w:rPr>
              <w:t xml:space="preserve">dodavatele </w:t>
            </w:r>
            <w:r w:rsidRPr="0042061D">
              <w:rPr>
                <w:b w:val="0"/>
                <w:sz w:val="16"/>
                <w:szCs w:val="16"/>
              </w:rPr>
              <w:t>- v</w:t>
            </w:r>
            <w:proofErr w:type="gramEnd"/>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Pr="00833899" w:rsidRDefault="00746A3A" w:rsidP="00746A3A">
      <w:pPr>
        <w:pStyle w:val="Textbezslovn"/>
        <w:ind w:left="0"/>
      </w:pPr>
    </w:p>
    <w:p w14:paraId="4CC80C3D" w14:textId="77777777" w:rsidR="00BA1CFD" w:rsidRDefault="00BA1CFD" w:rsidP="00D006F4">
      <w:pPr>
        <w:pStyle w:val="Textbezslovn"/>
        <w:ind w:left="0"/>
        <w:rPr>
          <w:b/>
        </w:rPr>
      </w:pPr>
      <w:r w:rsidRPr="0042061D">
        <w:rPr>
          <w:b/>
        </w:rPr>
        <w:t xml:space="preserve">Přílohy: </w:t>
      </w:r>
      <w:r w:rsidRPr="0042061D">
        <w:rPr>
          <w:b/>
        </w:rPr>
        <w:tab/>
      </w:r>
    </w:p>
    <w:p w14:paraId="4023BEAC" w14:textId="6CE3F890" w:rsidR="00307641" w:rsidRDefault="00C02436" w:rsidP="009B3A21">
      <w:pPr>
        <w:pStyle w:val="Textbezslovn"/>
        <w:ind w:left="0"/>
      </w:pPr>
      <w:r>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FE5726">
        <w:t>protokol o provedení díla</w:t>
      </w:r>
      <w:r w:rsidR="009C0BAE">
        <w:t xml:space="preserve"> </w:t>
      </w:r>
      <w:r w:rsidR="00FE5726">
        <w:t>či jiný alternativní doklad</w:t>
      </w:r>
      <w:r w:rsidRPr="003E611F">
        <w:t>).</w:t>
      </w:r>
      <w:r w:rsidR="009B3A21" w:rsidDel="009B3A21">
        <w:t xml:space="preserve"> </w:t>
      </w:r>
      <w:bookmarkEnd w:id="1"/>
      <w:bookmarkEnd w:id="2"/>
      <w:bookmarkEnd w:id="3"/>
      <w:bookmarkEnd w:id="4"/>
    </w:p>
    <w:p w14:paraId="138974C9" w14:textId="1280B511" w:rsidR="00D42474" w:rsidRDefault="00D42474"/>
    <w:p w14:paraId="2E1ECFEA" w14:textId="77777777" w:rsidR="00D42474" w:rsidRDefault="00D42474" w:rsidP="00D42474">
      <w:pPr>
        <w:pStyle w:val="Nadpisbezsl1-1"/>
      </w:pPr>
      <w:r>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9"/>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4DF575E2"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615C60" w:rsidRPr="00320AC7">
        <w:t>“</w:t>
      </w:r>
      <w:r w:rsidR="00615C60" w:rsidRPr="00AF6FCC">
        <w:t xml:space="preserve"> Modernizace trati Brno-Přerov, 4. stavba Nezamyslice – Kojetín</w:t>
      </w:r>
      <w:r w:rsidR="00615C60">
        <w:t>“</w:t>
      </w:r>
      <w:r w:rsidRPr="00DF0EC8">
        <w:rPr>
          <w:rFonts w:eastAsia="Times New Roman" w:cs="Times New Roman"/>
          <w:lang w:eastAsia="cs-CZ"/>
        </w:rPr>
        <w:t>, (dále</w:t>
      </w:r>
      <w:r>
        <w:rPr>
          <w:rFonts w:eastAsia="Times New Roman" w:cs="Times New Roman"/>
          <w:lang w:eastAsia="cs-CZ"/>
        </w:rPr>
        <w:t xml:space="preserve"> jen </w:t>
      </w:r>
      <w:r w:rsidRPr="00DA0D67">
        <w:rPr>
          <w:rFonts w:eastAsia="Times New Roman" w:cs="Times New Roman"/>
          <w:lang w:eastAsia="cs-CZ"/>
        </w:rPr>
        <w:t>„</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1D25" w14:textId="77777777" w:rsidR="0087256A" w:rsidRDefault="0087256A" w:rsidP="00962258">
      <w:pPr>
        <w:spacing w:after="0" w:line="240" w:lineRule="auto"/>
      </w:pPr>
      <w:r>
        <w:separator/>
      </w:r>
    </w:p>
  </w:endnote>
  <w:endnote w:type="continuationSeparator" w:id="0">
    <w:p w14:paraId="75E31E21" w14:textId="77777777" w:rsidR="0087256A" w:rsidRDefault="0087256A"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shd w:val="clear" w:color="auto" w:fill="auto"/>
          <w:tcMar>
            <w:left w:w="0" w:type="dxa"/>
            <w:right w:w="0" w:type="dxa"/>
          </w:tcMar>
        </w:tcPr>
        <w:p w14:paraId="240F2DFD" w14:textId="77777777" w:rsidR="00B104FA" w:rsidRDefault="00B104FA" w:rsidP="00B8518B">
          <w:pPr>
            <w:pStyle w:val="Zpat"/>
          </w:pPr>
        </w:p>
      </w:tc>
      <w:tc>
        <w:tcPr>
          <w:tcW w:w="425" w:type="dxa"/>
          <w:shd w:val="clear" w:color="auto" w:fill="auto"/>
          <w:tcMar>
            <w:left w:w="0" w:type="dxa"/>
            <w:right w:w="0" w:type="dxa"/>
          </w:tcMar>
        </w:tcPr>
        <w:p w14:paraId="7564134E" w14:textId="77777777" w:rsidR="00B104FA" w:rsidRDefault="00B104FA" w:rsidP="00B8518B">
          <w:pPr>
            <w:pStyle w:val="Zpat"/>
          </w:pPr>
        </w:p>
      </w:tc>
      <w:tc>
        <w:tcPr>
          <w:tcW w:w="8505" w:type="dxa"/>
        </w:tcPr>
        <w:p w14:paraId="1B4593B8" w14:textId="757DE3AB" w:rsidR="00B104FA" w:rsidRDefault="00B104FA" w:rsidP="00EB46E5">
          <w:pPr>
            <w:pStyle w:val="Zpat0"/>
          </w:pPr>
          <w:r w:rsidRPr="00E738BF">
            <w:t>„</w:t>
          </w:r>
          <w:r w:rsidR="00E738BF" w:rsidRPr="00E738BF">
            <w:rPr>
              <w:rFonts w:eastAsia="Times New Roman" w:cs="Arial"/>
              <w:b/>
              <w:bCs/>
              <w:color w:val="000000"/>
              <w:lang w:eastAsia="cs-CZ"/>
            </w:rPr>
            <w:t>Modernizace trati Brno-Přerov, 4. stavba Nezamyslice – Kojetín</w:t>
          </w:r>
          <w:r w:rsidRPr="00E738BF">
            <w:t>“</w:t>
          </w:r>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0E8A3" w14:textId="77777777" w:rsidR="0087256A" w:rsidRDefault="0087256A" w:rsidP="00962258">
      <w:pPr>
        <w:spacing w:after="0" w:line="240" w:lineRule="auto"/>
      </w:pPr>
      <w:r>
        <w:separator/>
      </w:r>
    </w:p>
  </w:footnote>
  <w:footnote w:type="continuationSeparator" w:id="0">
    <w:p w14:paraId="037E6CB5" w14:textId="77777777" w:rsidR="0087256A" w:rsidRDefault="0087256A" w:rsidP="00962258">
      <w:pPr>
        <w:spacing w:after="0" w:line="240" w:lineRule="auto"/>
      </w:pPr>
      <w:r>
        <w:continuationSeparator/>
      </w:r>
    </w:p>
  </w:footnote>
  <w:footnote w:id="1">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6">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7">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8">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9">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77777777" w:rsidR="00B104FA" w:rsidRPr="00B8518B" w:rsidRDefault="00B104FA" w:rsidP="00523EA7">
          <w:pPr>
            <w:pStyle w:val="Zpat"/>
            <w:rPr>
              <w:rStyle w:val="slostrnky"/>
            </w:rPr>
          </w:pPr>
        </w:p>
      </w:tc>
      <w:tc>
        <w:tcPr>
          <w:tcW w:w="3458" w:type="dxa"/>
          <w:shd w:val="clear" w:color="auto" w:fill="auto"/>
          <w:tcMar>
            <w:top w:w="57" w:type="dxa"/>
            <w:left w:w="0" w:type="dxa"/>
            <w:right w:w="0" w:type="dxa"/>
          </w:tcMar>
        </w:tcPr>
        <w:p w14:paraId="0BFEA660" w14:textId="77777777" w:rsidR="00B104FA" w:rsidRDefault="00B104FA" w:rsidP="00523EA7">
          <w:pPr>
            <w:pStyle w:val="Zpat"/>
          </w:pPr>
        </w:p>
      </w:tc>
      <w:tc>
        <w:tcPr>
          <w:tcW w:w="5698" w:type="dxa"/>
          <w:shd w:val="clear" w:color="auto" w:fill="auto"/>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5723BA86" w14:textId="77777777" w:rsidR="00B104FA" w:rsidRDefault="00B104FA" w:rsidP="00FC6389">
          <w:pPr>
            <w:pStyle w:val="Zpat"/>
          </w:pPr>
        </w:p>
      </w:tc>
      <w:tc>
        <w:tcPr>
          <w:tcW w:w="5756" w:type="dxa"/>
          <w:shd w:val="clear" w:color="auto" w:fill="auto"/>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44D3F74E" w14:textId="77777777" w:rsidR="00B104FA" w:rsidRDefault="00B104FA" w:rsidP="00FC6389">
          <w:pPr>
            <w:pStyle w:val="Zpat"/>
          </w:pPr>
        </w:p>
      </w:tc>
      <w:tc>
        <w:tcPr>
          <w:tcW w:w="5756" w:type="dxa"/>
          <w:shd w:val="clear" w:color="auto" w:fill="auto"/>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8"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0"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4"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5D7229"/>
    <w:multiLevelType w:val="hybridMultilevel"/>
    <w:tmpl w:val="B794276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74070991"/>
    <w:multiLevelType w:val="multilevel"/>
    <w:tmpl w:val="CABE99FC"/>
    <w:numStyleLink w:val="ListNumbermultilevel"/>
  </w:abstractNum>
  <w:abstractNum w:abstractNumId="17"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4953315">
    <w:abstractNumId w:val="5"/>
  </w:num>
  <w:num w:numId="2" w16cid:durableId="318121370">
    <w:abstractNumId w:val="1"/>
  </w:num>
  <w:num w:numId="3" w16cid:durableId="1653631714">
    <w:abstractNumId w:val="16"/>
  </w:num>
  <w:num w:numId="4" w16cid:durableId="997267094">
    <w:abstractNumId w:val="4"/>
  </w:num>
  <w:num w:numId="5" w16cid:durableId="185023065">
    <w:abstractNumId w:val="0"/>
  </w:num>
  <w:num w:numId="6" w16cid:durableId="1894586016">
    <w:abstractNumId w:val="7"/>
  </w:num>
  <w:num w:numId="7" w16cid:durableId="263803143">
    <w:abstractNumId w:val="8"/>
  </w:num>
  <w:num w:numId="8" w16cid:durableId="671957877">
    <w:abstractNumId w:val="18"/>
  </w:num>
  <w:num w:numId="9" w16cid:durableId="2052611852">
    <w:abstractNumId w:val="14"/>
  </w:num>
  <w:num w:numId="10" w16cid:durableId="1190877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403172">
    <w:abstractNumId w:val="9"/>
  </w:num>
  <w:num w:numId="12" w16cid:durableId="635917245">
    <w:abstractNumId w:val="11"/>
  </w:num>
  <w:num w:numId="13" w16cid:durableId="186216015">
    <w:abstractNumId w:val="2"/>
  </w:num>
  <w:num w:numId="14" w16cid:durableId="1734045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076710">
    <w:abstractNumId w:val="10"/>
  </w:num>
  <w:num w:numId="16" w16cid:durableId="1394310261">
    <w:abstractNumId w:val="13"/>
  </w:num>
  <w:num w:numId="17" w16cid:durableId="1176463650">
    <w:abstractNumId w:val="3"/>
  </w:num>
  <w:num w:numId="18" w16cid:durableId="809906380">
    <w:abstractNumId w:val="17"/>
  </w:num>
  <w:num w:numId="19" w16cid:durableId="283270590">
    <w:abstractNumId w:val="6"/>
  </w:num>
  <w:num w:numId="20" w16cid:durableId="166020192">
    <w:abstractNumId w:val="15"/>
  </w:num>
  <w:num w:numId="21" w16cid:durableId="18075236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503C"/>
    <w:rsid w:val="00005CDA"/>
    <w:rsid w:val="0001060D"/>
    <w:rsid w:val="00014841"/>
    <w:rsid w:val="000156A7"/>
    <w:rsid w:val="000174E8"/>
    <w:rsid w:val="00017F3C"/>
    <w:rsid w:val="0002092B"/>
    <w:rsid w:val="00020AF4"/>
    <w:rsid w:val="00024660"/>
    <w:rsid w:val="00026001"/>
    <w:rsid w:val="0002621B"/>
    <w:rsid w:val="00026A71"/>
    <w:rsid w:val="00026D0B"/>
    <w:rsid w:val="00027375"/>
    <w:rsid w:val="00027924"/>
    <w:rsid w:val="00030CE4"/>
    <w:rsid w:val="000338E9"/>
    <w:rsid w:val="00035828"/>
    <w:rsid w:val="000359B9"/>
    <w:rsid w:val="00040961"/>
    <w:rsid w:val="00041387"/>
    <w:rsid w:val="00041EC8"/>
    <w:rsid w:val="00043B79"/>
    <w:rsid w:val="00043EF5"/>
    <w:rsid w:val="00043FB5"/>
    <w:rsid w:val="000466BC"/>
    <w:rsid w:val="00046F76"/>
    <w:rsid w:val="00047AB6"/>
    <w:rsid w:val="000513F4"/>
    <w:rsid w:val="00053304"/>
    <w:rsid w:val="0006499F"/>
    <w:rsid w:val="0006588D"/>
    <w:rsid w:val="00067936"/>
    <w:rsid w:val="00067A5E"/>
    <w:rsid w:val="00067EE3"/>
    <w:rsid w:val="000719BB"/>
    <w:rsid w:val="00072A65"/>
    <w:rsid w:val="00072C1E"/>
    <w:rsid w:val="000751BA"/>
    <w:rsid w:val="00075902"/>
    <w:rsid w:val="00075E50"/>
    <w:rsid w:val="0008290B"/>
    <w:rsid w:val="000837C7"/>
    <w:rsid w:val="000839DD"/>
    <w:rsid w:val="000843C3"/>
    <w:rsid w:val="000863AD"/>
    <w:rsid w:val="000869AE"/>
    <w:rsid w:val="00086A6E"/>
    <w:rsid w:val="00087825"/>
    <w:rsid w:val="000929B6"/>
    <w:rsid w:val="00092CC9"/>
    <w:rsid w:val="00097DD8"/>
    <w:rsid w:val="000A087A"/>
    <w:rsid w:val="000A5F00"/>
    <w:rsid w:val="000A7644"/>
    <w:rsid w:val="000A7D7C"/>
    <w:rsid w:val="000B29BD"/>
    <w:rsid w:val="000B4233"/>
    <w:rsid w:val="000B46AF"/>
    <w:rsid w:val="000B4EB8"/>
    <w:rsid w:val="000B5EBA"/>
    <w:rsid w:val="000B676B"/>
    <w:rsid w:val="000C0205"/>
    <w:rsid w:val="000C358C"/>
    <w:rsid w:val="000C3DEC"/>
    <w:rsid w:val="000C41F2"/>
    <w:rsid w:val="000C5234"/>
    <w:rsid w:val="000C6C30"/>
    <w:rsid w:val="000D1296"/>
    <w:rsid w:val="000D22C4"/>
    <w:rsid w:val="000D27D1"/>
    <w:rsid w:val="000D3580"/>
    <w:rsid w:val="000D4352"/>
    <w:rsid w:val="000D493F"/>
    <w:rsid w:val="000D5E72"/>
    <w:rsid w:val="000D60A6"/>
    <w:rsid w:val="000D6C82"/>
    <w:rsid w:val="000E05A5"/>
    <w:rsid w:val="000E0942"/>
    <w:rsid w:val="000E09FE"/>
    <w:rsid w:val="000E125F"/>
    <w:rsid w:val="000E1758"/>
    <w:rsid w:val="000E1A7F"/>
    <w:rsid w:val="000E48A0"/>
    <w:rsid w:val="000E5DB6"/>
    <w:rsid w:val="000E6B02"/>
    <w:rsid w:val="000E7F35"/>
    <w:rsid w:val="000F0B35"/>
    <w:rsid w:val="000F36A8"/>
    <w:rsid w:val="000F5ADB"/>
    <w:rsid w:val="000F6CDE"/>
    <w:rsid w:val="000F76F8"/>
    <w:rsid w:val="000F7FCE"/>
    <w:rsid w:val="0010091D"/>
    <w:rsid w:val="0010250C"/>
    <w:rsid w:val="00103A92"/>
    <w:rsid w:val="00105798"/>
    <w:rsid w:val="00106A0E"/>
    <w:rsid w:val="001114C3"/>
    <w:rsid w:val="00112864"/>
    <w:rsid w:val="00113A6F"/>
    <w:rsid w:val="00114472"/>
    <w:rsid w:val="00114988"/>
    <w:rsid w:val="00114D24"/>
    <w:rsid w:val="00115069"/>
    <w:rsid w:val="001150F2"/>
    <w:rsid w:val="001165C4"/>
    <w:rsid w:val="0011680E"/>
    <w:rsid w:val="0011747F"/>
    <w:rsid w:val="0012178F"/>
    <w:rsid w:val="00122BBD"/>
    <w:rsid w:val="00125559"/>
    <w:rsid w:val="0012723F"/>
    <w:rsid w:val="00132BB4"/>
    <w:rsid w:val="00133B67"/>
    <w:rsid w:val="00133E10"/>
    <w:rsid w:val="00136583"/>
    <w:rsid w:val="00136BBF"/>
    <w:rsid w:val="00142B91"/>
    <w:rsid w:val="0014410E"/>
    <w:rsid w:val="00146BCB"/>
    <w:rsid w:val="0015722A"/>
    <w:rsid w:val="001575A1"/>
    <w:rsid w:val="001652EE"/>
    <w:rsid w:val="001656A2"/>
    <w:rsid w:val="00166880"/>
    <w:rsid w:val="001675E3"/>
    <w:rsid w:val="00167D12"/>
    <w:rsid w:val="00170EC5"/>
    <w:rsid w:val="001728E7"/>
    <w:rsid w:val="00173375"/>
    <w:rsid w:val="001744FD"/>
    <w:rsid w:val="001747C1"/>
    <w:rsid w:val="0017552F"/>
    <w:rsid w:val="00177D6B"/>
    <w:rsid w:val="00191F90"/>
    <w:rsid w:val="00193D8F"/>
    <w:rsid w:val="00194E9F"/>
    <w:rsid w:val="001950C2"/>
    <w:rsid w:val="001954B0"/>
    <w:rsid w:val="00195AA2"/>
    <w:rsid w:val="001A33CE"/>
    <w:rsid w:val="001A34A3"/>
    <w:rsid w:val="001A37F8"/>
    <w:rsid w:val="001A3F53"/>
    <w:rsid w:val="001A72D0"/>
    <w:rsid w:val="001A7901"/>
    <w:rsid w:val="001A7DB5"/>
    <w:rsid w:val="001B1D07"/>
    <w:rsid w:val="001B23A1"/>
    <w:rsid w:val="001B26EE"/>
    <w:rsid w:val="001B3571"/>
    <w:rsid w:val="001B4680"/>
    <w:rsid w:val="001B4E74"/>
    <w:rsid w:val="001B6474"/>
    <w:rsid w:val="001B66B4"/>
    <w:rsid w:val="001B7180"/>
    <w:rsid w:val="001C027C"/>
    <w:rsid w:val="001C19F4"/>
    <w:rsid w:val="001C5386"/>
    <w:rsid w:val="001C645F"/>
    <w:rsid w:val="001C6AE3"/>
    <w:rsid w:val="001C6B8D"/>
    <w:rsid w:val="001C7065"/>
    <w:rsid w:val="001C7C12"/>
    <w:rsid w:val="001C7FA6"/>
    <w:rsid w:val="001D182C"/>
    <w:rsid w:val="001D19B0"/>
    <w:rsid w:val="001D2108"/>
    <w:rsid w:val="001D21EA"/>
    <w:rsid w:val="001D48EE"/>
    <w:rsid w:val="001D5514"/>
    <w:rsid w:val="001D6E71"/>
    <w:rsid w:val="001E1A16"/>
    <w:rsid w:val="001E1B33"/>
    <w:rsid w:val="001E25DD"/>
    <w:rsid w:val="001E651D"/>
    <w:rsid w:val="001E678E"/>
    <w:rsid w:val="001F15F6"/>
    <w:rsid w:val="001F20CE"/>
    <w:rsid w:val="001F27A7"/>
    <w:rsid w:val="001F67E0"/>
    <w:rsid w:val="00202824"/>
    <w:rsid w:val="002036F6"/>
    <w:rsid w:val="002071BB"/>
    <w:rsid w:val="00207DF5"/>
    <w:rsid w:val="00210AB8"/>
    <w:rsid w:val="0021109A"/>
    <w:rsid w:val="002112C7"/>
    <w:rsid w:val="00214D42"/>
    <w:rsid w:val="00220CC5"/>
    <w:rsid w:val="00222BAD"/>
    <w:rsid w:val="00225AD3"/>
    <w:rsid w:val="0023105F"/>
    <w:rsid w:val="00232412"/>
    <w:rsid w:val="00233A53"/>
    <w:rsid w:val="00234F7A"/>
    <w:rsid w:val="00237D2D"/>
    <w:rsid w:val="00240364"/>
    <w:rsid w:val="00240377"/>
    <w:rsid w:val="0024053B"/>
    <w:rsid w:val="00240B81"/>
    <w:rsid w:val="00245327"/>
    <w:rsid w:val="00245D44"/>
    <w:rsid w:val="002462A1"/>
    <w:rsid w:val="00247257"/>
    <w:rsid w:val="00247D01"/>
    <w:rsid w:val="0025030F"/>
    <w:rsid w:val="0025055A"/>
    <w:rsid w:val="0025231F"/>
    <w:rsid w:val="00252BAF"/>
    <w:rsid w:val="00253C9E"/>
    <w:rsid w:val="00255EEC"/>
    <w:rsid w:val="00257877"/>
    <w:rsid w:val="00261A5B"/>
    <w:rsid w:val="00262E5B"/>
    <w:rsid w:val="00263134"/>
    <w:rsid w:val="0026385B"/>
    <w:rsid w:val="0027053F"/>
    <w:rsid w:val="00270A2C"/>
    <w:rsid w:val="00271C11"/>
    <w:rsid w:val="00273D87"/>
    <w:rsid w:val="002743DF"/>
    <w:rsid w:val="00276AFE"/>
    <w:rsid w:val="00277D88"/>
    <w:rsid w:val="00280ACC"/>
    <w:rsid w:val="0028139C"/>
    <w:rsid w:val="00283197"/>
    <w:rsid w:val="0028564C"/>
    <w:rsid w:val="0028572B"/>
    <w:rsid w:val="00285F49"/>
    <w:rsid w:val="002912D6"/>
    <w:rsid w:val="002924B8"/>
    <w:rsid w:val="00294CF7"/>
    <w:rsid w:val="00294DE2"/>
    <w:rsid w:val="002951C6"/>
    <w:rsid w:val="0029762C"/>
    <w:rsid w:val="00297E73"/>
    <w:rsid w:val="002A3B57"/>
    <w:rsid w:val="002A6859"/>
    <w:rsid w:val="002B2044"/>
    <w:rsid w:val="002B3BB4"/>
    <w:rsid w:val="002C04EE"/>
    <w:rsid w:val="002C31BF"/>
    <w:rsid w:val="002C5A83"/>
    <w:rsid w:val="002C5F8A"/>
    <w:rsid w:val="002D122E"/>
    <w:rsid w:val="002D4B0B"/>
    <w:rsid w:val="002D5B85"/>
    <w:rsid w:val="002D5CDA"/>
    <w:rsid w:val="002D5F95"/>
    <w:rsid w:val="002D6887"/>
    <w:rsid w:val="002D68C7"/>
    <w:rsid w:val="002D7FD6"/>
    <w:rsid w:val="002E0CD7"/>
    <w:rsid w:val="002E0CFB"/>
    <w:rsid w:val="002E24D3"/>
    <w:rsid w:val="002E5C7B"/>
    <w:rsid w:val="002F4333"/>
    <w:rsid w:val="002F6610"/>
    <w:rsid w:val="002F6636"/>
    <w:rsid w:val="003002C1"/>
    <w:rsid w:val="003005D0"/>
    <w:rsid w:val="003014A0"/>
    <w:rsid w:val="00302811"/>
    <w:rsid w:val="003038E0"/>
    <w:rsid w:val="00305D0E"/>
    <w:rsid w:val="00306B20"/>
    <w:rsid w:val="00307641"/>
    <w:rsid w:val="00311F11"/>
    <w:rsid w:val="00312518"/>
    <w:rsid w:val="0031435A"/>
    <w:rsid w:val="00316901"/>
    <w:rsid w:val="0031758D"/>
    <w:rsid w:val="00320AC7"/>
    <w:rsid w:val="00320B33"/>
    <w:rsid w:val="00321AB3"/>
    <w:rsid w:val="00326BC8"/>
    <w:rsid w:val="00327047"/>
    <w:rsid w:val="00327EEF"/>
    <w:rsid w:val="0033063F"/>
    <w:rsid w:val="0033239F"/>
    <w:rsid w:val="00332F74"/>
    <w:rsid w:val="00333C1C"/>
    <w:rsid w:val="00335A16"/>
    <w:rsid w:val="00337B72"/>
    <w:rsid w:val="0034274B"/>
    <w:rsid w:val="00342928"/>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481"/>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6FF1"/>
    <w:rsid w:val="00387B39"/>
    <w:rsid w:val="00390C81"/>
    <w:rsid w:val="00392730"/>
    <w:rsid w:val="00392EB6"/>
    <w:rsid w:val="00393494"/>
    <w:rsid w:val="00394060"/>
    <w:rsid w:val="00394D03"/>
    <w:rsid w:val="00395312"/>
    <w:rsid w:val="003956C6"/>
    <w:rsid w:val="00396665"/>
    <w:rsid w:val="00396977"/>
    <w:rsid w:val="003A1EB2"/>
    <w:rsid w:val="003A2C23"/>
    <w:rsid w:val="003A4513"/>
    <w:rsid w:val="003A52AD"/>
    <w:rsid w:val="003A5AF4"/>
    <w:rsid w:val="003A6658"/>
    <w:rsid w:val="003A74B6"/>
    <w:rsid w:val="003B0675"/>
    <w:rsid w:val="003B3EF1"/>
    <w:rsid w:val="003B412F"/>
    <w:rsid w:val="003B4830"/>
    <w:rsid w:val="003B6C4D"/>
    <w:rsid w:val="003C1739"/>
    <w:rsid w:val="003C33F2"/>
    <w:rsid w:val="003D03F8"/>
    <w:rsid w:val="003D0C4F"/>
    <w:rsid w:val="003D16A7"/>
    <w:rsid w:val="003D54C1"/>
    <w:rsid w:val="003D6896"/>
    <w:rsid w:val="003D756E"/>
    <w:rsid w:val="003D7882"/>
    <w:rsid w:val="003E2A31"/>
    <w:rsid w:val="003E3CE3"/>
    <w:rsid w:val="003E420D"/>
    <w:rsid w:val="003E4C13"/>
    <w:rsid w:val="003E611F"/>
    <w:rsid w:val="003E7071"/>
    <w:rsid w:val="003E79F5"/>
    <w:rsid w:val="003F6F2A"/>
    <w:rsid w:val="004009C3"/>
    <w:rsid w:val="00404BA2"/>
    <w:rsid w:val="00406084"/>
    <w:rsid w:val="00406313"/>
    <w:rsid w:val="004065AC"/>
    <w:rsid w:val="00406F7C"/>
    <w:rsid w:val="004078F3"/>
    <w:rsid w:val="00411FB2"/>
    <w:rsid w:val="0041345F"/>
    <w:rsid w:val="004137A8"/>
    <w:rsid w:val="00413B05"/>
    <w:rsid w:val="00414173"/>
    <w:rsid w:val="004142DA"/>
    <w:rsid w:val="00415042"/>
    <w:rsid w:val="0042061D"/>
    <w:rsid w:val="0042196E"/>
    <w:rsid w:val="004222F5"/>
    <w:rsid w:val="00423AD4"/>
    <w:rsid w:val="00426778"/>
    <w:rsid w:val="004272DA"/>
    <w:rsid w:val="00427794"/>
    <w:rsid w:val="00437EC7"/>
    <w:rsid w:val="00440E20"/>
    <w:rsid w:val="00442C47"/>
    <w:rsid w:val="00443EE7"/>
    <w:rsid w:val="00450F07"/>
    <w:rsid w:val="00452F69"/>
    <w:rsid w:val="00453CD3"/>
    <w:rsid w:val="00454716"/>
    <w:rsid w:val="00454B28"/>
    <w:rsid w:val="00454BB9"/>
    <w:rsid w:val="00454F7F"/>
    <w:rsid w:val="004550D3"/>
    <w:rsid w:val="00455731"/>
    <w:rsid w:val="00460660"/>
    <w:rsid w:val="00464BA9"/>
    <w:rsid w:val="00464CF4"/>
    <w:rsid w:val="00465FDD"/>
    <w:rsid w:val="00470647"/>
    <w:rsid w:val="00471676"/>
    <w:rsid w:val="00472ED5"/>
    <w:rsid w:val="00474F4D"/>
    <w:rsid w:val="004802DD"/>
    <w:rsid w:val="00483969"/>
    <w:rsid w:val="00483B35"/>
    <w:rsid w:val="00483ED7"/>
    <w:rsid w:val="00485575"/>
    <w:rsid w:val="00486107"/>
    <w:rsid w:val="004871D1"/>
    <w:rsid w:val="00491827"/>
    <w:rsid w:val="0049240D"/>
    <w:rsid w:val="004928D2"/>
    <w:rsid w:val="00496921"/>
    <w:rsid w:val="004A6336"/>
    <w:rsid w:val="004B34E9"/>
    <w:rsid w:val="004B456B"/>
    <w:rsid w:val="004B595B"/>
    <w:rsid w:val="004B5BCD"/>
    <w:rsid w:val="004B62B9"/>
    <w:rsid w:val="004B6506"/>
    <w:rsid w:val="004C0D5E"/>
    <w:rsid w:val="004C18C8"/>
    <w:rsid w:val="004C4399"/>
    <w:rsid w:val="004C4C57"/>
    <w:rsid w:val="004C787C"/>
    <w:rsid w:val="004C7CFB"/>
    <w:rsid w:val="004D010F"/>
    <w:rsid w:val="004D12F4"/>
    <w:rsid w:val="004D33A0"/>
    <w:rsid w:val="004D5285"/>
    <w:rsid w:val="004D7AE0"/>
    <w:rsid w:val="004E1C55"/>
    <w:rsid w:val="004E7A1F"/>
    <w:rsid w:val="004F1D17"/>
    <w:rsid w:val="004F21A1"/>
    <w:rsid w:val="004F4597"/>
    <w:rsid w:val="004F4B9B"/>
    <w:rsid w:val="004F5411"/>
    <w:rsid w:val="004F7E61"/>
    <w:rsid w:val="00500A44"/>
    <w:rsid w:val="00501B32"/>
    <w:rsid w:val="00503605"/>
    <w:rsid w:val="005037A9"/>
    <w:rsid w:val="0050666E"/>
    <w:rsid w:val="00511AB9"/>
    <w:rsid w:val="00511E3C"/>
    <w:rsid w:val="00512128"/>
    <w:rsid w:val="00515265"/>
    <w:rsid w:val="005210B3"/>
    <w:rsid w:val="005225B2"/>
    <w:rsid w:val="00523096"/>
    <w:rsid w:val="00523BB5"/>
    <w:rsid w:val="00523EA7"/>
    <w:rsid w:val="00525050"/>
    <w:rsid w:val="00525770"/>
    <w:rsid w:val="00526554"/>
    <w:rsid w:val="005300B4"/>
    <w:rsid w:val="005304CE"/>
    <w:rsid w:val="00531BAB"/>
    <w:rsid w:val="00533ECD"/>
    <w:rsid w:val="005354B0"/>
    <w:rsid w:val="005357FE"/>
    <w:rsid w:val="005374A8"/>
    <w:rsid w:val="00540479"/>
    <w:rsid w:val="005406EB"/>
    <w:rsid w:val="0054076A"/>
    <w:rsid w:val="00540B8D"/>
    <w:rsid w:val="00540C01"/>
    <w:rsid w:val="005434A6"/>
    <w:rsid w:val="00543F07"/>
    <w:rsid w:val="005446A9"/>
    <w:rsid w:val="0054491F"/>
    <w:rsid w:val="00547AD2"/>
    <w:rsid w:val="0055111D"/>
    <w:rsid w:val="00553375"/>
    <w:rsid w:val="005534E7"/>
    <w:rsid w:val="005540AF"/>
    <w:rsid w:val="005543C6"/>
    <w:rsid w:val="00554C2D"/>
    <w:rsid w:val="00555884"/>
    <w:rsid w:val="00557E99"/>
    <w:rsid w:val="00561A0E"/>
    <w:rsid w:val="00564BCA"/>
    <w:rsid w:val="00564DDD"/>
    <w:rsid w:val="00565026"/>
    <w:rsid w:val="005660F7"/>
    <w:rsid w:val="0056689E"/>
    <w:rsid w:val="00566FB4"/>
    <w:rsid w:val="005671DF"/>
    <w:rsid w:val="00570157"/>
    <w:rsid w:val="005717C5"/>
    <w:rsid w:val="005724E3"/>
    <w:rsid w:val="00572B6C"/>
    <w:rsid w:val="00572F04"/>
    <w:rsid w:val="00573182"/>
    <w:rsid w:val="00573536"/>
    <w:rsid w:val="005736B7"/>
    <w:rsid w:val="00574967"/>
    <w:rsid w:val="00575791"/>
    <w:rsid w:val="00575E5A"/>
    <w:rsid w:val="005769FF"/>
    <w:rsid w:val="00577A3C"/>
    <w:rsid w:val="00580245"/>
    <w:rsid w:val="00580BF5"/>
    <w:rsid w:val="00581A96"/>
    <w:rsid w:val="00583E07"/>
    <w:rsid w:val="0058680D"/>
    <w:rsid w:val="00587F74"/>
    <w:rsid w:val="00591185"/>
    <w:rsid w:val="0059265F"/>
    <w:rsid w:val="00593FAE"/>
    <w:rsid w:val="00597915"/>
    <w:rsid w:val="005A1F44"/>
    <w:rsid w:val="005A3D2F"/>
    <w:rsid w:val="005A4694"/>
    <w:rsid w:val="005A5847"/>
    <w:rsid w:val="005B0AA3"/>
    <w:rsid w:val="005B1496"/>
    <w:rsid w:val="005B3E86"/>
    <w:rsid w:val="005B43BE"/>
    <w:rsid w:val="005C0350"/>
    <w:rsid w:val="005C1128"/>
    <w:rsid w:val="005C13BC"/>
    <w:rsid w:val="005C1B52"/>
    <w:rsid w:val="005C36B9"/>
    <w:rsid w:val="005C4000"/>
    <w:rsid w:val="005C490C"/>
    <w:rsid w:val="005C49ED"/>
    <w:rsid w:val="005D0BC1"/>
    <w:rsid w:val="005D2F8D"/>
    <w:rsid w:val="005D3C39"/>
    <w:rsid w:val="005D5689"/>
    <w:rsid w:val="005E1016"/>
    <w:rsid w:val="005E24CB"/>
    <w:rsid w:val="005E49D0"/>
    <w:rsid w:val="005E6218"/>
    <w:rsid w:val="005E7ADE"/>
    <w:rsid w:val="005E7AF9"/>
    <w:rsid w:val="005E7E6E"/>
    <w:rsid w:val="005F298D"/>
    <w:rsid w:val="005F6CCC"/>
    <w:rsid w:val="00600AD3"/>
    <w:rsid w:val="0060115D"/>
    <w:rsid w:val="00601178"/>
    <w:rsid w:val="0060125D"/>
    <w:rsid w:val="00601A8C"/>
    <w:rsid w:val="006025F3"/>
    <w:rsid w:val="006073CA"/>
    <w:rsid w:val="006102DA"/>
    <w:rsid w:val="0061068E"/>
    <w:rsid w:val="006115D3"/>
    <w:rsid w:val="00612E3D"/>
    <w:rsid w:val="00615C60"/>
    <w:rsid w:val="0062045C"/>
    <w:rsid w:val="0062185E"/>
    <w:rsid w:val="00625906"/>
    <w:rsid w:val="00626829"/>
    <w:rsid w:val="00631EAA"/>
    <w:rsid w:val="00631F69"/>
    <w:rsid w:val="00633ED3"/>
    <w:rsid w:val="0063749A"/>
    <w:rsid w:val="00640B06"/>
    <w:rsid w:val="00640B30"/>
    <w:rsid w:val="00641094"/>
    <w:rsid w:val="006434F4"/>
    <w:rsid w:val="0064478A"/>
    <w:rsid w:val="0064569C"/>
    <w:rsid w:val="0065255A"/>
    <w:rsid w:val="00652EFD"/>
    <w:rsid w:val="00653553"/>
    <w:rsid w:val="0065396D"/>
    <w:rsid w:val="00653E0A"/>
    <w:rsid w:val="00654648"/>
    <w:rsid w:val="00655976"/>
    <w:rsid w:val="0065597F"/>
    <w:rsid w:val="00655C4A"/>
    <w:rsid w:val="0065610E"/>
    <w:rsid w:val="00656A03"/>
    <w:rsid w:val="00660587"/>
    <w:rsid w:val="00660AD3"/>
    <w:rsid w:val="006638F8"/>
    <w:rsid w:val="006645C8"/>
    <w:rsid w:val="00665962"/>
    <w:rsid w:val="006667E6"/>
    <w:rsid w:val="00666F2D"/>
    <w:rsid w:val="00670EDB"/>
    <w:rsid w:val="006715C1"/>
    <w:rsid w:val="00672DAE"/>
    <w:rsid w:val="00673188"/>
    <w:rsid w:val="00673F7D"/>
    <w:rsid w:val="00674099"/>
    <w:rsid w:val="00674785"/>
    <w:rsid w:val="00674DC0"/>
    <w:rsid w:val="006776B6"/>
    <w:rsid w:val="00680759"/>
    <w:rsid w:val="00683877"/>
    <w:rsid w:val="00691118"/>
    <w:rsid w:val="006925E6"/>
    <w:rsid w:val="00693150"/>
    <w:rsid w:val="00696691"/>
    <w:rsid w:val="00696E3D"/>
    <w:rsid w:val="006A1D4B"/>
    <w:rsid w:val="006A1FB5"/>
    <w:rsid w:val="006A29A6"/>
    <w:rsid w:val="006A540D"/>
    <w:rsid w:val="006A5570"/>
    <w:rsid w:val="006A689C"/>
    <w:rsid w:val="006A6DF0"/>
    <w:rsid w:val="006B0B03"/>
    <w:rsid w:val="006B12A4"/>
    <w:rsid w:val="006B1929"/>
    <w:rsid w:val="006B1B19"/>
    <w:rsid w:val="006B3D79"/>
    <w:rsid w:val="006B6FE4"/>
    <w:rsid w:val="006B73A9"/>
    <w:rsid w:val="006B78C6"/>
    <w:rsid w:val="006B7F57"/>
    <w:rsid w:val="006C19F7"/>
    <w:rsid w:val="006C21E8"/>
    <w:rsid w:val="006C2343"/>
    <w:rsid w:val="006C442A"/>
    <w:rsid w:val="006C4639"/>
    <w:rsid w:val="006C4675"/>
    <w:rsid w:val="006C4864"/>
    <w:rsid w:val="006C533D"/>
    <w:rsid w:val="006D03B3"/>
    <w:rsid w:val="006D0FD1"/>
    <w:rsid w:val="006D3B4B"/>
    <w:rsid w:val="006D7CD8"/>
    <w:rsid w:val="006E0578"/>
    <w:rsid w:val="006E0CBF"/>
    <w:rsid w:val="006E100C"/>
    <w:rsid w:val="006E314D"/>
    <w:rsid w:val="006F2240"/>
    <w:rsid w:val="006F29D2"/>
    <w:rsid w:val="006F439C"/>
    <w:rsid w:val="006F6B09"/>
    <w:rsid w:val="0070255F"/>
    <w:rsid w:val="00702AEF"/>
    <w:rsid w:val="00703482"/>
    <w:rsid w:val="00703549"/>
    <w:rsid w:val="007038DC"/>
    <w:rsid w:val="007042F9"/>
    <w:rsid w:val="007055DB"/>
    <w:rsid w:val="00706F4C"/>
    <w:rsid w:val="0070752A"/>
    <w:rsid w:val="00710723"/>
    <w:rsid w:val="00711119"/>
    <w:rsid w:val="0071250A"/>
    <w:rsid w:val="00712C6B"/>
    <w:rsid w:val="007134F3"/>
    <w:rsid w:val="007146EC"/>
    <w:rsid w:val="0071583C"/>
    <w:rsid w:val="00717CA5"/>
    <w:rsid w:val="0072018C"/>
    <w:rsid w:val="00720F4A"/>
    <w:rsid w:val="00722284"/>
    <w:rsid w:val="00723ED1"/>
    <w:rsid w:val="00726B16"/>
    <w:rsid w:val="007278C9"/>
    <w:rsid w:val="007309F6"/>
    <w:rsid w:val="007330EF"/>
    <w:rsid w:val="007334CD"/>
    <w:rsid w:val="0073461B"/>
    <w:rsid w:val="00734E41"/>
    <w:rsid w:val="007356BD"/>
    <w:rsid w:val="0073642E"/>
    <w:rsid w:val="00736E6A"/>
    <w:rsid w:val="007372AC"/>
    <w:rsid w:val="00737F95"/>
    <w:rsid w:val="00740AF5"/>
    <w:rsid w:val="00741294"/>
    <w:rsid w:val="0074192E"/>
    <w:rsid w:val="0074204C"/>
    <w:rsid w:val="00743525"/>
    <w:rsid w:val="00744F6A"/>
    <w:rsid w:val="00745555"/>
    <w:rsid w:val="00746A3A"/>
    <w:rsid w:val="0074727B"/>
    <w:rsid w:val="0075376C"/>
    <w:rsid w:val="007541A2"/>
    <w:rsid w:val="00755818"/>
    <w:rsid w:val="0076286B"/>
    <w:rsid w:val="007628E6"/>
    <w:rsid w:val="00762E5A"/>
    <w:rsid w:val="00762F71"/>
    <w:rsid w:val="007654A5"/>
    <w:rsid w:val="00766846"/>
    <w:rsid w:val="00766C2B"/>
    <w:rsid w:val="00766F4A"/>
    <w:rsid w:val="0076790E"/>
    <w:rsid w:val="00770A71"/>
    <w:rsid w:val="00771B61"/>
    <w:rsid w:val="00771C62"/>
    <w:rsid w:val="0077382B"/>
    <w:rsid w:val="00773C60"/>
    <w:rsid w:val="00773DC0"/>
    <w:rsid w:val="00774789"/>
    <w:rsid w:val="00775ABF"/>
    <w:rsid w:val="0077673A"/>
    <w:rsid w:val="00777E1F"/>
    <w:rsid w:val="00781DE3"/>
    <w:rsid w:val="00782707"/>
    <w:rsid w:val="00782C37"/>
    <w:rsid w:val="00783087"/>
    <w:rsid w:val="00783E22"/>
    <w:rsid w:val="007846E1"/>
    <w:rsid w:val="00784746"/>
    <w:rsid w:val="007847D6"/>
    <w:rsid w:val="007858F0"/>
    <w:rsid w:val="00786496"/>
    <w:rsid w:val="0079069D"/>
    <w:rsid w:val="00794DDD"/>
    <w:rsid w:val="00796DC1"/>
    <w:rsid w:val="007A0A29"/>
    <w:rsid w:val="007A1862"/>
    <w:rsid w:val="007A2107"/>
    <w:rsid w:val="007A4A74"/>
    <w:rsid w:val="007A5172"/>
    <w:rsid w:val="007A5CF0"/>
    <w:rsid w:val="007A6474"/>
    <w:rsid w:val="007A67A0"/>
    <w:rsid w:val="007B050C"/>
    <w:rsid w:val="007B4D21"/>
    <w:rsid w:val="007B570C"/>
    <w:rsid w:val="007B592C"/>
    <w:rsid w:val="007B6C9E"/>
    <w:rsid w:val="007C1338"/>
    <w:rsid w:val="007C154D"/>
    <w:rsid w:val="007C1CD8"/>
    <w:rsid w:val="007C1F79"/>
    <w:rsid w:val="007C2AA1"/>
    <w:rsid w:val="007C2DC8"/>
    <w:rsid w:val="007C4ABB"/>
    <w:rsid w:val="007C4FE0"/>
    <w:rsid w:val="007C5FDC"/>
    <w:rsid w:val="007D2241"/>
    <w:rsid w:val="007D38E4"/>
    <w:rsid w:val="007D3F64"/>
    <w:rsid w:val="007D44B5"/>
    <w:rsid w:val="007D4EBC"/>
    <w:rsid w:val="007D5A8D"/>
    <w:rsid w:val="007D789A"/>
    <w:rsid w:val="007E2234"/>
    <w:rsid w:val="007E22C0"/>
    <w:rsid w:val="007E4A6E"/>
    <w:rsid w:val="007E6155"/>
    <w:rsid w:val="007E6B85"/>
    <w:rsid w:val="007F0192"/>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7DD0"/>
    <w:rsid w:val="00810368"/>
    <w:rsid w:val="008113FE"/>
    <w:rsid w:val="00815C1B"/>
    <w:rsid w:val="00817A33"/>
    <w:rsid w:val="00820470"/>
    <w:rsid w:val="008217CE"/>
    <w:rsid w:val="008217F2"/>
    <w:rsid w:val="00821D01"/>
    <w:rsid w:val="00822B88"/>
    <w:rsid w:val="008248DD"/>
    <w:rsid w:val="00826B7B"/>
    <w:rsid w:val="00831DE9"/>
    <w:rsid w:val="00831E2B"/>
    <w:rsid w:val="00833899"/>
    <w:rsid w:val="00840E14"/>
    <w:rsid w:val="00841FCB"/>
    <w:rsid w:val="00842C41"/>
    <w:rsid w:val="00842CEC"/>
    <w:rsid w:val="00845C50"/>
    <w:rsid w:val="00845D74"/>
    <w:rsid w:val="00846789"/>
    <w:rsid w:val="00851519"/>
    <w:rsid w:val="008543D8"/>
    <w:rsid w:val="00857BAC"/>
    <w:rsid w:val="00860D8A"/>
    <w:rsid w:val="00862DF6"/>
    <w:rsid w:val="008638C9"/>
    <w:rsid w:val="00866974"/>
    <w:rsid w:val="00866E71"/>
    <w:rsid w:val="00867F78"/>
    <w:rsid w:val="008703CB"/>
    <w:rsid w:val="00870E17"/>
    <w:rsid w:val="0087190F"/>
    <w:rsid w:val="00871EAA"/>
    <w:rsid w:val="00872044"/>
    <w:rsid w:val="0087256A"/>
    <w:rsid w:val="0087262B"/>
    <w:rsid w:val="00873C33"/>
    <w:rsid w:val="00873D02"/>
    <w:rsid w:val="00876C45"/>
    <w:rsid w:val="00876D73"/>
    <w:rsid w:val="00880C36"/>
    <w:rsid w:val="00880D67"/>
    <w:rsid w:val="008823AF"/>
    <w:rsid w:val="0088280B"/>
    <w:rsid w:val="00885737"/>
    <w:rsid w:val="00887342"/>
    <w:rsid w:val="00887F36"/>
    <w:rsid w:val="00892ECD"/>
    <w:rsid w:val="00893C46"/>
    <w:rsid w:val="00894AB7"/>
    <w:rsid w:val="00895C82"/>
    <w:rsid w:val="00896CC4"/>
    <w:rsid w:val="00897B96"/>
    <w:rsid w:val="008A23BF"/>
    <w:rsid w:val="008A3568"/>
    <w:rsid w:val="008A5E06"/>
    <w:rsid w:val="008B0ED8"/>
    <w:rsid w:val="008B10F6"/>
    <w:rsid w:val="008B2021"/>
    <w:rsid w:val="008B251E"/>
    <w:rsid w:val="008B3257"/>
    <w:rsid w:val="008B3D12"/>
    <w:rsid w:val="008B4CEC"/>
    <w:rsid w:val="008B60F5"/>
    <w:rsid w:val="008B7AFE"/>
    <w:rsid w:val="008C0335"/>
    <w:rsid w:val="008C2620"/>
    <w:rsid w:val="008C27CC"/>
    <w:rsid w:val="008C3044"/>
    <w:rsid w:val="008C50F3"/>
    <w:rsid w:val="008C51DA"/>
    <w:rsid w:val="008C5FF0"/>
    <w:rsid w:val="008C65BC"/>
    <w:rsid w:val="008C6C63"/>
    <w:rsid w:val="008C7EFE"/>
    <w:rsid w:val="008D03B9"/>
    <w:rsid w:val="008D30C7"/>
    <w:rsid w:val="008D552B"/>
    <w:rsid w:val="008D7D26"/>
    <w:rsid w:val="008E1138"/>
    <w:rsid w:val="008E12E4"/>
    <w:rsid w:val="008E196C"/>
    <w:rsid w:val="008E3AB5"/>
    <w:rsid w:val="008E52BE"/>
    <w:rsid w:val="008E5D9D"/>
    <w:rsid w:val="008E78A5"/>
    <w:rsid w:val="008F0019"/>
    <w:rsid w:val="008F0B28"/>
    <w:rsid w:val="008F18D6"/>
    <w:rsid w:val="008F2C9B"/>
    <w:rsid w:val="008F4344"/>
    <w:rsid w:val="008F6BE8"/>
    <w:rsid w:val="008F797B"/>
    <w:rsid w:val="00901E76"/>
    <w:rsid w:val="009032C3"/>
    <w:rsid w:val="0090370B"/>
    <w:rsid w:val="00903C55"/>
    <w:rsid w:val="00904780"/>
    <w:rsid w:val="0090635B"/>
    <w:rsid w:val="009068F6"/>
    <w:rsid w:val="00907814"/>
    <w:rsid w:val="00912525"/>
    <w:rsid w:val="00916A2E"/>
    <w:rsid w:val="00917D24"/>
    <w:rsid w:val="00920DEB"/>
    <w:rsid w:val="0092226C"/>
    <w:rsid w:val="00922385"/>
    <w:rsid w:val="009223DF"/>
    <w:rsid w:val="00925F7A"/>
    <w:rsid w:val="00930B79"/>
    <w:rsid w:val="00935206"/>
    <w:rsid w:val="00935FFE"/>
    <w:rsid w:val="00936091"/>
    <w:rsid w:val="00940D8A"/>
    <w:rsid w:val="00941491"/>
    <w:rsid w:val="0094325D"/>
    <w:rsid w:val="0094424B"/>
    <w:rsid w:val="00944DDB"/>
    <w:rsid w:val="00951F56"/>
    <w:rsid w:val="00962258"/>
    <w:rsid w:val="009627EA"/>
    <w:rsid w:val="00962869"/>
    <w:rsid w:val="00964860"/>
    <w:rsid w:val="0096543C"/>
    <w:rsid w:val="009660AD"/>
    <w:rsid w:val="00966E15"/>
    <w:rsid w:val="009678B7"/>
    <w:rsid w:val="00971C1A"/>
    <w:rsid w:val="00976973"/>
    <w:rsid w:val="00976FCB"/>
    <w:rsid w:val="00980909"/>
    <w:rsid w:val="00984CDB"/>
    <w:rsid w:val="009854FD"/>
    <w:rsid w:val="00986BA3"/>
    <w:rsid w:val="00991104"/>
    <w:rsid w:val="00992D9C"/>
    <w:rsid w:val="009968AD"/>
    <w:rsid w:val="00996CB8"/>
    <w:rsid w:val="009A27BB"/>
    <w:rsid w:val="009A52BE"/>
    <w:rsid w:val="009A57FB"/>
    <w:rsid w:val="009A5ECE"/>
    <w:rsid w:val="009A634D"/>
    <w:rsid w:val="009B0DB1"/>
    <w:rsid w:val="009B0F80"/>
    <w:rsid w:val="009B2E45"/>
    <w:rsid w:val="009B2E97"/>
    <w:rsid w:val="009B3A21"/>
    <w:rsid w:val="009B3CB0"/>
    <w:rsid w:val="009B5146"/>
    <w:rsid w:val="009B7E95"/>
    <w:rsid w:val="009C0BAE"/>
    <w:rsid w:val="009C0F4D"/>
    <w:rsid w:val="009C418E"/>
    <w:rsid w:val="009C442C"/>
    <w:rsid w:val="009C57BD"/>
    <w:rsid w:val="009C6BAB"/>
    <w:rsid w:val="009D0A59"/>
    <w:rsid w:val="009D10A1"/>
    <w:rsid w:val="009D20A1"/>
    <w:rsid w:val="009D219C"/>
    <w:rsid w:val="009D2CBF"/>
    <w:rsid w:val="009D2D3E"/>
    <w:rsid w:val="009D3396"/>
    <w:rsid w:val="009D3B8A"/>
    <w:rsid w:val="009D5DFD"/>
    <w:rsid w:val="009D64A5"/>
    <w:rsid w:val="009E07F4"/>
    <w:rsid w:val="009E1958"/>
    <w:rsid w:val="009E1AEE"/>
    <w:rsid w:val="009E241A"/>
    <w:rsid w:val="009E3C1B"/>
    <w:rsid w:val="009E540A"/>
    <w:rsid w:val="009F309B"/>
    <w:rsid w:val="009F392E"/>
    <w:rsid w:val="009F3B3B"/>
    <w:rsid w:val="009F435C"/>
    <w:rsid w:val="009F46C7"/>
    <w:rsid w:val="009F4CC5"/>
    <w:rsid w:val="009F53C5"/>
    <w:rsid w:val="00A01CB4"/>
    <w:rsid w:val="00A02D63"/>
    <w:rsid w:val="00A034B5"/>
    <w:rsid w:val="00A03E79"/>
    <w:rsid w:val="00A066AF"/>
    <w:rsid w:val="00A066DE"/>
    <w:rsid w:val="00A0740E"/>
    <w:rsid w:val="00A103F9"/>
    <w:rsid w:val="00A11A90"/>
    <w:rsid w:val="00A12463"/>
    <w:rsid w:val="00A12DFA"/>
    <w:rsid w:val="00A15641"/>
    <w:rsid w:val="00A16220"/>
    <w:rsid w:val="00A17168"/>
    <w:rsid w:val="00A24F5B"/>
    <w:rsid w:val="00A26B4E"/>
    <w:rsid w:val="00A33D32"/>
    <w:rsid w:val="00A34A7E"/>
    <w:rsid w:val="00A35009"/>
    <w:rsid w:val="00A37F52"/>
    <w:rsid w:val="00A40426"/>
    <w:rsid w:val="00A4043B"/>
    <w:rsid w:val="00A4050F"/>
    <w:rsid w:val="00A40C1B"/>
    <w:rsid w:val="00A432EF"/>
    <w:rsid w:val="00A43668"/>
    <w:rsid w:val="00A444E5"/>
    <w:rsid w:val="00A446BE"/>
    <w:rsid w:val="00A46E35"/>
    <w:rsid w:val="00A47DE5"/>
    <w:rsid w:val="00A50641"/>
    <w:rsid w:val="00A510E8"/>
    <w:rsid w:val="00A51C91"/>
    <w:rsid w:val="00A530BF"/>
    <w:rsid w:val="00A55C4E"/>
    <w:rsid w:val="00A55C9A"/>
    <w:rsid w:val="00A56621"/>
    <w:rsid w:val="00A571E7"/>
    <w:rsid w:val="00A6177B"/>
    <w:rsid w:val="00A619CA"/>
    <w:rsid w:val="00A62FE1"/>
    <w:rsid w:val="00A65BE6"/>
    <w:rsid w:val="00A65D0C"/>
    <w:rsid w:val="00A65FC1"/>
    <w:rsid w:val="00A66136"/>
    <w:rsid w:val="00A71189"/>
    <w:rsid w:val="00A72FE7"/>
    <w:rsid w:val="00A7364A"/>
    <w:rsid w:val="00A7410B"/>
    <w:rsid w:val="00A74DCC"/>
    <w:rsid w:val="00A753ED"/>
    <w:rsid w:val="00A77512"/>
    <w:rsid w:val="00A80B49"/>
    <w:rsid w:val="00A8206C"/>
    <w:rsid w:val="00A84500"/>
    <w:rsid w:val="00A85121"/>
    <w:rsid w:val="00A87F59"/>
    <w:rsid w:val="00A90B86"/>
    <w:rsid w:val="00A919A4"/>
    <w:rsid w:val="00A930B7"/>
    <w:rsid w:val="00A94C2F"/>
    <w:rsid w:val="00A95B69"/>
    <w:rsid w:val="00A95C0A"/>
    <w:rsid w:val="00A965D3"/>
    <w:rsid w:val="00AA3E17"/>
    <w:rsid w:val="00AA4CBB"/>
    <w:rsid w:val="00AA5C98"/>
    <w:rsid w:val="00AA5C9B"/>
    <w:rsid w:val="00AA65FA"/>
    <w:rsid w:val="00AA7351"/>
    <w:rsid w:val="00AA7A82"/>
    <w:rsid w:val="00AB1063"/>
    <w:rsid w:val="00AB2507"/>
    <w:rsid w:val="00AB28D0"/>
    <w:rsid w:val="00AB2D3E"/>
    <w:rsid w:val="00AB6916"/>
    <w:rsid w:val="00AB6F88"/>
    <w:rsid w:val="00AB7090"/>
    <w:rsid w:val="00AC3EA9"/>
    <w:rsid w:val="00AC4BEF"/>
    <w:rsid w:val="00AC6613"/>
    <w:rsid w:val="00AC6F7E"/>
    <w:rsid w:val="00AC6FB1"/>
    <w:rsid w:val="00AD056F"/>
    <w:rsid w:val="00AD0714"/>
    <w:rsid w:val="00AD0C7B"/>
    <w:rsid w:val="00AD0CC3"/>
    <w:rsid w:val="00AD1771"/>
    <w:rsid w:val="00AD1786"/>
    <w:rsid w:val="00AD23B3"/>
    <w:rsid w:val="00AD2D55"/>
    <w:rsid w:val="00AD3565"/>
    <w:rsid w:val="00AD3B77"/>
    <w:rsid w:val="00AD3C3A"/>
    <w:rsid w:val="00AD4CCC"/>
    <w:rsid w:val="00AD5F1A"/>
    <w:rsid w:val="00AD6731"/>
    <w:rsid w:val="00AD792A"/>
    <w:rsid w:val="00AE10D0"/>
    <w:rsid w:val="00AE1D4A"/>
    <w:rsid w:val="00AE3BB4"/>
    <w:rsid w:val="00AE627C"/>
    <w:rsid w:val="00AF06C8"/>
    <w:rsid w:val="00AF22AF"/>
    <w:rsid w:val="00AF2AEB"/>
    <w:rsid w:val="00AF4D76"/>
    <w:rsid w:val="00AF5E95"/>
    <w:rsid w:val="00AF6FCC"/>
    <w:rsid w:val="00AF7036"/>
    <w:rsid w:val="00B008D5"/>
    <w:rsid w:val="00B00C0B"/>
    <w:rsid w:val="00B02F73"/>
    <w:rsid w:val="00B035B6"/>
    <w:rsid w:val="00B03776"/>
    <w:rsid w:val="00B039F3"/>
    <w:rsid w:val="00B0619F"/>
    <w:rsid w:val="00B067E0"/>
    <w:rsid w:val="00B0765B"/>
    <w:rsid w:val="00B104FA"/>
    <w:rsid w:val="00B13A26"/>
    <w:rsid w:val="00B15D0D"/>
    <w:rsid w:val="00B15F78"/>
    <w:rsid w:val="00B22106"/>
    <w:rsid w:val="00B222F7"/>
    <w:rsid w:val="00B22976"/>
    <w:rsid w:val="00B2309B"/>
    <w:rsid w:val="00B26750"/>
    <w:rsid w:val="00B27466"/>
    <w:rsid w:val="00B31408"/>
    <w:rsid w:val="00B34E7F"/>
    <w:rsid w:val="00B36D02"/>
    <w:rsid w:val="00B37852"/>
    <w:rsid w:val="00B429CF"/>
    <w:rsid w:val="00B42A5E"/>
    <w:rsid w:val="00B4339E"/>
    <w:rsid w:val="00B448FF"/>
    <w:rsid w:val="00B45B94"/>
    <w:rsid w:val="00B51840"/>
    <w:rsid w:val="00B52365"/>
    <w:rsid w:val="00B52A86"/>
    <w:rsid w:val="00B5431A"/>
    <w:rsid w:val="00B556D7"/>
    <w:rsid w:val="00B55826"/>
    <w:rsid w:val="00B57D0C"/>
    <w:rsid w:val="00B60046"/>
    <w:rsid w:val="00B61530"/>
    <w:rsid w:val="00B61F38"/>
    <w:rsid w:val="00B63CF6"/>
    <w:rsid w:val="00B645BC"/>
    <w:rsid w:val="00B649D5"/>
    <w:rsid w:val="00B64E4B"/>
    <w:rsid w:val="00B65A41"/>
    <w:rsid w:val="00B70267"/>
    <w:rsid w:val="00B71674"/>
    <w:rsid w:val="00B73124"/>
    <w:rsid w:val="00B73312"/>
    <w:rsid w:val="00B73BEB"/>
    <w:rsid w:val="00B75EE1"/>
    <w:rsid w:val="00B75EFC"/>
    <w:rsid w:val="00B77110"/>
    <w:rsid w:val="00B77481"/>
    <w:rsid w:val="00B77C6D"/>
    <w:rsid w:val="00B80502"/>
    <w:rsid w:val="00B80E53"/>
    <w:rsid w:val="00B81671"/>
    <w:rsid w:val="00B8265A"/>
    <w:rsid w:val="00B82A36"/>
    <w:rsid w:val="00B8518B"/>
    <w:rsid w:val="00B85BF4"/>
    <w:rsid w:val="00B86190"/>
    <w:rsid w:val="00B925FB"/>
    <w:rsid w:val="00B97CC3"/>
    <w:rsid w:val="00BA0C00"/>
    <w:rsid w:val="00BA197A"/>
    <w:rsid w:val="00BA1CFD"/>
    <w:rsid w:val="00BA3D9D"/>
    <w:rsid w:val="00BB1958"/>
    <w:rsid w:val="00BB1A18"/>
    <w:rsid w:val="00BB45BA"/>
    <w:rsid w:val="00BB4AF2"/>
    <w:rsid w:val="00BB4CE0"/>
    <w:rsid w:val="00BB72FA"/>
    <w:rsid w:val="00BC06C4"/>
    <w:rsid w:val="00BC1044"/>
    <w:rsid w:val="00BC491D"/>
    <w:rsid w:val="00BC49C0"/>
    <w:rsid w:val="00BC663E"/>
    <w:rsid w:val="00BC6D2B"/>
    <w:rsid w:val="00BC6FC4"/>
    <w:rsid w:val="00BC7269"/>
    <w:rsid w:val="00BD0273"/>
    <w:rsid w:val="00BD032B"/>
    <w:rsid w:val="00BD04FA"/>
    <w:rsid w:val="00BD07D8"/>
    <w:rsid w:val="00BD096D"/>
    <w:rsid w:val="00BD4E9E"/>
    <w:rsid w:val="00BD5561"/>
    <w:rsid w:val="00BD5A0E"/>
    <w:rsid w:val="00BD6850"/>
    <w:rsid w:val="00BD7438"/>
    <w:rsid w:val="00BD7E91"/>
    <w:rsid w:val="00BD7F0D"/>
    <w:rsid w:val="00BE0913"/>
    <w:rsid w:val="00BE22EE"/>
    <w:rsid w:val="00BE49F4"/>
    <w:rsid w:val="00BE7CD3"/>
    <w:rsid w:val="00BF2A76"/>
    <w:rsid w:val="00BF30A4"/>
    <w:rsid w:val="00BF3817"/>
    <w:rsid w:val="00BF393A"/>
    <w:rsid w:val="00BF3C9D"/>
    <w:rsid w:val="00BF55FB"/>
    <w:rsid w:val="00BF6E6C"/>
    <w:rsid w:val="00BF7BC1"/>
    <w:rsid w:val="00C00B28"/>
    <w:rsid w:val="00C02436"/>
    <w:rsid w:val="00C02D0A"/>
    <w:rsid w:val="00C03A6E"/>
    <w:rsid w:val="00C05F38"/>
    <w:rsid w:val="00C06166"/>
    <w:rsid w:val="00C06F8A"/>
    <w:rsid w:val="00C07508"/>
    <w:rsid w:val="00C13883"/>
    <w:rsid w:val="00C14C86"/>
    <w:rsid w:val="00C203FF"/>
    <w:rsid w:val="00C212F4"/>
    <w:rsid w:val="00C220BC"/>
    <w:rsid w:val="00C226C0"/>
    <w:rsid w:val="00C23C5F"/>
    <w:rsid w:val="00C26B03"/>
    <w:rsid w:val="00C30347"/>
    <w:rsid w:val="00C31ADD"/>
    <w:rsid w:val="00C34047"/>
    <w:rsid w:val="00C34793"/>
    <w:rsid w:val="00C37B25"/>
    <w:rsid w:val="00C4113C"/>
    <w:rsid w:val="00C41DEE"/>
    <w:rsid w:val="00C42FE6"/>
    <w:rsid w:val="00C43F63"/>
    <w:rsid w:val="00C44F6A"/>
    <w:rsid w:val="00C47181"/>
    <w:rsid w:val="00C51B58"/>
    <w:rsid w:val="00C52720"/>
    <w:rsid w:val="00C52C0B"/>
    <w:rsid w:val="00C53550"/>
    <w:rsid w:val="00C55CEB"/>
    <w:rsid w:val="00C56B64"/>
    <w:rsid w:val="00C57268"/>
    <w:rsid w:val="00C60FCF"/>
    <w:rsid w:val="00C6198E"/>
    <w:rsid w:val="00C6339C"/>
    <w:rsid w:val="00C639AD"/>
    <w:rsid w:val="00C70748"/>
    <w:rsid w:val="00C7077F"/>
    <w:rsid w:val="00C708EA"/>
    <w:rsid w:val="00C70CB5"/>
    <w:rsid w:val="00C7216F"/>
    <w:rsid w:val="00C776E5"/>
    <w:rsid w:val="00C778A5"/>
    <w:rsid w:val="00C809C1"/>
    <w:rsid w:val="00C84C01"/>
    <w:rsid w:val="00C84F86"/>
    <w:rsid w:val="00C95162"/>
    <w:rsid w:val="00C97246"/>
    <w:rsid w:val="00C97DB2"/>
    <w:rsid w:val="00CA08FB"/>
    <w:rsid w:val="00CA1FE2"/>
    <w:rsid w:val="00CA2B1E"/>
    <w:rsid w:val="00CA2BE9"/>
    <w:rsid w:val="00CA41FA"/>
    <w:rsid w:val="00CA466B"/>
    <w:rsid w:val="00CA4A2C"/>
    <w:rsid w:val="00CA5133"/>
    <w:rsid w:val="00CB14C4"/>
    <w:rsid w:val="00CB14C7"/>
    <w:rsid w:val="00CB2B9A"/>
    <w:rsid w:val="00CB3151"/>
    <w:rsid w:val="00CB419B"/>
    <w:rsid w:val="00CB51FD"/>
    <w:rsid w:val="00CB6A37"/>
    <w:rsid w:val="00CB6AC6"/>
    <w:rsid w:val="00CB7684"/>
    <w:rsid w:val="00CC005F"/>
    <w:rsid w:val="00CC0ADA"/>
    <w:rsid w:val="00CC0E0B"/>
    <w:rsid w:val="00CC1656"/>
    <w:rsid w:val="00CC211C"/>
    <w:rsid w:val="00CC3F4F"/>
    <w:rsid w:val="00CC4380"/>
    <w:rsid w:val="00CC79E1"/>
    <w:rsid w:val="00CC7BE1"/>
    <w:rsid w:val="00CC7C8F"/>
    <w:rsid w:val="00CC7F60"/>
    <w:rsid w:val="00CD0B8B"/>
    <w:rsid w:val="00CD1856"/>
    <w:rsid w:val="00CD1C73"/>
    <w:rsid w:val="00CD1FC4"/>
    <w:rsid w:val="00CD5995"/>
    <w:rsid w:val="00CD5D15"/>
    <w:rsid w:val="00CD7B3F"/>
    <w:rsid w:val="00CE1AF4"/>
    <w:rsid w:val="00CE2274"/>
    <w:rsid w:val="00CE22C3"/>
    <w:rsid w:val="00CE22D6"/>
    <w:rsid w:val="00CE2597"/>
    <w:rsid w:val="00CE7975"/>
    <w:rsid w:val="00CF06BF"/>
    <w:rsid w:val="00CF0DBE"/>
    <w:rsid w:val="00CF1799"/>
    <w:rsid w:val="00CF3184"/>
    <w:rsid w:val="00CF4237"/>
    <w:rsid w:val="00CF42AD"/>
    <w:rsid w:val="00CF4AAE"/>
    <w:rsid w:val="00CF5185"/>
    <w:rsid w:val="00CF7B47"/>
    <w:rsid w:val="00D00256"/>
    <w:rsid w:val="00D006F4"/>
    <w:rsid w:val="00D034A0"/>
    <w:rsid w:val="00D07B20"/>
    <w:rsid w:val="00D1099C"/>
    <w:rsid w:val="00D10A2D"/>
    <w:rsid w:val="00D122E5"/>
    <w:rsid w:val="00D139AC"/>
    <w:rsid w:val="00D145E1"/>
    <w:rsid w:val="00D148AE"/>
    <w:rsid w:val="00D148BC"/>
    <w:rsid w:val="00D15C45"/>
    <w:rsid w:val="00D15FAA"/>
    <w:rsid w:val="00D20392"/>
    <w:rsid w:val="00D20E22"/>
    <w:rsid w:val="00D21061"/>
    <w:rsid w:val="00D21732"/>
    <w:rsid w:val="00D320AC"/>
    <w:rsid w:val="00D37B14"/>
    <w:rsid w:val="00D4108E"/>
    <w:rsid w:val="00D42474"/>
    <w:rsid w:val="00D4608D"/>
    <w:rsid w:val="00D510F1"/>
    <w:rsid w:val="00D54135"/>
    <w:rsid w:val="00D57BFB"/>
    <w:rsid w:val="00D6027A"/>
    <w:rsid w:val="00D6163D"/>
    <w:rsid w:val="00D6259C"/>
    <w:rsid w:val="00D6552D"/>
    <w:rsid w:val="00D7668B"/>
    <w:rsid w:val="00D8114B"/>
    <w:rsid w:val="00D831A3"/>
    <w:rsid w:val="00D84201"/>
    <w:rsid w:val="00D8584F"/>
    <w:rsid w:val="00D85FF0"/>
    <w:rsid w:val="00D932D1"/>
    <w:rsid w:val="00D96B3F"/>
    <w:rsid w:val="00D97AC7"/>
    <w:rsid w:val="00D97BE3"/>
    <w:rsid w:val="00D97EE6"/>
    <w:rsid w:val="00DA0047"/>
    <w:rsid w:val="00DA0D67"/>
    <w:rsid w:val="00DA3711"/>
    <w:rsid w:val="00DA5286"/>
    <w:rsid w:val="00DA5362"/>
    <w:rsid w:val="00DA5515"/>
    <w:rsid w:val="00DA5745"/>
    <w:rsid w:val="00DB2561"/>
    <w:rsid w:val="00DB2E59"/>
    <w:rsid w:val="00DB5D9B"/>
    <w:rsid w:val="00DB619A"/>
    <w:rsid w:val="00DB6399"/>
    <w:rsid w:val="00DB64B0"/>
    <w:rsid w:val="00DB65B6"/>
    <w:rsid w:val="00DB7379"/>
    <w:rsid w:val="00DC2DEF"/>
    <w:rsid w:val="00DD0DD8"/>
    <w:rsid w:val="00DD46F3"/>
    <w:rsid w:val="00DD4DDB"/>
    <w:rsid w:val="00DD646E"/>
    <w:rsid w:val="00DE424B"/>
    <w:rsid w:val="00DE51A5"/>
    <w:rsid w:val="00DE56F2"/>
    <w:rsid w:val="00DE6A35"/>
    <w:rsid w:val="00DE7DF2"/>
    <w:rsid w:val="00DF116D"/>
    <w:rsid w:val="00DF27AF"/>
    <w:rsid w:val="00E009D2"/>
    <w:rsid w:val="00E01EA1"/>
    <w:rsid w:val="00E035AB"/>
    <w:rsid w:val="00E04992"/>
    <w:rsid w:val="00E0557D"/>
    <w:rsid w:val="00E10695"/>
    <w:rsid w:val="00E1093D"/>
    <w:rsid w:val="00E10A14"/>
    <w:rsid w:val="00E138A9"/>
    <w:rsid w:val="00E150F2"/>
    <w:rsid w:val="00E166CB"/>
    <w:rsid w:val="00E16AEB"/>
    <w:rsid w:val="00E16FF7"/>
    <w:rsid w:val="00E17110"/>
    <w:rsid w:val="00E17C1E"/>
    <w:rsid w:val="00E17C5A"/>
    <w:rsid w:val="00E22C30"/>
    <w:rsid w:val="00E24301"/>
    <w:rsid w:val="00E2511C"/>
    <w:rsid w:val="00E26D68"/>
    <w:rsid w:val="00E323D1"/>
    <w:rsid w:val="00E33B76"/>
    <w:rsid w:val="00E37237"/>
    <w:rsid w:val="00E373C7"/>
    <w:rsid w:val="00E41B04"/>
    <w:rsid w:val="00E429AE"/>
    <w:rsid w:val="00E437B0"/>
    <w:rsid w:val="00E44003"/>
    <w:rsid w:val="00E44045"/>
    <w:rsid w:val="00E441DE"/>
    <w:rsid w:val="00E4520D"/>
    <w:rsid w:val="00E479F4"/>
    <w:rsid w:val="00E51802"/>
    <w:rsid w:val="00E5195A"/>
    <w:rsid w:val="00E531BF"/>
    <w:rsid w:val="00E56CBF"/>
    <w:rsid w:val="00E57E67"/>
    <w:rsid w:val="00E618C4"/>
    <w:rsid w:val="00E65BBD"/>
    <w:rsid w:val="00E66AA6"/>
    <w:rsid w:val="00E66B3B"/>
    <w:rsid w:val="00E70244"/>
    <w:rsid w:val="00E7218A"/>
    <w:rsid w:val="00E7329F"/>
    <w:rsid w:val="00E738BF"/>
    <w:rsid w:val="00E7534D"/>
    <w:rsid w:val="00E82529"/>
    <w:rsid w:val="00E839E4"/>
    <w:rsid w:val="00E842A5"/>
    <w:rsid w:val="00E872F8"/>
    <w:rsid w:val="00E878EE"/>
    <w:rsid w:val="00E95E1D"/>
    <w:rsid w:val="00EA07C0"/>
    <w:rsid w:val="00EA397D"/>
    <w:rsid w:val="00EA417D"/>
    <w:rsid w:val="00EA6661"/>
    <w:rsid w:val="00EA6EC7"/>
    <w:rsid w:val="00EB0647"/>
    <w:rsid w:val="00EB104F"/>
    <w:rsid w:val="00EB138E"/>
    <w:rsid w:val="00EB46E5"/>
    <w:rsid w:val="00EB5D4D"/>
    <w:rsid w:val="00EC10AE"/>
    <w:rsid w:val="00EC1E58"/>
    <w:rsid w:val="00EC2AAB"/>
    <w:rsid w:val="00EC7091"/>
    <w:rsid w:val="00ED0703"/>
    <w:rsid w:val="00ED116C"/>
    <w:rsid w:val="00ED14BD"/>
    <w:rsid w:val="00ED4249"/>
    <w:rsid w:val="00ED5CFE"/>
    <w:rsid w:val="00ED6360"/>
    <w:rsid w:val="00EE0CDE"/>
    <w:rsid w:val="00EE1AA5"/>
    <w:rsid w:val="00EE2244"/>
    <w:rsid w:val="00EE3C5F"/>
    <w:rsid w:val="00EE7872"/>
    <w:rsid w:val="00EE7882"/>
    <w:rsid w:val="00EF13E3"/>
    <w:rsid w:val="00EF2154"/>
    <w:rsid w:val="00EF47C8"/>
    <w:rsid w:val="00EF5751"/>
    <w:rsid w:val="00EF7704"/>
    <w:rsid w:val="00F0113C"/>
    <w:rsid w:val="00F016C7"/>
    <w:rsid w:val="00F0349F"/>
    <w:rsid w:val="00F04920"/>
    <w:rsid w:val="00F0623D"/>
    <w:rsid w:val="00F063DF"/>
    <w:rsid w:val="00F073CB"/>
    <w:rsid w:val="00F10664"/>
    <w:rsid w:val="00F108CB"/>
    <w:rsid w:val="00F118D0"/>
    <w:rsid w:val="00F12DEC"/>
    <w:rsid w:val="00F1402B"/>
    <w:rsid w:val="00F16C4B"/>
    <w:rsid w:val="00F1715C"/>
    <w:rsid w:val="00F17E8A"/>
    <w:rsid w:val="00F2276C"/>
    <w:rsid w:val="00F310F8"/>
    <w:rsid w:val="00F348C0"/>
    <w:rsid w:val="00F35939"/>
    <w:rsid w:val="00F40350"/>
    <w:rsid w:val="00F40D6B"/>
    <w:rsid w:val="00F45607"/>
    <w:rsid w:val="00F45B56"/>
    <w:rsid w:val="00F46000"/>
    <w:rsid w:val="00F46A55"/>
    <w:rsid w:val="00F4722B"/>
    <w:rsid w:val="00F51311"/>
    <w:rsid w:val="00F52CEE"/>
    <w:rsid w:val="00F52FA8"/>
    <w:rsid w:val="00F54432"/>
    <w:rsid w:val="00F54B45"/>
    <w:rsid w:val="00F55280"/>
    <w:rsid w:val="00F5656E"/>
    <w:rsid w:val="00F569C6"/>
    <w:rsid w:val="00F60931"/>
    <w:rsid w:val="00F6250A"/>
    <w:rsid w:val="00F64E2B"/>
    <w:rsid w:val="00F653AD"/>
    <w:rsid w:val="00F659EB"/>
    <w:rsid w:val="00F67ED4"/>
    <w:rsid w:val="00F67F0D"/>
    <w:rsid w:val="00F743C4"/>
    <w:rsid w:val="00F744CC"/>
    <w:rsid w:val="00F74E77"/>
    <w:rsid w:val="00F76953"/>
    <w:rsid w:val="00F77DC7"/>
    <w:rsid w:val="00F80740"/>
    <w:rsid w:val="00F82341"/>
    <w:rsid w:val="00F86BA6"/>
    <w:rsid w:val="00F86D2A"/>
    <w:rsid w:val="00F92CE6"/>
    <w:rsid w:val="00F93E20"/>
    <w:rsid w:val="00F94410"/>
    <w:rsid w:val="00F96A36"/>
    <w:rsid w:val="00F97A3B"/>
    <w:rsid w:val="00F97A8C"/>
    <w:rsid w:val="00F97F4A"/>
    <w:rsid w:val="00FA21E1"/>
    <w:rsid w:val="00FA2ADC"/>
    <w:rsid w:val="00FA47CE"/>
    <w:rsid w:val="00FA487B"/>
    <w:rsid w:val="00FA4D7F"/>
    <w:rsid w:val="00FA75E8"/>
    <w:rsid w:val="00FB1188"/>
    <w:rsid w:val="00FB3188"/>
    <w:rsid w:val="00FB3C88"/>
    <w:rsid w:val="00FB6342"/>
    <w:rsid w:val="00FC2432"/>
    <w:rsid w:val="00FC6389"/>
    <w:rsid w:val="00FC7084"/>
    <w:rsid w:val="00FC757D"/>
    <w:rsid w:val="00FD0304"/>
    <w:rsid w:val="00FD0692"/>
    <w:rsid w:val="00FD0FBD"/>
    <w:rsid w:val="00FD1094"/>
    <w:rsid w:val="00FD3DA8"/>
    <w:rsid w:val="00FD5C72"/>
    <w:rsid w:val="00FD6F00"/>
    <w:rsid w:val="00FE27AB"/>
    <w:rsid w:val="00FE4333"/>
    <w:rsid w:val="00FE4676"/>
    <w:rsid w:val="00FE5726"/>
    <w:rsid w:val="00FE5A5D"/>
    <w:rsid w:val="00FE6AEC"/>
    <w:rsid w:val="00FE7939"/>
    <w:rsid w:val="00FF2093"/>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customXml/itemProps2.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4.xml><?xml version="1.0" encoding="utf-8"?>
<ds:datastoreItem xmlns:ds="http://schemas.openxmlformats.org/officeDocument/2006/customXml" ds:itemID="{7C5CF3F5-99AC-47C7-A54D-D0646FCFFF53}">
  <ds:schemaRefs>
    <ds:schemaRef ds:uri="http://schemas.microsoft.com/office/2006/metadata/properties"/>
  </ds:schemaRefs>
</ds:datastoreItem>
</file>

<file path=docMetadata/LabelInfo.xml><?xml version="1.0" encoding="utf-8"?>
<clbl:labelList xmlns:clbl="http://schemas.microsoft.com/office/2020/mipLabelMetadata">
  <clbl:label id="{f0ab7d6a-64b0-4696-9f4d-d69909c6e895}" enabled="0" method="" siteId="{f0ab7d6a-64b0-4696-9f4d-d69909c6e895}" removed="1"/>
</clbl:labelList>
</file>

<file path=docProps/app.xml><?xml version="1.0" encoding="utf-8"?>
<Properties xmlns="http://schemas.openxmlformats.org/officeDocument/2006/extended-properties" xmlns:vt="http://schemas.openxmlformats.org/officeDocument/2006/docPropsVTypes">
  <Template>VTP_nové_logo-6</Template>
  <TotalTime>8</TotalTime>
  <Pages>39</Pages>
  <Words>16951</Words>
  <Characters>100014</Characters>
  <Application>Microsoft Office Word</Application>
  <DocSecurity>0</DocSecurity>
  <Lines>833</Lines>
  <Paragraphs>233</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Příleská Kateřina</cp:lastModifiedBy>
  <cp:revision>9</cp:revision>
  <cp:lastPrinted>2019-07-29T14:58:00Z</cp:lastPrinted>
  <dcterms:created xsi:type="dcterms:W3CDTF">2025-03-21T11:47:00Z</dcterms:created>
  <dcterms:modified xsi:type="dcterms:W3CDTF">2025-03-21T11:58:00Z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