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B5C70D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r w:rsidR="00934CD6" w:rsidRPr="00E40DDB">
        <w:rPr>
          <w:rFonts w:ascii="Verdana" w:hAnsi="Verdana"/>
          <w:b/>
          <w:bCs/>
        </w:rPr>
        <w:t>„Nákup modulu OTDR pro platformu FTB-2 k reflektometru OŘ PHA 2025“</w:t>
      </w:r>
      <w:r w:rsidRPr="00D84FD4">
        <w:rPr>
          <w:rFonts w:eastAsia="Times New Roman" w:cs="Times New Roman"/>
          <w:lang w:eastAsia="cs-CZ"/>
        </w:rPr>
        <w:t>, č.j.</w:t>
      </w:r>
      <w:r w:rsidR="004D46A4" w:rsidRPr="00D84FD4">
        <w:rPr>
          <w:rFonts w:eastAsia="Times New Roman" w:cs="Times New Roman"/>
          <w:lang w:eastAsia="cs-CZ"/>
        </w:rPr>
        <w:t xml:space="preserve"> </w:t>
      </w:r>
      <w:r w:rsidR="00934CD6" w:rsidRPr="00934CD6">
        <w:rPr>
          <w:rFonts w:eastAsia="Times New Roman" w:cs="Times New Roman"/>
          <w:lang w:eastAsia="cs-CZ"/>
        </w:rPr>
        <w:t>11094/2025-SŽ-OŘ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413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413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1BC7"/>
    <w:rsid w:val="000E23A7"/>
    <w:rsid w:val="000E2D19"/>
    <w:rsid w:val="0010693F"/>
    <w:rsid w:val="00114472"/>
    <w:rsid w:val="001262BA"/>
    <w:rsid w:val="0014098E"/>
    <w:rsid w:val="001413E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1B28"/>
    <w:rsid w:val="00904780"/>
    <w:rsid w:val="0090642B"/>
    <w:rsid w:val="00922385"/>
    <w:rsid w:val="009223DF"/>
    <w:rsid w:val="00923DE9"/>
    <w:rsid w:val="00934CD6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1DBF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427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49171C"/>
    <w:rsid w:val="00710200"/>
    <w:rsid w:val="0087094D"/>
    <w:rsid w:val="00B64ADD"/>
    <w:rsid w:val="00B72819"/>
    <w:rsid w:val="00BE31C7"/>
    <w:rsid w:val="00C601C7"/>
    <w:rsid w:val="00DB3D9A"/>
    <w:rsid w:val="00F0427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107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