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4A98929A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897129">
        <w:rPr>
          <w:b w:val="0"/>
          <w:lang w:eastAsia="en-US"/>
        </w:rPr>
        <w:t>8</w:t>
      </w:r>
      <w:r w:rsidRPr="00D26B2C">
        <w:rPr>
          <w:b w:val="0"/>
          <w:lang w:eastAsia="en-US"/>
        </w:rPr>
        <w:t xml:space="preserve"> </w:t>
      </w:r>
      <w:r w:rsidR="00B76DEF">
        <w:rPr>
          <w:b w:val="0"/>
          <w:lang w:eastAsia="en-US"/>
        </w:rPr>
        <w:t>Zadávací dokumentace</w:t>
      </w:r>
      <w:r w:rsidRPr="00D26B2C">
        <w:rPr>
          <w:b w:val="0"/>
          <w:lang w:eastAsia="en-US"/>
        </w:rPr>
        <w:t xml:space="preserve">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33CA01F9" w:rsidR="00F20995" w:rsidRPr="00897129" w:rsidRDefault="00F20995" w:rsidP="004471B6">
      <w:pPr>
        <w:pStyle w:val="Podnadpissmlouvy"/>
        <w:rPr>
          <w:highlight w:val="green"/>
        </w:rPr>
      </w:pPr>
      <w:r w:rsidRPr="00897129">
        <w:rPr>
          <w:highlight w:val="green"/>
        </w:rPr>
        <w:t>Číslo smlouvy kupujícího</w:t>
      </w:r>
      <w:r w:rsidR="00897129" w:rsidRPr="00897129">
        <w:rPr>
          <w:highlight w:val="green"/>
        </w:rPr>
        <w:t>:</w:t>
      </w:r>
      <w:r w:rsidRPr="00897129">
        <w:rPr>
          <w:highlight w:val="green"/>
        </w:rPr>
        <w:t xml:space="preserve"> </w:t>
      </w:r>
      <w:r w:rsidR="00306A57" w:rsidRPr="00897129">
        <w:rPr>
          <w:highlight w:val="green"/>
        </w:rPr>
        <w:t xml:space="preserve">[DOPLNÍ </w:t>
      </w:r>
      <w:r w:rsidR="00897129" w:rsidRPr="00897129">
        <w:rPr>
          <w:highlight w:val="green"/>
        </w:rPr>
        <w:t>PRODÁVAJÍCÍ</w:t>
      </w:r>
      <w:r w:rsidR="00306A57" w:rsidRPr="00897129">
        <w:rPr>
          <w:highlight w:val="green"/>
        </w:rPr>
        <w:t xml:space="preserve"> </w:t>
      </w:r>
      <w:r w:rsidR="00897129" w:rsidRPr="00897129">
        <w:rPr>
          <w:highlight w:val="green"/>
        </w:rPr>
        <w:t>před podpisem smlouvy na základě informace kupujícího</w:t>
      </w:r>
      <w:r w:rsidR="00796A0B" w:rsidRPr="00897129">
        <w:rPr>
          <w:highlight w:val="green"/>
        </w:rPr>
        <w:t>]</w:t>
      </w:r>
    </w:p>
    <w:p w14:paraId="6DF16FA9" w14:textId="01A2BF0D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>Číslo smlouvy prodávajícího</w:t>
      </w:r>
      <w:r w:rsidR="00897129">
        <w:rPr>
          <w:highlight w:val="green"/>
        </w:rPr>
        <w:t>:</w:t>
      </w:r>
      <w:r w:rsidRPr="00593AE5">
        <w:rPr>
          <w:highlight w:val="green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144CA84E" w14:textId="77777777" w:rsidR="00897129" w:rsidRPr="00897129" w:rsidRDefault="00414246" w:rsidP="00897129">
      <w:pPr>
        <w:pStyle w:val="Identifikace"/>
      </w:pPr>
      <w:r>
        <w:tab/>
      </w:r>
      <w:r w:rsidR="00897129" w:rsidRPr="00897129">
        <w:t>Organizační jednotka zadavatele:</w:t>
      </w:r>
    </w:p>
    <w:p w14:paraId="5BE17939" w14:textId="77777777" w:rsidR="00897129" w:rsidRPr="00897129" w:rsidRDefault="00897129" w:rsidP="00897129">
      <w:pPr>
        <w:pStyle w:val="Identifikace"/>
      </w:pPr>
      <w:r w:rsidRPr="00897129">
        <w:t xml:space="preserve">                                  Oblastní ředitelství Praha </w:t>
      </w:r>
    </w:p>
    <w:p w14:paraId="73F46515" w14:textId="77777777" w:rsidR="00897129" w:rsidRPr="00897129" w:rsidRDefault="00897129" w:rsidP="00897129">
      <w:pPr>
        <w:pStyle w:val="Identifikace"/>
      </w:pPr>
      <w:r w:rsidRPr="00897129">
        <w:t xml:space="preserve">                                  Partyzánská 24, 170 00 Praha 7</w:t>
      </w:r>
    </w:p>
    <w:p w14:paraId="75D45E8C" w14:textId="04E83273" w:rsidR="00D85C5B" w:rsidRDefault="00897129" w:rsidP="004471B6">
      <w:pPr>
        <w:pStyle w:val="Identifikace"/>
      </w:pPr>
      <w:r w:rsidRPr="00897129">
        <w:t xml:space="preserve">                                  Zastoupená: Vladimírem Filipem, ředitelem, na základě pověření č. </w:t>
      </w:r>
      <w:r w:rsidRPr="00431336">
        <w:t>3</w:t>
      </w:r>
      <w:r w:rsidR="00431336" w:rsidRPr="00431336">
        <w:t>693</w:t>
      </w:r>
      <w:r w:rsidRPr="00431336">
        <w:t xml:space="preserve"> </w:t>
      </w:r>
      <w:r w:rsidRPr="00431336">
        <w:br/>
        <w:t xml:space="preserve"> ze dne </w:t>
      </w:r>
      <w:r w:rsidR="00431336" w:rsidRPr="00431336">
        <w:t>10</w:t>
      </w:r>
      <w:r w:rsidRPr="00431336">
        <w:t>.0</w:t>
      </w:r>
      <w:r w:rsidR="00431336" w:rsidRPr="00431336">
        <w:t>3</w:t>
      </w:r>
      <w:r w:rsidRPr="00431336">
        <w:t>.2025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7355C2AF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9111FB">
        <w:t xml:space="preserve">výsledků zadávacího řízení veřejné zakázky s názvem </w:t>
      </w:r>
      <w:r w:rsidR="00E14E64" w:rsidRPr="009111FB">
        <w:rPr>
          <w:b/>
          <w:bCs/>
        </w:rPr>
        <w:t>„</w:t>
      </w:r>
      <w:r w:rsidR="00F24C3D" w:rsidRPr="009111FB">
        <w:rPr>
          <w:b/>
          <w:bCs/>
        </w:rPr>
        <w:t>Nákup nových jednoduchých výhybek a nové celé křižovatkové výhybky pro OŘ PHA</w:t>
      </w:r>
      <w:r w:rsidR="009111FB" w:rsidRPr="009111FB">
        <w:rPr>
          <w:b/>
          <w:bCs/>
        </w:rPr>
        <w:t>“</w:t>
      </w:r>
      <w:r w:rsidR="009111FB">
        <w:rPr>
          <w:b/>
          <w:bCs/>
        </w:rPr>
        <w:t xml:space="preserve">, </w:t>
      </w:r>
      <w:r w:rsidR="009111FB" w:rsidRPr="009111FB">
        <w:t>ev.</w:t>
      </w:r>
      <w:r w:rsidRPr="009111FB">
        <w:t xml:space="preserve"> č. veřejné zakázky ve věstníku veřejných zakázek: </w:t>
      </w:r>
      <w:r w:rsidR="009111FB" w:rsidRPr="009111FB">
        <w:rPr>
          <w:highlight w:val="green"/>
        </w:rPr>
        <w:t xml:space="preserve">[DOPLNÍ PRODÁVAJÍCÍ před podpisem smlouvy na základě informace kupujícího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5EBEE980" w:rsidR="00D85C5B" w:rsidRPr="009111FB" w:rsidRDefault="00D85C5B" w:rsidP="004471B6">
      <w:pPr>
        <w:pStyle w:val="11odst"/>
      </w:pPr>
      <w:r w:rsidRPr="009111FB">
        <w:t xml:space="preserve">Předmětem koupě je </w:t>
      </w:r>
      <w:r w:rsidR="009111FB" w:rsidRPr="009111FB">
        <w:t>nákup nových šesti kusů jednoduchých výhybek a jedné celé křižovatkové výhybky</w:t>
      </w:r>
      <w:r w:rsidR="009111FB">
        <w:t>,</w:t>
      </w:r>
      <w:r w:rsidR="009111FB" w:rsidRPr="009111FB">
        <w:t xml:space="preserve"> včetně dodání všech komponentů</w:t>
      </w:r>
    </w:p>
    <w:p w14:paraId="01CA54BB" w14:textId="01314F4E" w:rsidR="00D85C5B" w:rsidRPr="009111FB" w:rsidRDefault="00D85C5B" w:rsidP="004471B6">
      <w:pPr>
        <w:pStyle w:val="11odst"/>
      </w:pPr>
      <w:r w:rsidRPr="009111FB">
        <w:t xml:space="preserve">Přesná specifikace je uvedena v příloze č. </w:t>
      </w:r>
      <w:r w:rsidR="00411489">
        <w:t>2</w:t>
      </w:r>
      <w:r w:rsidR="009111FB" w:rsidRPr="009111FB">
        <w:t xml:space="preserve"> </w:t>
      </w:r>
      <w:r w:rsidRPr="009111FB">
        <w:t xml:space="preserve">této </w:t>
      </w:r>
      <w:r w:rsidR="008B1447" w:rsidRPr="009111FB">
        <w:t>Sml</w:t>
      </w:r>
      <w:r w:rsidRPr="009111FB">
        <w:t>ouvy.</w:t>
      </w:r>
    </w:p>
    <w:p w14:paraId="4A214B1F" w14:textId="482B4605" w:rsidR="00D85C5B" w:rsidRDefault="00D85C5B" w:rsidP="004471B6">
      <w:pPr>
        <w:pStyle w:val="11odst"/>
      </w:pPr>
      <w:r w:rsidRPr="009111F8">
        <w:t xml:space="preserve">Předmět koupě musí splňovat podmínky stanovené </w:t>
      </w:r>
      <w:r w:rsidR="009111F8" w:rsidRPr="009111F8">
        <w:t xml:space="preserve">Kupujícím </w:t>
      </w:r>
      <w:r w:rsidRPr="009111F8">
        <w:t xml:space="preserve">uvedenými v příloze </w:t>
      </w:r>
      <w:r w:rsidR="00E14E64" w:rsidRPr="009111F8">
        <w:t>č</w:t>
      </w:r>
      <w:r w:rsidR="009111F8" w:rsidRPr="009111F8">
        <w:t xml:space="preserve">. 2 </w:t>
      </w:r>
      <w:r w:rsidRPr="009111F8">
        <w:t xml:space="preserve">této </w:t>
      </w:r>
      <w:r w:rsidR="008B1447" w:rsidRPr="009111F8">
        <w:t>Sml</w:t>
      </w:r>
      <w:r w:rsidRPr="009111F8">
        <w:t>ouvy.</w:t>
      </w:r>
    </w:p>
    <w:p w14:paraId="487200DA" w14:textId="77777777" w:rsidR="009111F8" w:rsidRPr="009111F8" w:rsidRDefault="009111F8" w:rsidP="009111F8">
      <w:pPr>
        <w:pStyle w:val="11odst"/>
        <w:numPr>
          <w:ilvl w:val="0"/>
          <w:numId w:val="0"/>
        </w:numPr>
        <w:ind w:left="680"/>
      </w:pP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5FB28917" w:rsidR="00C24C30" w:rsidRPr="007D530C" w:rsidRDefault="0023570E" w:rsidP="004471B6">
      <w:pPr>
        <w:pStyle w:val="11odst"/>
      </w:pPr>
      <w:r w:rsidRPr="007D530C">
        <w:t xml:space="preserve">Cena předmětu koupě je uvedena v příloze č. </w:t>
      </w:r>
      <w:r w:rsidR="007D530C" w:rsidRPr="007D530C">
        <w:t>5</w:t>
      </w:r>
      <w:r w:rsidRPr="007D530C">
        <w:t xml:space="preserve"> této Smlouvy.</w:t>
      </w:r>
    </w:p>
    <w:p w14:paraId="47A205F7" w14:textId="73C6CF15" w:rsidR="002B20CA" w:rsidRPr="007D530C" w:rsidRDefault="007F5EC4" w:rsidP="004471B6">
      <w:pPr>
        <w:pStyle w:val="11odst"/>
      </w:pPr>
      <w:r w:rsidRPr="007D530C">
        <w:t xml:space="preserve">Kupní cena bude uhrazena na základě </w:t>
      </w:r>
      <w:r w:rsidR="007D530C" w:rsidRPr="007D530C">
        <w:t>Dodacího listu</w:t>
      </w:r>
      <w:r w:rsidRPr="007D530C">
        <w:t xml:space="preserve"> podepsaného oběma </w:t>
      </w:r>
      <w:r w:rsidR="008B1447" w:rsidRPr="007D530C">
        <w:t>Sml</w:t>
      </w:r>
      <w:r w:rsidRPr="007D530C">
        <w:t>uvními stranami</w:t>
      </w:r>
      <w:r w:rsidR="007D530C" w:rsidRPr="007D530C">
        <w:t xml:space="preserve">. 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66A3A1F6" w:rsidR="00D85C5B" w:rsidRPr="007D530C" w:rsidRDefault="00D85C5B" w:rsidP="004471B6">
      <w:pPr>
        <w:pStyle w:val="11odst"/>
      </w:pPr>
      <w:r w:rsidRPr="007D530C">
        <w:t xml:space="preserve">Místo dodání je </w:t>
      </w:r>
      <w:proofErr w:type="spellStart"/>
      <w:r w:rsidR="007D530C" w:rsidRPr="007D530C">
        <w:t>žst</w:t>
      </w:r>
      <w:proofErr w:type="spellEnd"/>
      <w:r w:rsidR="007D530C" w:rsidRPr="007D530C">
        <w:t>. Uhlířské Janovice.</w:t>
      </w:r>
    </w:p>
    <w:p w14:paraId="5115D35D" w14:textId="07466E1E" w:rsidR="00D85C5B" w:rsidRPr="007D530C" w:rsidRDefault="00D85C5B" w:rsidP="007D530C">
      <w:pPr>
        <w:pStyle w:val="11odst"/>
      </w:pPr>
      <w:r w:rsidRPr="007D530C">
        <w:t xml:space="preserve">Předmět koupě bude dodán do </w:t>
      </w:r>
      <w:r w:rsidR="007D530C" w:rsidRPr="007D530C">
        <w:t>1.10. – 30.11.2025 (termín bude upřesněn nejpozději do 1.9.2025).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3776C210" w14:textId="77777777" w:rsidR="00D85C5B" w:rsidRDefault="00D85C5B" w:rsidP="004471B6">
      <w:pPr>
        <w:pStyle w:val="11odst"/>
      </w:pPr>
      <w:r w:rsidRPr="00B0580D">
        <w:t>Speciální balení se nevyžaduje.</w:t>
      </w:r>
    </w:p>
    <w:p w14:paraId="4ABC2326" w14:textId="4BDB115F" w:rsidR="00B0580D" w:rsidRPr="00321C83" w:rsidRDefault="00B0580D" w:rsidP="004471B6">
      <w:pPr>
        <w:pStyle w:val="11odst"/>
      </w:pPr>
      <w:r w:rsidRPr="00321C83">
        <w:t>Dopravu předmětu koupě do místa dodání zajišťuje prodávající a složení dodaného materiálu zajišťuje kupující.</w:t>
      </w:r>
    </w:p>
    <w:p w14:paraId="5A9D276B" w14:textId="77777777" w:rsidR="00B0580D" w:rsidRPr="000C05B0" w:rsidRDefault="00B0580D" w:rsidP="00B0580D">
      <w:pPr>
        <w:pStyle w:val="11odst"/>
      </w:pPr>
      <w:r w:rsidRPr="000C05B0">
        <w:t>Prodávající je povinen do pěti dnů ode dne nabytí účinnosti smlouvy předložit kupujícímu Pojištění odpovědnosti za škodu způsobenou Prodávajícím při výkonu podnikatelské činnosti třetím osobám, a to minimálně 5 mil. Kč za jednu pojistnou událost a 5 mil. Kč v úhrnu za rok.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2B5283CF" w:rsidR="00D85C5B" w:rsidRPr="007D530C" w:rsidRDefault="007D530C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D530C">
        <w:rPr>
          <w:rFonts w:eastAsia="Times New Roman" w:cs="Times New Roman"/>
          <w:lang w:eastAsia="cs-CZ"/>
        </w:rPr>
        <w:t>Není požadováno.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13A8981E" w:rsidR="009146AF" w:rsidRDefault="00B0580D" w:rsidP="00B0580D">
      <w:pPr>
        <w:pStyle w:val="11odst"/>
        <w:numPr>
          <w:ilvl w:val="1"/>
          <w:numId w:val="18"/>
        </w:numPr>
        <w:ind w:left="680" w:hanging="680"/>
      </w:pPr>
      <w:r>
        <w:t>Záruční doba na dodaný materiál je požadována v délce minimálně 36 měsíců od data vložení do provozované koleje, kdy vložení bude provedeno nejpozději do 210 kalendářních dní od data dodání.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1F2AAA3A" w14:textId="11E99343" w:rsidR="00A33BB9" w:rsidRPr="00B0580D" w:rsidRDefault="008A1F85" w:rsidP="00B0580D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B0580D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B0580D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FD0A31">
        <w:rPr>
          <w:highlight w:val="green"/>
        </w:rPr>
        <w:t xml:space="preserve">v </w:t>
      </w:r>
      <w:r w:rsidR="008A08E7" w:rsidRPr="0019622E">
        <w:rPr>
          <w:highlight w:val="green"/>
        </w:rPr>
        <w:t>seznamu příloh</w:t>
      </w:r>
      <w:r>
        <w:rPr>
          <w:highlight w:val="green"/>
        </w:rPr>
        <w:t xml:space="preserve"> </w:t>
      </w:r>
      <w:r w:rsidR="00FD0A31">
        <w:rPr>
          <w:highlight w:val="green"/>
        </w:rPr>
        <w:t xml:space="preserve">u </w:t>
      </w:r>
      <w:r>
        <w:rPr>
          <w:highlight w:val="green"/>
        </w:rPr>
        <w:t>příloh</w:t>
      </w:r>
      <w:r w:rsidR="00FD0A31">
        <w:rPr>
          <w:highlight w:val="green"/>
        </w:rPr>
        <w:t>y</w:t>
      </w:r>
      <w:r>
        <w:rPr>
          <w:highlight w:val="green"/>
        </w:rPr>
        <w:t xml:space="preserve"> „Poddodavatelé“</w:t>
      </w:r>
      <w:r w:rsidR="00FD0A31">
        <w:rPr>
          <w:highlight w:val="green"/>
        </w:rPr>
        <w:t xml:space="preserve"> uvede NOEBSAZENO</w:t>
      </w:r>
      <w:r>
        <w:rPr>
          <w:highlight w:val="green"/>
        </w:rPr>
        <w:t>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1113075F" w14:textId="77777777" w:rsidR="009111F8" w:rsidRPr="005D0A74" w:rsidRDefault="00D85C5B" w:rsidP="004471B6">
      <w:pPr>
        <w:pStyle w:val="111odst"/>
      </w:pPr>
      <w:r w:rsidRPr="005D0A74">
        <w:t>za Kupujícího</w:t>
      </w:r>
      <w:r w:rsidR="009111F8" w:rsidRPr="005D0A74">
        <w:t xml:space="preserve">: </w:t>
      </w:r>
    </w:p>
    <w:p w14:paraId="3AA9973F" w14:textId="0AD16E1C" w:rsidR="009111F8" w:rsidRPr="009111F8" w:rsidRDefault="009111F8" w:rsidP="009111F8">
      <w:pPr>
        <w:pStyle w:val="Nadpis1"/>
        <w:numPr>
          <w:ilvl w:val="0"/>
          <w:numId w:val="0"/>
        </w:numPr>
        <w:ind w:left="680"/>
        <w:rPr>
          <w:b w:val="0"/>
          <w:bCs/>
          <w:color w:val="000000" w:themeColor="text1"/>
        </w:rPr>
      </w:pPr>
      <w:r w:rsidRPr="009111F8">
        <w:rPr>
          <w:rFonts w:cs="Arial"/>
          <w:b w:val="0"/>
          <w:bCs/>
        </w:rPr>
        <w:t>Bohumil Zimola</w:t>
      </w:r>
      <w:r>
        <w:rPr>
          <w:rFonts w:cs="Arial"/>
          <w:b w:val="0"/>
          <w:bCs/>
        </w:rPr>
        <w:t xml:space="preserve">, </w:t>
      </w:r>
      <w:r w:rsidRPr="009111F8">
        <w:rPr>
          <w:b w:val="0"/>
          <w:bCs/>
        </w:rPr>
        <w:t>přednost</w:t>
      </w:r>
      <w:r>
        <w:rPr>
          <w:b w:val="0"/>
          <w:bCs/>
        </w:rPr>
        <w:t>a</w:t>
      </w:r>
      <w:r w:rsidRPr="009111F8">
        <w:rPr>
          <w:b w:val="0"/>
          <w:bCs/>
        </w:rPr>
        <w:t xml:space="preserve"> ST </w:t>
      </w:r>
      <w:proofErr w:type="spellStart"/>
      <w:r w:rsidRPr="009111F8">
        <w:rPr>
          <w:b w:val="0"/>
          <w:bCs/>
        </w:rPr>
        <w:t>P</w:t>
      </w:r>
      <w:r>
        <w:rPr>
          <w:b w:val="0"/>
          <w:bCs/>
        </w:rPr>
        <w:t>v</w:t>
      </w:r>
      <w:proofErr w:type="spellEnd"/>
      <w:r>
        <w:rPr>
          <w:b w:val="0"/>
          <w:bCs/>
        </w:rPr>
        <w:t xml:space="preserve">, </w:t>
      </w:r>
      <w:r w:rsidRPr="009111F8">
        <w:rPr>
          <w:rFonts w:cs="Arial"/>
          <w:b w:val="0"/>
          <w:bCs/>
        </w:rPr>
        <w:t>tel</w:t>
      </w:r>
      <w:r>
        <w:rPr>
          <w:rFonts w:cs="Arial"/>
          <w:b w:val="0"/>
          <w:bCs/>
        </w:rPr>
        <w:t>.</w:t>
      </w:r>
      <w:r w:rsidRPr="009111F8">
        <w:rPr>
          <w:rFonts w:cs="Arial"/>
          <w:b w:val="0"/>
          <w:bCs/>
        </w:rPr>
        <w:t xml:space="preserve">: </w:t>
      </w:r>
      <w:r w:rsidRPr="009111F8">
        <w:rPr>
          <w:b w:val="0"/>
          <w:bCs/>
          <w:color w:val="000000" w:themeColor="text1"/>
        </w:rPr>
        <w:t>606 419</w:t>
      </w:r>
      <w:r>
        <w:rPr>
          <w:b w:val="0"/>
          <w:bCs/>
          <w:color w:val="000000" w:themeColor="text1"/>
        </w:rPr>
        <w:t> </w:t>
      </w:r>
      <w:r w:rsidRPr="009111F8">
        <w:rPr>
          <w:b w:val="0"/>
          <w:bCs/>
          <w:color w:val="000000" w:themeColor="text1"/>
        </w:rPr>
        <w:t>951</w:t>
      </w:r>
      <w:r>
        <w:rPr>
          <w:b w:val="0"/>
          <w:bCs/>
          <w:color w:val="000000" w:themeColor="text1"/>
        </w:rPr>
        <w:t xml:space="preserve">, e-mail: </w:t>
      </w:r>
      <w:r w:rsidR="000C4600">
        <w:rPr>
          <w:b w:val="0"/>
          <w:bCs/>
          <w:color w:val="000000" w:themeColor="text1"/>
        </w:rPr>
        <w:t>Z</w:t>
      </w:r>
      <w:r>
        <w:rPr>
          <w:b w:val="0"/>
          <w:bCs/>
          <w:color w:val="000000" w:themeColor="text1"/>
        </w:rPr>
        <w:t>imola@spravazeleznic.cz;</w:t>
      </w:r>
    </w:p>
    <w:p w14:paraId="171C2102" w14:textId="22C68BA4" w:rsidR="009111F8" w:rsidRDefault="009111F8" w:rsidP="009111F8">
      <w:pPr>
        <w:pStyle w:val="Nadpis1"/>
        <w:numPr>
          <w:ilvl w:val="0"/>
          <w:numId w:val="0"/>
        </w:numPr>
        <w:ind w:left="680"/>
        <w:rPr>
          <w:b w:val="0"/>
          <w:bCs/>
        </w:rPr>
      </w:pPr>
      <w:r w:rsidRPr="009111F8">
        <w:rPr>
          <w:b w:val="0"/>
          <w:bCs/>
        </w:rPr>
        <w:t>Michal Kühn</w:t>
      </w:r>
      <w:r>
        <w:rPr>
          <w:b w:val="0"/>
          <w:bCs/>
        </w:rPr>
        <w:t xml:space="preserve">, </w:t>
      </w:r>
      <w:r w:rsidRPr="009111F8">
        <w:rPr>
          <w:b w:val="0"/>
          <w:bCs/>
        </w:rPr>
        <w:t xml:space="preserve">VPO ST </w:t>
      </w:r>
      <w:proofErr w:type="spellStart"/>
      <w:r w:rsidRPr="009111F8">
        <w:rPr>
          <w:b w:val="0"/>
          <w:bCs/>
        </w:rPr>
        <w:t>P</w:t>
      </w:r>
      <w:r>
        <w:rPr>
          <w:b w:val="0"/>
          <w:bCs/>
        </w:rPr>
        <w:t>v</w:t>
      </w:r>
      <w:proofErr w:type="spellEnd"/>
      <w:r>
        <w:rPr>
          <w:b w:val="0"/>
          <w:bCs/>
        </w:rPr>
        <w:t xml:space="preserve">, </w:t>
      </w:r>
      <w:r w:rsidRPr="009111F8">
        <w:rPr>
          <w:b w:val="0"/>
          <w:bCs/>
        </w:rPr>
        <w:t>tel</w:t>
      </w:r>
      <w:r>
        <w:rPr>
          <w:b w:val="0"/>
          <w:bCs/>
        </w:rPr>
        <w:t>.</w:t>
      </w:r>
      <w:r w:rsidRPr="009111F8">
        <w:rPr>
          <w:b w:val="0"/>
          <w:bCs/>
        </w:rPr>
        <w:t>: 724 278</w:t>
      </w:r>
      <w:r>
        <w:rPr>
          <w:b w:val="0"/>
          <w:bCs/>
        </w:rPr>
        <w:t> </w:t>
      </w:r>
      <w:r w:rsidRPr="009111F8">
        <w:rPr>
          <w:b w:val="0"/>
          <w:bCs/>
        </w:rPr>
        <w:t>636</w:t>
      </w:r>
      <w:r>
        <w:rPr>
          <w:b w:val="0"/>
          <w:bCs/>
        </w:rPr>
        <w:t xml:space="preserve">, </w:t>
      </w:r>
      <w:r>
        <w:rPr>
          <w:b w:val="0"/>
          <w:bCs/>
          <w:color w:val="000000" w:themeColor="text1"/>
        </w:rPr>
        <w:t xml:space="preserve">e-mail: </w:t>
      </w:r>
      <w:r w:rsidR="000C4600">
        <w:rPr>
          <w:b w:val="0"/>
          <w:bCs/>
          <w:color w:val="000000" w:themeColor="text1"/>
        </w:rPr>
        <w:t>Kuhn</w:t>
      </w:r>
      <w:r>
        <w:rPr>
          <w:b w:val="0"/>
          <w:bCs/>
          <w:color w:val="000000" w:themeColor="text1"/>
        </w:rPr>
        <w:t>@spravazeleznic.cz;</w:t>
      </w:r>
    </w:p>
    <w:p w14:paraId="04A8EF3F" w14:textId="242F5541" w:rsidR="00D85C5B" w:rsidRPr="000C4600" w:rsidRDefault="009111F8" w:rsidP="000C4600">
      <w:pPr>
        <w:spacing w:before="0" w:after="60"/>
        <w:ind w:right="-87"/>
        <w:jc w:val="left"/>
        <w:rPr>
          <w:rFonts w:cs="Arial"/>
        </w:rPr>
      </w:pPr>
      <w:r>
        <w:rPr>
          <w:rFonts w:cs="Arial"/>
        </w:rPr>
        <w:t xml:space="preserve">           </w:t>
      </w:r>
      <w:r w:rsidRPr="009111F8">
        <w:rPr>
          <w:rFonts w:cs="Arial"/>
        </w:rPr>
        <w:t xml:space="preserve">Martin Jelínek, </w:t>
      </w:r>
      <w:proofErr w:type="spellStart"/>
      <w:r w:rsidRPr="009111F8">
        <w:rPr>
          <w:rFonts w:cs="Arial"/>
        </w:rPr>
        <w:t>ved</w:t>
      </w:r>
      <w:proofErr w:type="spellEnd"/>
      <w:r w:rsidR="000C4600">
        <w:rPr>
          <w:rFonts w:cs="Arial"/>
        </w:rPr>
        <w:t xml:space="preserve">. </w:t>
      </w:r>
      <w:r w:rsidRPr="009111F8">
        <w:rPr>
          <w:rFonts w:cs="Arial"/>
        </w:rPr>
        <w:t xml:space="preserve">TO Kácov, tel.: </w:t>
      </w:r>
      <w:r w:rsidRPr="009111F8">
        <w:rPr>
          <w:rFonts w:cs="Arial"/>
          <w:color w:val="000000" w:themeColor="text1"/>
        </w:rPr>
        <w:t>724 865</w:t>
      </w:r>
      <w:r w:rsidR="000C4600">
        <w:rPr>
          <w:rFonts w:cs="Arial"/>
          <w:color w:val="000000" w:themeColor="text1"/>
        </w:rPr>
        <w:t> </w:t>
      </w:r>
      <w:r w:rsidRPr="009111F8">
        <w:rPr>
          <w:rFonts w:cs="Arial"/>
          <w:color w:val="000000" w:themeColor="text1"/>
        </w:rPr>
        <w:t>947</w:t>
      </w:r>
      <w:r w:rsidR="000C4600">
        <w:rPr>
          <w:rFonts w:cs="Arial"/>
          <w:color w:val="000000" w:themeColor="text1"/>
        </w:rPr>
        <w:t>, e-mail: JelinekM</w:t>
      </w:r>
      <w:r w:rsidR="000C4600" w:rsidRPr="000C4600">
        <w:rPr>
          <w:color w:val="000000" w:themeColor="text1"/>
        </w:rPr>
        <w:t>@spravazeleznic.cz;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lastRenderedPageBreak/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0121E99A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 xml:space="preserve">. § 2 odst. 1 písm. c) Zákona o střetu zájmů nebo jím ovládaná osoba vlastní podíl představující alespoň </w:t>
      </w:r>
      <w:r w:rsidR="00321C83">
        <w:br/>
      </w:r>
      <w:r w:rsidRPr="00483C85">
        <w:t>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Pr="005D0A74">
        <w:t>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5D0A74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57D80BCE" w:rsidR="00D85C5B" w:rsidRPr="009146AF" w:rsidRDefault="005D0A74" w:rsidP="005D0A74">
      <w:pPr>
        <w:pStyle w:val="11odst"/>
      </w:pPr>
      <w:r>
        <w:rPr>
          <w:rFonts w:eastAsia="Verdana"/>
          <w:noProof/>
        </w:rPr>
        <w:t xml:space="preserve">Tato smlouva je vyhotovena ve 3 (třech) stejnopisech s příslušnými přílohami, které jsou její nedílnou součástí. Každé vyhotovení má platnost originálu. Po podpisu obou smluvních stran Kupující obdrží dvě vyhotovení </w:t>
      </w:r>
      <w:r>
        <w:t>a jedno obdrží Prodávající.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6EAA5D03" w14:textId="77777777" w:rsidR="005D0A74" w:rsidRDefault="008B1447" w:rsidP="004471B6">
      <w:pPr>
        <w:pStyle w:val="11odst"/>
      </w:pPr>
      <w:r w:rsidRPr="009111FB">
        <w:t>Tato S</w:t>
      </w:r>
      <w:r w:rsidR="00D85C5B" w:rsidRPr="009111FB">
        <w:t xml:space="preserve">mlouva nabývá platnosti okamžikem podpisu poslední ze </w:t>
      </w:r>
      <w:r w:rsidR="00FB5045" w:rsidRPr="009111FB">
        <w:t>Sml</w:t>
      </w:r>
      <w:r w:rsidR="00D85C5B" w:rsidRPr="009111FB">
        <w:t>uvních stran. Je-li Smlouva uveřejňována v registru smluv, nabývá účinnosti dnem uveřejnění v registru smluv, jinak je účinná od okamžiku uzavření.</w:t>
      </w:r>
    </w:p>
    <w:p w14:paraId="51D3CE33" w14:textId="27C5E9E2" w:rsidR="00D85C5B" w:rsidRPr="000C5DA0" w:rsidRDefault="00D85C5B" w:rsidP="005D0A74">
      <w:pPr>
        <w:pStyle w:val="11odst"/>
        <w:numPr>
          <w:ilvl w:val="0"/>
          <w:numId w:val="0"/>
        </w:numPr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15B2AFC3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9111FB">
        <w:rPr>
          <w:rFonts w:eastAsia="Times New Roman" w:cs="Times New Roman"/>
          <w:lang w:eastAsia="cs-CZ"/>
        </w:rPr>
        <w:t xml:space="preserve">příloha č. </w:t>
      </w:r>
      <w:r w:rsidR="00013A77" w:rsidRPr="009111FB">
        <w:rPr>
          <w:rFonts w:eastAsia="Times New Roman" w:cs="Times New Roman"/>
          <w:lang w:eastAsia="cs-CZ"/>
        </w:rPr>
        <w:t>2</w:t>
      </w:r>
      <w:r w:rsidRPr="009111FB">
        <w:rPr>
          <w:rFonts w:eastAsia="Times New Roman" w:cs="Times New Roman"/>
          <w:lang w:eastAsia="cs-CZ"/>
        </w:rPr>
        <w:t>:</w:t>
      </w:r>
      <w:r w:rsidRPr="009111FB">
        <w:rPr>
          <w:rFonts w:eastAsia="Times New Roman" w:cs="Times New Roman"/>
          <w:lang w:eastAsia="cs-CZ"/>
        </w:rPr>
        <w:tab/>
      </w:r>
      <w:r w:rsidR="009111FB" w:rsidRPr="009111FB">
        <w:rPr>
          <w:rFonts w:eastAsia="Times New Roman" w:cs="Times New Roman"/>
          <w:lang w:eastAsia="cs-CZ"/>
        </w:rPr>
        <w:t>Technická s</w:t>
      </w:r>
      <w:r w:rsidRPr="009111FB">
        <w:rPr>
          <w:rFonts w:eastAsia="Times New Roman" w:cs="Times New Roman"/>
          <w:lang w:eastAsia="cs-CZ"/>
        </w:rPr>
        <w:t xml:space="preserve">pecifikace předmětu </w:t>
      </w:r>
      <w:r w:rsidR="00875BEE" w:rsidRPr="009111FB">
        <w:rPr>
          <w:rFonts w:eastAsia="Times New Roman" w:cs="Times New Roman"/>
          <w:lang w:eastAsia="cs-CZ"/>
        </w:rPr>
        <w:t>koupě – požadavky</w:t>
      </w:r>
      <w:r w:rsidR="008A08E7" w:rsidRPr="009111FB">
        <w:rPr>
          <w:rFonts w:eastAsia="Times New Roman" w:cs="Times New Roman"/>
          <w:lang w:eastAsia="cs-CZ"/>
        </w:rPr>
        <w:t xml:space="preserve"> </w:t>
      </w:r>
      <w:r w:rsidR="00875BEE" w:rsidRPr="009111FB">
        <w:rPr>
          <w:rFonts w:eastAsia="Times New Roman" w:cs="Times New Roman"/>
          <w:lang w:eastAsia="cs-CZ"/>
        </w:rPr>
        <w:t>K</w:t>
      </w:r>
      <w:r w:rsidR="008A08E7" w:rsidRPr="009111FB">
        <w:rPr>
          <w:rFonts w:eastAsia="Times New Roman" w:cs="Times New Roman"/>
          <w:lang w:eastAsia="cs-CZ"/>
        </w:rPr>
        <w:t>upujícího</w:t>
      </w:r>
    </w:p>
    <w:p w14:paraId="3FA3461E" w14:textId="302693CC" w:rsidR="008A08E7" w:rsidRDefault="008A08E7">
      <w:pPr>
        <w:pStyle w:val="Plohy"/>
        <w:rPr>
          <w:rFonts w:asciiTheme="majorHAnsi" w:hAnsiTheme="majorHAnsi"/>
          <w:noProof/>
        </w:rPr>
      </w:pPr>
      <w:r w:rsidRPr="00391C34">
        <w:rPr>
          <w:rFonts w:eastAsia="Times New Roman" w:cs="Times New Roman"/>
          <w:lang w:eastAsia="cs-CZ"/>
        </w:rPr>
        <w:t>příloha č. 3:</w:t>
      </w:r>
      <w:r w:rsidRPr="00391C34">
        <w:rPr>
          <w:rFonts w:eastAsia="Times New Roman" w:cs="Times New Roman"/>
          <w:lang w:eastAsia="cs-CZ"/>
        </w:rPr>
        <w:tab/>
      </w:r>
      <w:r w:rsidR="00391C34" w:rsidRPr="00391C34">
        <w:rPr>
          <w:rFonts w:eastAsia="Times New Roman" w:cs="Times New Roman"/>
          <w:lang w:eastAsia="cs-CZ"/>
        </w:rPr>
        <w:t xml:space="preserve">ČP o splnění požadovaných technických parametrů </w:t>
      </w:r>
    </w:p>
    <w:p w14:paraId="6CBDF8A3" w14:textId="4D46E6D7" w:rsidR="00875BEE" w:rsidRPr="009111FB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9111FB">
        <w:rPr>
          <w:rFonts w:eastAsia="Times New Roman" w:cs="Times New Roman"/>
          <w:lang w:eastAsia="cs-CZ"/>
        </w:rPr>
        <w:t>příloha č. 4</w:t>
      </w:r>
      <w:r w:rsidR="008A1F85" w:rsidRPr="009111FB">
        <w:rPr>
          <w:rFonts w:eastAsia="Times New Roman" w:cs="Times New Roman"/>
          <w:lang w:eastAsia="cs-CZ"/>
        </w:rPr>
        <w:t>:</w:t>
      </w:r>
      <w:r w:rsidRPr="009111FB">
        <w:rPr>
          <w:rFonts w:eastAsia="Times New Roman" w:cs="Times New Roman"/>
          <w:lang w:eastAsia="cs-CZ"/>
        </w:rPr>
        <w:tab/>
      </w:r>
      <w:r w:rsidR="008A1F85" w:rsidRPr="009111FB">
        <w:rPr>
          <w:rFonts w:eastAsia="Times New Roman" w:cs="Times New Roman"/>
          <w:lang w:eastAsia="cs-CZ"/>
        </w:rPr>
        <w:t>Poddodavatelé</w:t>
      </w:r>
    </w:p>
    <w:p w14:paraId="2059A163" w14:textId="0CFA6398" w:rsidR="008A08E7" w:rsidRPr="009111FB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111FB">
        <w:rPr>
          <w:rFonts w:eastAsia="Times New Roman" w:cs="Times New Roman"/>
          <w:lang w:eastAsia="cs-CZ"/>
        </w:rPr>
        <w:t xml:space="preserve">příloha č. </w:t>
      </w:r>
      <w:r w:rsidR="00875BEE" w:rsidRPr="009111FB">
        <w:rPr>
          <w:rFonts w:eastAsia="Times New Roman" w:cs="Times New Roman"/>
          <w:lang w:eastAsia="cs-CZ"/>
        </w:rPr>
        <w:t>5</w:t>
      </w:r>
      <w:r w:rsidRPr="009111FB">
        <w:rPr>
          <w:rFonts w:eastAsia="Times New Roman" w:cs="Times New Roman"/>
          <w:lang w:eastAsia="cs-CZ"/>
        </w:rPr>
        <w:t>:</w:t>
      </w:r>
      <w:r w:rsidRPr="009111FB">
        <w:rPr>
          <w:rFonts w:eastAsia="Times New Roman" w:cs="Times New Roman"/>
          <w:lang w:eastAsia="cs-CZ"/>
        </w:rPr>
        <w:tab/>
      </w:r>
      <w:r w:rsidR="009111FB" w:rsidRPr="009111FB">
        <w:rPr>
          <w:rFonts w:eastAsia="Times New Roman" w:cs="Times New Roman"/>
          <w:lang w:eastAsia="cs-CZ"/>
        </w:rPr>
        <w:t>Nabídkový c</w:t>
      </w:r>
      <w:r w:rsidR="008A08E7" w:rsidRPr="009111FB">
        <w:rPr>
          <w:rFonts w:eastAsia="Times New Roman" w:cs="Times New Roman"/>
          <w:lang w:eastAsia="cs-CZ"/>
        </w:rPr>
        <w:t>eník</w:t>
      </w:r>
    </w:p>
    <w:p w14:paraId="0BDC7A36" w14:textId="3B6F9B9E" w:rsidR="007D530C" w:rsidRPr="007D530C" w:rsidRDefault="007D530C" w:rsidP="007D530C">
      <w:pPr>
        <w:pStyle w:val="ZaKupujchoProdvajcho0"/>
        <w:spacing w:before="120" w:line="240" w:lineRule="auto"/>
      </w:pPr>
      <w:r w:rsidRPr="007D530C">
        <w:t xml:space="preserve">příloha č. </w:t>
      </w:r>
      <w:proofErr w:type="gramStart"/>
      <w:r w:rsidRPr="007D530C">
        <w:t xml:space="preserve">6:  </w:t>
      </w:r>
      <w:r w:rsidR="006354EB">
        <w:t xml:space="preserve"> </w:t>
      </w:r>
      <w:proofErr w:type="gramEnd"/>
      <w:r w:rsidR="006354EB">
        <w:t xml:space="preserve">  </w:t>
      </w:r>
      <w:r w:rsidRPr="007D530C">
        <w:t>Analýza nebezpečí a hodnocení rizik pracovních činností</w:t>
      </w:r>
    </w:p>
    <w:p w14:paraId="244910CF" w14:textId="77777777" w:rsidR="007D530C" w:rsidRPr="007D530C" w:rsidRDefault="007D530C" w:rsidP="007D530C">
      <w:pPr>
        <w:pStyle w:val="ZaKupujchoProdvajcho0"/>
        <w:spacing w:before="0" w:line="240" w:lineRule="auto"/>
      </w:pPr>
    </w:p>
    <w:p w14:paraId="2216889A" w14:textId="43B1D8B6" w:rsidR="007D530C" w:rsidRPr="007D530C" w:rsidRDefault="007D530C" w:rsidP="007D530C">
      <w:pPr>
        <w:pStyle w:val="ZaKupujchoProdvajcho0"/>
        <w:spacing w:before="0" w:line="240" w:lineRule="auto"/>
      </w:pPr>
      <w:r w:rsidRPr="007D530C">
        <w:t xml:space="preserve">příloha č. </w:t>
      </w:r>
      <w:proofErr w:type="gramStart"/>
      <w:r w:rsidRPr="007D530C">
        <w:t xml:space="preserve">7: </w:t>
      </w:r>
      <w:r w:rsidR="006354EB">
        <w:t xml:space="preserve"> </w:t>
      </w:r>
      <w:r w:rsidRPr="007D530C">
        <w:t xml:space="preserve"> </w:t>
      </w:r>
      <w:proofErr w:type="gramEnd"/>
      <w:r w:rsidR="006354EB">
        <w:t xml:space="preserve"> </w:t>
      </w:r>
      <w:r w:rsidRPr="007D530C">
        <w:t>Opatření pro postup v případě anonymního oznámení o NVS</w:t>
      </w:r>
    </w:p>
    <w:p w14:paraId="558346A6" w14:textId="6F4DC7CC" w:rsidR="007D530C" w:rsidRPr="007D530C" w:rsidRDefault="007D530C" w:rsidP="007D530C">
      <w:pPr>
        <w:pStyle w:val="ZaKupujchoProdvajcho0"/>
        <w:spacing w:before="120" w:line="240" w:lineRule="auto"/>
      </w:pPr>
      <w:r w:rsidRPr="007D530C">
        <w:t xml:space="preserve">příloha č. </w:t>
      </w:r>
      <w:proofErr w:type="gramStart"/>
      <w:r w:rsidRPr="007D530C">
        <w:t xml:space="preserve">8:   </w:t>
      </w:r>
      <w:proofErr w:type="gramEnd"/>
      <w:r w:rsidR="006354EB">
        <w:t xml:space="preserve"> </w:t>
      </w:r>
      <w:r w:rsidRPr="007D530C">
        <w:t>Údaje o společnosti dodavatelů podávajících nabídku společně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0BE3DFAA" w14:textId="77777777" w:rsidR="009111FB" w:rsidRPr="009111FB" w:rsidRDefault="009111FB" w:rsidP="009111FB">
      <w:pPr>
        <w:widowControl w:val="0"/>
        <w:spacing w:before="0" w:after="0"/>
        <w:rPr>
          <w:rFonts w:ascii="Verdana" w:eastAsia="Verdana" w:hAnsi="Verdana" w:cs="Times New Roman"/>
          <w:b/>
        </w:rPr>
      </w:pPr>
      <w:r w:rsidRPr="009111FB">
        <w:rPr>
          <w:rFonts w:ascii="Verdana" w:eastAsia="Verdana" w:hAnsi="Verdana" w:cs="Times New Roman"/>
          <w:b/>
        </w:rPr>
        <w:t xml:space="preserve">Ing. Vladimír Filip                                                </w:t>
      </w:r>
      <w:proofErr w:type="gramStart"/>
      <w:r w:rsidRPr="009111FB">
        <w:rPr>
          <w:rFonts w:ascii="Verdana" w:eastAsia="Verdana" w:hAnsi="Verdana" w:cs="Times New Roman"/>
          <w:b/>
        </w:rPr>
        <w:t xml:space="preserve">   </w:t>
      </w:r>
      <w:r w:rsidRPr="009111FB">
        <w:rPr>
          <w:rFonts w:ascii="Verdana" w:eastAsia="Verdana" w:hAnsi="Verdana" w:cs="Times New Roman"/>
          <w:b/>
          <w:highlight w:val="green"/>
        </w:rPr>
        <w:t>[</w:t>
      </w:r>
      <w:proofErr w:type="gramEnd"/>
      <w:r w:rsidRPr="009111FB">
        <w:rPr>
          <w:rFonts w:ascii="Verdana" w:eastAsia="Verdana" w:hAnsi="Verdana" w:cs="Times New Roman"/>
          <w:b/>
          <w:highlight w:val="green"/>
        </w:rPr>
        <w:t>DOPLNÍ PRODÁVAJÍCÍ]</w:t>
      </w:r>
    </w:p>
    <w:p w14:paraId="4008406B" w14:textId="77777777" w:rsidR="009111FB" w:rsidRPr="009111FB" w:rsidRDefault="009111FB" w:rsidP="009111FB">
      <w:pPr>
        <w:widowControl w:val="0"/>
        <w:spacing w:before="0" w:after="0"/>
        <w:rPr>
          <w:rFonts w:ascii="Verdana" w:eastAsia="Verdana" w:hAnsi="Verdana" w:cs="Times New Roman"/>
        </w:rPr>
      </w:pPr>
      <w:r w:rsidRPr="009111FB">
        <w:rPr>
          <w:rFonts w:ascii="Verdana" w:eastAsia="Verdana" w:hAnsi="Verdana" w:cs="Times New Roman"/>
        </w:rPr>
        <w:t>ředitel Oblastního ředitelství Praha</w:t>
      </w:r>
    </w:p>
    <w:p w14:paraId="1942CC3A" w14:textId="179C238A" w:rsidR="00A349F7" w:rsidRDefault="009111FB" w:rsidP="009111FB">
      <w:pPr>
        <w:suppressAutoHyphens/>
        <w:spacing w:before="0" w:after="0" w:line="276" w:lineRule="auto"/>
        <w:rPr>
          <w:rFonts w:ascii="Verdana" w:eastAsia="Times New Roman" w:hAnsi="Verdana" w:cs="Calibri"/>
          <w:bCs/>
          <w:lang w:eastAsia="cs-CZ"/>
        </w:rPr>
      </w:pPr>
      <w:r w:rsidRPr="009111FB">
        <w:rPr>
          <w:rFonts w:ascii="Verdana" w:eastAsia="Times New Roman" w:hAnsi="Verdana" w:cs="Calibri"/>
          <w:bCs/>
          <w:lang w:eastAsia="cs-CZ"/>
        </w:rPr>
        <w:t>Správa železnic, státní organizace</w:t>
      </w:r>
    </w:p>
    <w:p w14:paraId="573568ED" w14:textId="77777777" w:rsidR="00411489" w:rsidRDefault="00411489" w:rsidP="009111FB">
      <w:pPr>
        <w:suppressAutoHyphens/>
        <w:spacing w:before="0" w:after="0" w:line="276" w:lineRule="auto"/>
        <w:rPr>
          <w:rFonts w:ascii="Verdana" w:eastAsia="Times New Roman" w:hAnsi="Verdana" w:cs="Calibri"/>
          <w:bCs/>
          <w:lang w:eastAsia="cs-CZ"/>
        </w:rPr>
      </w:pPr>
    </w:p>
    <w:p w14:paraId="6E515843" w14:textId="18476902" w:rsidR="00411489" w:rsidRPr="00411489" w:rsidRDefault="00411489" w:rsidP="00411489">
      <w:pPr>
        <w:suppressAutoHyphens/>
        <w:spacing w:before="0" w:after="0" w:line="276" w:lineRule="auto"/>
        <w:rPr>
          <w:rFonts w:eastAsia="Calibri" w:cs="Times New Roman"/>
          <w:bCs/>
        </w:rPr>
      </w:pPr>
      <w:r w:rsidRPr="00411489">
        <w:rPr>
          <w:rFonts w:eastAsia="Calibri" w:cs="Times New Roman"/>
          <w:bCs/>
        </w:rPr>
        <w:t xml:space="preserve">Tato </w:t>
      </w:r>
      <w:r w:rsidRPr="00411489">
        <w:rPr>
          <w:rFonts w:eastAsia="Calibri" w:cs="Times New Roman"/>
          <w:bCs/>
        </w:rPr>
        <w:t>Kupní smlouva b</w:t>
      </w:r>
      <w:r w:rsidRPr="00411489">
        <w:rPr>
          <w:rFonts w:eastAsia="Calibri" w:cs="Times New Roman"/>
          <w:bCs/>
        </w:rPr>
        <w:t>yla uveřejněna prostřednictvím registru smluv dne ……………</w:t>
      </w:r>
    </w:p>
    <w:p w14:paraId="2B1B9945" w14:textId="77777777" w:rsidR="00411489" w:rsidRPr="00A349F7" w:rsidRDefault="00411489" w:rsidP="009111FB">
      <w:pPr>
        <w:suppressAutoHyphens/>
        <w:spacing w:before="0" w:after="0" w:line="276" w:lineRule="auto"/>
        <w:rPr>
          <w:rFonts w:eastAsia="Calibri" w:cs="Times New Roman"/>
          <w:sz w:val="16"/>
          <w:szCs w:val="16"/>
        </w:rPr>
      </w:pPr>
    </w:p>
    <w:sectPr w:rsidR="00411489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0E7B52"/>
    <w:multiLevelType w:val="hybridMultilevel"/>
    <w:tmpl w:val="96FE0B50"/>
    <w:lvl w:ilvl="0" w:tplc="DEBC701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3455A5"/>
    <w:multiLevelType w:val="hybridMultilevel"/>
    <w:tmpl w:val="A426F5CA"/>
    <w:lvl w:ilvl="0" w:tplc="AF54947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678849691">
    <w:abstractNumId w:val="9"/>
  </w:num>
  <w:num w:numId="18" w16cid:durableId="5752133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20846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92B31"/>
    <w:rsid w:val="000C05B0"/>
    <w:rsid w:val="000C4600"/>
    <w:rsid w:val="000C5DA0"/>
    <w:rsid w:val="000D1379"/>
    <w:rsid w:val="000D4601"/>
    <w:rsid w:val="000E23A7"/>
    <w:rsid w:val="000E4F4B"/>
    <w:rsid w:val="000E7809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329D"/>
    <w:rsid w:val="00317167"/>
    <w:rsid w:val="00321C83"/>
    <w:rsid w:val="00322681"/>
    <w:rsid w:val="00323753"/>
    <w:rsid w:val="003330E9"/>
    <w:rsid w:val="00341DCF"/>
    <w:rsid w:val="00346E96"/>
    <w:rsid w:val="00357BC6"/>
    <w:rsid w:val="00385A72"/>
    <w:rsid w:val="00391C34"/>
    <w:rsid w:val="003956C6"/>
    <w:rsid w:val="003A63EE"/>
    <w:rsid w:val="003A7A56"/>
    <w:rsid w:val="003B16F0"/>
    <w:rsid w:val="003B39EC"/>
    <w:rsid w:val="003D06BE"/>
    <w:rsid w:val="00411489"/>
    <w:rsid w:val="00414246"/>
    <w:rsid w:val="0041746F"/>
    <w:rsid w:val="00431336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0A74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354EB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43AB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D530C"/>
    <w:rsid w:val="007E165D"/>
    <w:rsid w:val="007E4A6E"/>
    <w:rsid w:val="007F56A7"/>
    <w:rsid w:val="007F5EC4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97129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11F8"/>
    <w:rsid w:val="009111FB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0580D"/>
    <w:rsid w:val="00B115FB"/>
    <w:rsid w:val="00B157C6"/>
    <w:rsid w:val="00B15D0D"/>
    <w:rsid w:val="00B169D7"/>
    <w:rsid w:val="00B25AED"/>
    <w:rsid w:val="00B56FC3"/>
    <w:rsid w:val="00B75EE1"/>
    <w:rsid w:val="00B76DEF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1397"/>
    <w:rsid w:val="00E14E64"/>
    <w:rsid w:val="00E17FE7"/>
    <w:rsid w:val="00E63C2D"/>
    <w:rsid w:val="00E7068E"/>
    <w:rsid w:val="00E9611C"/>
    <w:rsid w:val="00E967DA"/>
    <w:rsid w:val="00EA1DA7"/>
    <w:rsid w:val="00EB104F"/>
    <w:rsid w:val="00EB1CA1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24C3D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0A31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2149</Words>
  <Characters>12681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Schmittová Pavlína</cp:lastModifiedBy>
  <cp:revision>53</cp:revision>
  <cp:lastPrinted>2017-11-28T17:18:00Z</cp:lastPrinted>
  <dcterms:created xsi:type="dcterms:W3CDTF">2022-05-03T10:42:00Z</dcterms:created>
  <dcterms:modified xsi:type="dcterms:W3CDTF">2025-03-11T12:54:00Z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