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0749D7DB" w:rsidR="00A92850" w:rsidRDefault="005C5251" w:rsidP="005C5251">
      <w:pPr>
        <w:pStyle w:val="Plnab0"/>
        <w:rPr>
          <w:rFonts w:asciiTheme="minorHAnsi" w:hAnsiTheme="minorHAnsi"/>
        </w:rPr>
      </w:pPr>
      <w:r w:rsidRPr="0001573C">
        <w:rPr>
          <w:rFonts w:asciiTheme="minorHAnsi" w:hAnsiTheme="minorHAnsi"/>
          <w:highlight w:val="yellow"/>
        </w:rPr>
        <w:t>VLOŽÍ ZHOTOVITEL</w:t>
      </w:r>
      <w:r w:rsidR="004E0928">
        <w:rPr>
          <w:rFonts w:asciiTheme="minorHAnsi" w:hAnsiTheme="minorHAnsi"/>
        </w:rPr>
        <w:t xml:space="preserve"> </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70E72D51" w14:textId="6EAF5E6A" w:rsidR="00A6190E" w:rsidRPr="00236386" w:rsidRDefault="00A6190E" w:rsidP="00A6190E">
      <w:pPr>
        <w:pStyle w:val="PlnabPodnadpis"/>
        <w:spacing w:after="0"/>
        <w:rPr>
          <w:rFonts w:asciiTheme="minorHAnsi" w:hAnsiTheme="minorHAnsi"/>
        </w:rPr>
      </w:pPr>
      <w:r w:rsidRPr="00236386">
        <w:rPr>
          <w:rFonts w:asciiTheme="minorHAnsi" w:hAnsiTheme="minorHAnsi"/>
        </w:rPr>
        <w:t>Ing. Pavel Dolenský</w:t>
      </w:r>
    </w:p>
    <w:p w14:paraId="6FC26FBD" w14:textId="77777777" w:rsidR="00A6190E" w:rsidRPr="00236386" w:rsidRDefault="00A6190E" w:rsidP="00A6190E">
      <w:pPr>
        <w:pStyle w:val="PlnabPodnadpis"/>
        <w:spacing w:after="0"/>
        <w:rPr>
          <w:rFonts w:asciiTheme="minorHAnsi" w:hAnsiTheme="minorHAnsi"/>
        </w:rPr>
      </w:pPr>
      <w:r w:rsidRPr="00236386">
        <w:rPr>
          <w:rFonts w:asciiTheme="minorHAnsi" w:hAnsiTheme="minorHAnsi"/>
        </w:rPr>
        <w:t>Správa železniční dopravní cesty, státní organizace</w:t>
      </w:r>
    </w:p>
    <w:p w14:paraId="1145947B" w14:textId="77777777" w:rsidR="00A6190E" w:rsidRPr="00236386" w:rsidRDefault="00A6190E" w:rsidP="00A6190E">
      <w:pPr>
        <w:pStyle w:val="PlnabPodnadpis"/>
        <w:spacing w:after="0"/>
        <w:rPr>
          <w:rFonts w:asciiTheme="minorHAnsi" w:hAnsiTheme="minorHAnsi"/>
        </w:rPr>
      </w:pPr>
      <w:r w:rsidRPr="00236386">
        <w:rPr>
          <w:rFonts w:asciiTheme="minorHAnsi" w:hAnsiTheme="minorHAnsi"/>
        </w:rPr>
        <w:t>Stavební správa západ</w:t>
      </w:r>
    </w:p>
    <w:p w14:paraId="355DFF09" w14:textId="77777777" w:rsidR="00A6190E" w:rsidRPr="00236386" w:rsidRDefault="00A6190E" w:rsidP="00A6190E">
      <w:pPr>
        <w:pStyle w:val="PlnabPodnadpis"/>
        <w:spacing w:after="0"/>
        <w:rPr>
          <w:rFonts w:asciiTheme="minorHAnsi" w:hAnsiTheme="minorHAnsi"/>
        </w:rPr>
      </w:pPr>
      <w:r w:rsidRPr="00236386">
        <w:rPr>
          <w:rFonts w:asciiTheme="minorHAnsi" w:hAnsiTheme="minorHAnsi"/>
        </w:rPr>
        <w:t>Sokolovská 278/1955, 190 00 Praha 9</w:t>
      </w:r>
    </w:p>
    <w:p w14:paraId="720DD9A1" w14:textId="77777777" w:rsidR="00A6190E" w:rsidRPr="00236386" w:rsidRDefault="00A6190E" w:rsidP="00A6190E">
      <w:pPr>
        <w:pStyle w:val="PlnabPodnadpis"/>
        <w:spacing w:after="0"/>
        <w:rPr>
          <w:rFonts w:asciiTheme="minorHAnsi" w:hAnsiTheme="minorHAnsi"/>
        </w:rPr>
      </w:pPr>
      <w:r w:rsidRPr="00236386">
        <w:rPr>
          <w:rFonts w:asciiTheme="minorHAnsi" w:hAnsiTheme="minorHAnsi"/>
        </w:rPr>
        <w:t xml:space="preserve">Pracoviště: </w:t>
      </w:r>
    </w:p>
    <w:p w14:paraId="1862DBC5" w14:textId="77777777" w:rsidR="00A6190E" w:rsidRPr="00236386" w:rsidRDefault="00A6190E" w:rsidP="00A6190E">
      <w:pPr>
        <w:pStyle w:val="PlnabPodnadpis"/>
        <w:spacing w:after="0"/>
        <w:rPr>
          <w:rFonts w:asciiTheme="minorHAnsi" w:hAnsiTheme="minorHAnsi"/>
        </w:rPr>
      </w:pPr>
      <w:r w:rsidRPr="00236386">
        <w:rPr>
          <w:rFonts w:asciiTheme="minorHAnsi" w:hAnsiTheme="minorHAnsi"/>
        </w:rPr>
        <w:t>Vojtěšská 856/2 , 400 01 Ústí nad Labem</w:t>
      </w:r>
    </w:p>
    <w:p w14:paraId="2395C5CC" w14:textId="18FE9227" w:rsidR="00A6190E" w:rsidRPr="00236386" w:rsidRDefault="00A6190E" w:rsidP="00A6190E">
      <w:pPr>
        <w:pStyle w:val="PlnabPodnadpis"/>
        <w:spacing w:after="0"/>
        <w:rPr>
          <w:rFonts w:asciiTheme="minorHAnsi" w:hAnsiTheme="minorHAnsi"/>
        </w:rPr>
      </w:pPr>
      <w:r w:rsidRPr="00236386">
        <w:rPr>
          <w:rFonts w:asciiTheme="minorHAnsi" w:hAnsiTheme="minorHAnsi"/>
        </w:rPr>
        <w:t>tel. 972 424 478, e-mail: dolensky@szdc.cz</w:t>
      </w:r>
    </w:p>
    <w:p w14:paraId="5D82C7AD" w14:textId="77777777" w:rsidR="005F285C" w:rsidRPr="0001573C" w:rsidRDefault="005F285C"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5977A739" w:rsidR="00A92850" w:rsidRPr="0001573C" w:rsidRDefault="00A92850" w:rsidP="00A92850">
      <w:pPr>
        <w:pStyle w:val="Plnab0"/>
        <w:rPr>
          <w:rFonts w:asciiTheme="minorHAnsi" w:hAnsiTheme="minorHAnsi"/>
        </w:rPr>
      </w:pPr>
      <w:r w:rsidRPr="0001573C">
        <w:rPr>
          <w:rFonts w:asciiTheme="minorHAnsi" w:hAnsiTheme="minorHAnsi"/>
        </w:rPr>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4E0928">
        <w:rPr>
          <w:rFonts w:asciiTheme="minorHAnsi" w:hAnsiTheme="minorHAnsi"/>
        </w:rPr>
        <w:t xml:space="preserve"> </w:t>
      </w:r>
      <w:r w:rsidRPr="0001573C">
        <w:rPr>
          <w:rFonts w:asciiTheme="minorHAnsi" w:hAnsiTheme="minorHAnsi"/>
        </w:rPr>
        <w:t>Vystavené Faktury se mají za kompletní, obsahují-li k</w:t>
      </w:r>
      <w:r w:rsidR="00227BD1">
        <w:rPr>
          <w:rFonts w:asciiTheme="minorHAnsi" w:hAnsiTheme="minorHAnsi"/>
        </w:rPr>
        <w:t>romě náležitostí stano</w:t>
      </w:r>
      <w:bookmarkStart w:id="0" w:name="_GoBack"/>
      <w:bookmarkEnd w:id="0"/>
      <w:r w:rsidRPr="0001573C">
        <w:rPr>
          <w:rFonts w:asciiTheme="minorHAnsi" w:hAnsiTheme="minorHAnsi"/>
        </w:rPr>
        <w:t>vených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4F7B5395" w14:textId="77777777" w:rsidR="00236386" w:rsidRPr="0001573C" w:rsidRDefault="00236386" w:rsidP="00236386">
      <w:pPr>
        <w:pStyle w:val="Odstavecseseznamem"/>
        <w:jc w:val="both"/>
        <w:rPr>
          <w:rFonts w:asciiTheme="minorHAnsi" w:hAnsiTheme="minorHAnsi"/>
          <w:sz w:val="22"/>
          <w:szCs w:val="22"/>
        </w:rPr>
      </w:pP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lastRenderedPageBreak/>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004DAD">
      <w:pPr>
        <w:pStyle w:val="Odstavecseseznamem"/>
        <w:spacing w:after="120"/>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2667A46" w14:textId="606DCB36" w:rsidR="0042181E" w:rsidRDefault="0042181E" w:rsidP="00A6190E">
      <w:pPr>
        <w:pStyle w:val="Plnab0"/>
        <w:rPr>
          <w:rFonts w:asciiTheme="minorHAnsi" w:hAnsiTheme="minorHAnsi"/>
        </w:rPr>
      </w:pPr>
      <w:r w:rsidRPr="0042181E">
        <w:rPr>
          <w:rFonts w:asciiTheme="minorHAnsi" w:hAnsiTheme="minorHAnsi"/>
        </w:rPr>
        <w:t>Sekce nejsou specifikovány. Je-li termín Sekce v textu smluvních dokumentů použit, je tím míněna část Díla vyplývající z harmonogramu podle pod-článku 8.3 [Harmonogram].</w:t>
      </w:r>
    </w:p>
    <w:p w14:paraId="6F19B327" w14:textId="77777777" w:rsidR="0042181E" w:rsidRPr="0042181E" w:rsidRDefault="0042181E" w:rsidP="0042181E">
      <w:pPr>
        <w:pStyle w:val="Plnab0"/>
        <w:spacing w:after="0"/>
        <w:rPr>
          <w:rFonts w:asciiTheme="minorHAnsi" w:hAnsiTheme="minorHAnsi"/>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29D16C58"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BA3046" w:rsidRPr="00BA3046">
        <w:rPr>
          <w:b/>
        </w:rPr>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4F10CF02" w:rsidR="009824E0" w:rsidRPr="007F7939" w:rsidRDefault="009824E0" w:rsidP="009824E0">
      <w:pPr>
        <w:pStyle w:val="Plnab0"/>
        <w:rPr>
          <w:rFonts w:asciiTheme="minorHAnsi" w:hAnsiTheme="minorHAnsi"/>
        </w:rPr>
      </w:pPr>
      <w:r w:rsidRPr="007F7939">
        <w:rPr>
          <w:rFonts w:asciiTheme="minorHAnsi" w:hAnsiTheme="minorHAnsi"/>
        </w:rPr>
        <w:t xml:space="preserve">Přístup na Staveniště bude Zhotoviteli umožněn od </w:t>
      </w:r>
      <w:r w:rsidR="00A6190E" w:rsidRPr="007F7939">
        <w:rPr>
          <w:rFonts w:asciiTheme="minorHAnsi" w:hAnsiTheme="minorHAnsi"/>
        </w:rPr>
        <w:t xml:space="preserve">předání staveniště (předpoklad </w:t>
      </w:r>
      <w:r w:rsidR="00A6190E" w:rsidRPr="007F7939">
        <w:rPr>
          <w:rFonts w:asciiTheme="minorHAnsi" w:hAnsiTheme="minorHAnsi"/>
          <w:b/>
        </w:rPr>
        <w:t>únor 2019 – dle vyhlášení VZ)</w:t>
      </w:r>
      <w:r w:rsidR="00A6190E" w:rsidRPr="007F7939">
        <w:rPr>
          <w:rFonts w:asciiTheme="minorHAnsi" w:hAnsiTheme="minorHAnsi"/>
        </w:rPr>
        <w:t xml:space="preserve"> </w:t>
      </w:r>
      <w:r w:rsidRPr="007F7939">
        <w:rPr>
          <w:rFonts w:asciiTheme="minorHAnsi" w:hAnsiTheme="minorHAnsi"/>
        </w:rPr>
        <w:t xml:space="preserve">do dne předání Dokumentů souvisejících s předáním Díla dle </w:t>
      </w:r>
      <w:r w:rsidR="00C560C8" w:rsidRPr="007F7939">
        <w:rPr>
          <w:rFonts w:asciiTheme="minorHAnsi" w:hAnsiTheme="minorHAnsi"/>
        </w:rPr>
        <w:t>p</w:t>
      </w:r>
      <w:r w:rsidRPr="007F7939">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53C9BCE1" w14:textId="77777777" w:rsidR="00203766" w:rsidRPr="00203766" w:rsidRDefault="00203766" w:rsidP="00203766">
      <w:pPr>
        <w:jc w:val="both"/>
        <w:textAlignment w:val="auto"/>
        <w:rPr>
          <w:rFonts w:ascii="Calibri" w:hAnsi="Calibri"/>
          <w:sz w:val="22"/>
          <w:szCs w:val="22"/>
        </w:rPr>
      </w:pPr>
      <w:r w:rsidRPr="00203766">
        <w:rPr>
          <w:rFonts w:ascii="Calibri" w:hAnsi="Calibri"/>
          <w:sz w:val="22"/>
          <w:szCs w:val="22"/>
        </w:rPr>
        <w:t>Mgr. Štěpán Hošna</w:t>
      </w:r>
    </w:p>
    <w:p w14:paraId="7D5FDB32" w14:textId="77777777" w:rsidR="00203766" w:rsidRPr="00203766" w:rsidRDefault="00203766" w:rsidP="00203766">
      <w:pPr>
        <w:jc w:val="both"/>
        <w:textAlignment w:val="auto"/>
        <w:rPr>
          <w:rFonts w:ascii="Calibri" w:hAnsi="Calibri"/>
          <w:sz w:val="22"/>
          <w:szCs w:val="22"/>
        </w:rPr>
      </w:pPr>
      <w:r w:rsidRPr="00203766">
        <w:rPr>
          <w:rFonts w:ascii="Calibri" w:hAnsi="Calibri"/>
          <w:sz w:val="22"/>
          <w:szCs w:val="22"/>
        </w:rPr>
        <w:t>Správa železniční dopravní cesty, státní organizace</w:t>
      </w:r>
    </w:p>
    <w:p w14:paraId="61691B87" w14:textId="77777777" w:rsidR="00203766" w:rsidRPr="00203766" w:rsidRDefault="00203766" w:rsidP="00203766">
      <w:pPr>
        <w:jc w:val="both"/>
        <w:textAlignment w:val="auto"/>
        <w:rPr>
          <w:rFonts w:ascii="Calibri" w:hAnsi="Calibri"/>
          <w:sz w:val="22"/>
          <w:szCs w:val="22"/>
        </w:rPr>
      </w:pPr>
      <w:r w:rsidRPr="00203766">
        <w:rPr>
          <w:rFonts w:ascii="Calibri" w:hAnsi="Calibri"/>
          <w:sz w:val="22"/>
          <w:szCs w:val="22"/>
        </w:rPr>
        <w:t>Stavební správa západ</w:t>
      </w:r>
    </w:p>
    <w:p w14:paraId="1851E861" w14:textId="77777777" w:rsidR="00203766" w:rsidRPr="00203766" w:rsidRDefault="00203766" w:rsidP="00203766">
      <w:pPr>
        <w:jc w:val="both"/>
        <w:textAlignment w:val="auto"/>
        <w:rPr>
          <w:rFonts w:ascii="Calibri" w:hAnsi="Calibri" w:cs="Calibri"/>
          <w:sz w:val="22"/>
          <w:szCs w:val="22"/>
        </w:rPr>
      </w:pPr>
      <w:r w:rsidRPr="00203766">
        <w:rPr>
          <w:rFonts w:ascii="Calibri" w:hAnsi="Calibri" w:cs="Calibri"/>
          <w:sz w:val="22"/>
          <w:szCs w:val="22"/>
        </w:rPr>
        <w:t xml:space="preserve">Sokolovská 278/1955, 190 00 Praha </w:t>
      </w:r>
    </w:p>
    <w:p w14:paraId="194C9F04" w14:textId="77777777" w:rsidR="00203766" w:rsidRPr="00203766" w:rsidRDefault="00203766" w:rsidP="00203766">
      <w:pPr>
        <w:overflowPunct/>
        <w:autoSpaceDE/>
        <w:autoSpaceDN/>
        <w:adjustRightInd/>
        <w:spacing w:after="120" w:line="280" w:lineRule="exact"/>
        <w:ind w:left="720" w:hanging="720"/>
        <w:textAlignment w:val="auto"/>
        <w:rPr>
          <w:rFonts w:ascii="Calibri" w:hAnsi="Calibri"/>
          <w:bCs/>
          <w:i/>
          <w:sz w:val="22"/>
          <w:szCs w:val="22"/>
          <w:lang w:eastAsia="en-US"/>
        </w:rPr>
      </w:pPr>
      <w:r w:rsidRPr="00203766">
        <w:rPr>
          <w:rFonts w:ascii="Calibri" w:hAnsi="Calibri" w:cs="Calibri"/>
          <w:sz w:val="22"/>
          <w:szCs w:val="22"/>
          <w:lang w:eastAsia="en-US"/>
        </w:rPr>
        <w:t>tel. 972 244 874, mobil 724 050 453, e-mail: Hosna@szdc.cz</w:t>
      </w:r>
    </w:p>
    <w:p w14:paraId="5A86E384" w14:textId="77777777" w:rsidR="009824E0" w:rsidRPr="00004DAD" w:rsidRDefault="009824E0" w:rsidP="009824E0">
      <w:pPr>
        <w:pStyle w:val="RLdajeosmluvnstran"/>
        <w:ind w:left="720" w:hanging="720"/>
        <w:jc w:val="left"/>
        <w:rPr>
          <w:rFonts w:asciiTheme="minorHAnsi" w:hAnsiTheme="minorHAnsi"/>
          <w:bCs/>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lastRenderedPageBreak/>
        <w:t>Pod-článek 4.27 (d)</w:t>
      </w:r>
    </w:p>
    <w:p w14:paraId="14BB3BBB" w14:textId="77777777" w:rsidR="00E8491C" w:rsidRPr="0042181E" w:rsidRDefault="00E8491C" w:rsidP="00E8491C">
      <w:pPr>
        <w:pStyle w:val="Plnab0"/>
        <w:rPr>
          <w:rFonts w:asciiTheme="minorHAnsi" w:hAnsiTheme="minorHAnsi"/>
        </w:rPr>
      </w:pPr>
      <w:r w:rsidRPr="0042181E">
        <w:rPr>
          <w:rFonts w:asciiTheme="minorHAnsi" w:hAnsiTheme="minorHAns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42181E" w:rsidRDefault="00E950DA" w:rsidP="00E950DA">
      <w:pPr>
        <w:pStyle w:val="Plnab0"/>
        <w:rPr>
          <w:rFonts w:asciiTheme="minorHAnsi" w:hAnsiTheme="minorHAnsi"/>
        </w:rPr>
      </w:pPr>
      <w:r w:rsidRPr="0042181E">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42181E" w:rsidRDefault="00E950DA" w:rsidP="00E950DA">
      <w:pPr>
        <w:pStyle w:val="Plnab0"/>
        <w:rPr>
          <w:rFonts w:asciiTheme="minorHAnsi" w:hAnsiTheme="minorHAnsi"/>
        </w:rPr>
      </w:pPr>
      <w:r w:rsidRPr="0042181E">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lastRenderedPageBreak/>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w:t>
      </w:r>
      <w:proofErr w:type="gramStart"/>
      <w:r w:rsidR="0054368A" w:rsidRPr="0001573C">
        <w:rPr>
          <w:rFonts w:asciiTheme="minorHAnsi" w:hAnsiTheme="minorHAnsi"/>
        </w:rPr>
        <w:t xml:space="preserve">č. 5 </w:t>
      </w:r>
      <w:r w:rsidRPr="0001573C">
        <w:rPr>
          <w:rFonts w:asciiTheme="minorHAnsi" w:hAnsiTheme="minorHAnsi"/>
        </w:rPr>
        <w:t xml:space="preserve"> Smlouvy</w:t>
      </w:r>
      <w:proofErr w:type="gramEnd"/>
      <w:r w:rsidRPr="0001573C">
        <w:rPr>
          <w:rFonts w:asciiTheme="minorHAnsi" w:hAnsiTheme="minorHAnsi"/>
        </w:rPr>
        <w:t xml:space="preserve">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B806C9">
      <w:pPr>
        <w:pStyle w:val="Plnab0"/>
        <w:spacing w:after="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p>
    <w:p w14:paraId="15A3C614" w14:textId="77777777" w:rsidR="00E8491C" w:rsidRPr="005F7B5B" w:rsidRDefault="00E8491C" w:rsidP="00E8491C">
      <w:pPr>
        <w:pStyle w:val="Plnab0"/>
        <w:rPr>
          <w:rFonts w:asciiTheme="minorHAnsi" w:hAnsiTheme="minorHAnsi"/>
        </w:rPr>
      </w:pPr>
      <w:r w:rsidRPr="005F7B5B">
        <w:rPr>
          <w:rFonts w:asciiTheme="minorHAnsi" w:hAnsiTheme="minorHAnsi"/>
        </w:rPr>
        <w:t>Milníky nejsou definovány.</w:t>
      </w:r>
    </w:p>
    <w:p w14:paraId="75B22C63" w14:textId="77777777" w:rsidR="00E950DA" w:rsidRPr="0001573C" w:rsidRDefault="00E950DA" w:rsidP="00B806C9">
      <w:pPr>
        <w:pStyle w:val="Plnab0"/>
        <w:spacing w:after="0"/>
        <w:rPr>
          <w:rFonts w:asciiTheme="minorHAnsi" w:hAnsiTheme="minorHAnsi"/>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18642540" w14:textId="11406FE9" w:rsidR="00E8491C" w:rsidRPr="00247B0A" w:rsidRDefault="00E8491C" w:rsidP="00E8491C">
      <w:pPr>
        <w:pStyle w:val="Plnab0"/>
        <w:rPr>
          <w:rFonts w:asciiTheme="minorHAnsi" w:hAnsiTheme="minorHAnsi"/>
        </w:rPr>
      </w:pPr>
      <w:r w:rsidRPr="00247B0A">
        <w:rPr>
          <w:rFonts w:asciiTheme="minorHAnsi" w:hAnsiTheme="minorHAnsi"/>
        </w:rPr>
        <w:t xml:space="preserve">Zhotovitel je povinen dokončit celé Dílo včetně příslušné dokumentace dle pod-článku 7.9 do </w:t>
      </w:r>
      <w:r w:rsidRPr="00247B0A">
        <w:rPr>
          <w:rFonts w:asciiTheme="minorHAnsi" w:hAnsiTheme="minorHAnsi"/>
          <w:b/>
        </w:rPr>
        <w:t>28 měsíců</w:t>
      </w:r>
      <w:r w:rsidRPr="00247B0A">
        <w:rPr>
          <w:rFonts w:asciiTheme="minorHAnsi" w:hAnsiTheme="minorHAnsi"/>
        </w:rPr>
        <w:t xml:space="preserve"> od Data zahájení prací.</w:t>
      </w:r>
    </w:p>
    <w:p w14:paraId="5A1F8076" w14:textId="6CF3AE9C" w:rsidR="005F285C" w:rsidRPr="0001573C" w:rsidRDefault="005F285C" w:rsidP="00B806C9">
      <w:pPr>
        <w:pStyle w:val="Plnab0"/>
        <w:spacing w:after="0"/>
        <w:rPr>
          <w:rFonts w:asciiTheme="minorHAnsi" w:hAnsiTheme="minorHAnsi"/>
          <w:u w:val="single"/>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78D9D202" w14:textId="1566FE73" w:rsidR="00E8491C" w:rsidRPr="0001573C" w:rsidRDefault="00E8491C" w:rsidP="00E8491C">
      <w:pPr>
        <w:pStyle w:val="Plnab0"/>
        <w:rPr>
          <w:rFonts w:asciiTheme="minorHAnsi" w:hAnsiTheme="minorHAnsi"/>
        </w:rPr>
      </w:pPr>
      <w:r w:rsidRPr="0001573C">
        <w:rPr>
          <w:rFonts w:asciiTheme="minorHAnsi" w:hAnsiTheme="minorHAnsi"/>
        </w:rPr>
        <w:t xml:space="preserve">Zhotovitel je povinen </w:t>
      </w:r>
      <w:r w:rsidRPr="00B44712">
        <w:rPr>
          <w:rFonts w:asciiTheme="minorHAnsi" w:hAnsiTheme="minorHAnsi"/>
        </w:rPr>
        <w:t>dokončit Dílo v</w:t>
      </w:r>
      <w:r w:rsidRPr="0001573C">
        <w:rPr>
          <w:rFonts w:asciiTheme="minorHAnsi" w:hAnsiTheme="minorHAnsi"/>
        </w:rPr>
        <w:t xml:space="preserve"> rozsahu nezbytném pro účely uvedení Díla do provozu za podmínek stavebního zákona a </w:t>
      </w:r>
      <w:r>
        <w:rPr>
          <w:rFonts w:asciiTheme="minorHAnsi" w:hAnsiTheme="minorHAnsi"/>
        </w:rPr>
        <w:t xml:space="preserve">zákona o drahách nejpozději </w:t>
      </w:r>
      <w:r w:rsidRPr="00E8491C">
        <w:rPr>
          <w:rFonts w:asciiTheme="minorHAnsi" w:hAnsiTheme="minorHAnsi"/>
        </w:rPr>
        <w:t xml:space="preserve">do </w:t>
      </w:r>
      <w:r w:rsidRPr="00E8491C">
        <w:rPr>
          <w:rFonts w:asciiTheme="minorHAnsi" w:hAnsiTheme="minorHAnsi"/>
          <w:b/>
        </w:rPr>
        <w:t>22 měsíců</w:t>
      </w:r>
      <w:r w:rsidRPr="0001573C">
        <w:rPr>
          <w:rFonts w:asciiTheme="minorHAnsi" w:hAnsiTheme="minorHAnsi"/>
          <w:i/>
        </w:rPr>
        <w:t xml:space="preserve"> </w:t>
      </w:r>
      <w:r w:rsidRPr="00B44712">
        <w:rPr>
          <w:rFonts w:asciiTheme="minorHAnsi" w:hAnsiTheme="minorHAnsi"/>
        </w:rPr>
        <w:t>od Data zahájení prací.</w:t>
      </w:r>
    </w:p>
    <w:p w14:paraId="1D2A35A1" w14:textId="77777777" w:rsidR="005F285C" w:rsidRPr="0001573C" w:rsidRDefault="005F285C" w:rsidP="00B806C9">
      <w:pPr>
        <w:pStyle w:val="Plnab0"/>
        <w:spacing w:after="0"/>
        <w:rPr>
          <w:rFonts w:asciiTheme="minorHAnsi" w:hAnsiTheme="minorHAnsi"/>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Default="005F285C" w:rsidP="005F285C">
      <w:pPr>
        <w:pStyle w:val="Plnab0"/>
        <w:rPr>
          <w:rFonts w:asciiTheme="minorHAnsi" w:hAnsiTheme="minorHAnsi"/>
        </w:rPr>
      </w:pPr>
    </w:p>
    <w:p w14:paraId="5B094F47" w14:textId="77777777" w:rsidR="00B806C9" w:rsidRPr="0001573C" w:rsidRDefault="00B806C9"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7F3BE30B" w14:textId="39CBBE7B" w:rsidR="00292C86"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068E2F2B" w14:textId="77777777" w:rsidR="00004DAD" w:rsidRPr="0001573C" w:rsidRDefault="00004DAD" w:rsidP="00B806C9">
      <w:pPr>
        <w:pStyle w:val="F-ZP2Odstavec"/>
        <w:spacing w:after="0"/>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29F822AB" w14:textId="58574501" w:rsidR="00B22A4E" w:rsidRDefault="00B22A4E" w:rsidP="00004DAD">
      <w:pPr>
        <w:pStyle w:val="Plnab0"/>
        <w:rPr>
          <w:rFonts w:asciiTheme="minorHAnsi" w:hAnsiTheme="minorHAnsi"/>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ledna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www.sfdi.cz</w:t>
      </w:r>
      <w:r w:rsidR="00556B06" w:rsidRPr="0001573C">
        <w:rPr>
          <w:rFonts w:asciiTheme="minorHAnsi" w:hAnsiTheme="minorHAnsi"/>
        </w:rPr>
        <w:t>.</w:t>
      </w:r>
    </w:p>
    <w:p w14:paraId="17B43660" w14:textId="77777777" w:rsidR="00004DAD" w:rsidRPr="00004DAD" w:rsidRDefault="00004DAD" w:rsidP="00B806C9">
      <w:pPr>
        <w:pStyle w:val="Plnab0"/>
        <w:spacing w:after="0"/>
        <w:rPr>
          <w:rFonts w:asciiTheme="minorHAnsi" w:hAnsiTheme="minorHAnsi"/>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5B7E7A66" w14:textId="26FF2CC7" w:rsidR="0001573C" w:rsidRDefault="00292C86" w:rsidP="00004DAD">
      <w:pPr>
        <w:pStyle w:val="Plnab0"/>
        <w:rPr>
          <w:rFonts w:asciiTheme="minorHAnsi" w:hAnsiTheme="minorHAnsi"/>
        </w:rPr>
      </w:pPr>
      <w:r w:rsidRPr="0001573C">
        <w:rPr>
          <w:rFonts w:asciiTheme="minorHAnsi" w:hAnsiTheme="minorHAnsi"/>
        </w:rPr>
        <w:t>Podmíněné obnosy poskytnuty nebudou.</w:t>
      </w:r>
    </w:p>
    <w:p w14:paraId="7796CBBA" w14:textId="77777777" w:rsidR="00004DAD" w:rsidRPr="00004DAD" w:rsidRDefault="00004DAD" w:rsidP="00B806C9">
      <w:pPr>
        <w:pStyle w:val="Plnab0"/>
        <w:spacing w:after="0"/>
        <w:rPr>
          <w:rFonts w:asciiTheme="minorHAnsi" w:hAnsiTheme="minorHAnsi"/>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B3C2EF6" w14:textId="266599F9" w:rsidR="00E8491C" w:rsidRDefault="00E8491C" w:rsidP="00004DAD">
      <w:pPr>
        <w:pStyle w:val="Plnab0"/>
        <w:rPr>
          <w:rFonts w:asciiTheme="minorHAnsi" w:hAnsiTheme="minorHAnsi"/>
        </w:rPr>
      </w:pPr>
      <w:r w:rsidRPr="003005E9">
        <w:rPr>
          <w:rFonts w:asciiTheme="minorHAnsi" w:hAnsiTheme="minorHAnsi"/>
        </w:rPr>
        <w:t>Úpravy cen v důsledku změn nákladů nejsou povoleny.</w:t>
      </w:r>
    </w:p>
    <w:p w14:paraId="6F128A04" w14:textId="77777777" w:rsidR="00004DAD" w:rsidRPr="00004DAD" w:rsidRDefault="00004DAD" w:rsidP="00B806C9">
      <w:pPr>
        <w:pStyle w:val="Plnab0"/>
        <w:spacing w:after="0"/>
        <w:rPr>
          <w:rFonts w:asciiTheme="minorHAnsi" w:hAnsiTheme="minorHAnsi"/>
        </w:rPr>
      </w:pPr>
    </w:p>
    <w:p w14:paraId="31B6DAD3" w14:textId="77777777" w:rsidR="00292C86" w:rsidRDefault="00292C86" w:rsidP="00292C86">
      <w:pPr>
        <w:jc w:val="both"/>
        <w:rPr>
          <w:rFonts w:asciiTheme="minorHAnsi" w:hAnsiTheme="minorHAnsi"/>
          <w:b/>
          <w:i/>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20CECD99" w14:textId="77777777" w:rsidR="00781E65" w:rsidRPr="00FB167B" w:rsidRDefault="00781E65" w:rsidP="00781E65">
      <w:pPr>
        <w:jc w:val="both"/>
        <w:rPr>
          <w:rFonts w:asciiTheme="minorHAnsi" w:eastAsia="Calibri" w:hAnsiTheme="minorHAnsi"/>
          <w:sz w:val="22"/>
          <w:szCs w:val="22"/>
        </w:rPr>
      </w:pPr>
      <w:r w:rsidRPr="00FB167B">
        <w:rPr>
          <w:rFonts w:asciiTheme="minorHAnsi" w:eastAsia="Calibri" w:hAnsi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38B2200E" w14:textId="77777777" w:rsidR="00781E65" w:rsidRPr="00FB167B" w:rsidRDefault="00781E65" w:rsidP="00781E65">
      <w:pPr>
        <w:jc w:val="both"/>
        <w:rPr>
          <w:rFonts w:asciiTheme="minorHAnsi" w:eastAsia="Calibri" w:hAnsiTheme="minorHAnsi"/>
          <w:sz w:val="22"/>
          <w:szCs w:val="22"/>
        </w:rPr>
      </w:pPr>
    </w:p>
    <w:p w14:paraId="248478C7" w14:textId="607198BA" w:rsidR="00781E65" w:rsidRPr="00FB167B" w:rsidRDefault="00781E65" w:rsidP="00781E65">
      <w:pPr>
        <w:jc w:val="both"/>
        <w:rPr>
          <w:rFonts w:asciiTheme="minorHAnsi" w:eastAsia="Calibri" w:hAnsiTheme="minorHAnsi"/>
          <w:sz w:val="22"/>
          <w:szCs w:val="22"/>
        </w:rPr>
      </w:pPr>
      <w:r w:rsidRPr="00FB167B">
        <w:rPr>
          <w:rFonts w:asciiTheme="minorHAnsi" w:eastAsia="Calibri" w:hAnsiTheme="minorHAnsi"/>
          <w:sz w:val="22"/>
          <w:szCs w:val="22"/>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w:t>
      </w:r>
      <w:r w:rsidR="00D0360B" w:rsidRPr="00D0360B">
        <w:rPr>
          <w:rFonts w:asciiTheme="minorHAnsi" w:eastAsia="Calibri" w:hAnsiTheme="minorHAnsi"/>
          <w:sz w:val="22"/>
          <w:szCs w:val="22"/>
        </w:rPr>
        <w:t>Zálohová platba může být poskytnuta opakovaně, avšak vždy maximálně ve výši rovnající se smluvní hodnotě prací předpokládaných k realizaci pro příslušné po sobě jdoucí 3 kalendářní měsíce dle podrobného Harmonogramu, ve výši rovnající se 30 % smluvní hodnoty prací předpokládaných k realizaci pro příslušný kalendářní rok dle podrobného Harmonogramu [8.3 Harmonogram] a nejdéle na dobu 3 měsíců (zálohované období).</w:t>
      </w:r>
      <w:r w:rsidRPr="00FB167B">
        <w:rPr>
          <w:rFonts w:asciiTheme="minorHAnsi" w:eastAsia="Calibri" w:hAnsiTheme="minorHAnsi"/>
          <w:sz w:val="22"/>
          <w:szCs w:val="22"/>
        </w:rPr>
        <w:t xml:space="preserve"> Podmínkou pro poskytnutí první zálohové platby je fakturace za skutečně provedené práce minimálně za 2 kalendářní měsíce předcházející termínu poskytnutí zálohové platby. Zálohová platba je splatná ve lhůtě do 60 dnů od data </w:t>
      </w:r>
      <w:r w:rsidRPr="00FB167B">
        <w:rPr>
          <w:rFonts w:asciiTheme="minorHAnsi" w:eastAsia="Calibri" w:hAnsiTheme="minorHAnsi"/>
          <w:sz w:val="22"/>
          <w:szCs w:val="22"/>
        </w:rPr>
        <w:lastRenderedPageBreak/>
        <w:t xml:space="preserve">doručení žádosti Objednateli při splnění podmínky uvedené v předchozí větě; v opačném případě se lhůta splatnosti prodlužuje až do splnění lhůty v předchozí větě. </w:t>
      </w:r>
    </w:p>
    <w:p w14:paraId="091A2CE8" w14:textId="77777777" w:rsidR="00781E65" w:rsidRPr="00FB167B" w:rsidRDefault="00781E65" w:rsidP="00781E65">
      <w:pPr>
        <w:jc w:val="both"/>
        <w:rPr>
          <w:rFonts w:asciiTheme="minorHAnsi" w:eastAsia="Calibri" w:hAnsiTheme="minorHAnsi"/>
          <w:sz w:val="22"/>
          <w:szCs w:val="22"/>
        </w:rPr>
      </w:pPr>
    </w:p>
    <w:p w14:paraId="4C39861D" w14:textId="77777777" w:rsidR="00781E65" w:rsidRPr="00FB167B" w:rsidRDefault="00781E65" w:rsidP="00781E65">
      <w:pPr>
        <w:jc w:val="both"/>
        <w:rPr>
          <w:rFonts w:asciiTheme="minorHAnsi" w:eastAsia="Calibri" w:hAnsiTheme="minorHAnsi"/>
          <w:sz w:val="22"/>
          <w:szCs w:val="22"/>
          <w:highlight w:val="cyan"/>
        </w:rPr>
      </w:pPr>
      <w:r w:rsidRPr="00FB167B">
        <w:rPr>
          <w:rFonts w:asciiTheme="minorHAnsi" w:eastAsia="Calibri" w:hAnsiTheme="minorHAnsi"/>
          <w:sz w:val="22"/>
          <w:szCs w:val="22"/>
        </w:rPr>
        <w:t xml:space="preserve">Žádost o poskytnutí zálohové platby v příslušném kalendářním roce je třeba doručit Objednateli nejpozději do </w:t>
      </w:r>
      <w:proofErr w:type="gramStart"/>
      <w:r w:rsidRPr="00FB167B">
        <w:rPr>
          <w:rFonts w:asciiTheme="minorHAnsi" w:eastAsia="Calibri" w:hAnsiTheme="minorHAnsi"/>
          <w:sz w:val="22"/>
          <w:szCs w:val="22"/>
        </w:rPr>
        <w:t>30.9. příslušného</w:t>
      </w:r>
      <w:proofErr w:type="gramEnd"/>
      <w:r w:rsidRPr="00FB167B">
        <w:rPr>
          <w:rFonts w:asciiTheme="minorHAnsi" w:eastAsia="Calibri" w:hAnsiTheme="minorHAnsi"/>
          <w:sz w:val="22"/>
          <w:szCs w:val="22"/>
        </w:rPr>
        <w:t xml:space="preserve"> kalendářního roku; v případě pozdějšího doručení žádosti Objednatel negarantuje poskytnutí zálohové platby v tomto kalendářním roce.  </w:t>
      </w:r>
    </w:p>
    <w:p w14:paraId="55DAEB76" w14:textId="77777777" w:rsidR="00781E65" w:rsidRPr="00FB167B" w:rsidRDefault="00781E65" w:rsidP="00781E65">
      <w:pPr>
        <w:jc w:val="both"/>
        <w:rPr>
          <w:rFonts w:asciiTheme="minorHAnsi" w:eastAsia="Calibri" w:hAnsiTheme="minorHAnsi"/>
          <w:sz w:val="22"/>
          <w:szCs w:val="22"/>
        </w:rPr>
      </w:pPr>
    </w:p>
    <w:p w14:paraId="4A880168" w14:textId="77777777" w:rsidR="00781E65" w:rsidRPr="00FB167B" w:rsidRDefault="00781E65" w:rsidP="00781E65">
      <w:pPr>
        <w:jc w:val="both"/>
        <w:rPr>
          <w:rFonts w:asciiTheme="minorHAnsi" w:eastAsia="Calibri" w:hAnsiTheme="minorHAnsi"/>
          <w:sz w:val="22"/>
          <w:szCs w:val="22"/>
        </w:rPr>
      </w:pPr>
      <w:r w:rsidRPr="00FB167B">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5EAAD011" w14:textId="77777777" w:rsidR="00781E65" w:rsidRPr="00FB167B" w:rsidRDefault="00781E65" w:rsidP="00781E65">
      <w:pPr>
        <w:jc w:val="both"/>
        <w:rPr>
          <w:rFonts w:asciiTheme="minorHAnsi" w:eastAsia="Calibri" w:hAnsiTheme="minorHAnsi"/>
          <w:sz w:val="22"/>
          <w:szCs w:val="22"/>
        </w:rPr>
      </w:pPr>
    </w:p>
    <w:p w14:paraId="59FCFB7C" w14:textId="77777777" w:rsidR="00781E65" w:rsidRPr="00FB167B" w:rsidRDefault="00781E65" w:rsidP="00781E65">
      <w:pPr>
        <w:jc w:val="both"/>
        <w:rPr>
          <w:rFonts w:asciiTheme="minorHAnsi" w:eastAsia="Calibri" w:hAnsiTheme="minorHAnsi"/>
          <w:sz w:val="22"/>
          <w:szCs w:val="22"/>
        </w:rPr>
      </w:pPr>
      <w:r w:rsidRPr="00FB167B">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59489FAF" w14:textId="77777777" w:rsidR="00781E65" w:rsidRPr="00FB167B" w:rsidRDefault="00781E65" w:rsidP="00781E65">
      <w:pPr>
        <w:jc w:val="both"/>
        <w:rPr>
          <w:rFonts w:asciiTheme="minorHAnsi" w:eastAsia="Calibri" w:hAnsiTheme="minorHAnsi"/>
          <w:sz w:val="22"/>
          <w:szCs w:val="22"/>
        </w:rPr>
      </w:pPr>
    </w:p>
    <w:p w14:paraId="5222DC08" w14:textId="77777777" w:rsidR="00781E65" w:rsidRPr="00FB167B" w:rsidRDefault="00781E65" w:rsidP="00781E65">
      <w:pPr>
        <w:pStyle w:val="Odstavecseseznamem"/>
        <w:numPr>
          <w:ilvl w:val="0"/>
          <w:numId w:val="34"/>
        </w:numPr>
        <w:jc w:val="both"/>
        <w:rPr>
          <w:rFonts w:asciiTheme="minorHAnsi" w:eastAsia="Calibri" w:hAnsiTheme="minorHAnsi"/>
          <w:sz w:val="22"/>
          <w:szCs w:val="22"/>
        </w:rPr>
      </w:pPr>
      <w:r w:rsidRPr="00FB167B">
        <w:rPr>
          <w:rFonts w:asciiTheme="minorHAnsi" w:eastAsia="Calibri" w:hAnsiTheme="minorHAns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1E60087C" w14:textId="77777777" w:rsidR="00781E65" w:rsidRPr="00FB167B" w:rsidRDefault="00781E65" w:rsidP="00781E65">
      <w:pPr>
        <w:pStyle w:val="Odstavecseseznamem"/>
        <w:numPr>
          <w:ilvl w:val="0"/>
          <w:numId w:val="34"/>
        </w:numPr>
        <w:jc w:val="both"/>
        <w:rPr>
          <w:rFonts w:asciiTheme="minorHAnsi" w:eastAsia="Calibri" w:hAnsiTheme="minorHAnsi"/>
          <w:sz w:val="22"/>
          <w:szCs w:val="22"/>
        </w:rPr>
      </w:pPr>
      <w:r w:rsidRPr="00FB167B">
        <w:rPr>
          <w:rFonts w:asciiTheme="minorHAnsi" w:eastAsia="Calibri" w:hAnsiTheme="minorHAnsi"/>
          <w:sz w:val="22"/>
          <w:szCs w:val="22"/>
        </w:rP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65322DE6" w14:textId="77777777" w:rsidR="00781E65" w:rsidRPr="00FB167B" w:rsidRDefault="00781E65" w:rsidP="00781E65">
      <w:pPr>
        <w:pStyle w:val="Odstavecseseznamem"/>
        <w:numPr>
          <w:ilvl w:val="0"/>
          <w:numId w:val="34"/>
        </w:numPr>
        <w:jc w:val="both"/>
        <w:rPr>
          <w:rFonts w:asciiTheme="minorHAnsi" w:eastAsia="Calibri" w:hAnsiTheme="minorHAnsi"/>
          <w:sz w:val="22"/>
          <w:szCs w:val="22"/>
        </w:rPr>
      </w:pPr>
      <w:r w:rsidRPr="00FB167B">
        <w:rPr>
          <w:rFonts w:asciiTheme="minorHAnsi" w:eastAsia="Calibri" w:hAnsiTheme="minorHAns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5117BAE1" w14:textId="77777777" w:rsidR="00781E65" w:rsidRPr="00FB167B" w:rsidRDefault="00781E65" w:rsidP="00781E65">
      <w:pPr>
        <w:pStyle w:val="Odstavecseseznamem"/>
        <w:numPr>
          <w:ilvl w:val="0"/>
          <w:numId w:val="34"/>
        </w:numPr>
        <w:jc w:val="both"/>
        <w:rPr>
          <w:rFonts w:asciiTheme="minorHAnsi" w:eastAsia="Calibri" w:hAnsiTheme="minorHAnsi"/>
          <w:sz w:val="22"/>
          <w:szCs w:val="22"/>
        </w:rPr>
      </w:pPr>
      <w:r w:rsidRPr="00FB167B">
        <w:rPr>
          <w:rFonts w:asciiTheme="minorHAnsi" w:eastAsia="Calibri" w:hAnsiTheme="minorHAns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166919EA" w14:textId="77777777" w:rsidR="00781E65" w:rsidRPr="00FB167B" w:rsidRDefault="00781E65" w:rsidP="00781E65">
      <w:pPr>
        <w:pStyle w:val="Odstavecseseznamem"/>
        <w:numPr>
          <w:ilvl w:val="0"/>
          <w:numId w:val="34"/>
        </w:numPr>
        <w:jc w:val="both"/>
        <w:rPr>
          <w:rFonts w:asciiTheme="minorHAnsi" w:eastAsia="Calibri" w:hAnsiTheme="minorHAnsi"/>
          <w:sz w:val="22"/>
          <w:szCs w:val="22"/>
        </w:rPr>
      </w:pPr>
      <w:r w:rsidRPr="00FB167B">
        <w:rPr>
          <w:rFonts w:asciiTheme="minorHAnsi" w:eastAsia="Calibri" w:hAnsiTheme="minorHAnsi"/>
          <w:sz w:val="22"/>
          <w:szCs w:val="22"/>
        </w:rPr>
        <w:t>V případě:</w:t>
      </w:r>
    </w:p>
    <w:p w14:paraId="5913E71F" w14:textId="77777777" w:rsidR="00781E65" w:rsidRPr="00FB167B" w:rsidRDefault="00781E65" w:rsidP="00781E65">
      <w:pPr>
        <w:pStyle w:val="Odstavecseseznamem"/>
        <w:numPr>
          <w:ilvl w:val="0"/>
          <w:numId w:val="35"/>
        </w:numPr>
        <w:jc w:val="both"/>
        <w:rPr>
          <w:rFonts w:asciiTheme="minorHAnsi" w:eastAsia="Calibri" w:hAnsiTheme="minorHAnsi"/>
          <w:sz w:val="22"/>
          <w:szCs w:val="22"/>
        </w:rPr>
      </w:pPr>
      <w:r w:rsidRPr="00FB167B">
        <w:rPr>
          <w:rFonts w:asciiTheme="minorHAnsi" w:eastAsia="Calibri" w:hAnsiTheme="minorHAns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6B96642E" w14:textId="77777777" w:rsidR="00781E65" w:rsidRPr="00FB167B" w:rsidRDefault="00781E65" w:rsidP="00781E65">
      <w:pPr>
        <w:pStyle w:val="Odstavecseseznamem"/>
        <w:numPr>
          <w:ilvl w:val="0"/>
          <w:numId w:val="35"/>
        </w:numPr>
        <w:jc w:val="both"/>
        <w:rPr>
          <w:rFonts w:asciiTheme="minorHAnsi" w:eastAsia="Calibri" w:hAnsiTheme="minorHAnsi"/>
          <w:sz w:val="22"/>
          <w:szCs w:val="22"/>
        </w:rPr>
      </w:pPr>
      <w:r w:rsidRPr="00FB167B">
        <w:rPr>
          <w:rFonts w:asciiTheme="minorHAnsi" w:eastAsia="Calibri" w:hAnsiTheme="minorHAnsi"/>
          <w:sz w:val="22"/>
          <w:szCs w:val="22"/>
        </w:rPr>
        <w:t>kdy dojde k ukončení smluvního vztahu, a to z jakéhokoli důvodu před dokončením Díla, je povinen vrátit Objednateli nezúčtovanou část poskytnuté zálohové platby, a to do 15 dnů od ukončení smluvního vztahu;</w:t>
      </w:r>
    </w:p>
    <w:p w14:paraId="038E2357" w14:textId="77777777" w:rsidR="00781E65" w:rsidRPr="00FB167B" w:rsidRDefault="00781E65" w:rsidP="00781E65">
      <w:pPr>
        <w:pStyle w:val="Odstavecseseznamem"/>
        <w:numPr>
          <w:ilvl w:val="0"/>
          <w:numId w:val="35"/>
        </w:numPr>
        <w:jc w:val="both"/>
        <w:rPr>
          <w:rFonts w:asciiTheme="minorHAnsi" w:eastAsia="Calibri" w:hAnsiTheme="minorHAnsi"/>
          <w:sz w:val="22"/>
          <w:szCs w:val="22"/>
        </w:rPr>
      </w:pPr>
      <w:r w:rsidRPr="00FB167B">
        <w:rPr>
          <w:rFonts w:asciiTheme="minorHAnsi" w:eastAsia="Calibri" w:hAnsiTheme="minorHAnsi"/>
          <w:sz w:val="22"/>
          <w:szCs w:val="22"/>
        </w:rPr>
        <w:t xml:space="preserve">kdy Zhotovitel nezúčtuje zálohovou platbu do 31.8.následujícího kalendářního roku po poskytnutí zálohové platby, je povinen vrátit Objednateli nezúčtovanou část poskytnuté zálohové platby, a to do </w:t>
      </w:r>
      <w:proofErr w:type="gramStart"/>
      <w:r w:rsidRPr="00FB167B">
        <w:rPr>
          <w:rFonts w:asciiTheme="minorHAnsi" w:eastAsia="Calibri" w:hAnsiTheme="minorHAnsi"/>
          <w:sz w:val="22"/>
          <w:szCs w:val="22"/>
        </w:rPr>
        <w:t>30 .9. tohoto</w:t>
      </w:r>
      <w:proofErr w:type="gramEnd"/>
      <w:r w:rsidRPr="00FB167B">
        <w:rPr>
          <w:rFonts w:asciiTheme="minorHAnsi" w:eastAsia="Calibri" w:hAnsiTheme="minorHAnsi"/>
          <w:sz w:val="22"/>
          <w:szCs w:val="22"/>
        </w:rPr>
        <w:t xml:space="preserve"> následujícího kalendářního roku.</w:t>
      </w:r>
    </w:p>
    <w:p w14:paraId="7EEE5FFF" w14:textId="77777777" w:rsidR="00781E65" w:rsidRPr="00FB167B" w:rsidRDefault="00781E65" w:rsidP="00781E65">
      <w:pPr>
        <w:jc w:val="both"/>
        <w:rPr>
          <w:rFonts w:asciiTheme="minorHAnsi" w:eastAsia="Calibri" w:hAnsiTheme="minorHAnsi"/>
          <w:sz w:val="22"/>
          <w:szCs w:val="22"/>
        </w:rPr>
      </w:pPr>
    </w:p>
    <w:p w14:paraId="19E5BDF6" w14:textId="77777777" w:rsidR="00781E65" w:rsidRPr="00FB167B" w:rsidRDefault="00781E65" w:rsidP="00781E65">
      <w:pPr>
        <w:pStyle w:val="Odstavecseseznamem"/>
        <w:ind w:left="0"/>
        <w:jc w:val="both"/>
        <w:rPr>
          <w:rFonts w:asciiTheme="minorHAnsi" w:eastAsia="Calibri" w:hAnsiTheme="minorHAnsi"/>
          <w:sz w:val="22"/>
          <w:szCs w:val="22"/>
        </w:rPr>
      </w:pPr>
      <w:r w:rsidRPr="00FB167B">
        <w:rPr>
          <w:rFonts w:asciiTheme="minorHAnsi" w:eastAsia="Calibri" w:hAnsiTheme="minorHAns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1DB557D1" w14:textId="77777777" w:rsidR="00781E65" w:rsidRPr="00FB167B" w:rsidRDefault="00781E65" w:rsidP="00781E65">
      <w:pPr>
        <w:jc w:val="both"/>
        <w:rPr>
          <w:rFonts w:asciiTheme="minorHAnsi" w:eastAsia="Calibri" w:hAnsiTheme="minorHAnsi"/>
          <w:sz w:val="22"/>
          <w:szCs w:val="22"/>
        </w:rPr>
      </w:pPr>
    </w:p>
    <w:p w14:paraId="50F6B169" w14:textId="77777777" w:rsidR="00781E65" w:rsidRPr="00FB167B" w:rsidRDefault="00781E65" w:rsidP="00781E65">
      <w:pPr>
        <w:jc w:val="both"/>
        <w:rPr>
          <w:rFonts w:asciiTheme="minorHAnsi" w:eastAsia="Calibri" w:hAnsiTheme="minorHAnsi"/>
          <w:strike/>
          <w:sz w:val="22"/>
          <w:szCs w:val="22"/>
        </w:rPr>
      </w:pPr>
      <w:r w:rsidRPr="00FB167B">
        <w:rPr>
          <w:rFonts w:asciiTheme="minorHAnsi" w:eastAsia="Calibri" w:hAnsiTheme="minorHAnsi"/>
          <w:sz w:val="22"/>
          <w:szCs w:val="22"/>
        </w:rPr>
        <w:t>Celkový součet požadovaných zálohových plateb nesmí překročit Smluvní cenu.</w:t>
      </w:r>
      <w:r w:rsidRPr="00FB167B">
        <w:rPr>
          <w:rFonts w:asciiTheme="minorHAnsi" w:eastAsia="Calibri" w:hAnsiTheme="minorHAnsi"/>
          <w:strike/>
          <w:sz w:val="22"/>
          <w:szCs w:val="22"/>
        </w:rPr>
        <w:t xml:space="preserve"> </w:t>
      </w:r>
    </w:p>
    <w:p w14:paraId="2300E3BC" w14:textId="77777777" w:rsidR="00781E65" w:rsidRPr="00FB167B" w:rsidRDefault="00781E65" w:rsidP="00781E65">
      <w:pPr>
        <w:jc w:val="both"/>
        <w:rPr>
          <w:rFonts w:asciiTheme="minorHAnsi" w:eastAsia="Calibri" w:hAnsiTheme="minorHAnsi"/>
          <w:sz w:val="22"/>
          <w:szCs w:val="22"/>
        </w:rPr>
      </w:pPr>
    </w:p>
    <w:p w14:paraId="25F0CD6A" w14:textId="77777777" w:rsidR="00781E65" w:rsidRPr="00FB167B" w:rsidRDefault="00781E65" w:rsidP="00292C86">
      <w:pPr>
        <w:jc w:val="both"/>
        <w:rPr>
          <w:rFonts w:asciiTheme="minorHAnsi" w:hAnsiTheme="minorHAnsi"/>
          <w:b/>
          <w:sz w:val="22"/>
          <w:szCs w:val="22"/>
        </w:rPr>
      </w:pPr>
    </w:p>
    <w:p w14:paraId="798ED57A" w14:textId="77777777" w:rsidR="00E8491C" w:rsidRPr="00FB167B" w:rsidRDefault="00E8491C" w:rsidP="00292C86">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lastRenderedPageBreak/>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12C70B3C" w14:textId="77777777" w:rsidR="00E12655" w:rsidRPr="0001573C" w:rsidRDefault="00E12655" w:rsidP="00DC4C58">
      <w:pPr>
        <w:pStyle w:val="Plnab0"/>
        <w:spacing w:after="0"/>
        <w:rPr>
          <w:rFonts w:asciiTheme="minorHAnsi" w:hAnsiTheme="minorHAnsi"/>
          <w:color w:val="00B050"/>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004DAD">
      <w:pPr>
        <w:pStyle w:val="Plnab0"/>
        <w:spacing w:after="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DC4C58">
      <w:pPr>
        <w:jc w:val="both"/>
        <w:rPr>
          <w:rFonts w:asciiTheme="minorHAnsi" w:hAnsiTheme="minorHAnsi"/>
          <w:b/>
          <w:sz w:val="22"/>
          <w:szCs w:val="22"/>
          <w:u w:val="single"/>
        </w:rPr>
      </w:pPr>
    </w:p>
    <w:p w14:paraId="0A61A645" w14:textId="77777777" w:rsidR="00E12655" w:rsidRPr="00484D58" w:rsidRDefault="00E12655" w:rsidP="00E12655">
      <w:pPr>
        <w:jc w:val="both"/>
        <w:rPr>
          <w:rFonts w:asciiTheme="minorHAnsi" w:hAnsiTheme="minorHAnsi"/>
          <w:b/>
          <w:sz w:val="22"/>
          <w:szCs w:val="22"/>
          <w:u w:val="single"/>
        </w:rPr>
      </w:pPr>
      <w:proofErr w:type="gramStart"/>
      <w:r w:rsidRPr="00484D58">
        <w:rPr>
          <w:rFonts w:asciiTheme="minorHAnsi" w:hAnsiTheme="minorHAnsi"/>
          <w:b/>
          <w:sz w:val="22"/>
          <w:szCs w:val="22"/>
          <w:u w:val="single"/>
        </w:rPr>
        <w:t>14.6  Minimální</w:t>
      </w:r>
      <w:proofErr w:type="gramEnd"/>
      <w:r w:rsidRPr="00484D58">
        <w:rPr>
          <w:rFonts w:asciiTheme="minorHAnsi" w:hAnsiTheme="minorHAnsi"/>
          <w:b/>
          <w:sz w:val="22"/>
          <w:szCs w:val="22"/>
          <w:u w:val="single"/>
        </w:rPr>
        <w:t xml:space="preserve"> částka Potvrzení průběžné platby</w:t>
      </w:r>
    </w:p>
    <w:p w14:paraId="623A142A" w14:textId="11853270" w:rsidR="0001573C" w:rsidRDefault="00D7619B" w:rsidP="00E12655">
      <w:pPr>
        <w:jc w:val="both"/>
        <w:rPr>
          <w:rFonts w:asciiTheme="minorHAnsi" w:hAnsiTheme="minorHAnsi"/>
          <w:sz w:val="22"/>
          <w:szCs w:val="22"/>
        </w:rPr>
      </w:pPr>
      <w:r w:rsidRPr="00484D58">
        <w:rPr>
          <w:rFonts w:asciiTheme="minorHAnsi" w:hAnsiTheme="minorHAnsi"/>
          <w:sz w:val="22"/>
          <w:szCs w:val="22"/>
        </w:rPr>
        <w:t>Minimální částka Potvrzení průběžné platby není stanovena.</w:t>
      </w:r>
    </w:p>
    <w:p w14:paraId="5E5DF7CD" w14:textId="77777777" w:rsidR="00D7619B" w:rsidRPr="00D7619B" w:rsidRDefault="00D7619B"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004DAD">
      <w:pPr>
        <w:pStyle w:val="Plnab0"/>
        <w:spacing w:after="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DC4C58">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B806C9">
      <w:pPr>
        <w:pStyle w:val="Plnab0"/>
        <w:numPr>
          <w:ilvl w:val="0"/>
          <w:numId w:val="29"/>
        </w:numPr>
        <w:spacing w:after="0"/>
        <w:ind w:left="714" w:hanging="357"/>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004DAD">
      <w:pPr>
        <w:pStyle w:val="Plnab0"/>
        <w:spacing w:after="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DC4C58">
      <w:pPr>
        <w:pStyle w:val="Plnab0"/>
        <w:spacing w:after="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31A1D2CD" w14:textId="77777777" w:rsidR="00004DAD" w:rsidRDefault="00004DAD" w:rsidP="00E12655">
      <w:pPr>
        <w:jc w:val="both"/>
        <w:rPr>
          <w:rFonts w:asciiTheme="minorHAnsi" w:hAnsiTheme="minorHAnsi"/>
          <w:b/>
          <w:sz w:val="22"/>
          <w:szCs w:val="22"/>
          <w:u w:val="single"/>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5A6EB" w14:textId="77777777" w:rsidR="000240CF" w:rsidRDefault="000240CF" w:rsidP="00AB4C7F">
      <w:r>
        <w:separator/>
      </w:r>
    </w:p>
  </w:endnote>
  <w:endnote w:type="continuationSeparator" w:id="0">
    <w:p w14:paraId="71E13574" w14:textId="77777777" w:rsidR="000240CF" w:rsidRDefault="000240CF" w:rsidP="00AB4C7F">
      <w:r>
        <w:continuationSeparator/>
      </w:r>
    </w:p>
  </w:endnote>
  <w:endnote w:type="continuationNotice" w:id="1">
    <w:p w14:paraId="2D6D1DB4" w14:textId="77777777" w:rsidR="000240CF" w:rsidRDefault="00024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227BD1">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227BD1">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227BD1">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227BD1">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B2F0E" w14:textId="77777777" w:rsidR="000240CF" w:rsidRDefault="000240CF" w:rsidP="00AB4C7F">
      <w:r>
        <w:separator/>
      </w:r>
    </w:p>
  </w:footnote>
  <w:footnote w:type="continuationSeparator" w:id="0">
    <w:p w14:paraId="1BC80CCB" w14:textId="77777777" w:rsidR="000240CF" w:rsidRDefault="000240CF" w:rsidP="00AB4C7F">
      <w:r>
        <w:continuationSeparator/>
      </w:r>
    </w:p>
  </w:footnote>
  <w:footnote w:type="continuationNotice" w:id="1">
    <w:p w14:paraId="588E659D" w14:textId="77777777" w:rsidR="000240CF" w:rsidRDefault="000240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38B"/>
    <w:multiLevelType w:val="hybridMultilevel"/>
    <w:tmpl w:val="BE1CF0B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032DB"/>
    <w:multiLevelType w:val="hybridMultilevel"/>
    <w:tmpl w:val="67E2AEF0"/>
    <w:lvl w:ilvl="0" w:tplc="DFBCDD3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8"/>
  </w:num>
  <w:num w:numId="5">
    <w:abstractNumId w:val="6"/>
  </w:num>
  <w:num w:numId="6">
    <w:abstractNumId w:val="30"/>
  </w:num>
  <w:num w:numId="7">
    <w:abstractNumId w:val="26"/>
  </w:num>
  <w:num w:numId="8">
    <w:abstractNumId w:val="9"/>
  </w:num>
  <w:num w:numId="9">
    <w:abstractNumId w:val="24"/>
  </w:num>
  <w:num w:numId="10">
    <w:abstractNumId w:val="12"/>
  </w:num>
  <w:num w:numId="11">
    <w:abstractNumId w:val="4"/>
  </w:num>
  <w:num w:numId="12">
    <w:abstractNumId w:val="32"/>
  </w:num>
  <w:num w:numId="13">
    <w:abstractNumId w:val="27"/>
  </w:num>
  <w:num w:numId="14">
    <w:abstractNumId w:val="13"/>
  </w:num>
  <w:num w:numId="15">
    <w:abstractNumId w:val="3"/>
  </w:num>
  <w:num w:numId="16">
    <w:abstractNumId w:val="33"/>
  </w:num>
  <w:num w:numId="17">
    <w:abstractNumId w:val="19"/>
  </w:num>
  <w:num w:numId="18">
    <w:abstractNumId w:val="29"/>
  </w:num>
  <w:num w:numId="19">
    <w:abstractNumId w:val="25"/>
  </w:num>
  <w:num w:numId="20">
    <w:abstractNumId w:val="22"/>
  </w:num>
  <w:num w:numId="21">
    <w:abstractNumId w:val="1"/>
  </w:num>
  <w:num w:numId="22">
    <w:abstractNumId w:val="21"/>
  </w:num>
  <w:num w:numId="23">
    <w:abstractNumId w:val="5"/>
  </w:num>
  <w:num w:numId="24">
    <w:abstractNumId w:val="16"/>
  </w:num>
  <w:num w:numId="25">
    <w:abstractNumId w:val="16"/>
    <w:lvlOverride w:ilvl="0">
      <w:startOverride w:val="1"/>
    </w:lvlOverride>
  </w:num>
  <w:num w:numId="26">
    <w:abstractNumId w:val="2"/>
  </w:num>
  <w:num w:numId="27">
    <w:abstractNumId w:val="7"/>
  </w:num>
  <w:num w:numId="28">
    <w:abstractNumId w:val="20"/>
  </w:num>
  <w:num w:numId="29">
    <w:abstractNumId w:val="17"/>
  </w:num>
  <w:num w:numId="30">
    <w:abstractNumId w:val="0"/>
    <w:lvlOverride w:ilvl="0">
      <w:startOverride w:val="1"/>
    </w:lvlOverride>
  </w:num>
  <w:num w:numId="31">
    <w:abstractNumId w:val="31"/>
  </w:num>
  <w:num w:numId="32">
    <w:abstractNumId w:val="18"/>
  </w:num>
  <w:num w:numId="33">
    <w:abstractNumId w:val="23"/>
  </w:num>
  <w:num w:numId="34">
    <w:abstractNumId w:val="10"/>
  </w:num>
  <w:num w:numId="3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4DAD"/>
    <w:rsid w:val="000065C1"/>
    <w:rsid w:val="0000687B"/>
    <w:rsid w:val="00010B02"/>
    <w:rsid w:val="000127C2"/>
    <w:rsid w:val="000130CE"/>
    <w:rsid w:val="00013204"/>
    <w:rsid w:val="00014C82"/>
    <w:rsid w:val="0001573C"/>
    <w:rsid w:val="00021037"/>
    <w:rsid w:val="00022FDA"/>
    <w:rsid w:val="00024041"/>
    <w:rsid w:val="000240CF"/>
    <w:rsid w:val="00024B15"/>
    <w:rsid w:val="00036258"/>
    <w:rsid w:val="00036EA7"/>
    <w:rsid w:val="00037508"/>
    <w:rsid w:val="000400BE"/>
    <w:rsid w:val="00047606"/>
    <w:rsid w:val="00051346"/>
    <w:rsid w:val="0005347C"/>
    <w:rsid w:val="00054956"/>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1B8D"/>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3766"/>
    <w:rsid w:val="00204F6B"/>
    <w:rsid w:val="002058CA"/>
    <w:rsid w:val="00211E1F"/>
    <w:rsid w:val="00214132"/>
    <w:rsid w:val="00216C1C"/>
    <w:rsid w:val="0022073A"/>
    <w:rsid w:val="00221062"/>
    <w:rsid w:val="0022158F"/>
    <w:rsid w:val="00224C0A"/>
    <w:rsid w:val="00225457"/>
    <w:rsid w:val="00225DD8"/>
    <w:rsid w:val="002266CC"/>
    <w:rsid w:val="00227BD1"/>
    <w:rsid w:val="002308DA"/>
    <w:rsid w:val="0023600C"/>
    <w:rsid w:val="00236188"/>
    <w:rsid w:val="00236386"/>
    <w:rsid w:val="00237E01"/>
    <w:rsid w:val="0024018A"/>
    <w:rsid w:val="002416E0"/>
    <w:rsid w:val="00241DCC"/>
    <w:rsid w:val="00244628"/>
    <w:rsid w:val="00244980"/>
    <w:rsid w:val="00245681"/>
    <w:rsid w:val="00245C51"/>
    <w:rsid w:val="00247B0A"/>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5E9"/>
    <w:rsid w:val="00300E0E"/>
    <w:rsid w:val="003012A1"/>
    <w:rsid w:val="003014E8"/>
    <w:rsid w:val="00302C7E"/>
    <w:rsid w:val="00303A4B"/>
    <w:rsid w:val="0030515A"/>
    <w:rsid w:val="003069B8"/>
    <w:rsid w:val="0030756D"/>
    <w:rsid w:val="0031146D"/>
    <w:rsid w:val="003143F5"/>
    <w:rsid w:val="00314BD7"/>
    <w:rsid w:val="0031574C"/>
    <w:rsid w:val="00316BE2"/>
    <w:rsid w:val="0031749D"/>
    <w:rsid w:val="00321FE6"/>
    <w:rsid w:val="00323BCF"/>
    <w:rsid w:val="00325CFB"/>
    <w:rsid w:val="00326C33"/>
    <w:rsid w:val="00332AFF"/>
    <w:rsid w:val="00332B4C"/>
    <w:rsid w:val="0033696E"/>
    <w:rsid w:val="00337B84"/>
    <w:rsid w:val="00340215"/>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181E"/>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BE4"/>
    <w:rsid w:val="00477EBE"/>
    <w:rsid w:val="00481504"/>
    <w:rsid w:val="004829F0"/>
    <w:rsid w:val="00482E64"/>
    <w:rsid w:val="00482EE1"/>
    <w:rsid w:val="004833E6"/>
    <w:rsid w:val="00483C26"/>
    <w:rsid w:val="00484D58"/>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0928"/>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577F"/>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5F7B5B"/>
    <w:rsid w:val="00601DC3"/>
    <w:rsid w:val="00605556"/>
    <w:rsid w:val="0060714E"/>
    <w:rsid w:val="00610543"/>
    <w:rsid w:val="00613EDF"/>
    <w:rsid w:val="006171D4"/>
    <w:rsid w:val="00620335"/>
    <w:rsid w:val="00620D20"/>
    <w:rsid w:val="00624746"/>
    <w:rsid w:val="00625077"/>
    <w:rsid w:val="00625580"/>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470"/>
    <w:rsid w:val="00677B4D"/>
    <w:rsid w:val="00680337"/>
    <w:rsid w:val="006809E8"/>
    <w:rsid w:val="00681193"/>
    <w:rsid w:val="0068462B"/>
    <w:rsid w:val="00685418"/>
    <w:rsid w:val="00686886"/>
    <w:rsid w:val="00686EF3"/>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57D9D"/>
    <w:rsid w:val="007649C8"/>
    <w:rsid w:val="00764EFF"/>
    <w:rsid w:val="00770C5D"/>
    <w:rsid w:val="007711B5"/>
    <w:rsid w:val="007712F7"/>
    <w:rsid w:val="00771791"/>
    <w:rsid w:val="00771C14"/>
    <w:rsid w:val="007720F9"/>
    <w:rsid w:val="007727F1"/>
    <w:rsid w:val="00773586"/>
    <w:rsid w:val="007741C1"/>
    <w:rsid w:val="00777CCF"/>
    <w:rsid w:val="00777CF0"/>
    <w:rsid w:val="00780C1E"/>
    <w:rsid w:val="00780D7C"/>
    <w:rsid w:val="0078184F"/>
    <w:rsid w:val="00781E65"/>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7F7939"/>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190E"/>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17092"/>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06C9"/>
    <w:rsid w:val="00B811C7"/>
    <w:rsid w:val="00B8164D"/>
    <w:rsid w:val="00B83820"/>
    <w:rsid w:val="00B85097"/>
    <w:rsid w:val="00B86CD3"/>
    <w:rsid w:val="00B86D68"/>
    <w:rsid w:val="00B87494"/>
    <w:rsid w:val="00B87541"/>
    <w:rsid w:val="00B90E63"/>
    <w:rsid w:val="00B91D68"/>
    <w:rsid w:val="00B939CF"/>
    <w:rsid w:val="00B951F2"/>
    <w:rsid w:val="00B96851"/>
    <w:rsid w:val="00B96BBD"/>
    <w:rsid w:val="00B97983"/>
    <w:rsid w:val="00BA12BA"/>
    <w:rsid w:val="00BA26BD"/>
    <w:rsid w:val="00BA3046"/>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664"/>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360B"/>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19B"/>
    <w:rsid w:val="00D76831"/>
    <w:rsid w:val="00D76E0B"/>
    <w:rsid w:val="00D7743E"/>
    <w:rsid w:val="00D800E8"/>
    <w:rsid w:val="00D80B09"/>
    <w:rsid w:val="00D81A9B"/>
    <w:rsid w:val="00D8265B"/>
    <w:rsid w:val="00D839C6"/>
    <w:rsid w:val="00D8478E"/>
    <w:rsid w:val="00D85091"/>
    <w:rsid w:val="00D8597E"/>
    <w:rsid w:val="00D86846"/>
    <w:rsid w:val="00D87B0A"/>
    <w:rsid w:val="00D87B4E"/>
    <w:rsid w:val="00D948A4"/>
    <w:rsid w:val="00D951D1"/>
    <w:rsid w:val="00D95A35"/>
    <w:rsid w:val="00D95CA7"/>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4C58"/>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5D6"/>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2397"/>
    <w:rsid w:val="00E563BA"/>
    <w:rsid w:val="00E634F7"/>
    <w:rsid w:val="00E660CB"/>
    <w:rsid w:val="00E674DB"/>
    <w:rsid w:val="00E67529"/>
    <w:rsid w:val="00E676A2"/>
    <w:rsid w:val="00E7397F"/>
    <w:rsid w:val="00E7441E"/>
    <w:rsid w:val="00E7564D"/>
    <w:rsid w:val="00E75693"/>
    <w:rsid w:val="00E82534"/>
    <w:rsid w:val="00E8491C"/>
    <w:rsid w:val="00E84F8D"/>
    <w:rsid w:val="00E8545C"/>
    <w:rsid w:val="00E8670C"/>
    <w:rsid w:val="00E87AD3"/>
    <w:rsid w:val="00E91AF2"/>
    <w:rsid w:val="00E9341D"/>
    <w:rsid w:val="00E950DA"/>
    <w:rsid w:val="00E97CAB"/>
    <w:rsid w:val="00EA0563"/>
    <w:rsid w:val="00EA1859"/>
    <w:rsid w:val="00EA3BA8"/>
    <w:rsid w:val="00EA6444"/>
    <w:rsid w:val="00EA6764"/>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04F5"/>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2C07"/>
    <w:rsid w:val="00F33D0D"/>
    <w:rsid w:val="00F358FB"/>
    <w:rsid w:val="00F359E1"/>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0E46"/>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A9E"/>
    <w:rsid w:val="00FA0B8B"/>
    <w:rsid w:val="00FA12E5"/>
    <w:rsid w:val="00FA1344"/>
    <w:rsid w:val="00FA1829"/>
    <w:rsid w:val="00FA3672"/>
    <w:rsid w:val="00FA7781"/>
    <w:rsid w:val="00FB167B"/>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0922911">
      <w:bodyDiv w:val="1"/>
      <w:marLeft w:val="0"/>
      <w:marRight w:val="0"/>
      <w:marTop w:val="0"/>
      <w:marBottom w:val="0"/>
      <w:divBdr>
        <w:top w:val="none" w:sz="0" w:space="0" w:color="auto"/>
        <w:left w:val="none" w:sz="0" w:space="0" w:color="auto"/>
        <w:bottom w:val="none" w:sz="0" w:space="0" w:color="auto"/>
        <w:right w:val="none" w:sz="0" w:space="0" w:color="auto"/>
      </w:divBdr>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448207">
      <w:bodyDiv w:val="1"/>
      <w:marLeft w:val="0"/>
      <w:marRight w:val="0"/>
      <w:marTop w:val="0"/>
      <w:marBottom w:val="0"/>
      <w:divBdr>
        <w:top w:val="none" w:sz="0" w:space="0" w:color="auto"/>
        <w:left w:val="none" w:sz="0" w:space="0" w:color="auto"/>
        <w:bottom w:val="none" w:sz="0" w:space="0" w:color="auto"/>
        <w:right w:val="none" w:sz="0" w:space="0" w:color="auto"/>
      </w:divBdr>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0796849">
      <w:bodyDiv w:val="1"/>
      <w:marLeft w:val="0"/>
      <w:marRight w:val="0"/>
      <w:marTop w:val="0"/>
      <w:marBottom w:val="0"/>
      <w:divBdr>
        <w:top w:val="none" w:sz="0" w:space="0" w:color="auto"/>
        <w:left w:val="none" w:sz="0" w:space="0" w:color="auto"/>
        <w:bottom w:val="none" w:sz="0" w:space="0" w:color="auto"/>
        <w:right w:val="none" w:sz="0" w:space="0" w:color="auto"/>
      </w:divBdr>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594379">
      <w:bodyDiv w:val="1"/>
      <w:marLeft w:val="0"/>
      <w:marRight w:val="0"/>
      <w:marTop w:val="0"/>
      <w:marBottom w:val="0"/>
      <w:divBdr>
        <w:top w:val="none" w:sz="0" w:space="0" w:color="auto"/>
        <w:left w:val="none" w:sz="0" w:space="0" w:color="auto"/>
        <w:bottom w:val="none" w:sz="0" w:space="0" w:color="auto"/>
        <w:right w:val="none" w:sz="0" w:space="0" w:color="auto"/>
      </w:divBdr>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A83A3-7298-44C9-91CA-C963B6C9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2842</Words>
  <Characters>16773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5</cp:revision>
  <cp:lastPrinted>2017-05-09T08:59:00Z</cp:lastPrinted>
  <dcterms:created xsi:type="dcterms:W3CDTF">2018-12-03T06:58:00Z</dcterms:created>
  <dcterms:modified xsi:type="dcterms:W3CDTF">2018-12-04T08:53:00Z</dcterms:modified>
</cp:coreProperties>
</file>