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proofErr w:type="gramStart"/>
      <w:r w:rsidRPr="0001573C">
        <w:rPr>
          <w:rFonts w:asciiTheme="minorHAnsi" w:hAnsiTheme="minorHAnsi"/>
          <w:b/>
        </w:rPr>
        <w:t>1.1.2.4  Jméno</w:t>
      </w:r>
      <w:proofErr w:type="gramEnd"/>
      <w:r w:rsidRPr="0001573C">
        <w:rPr>
          <w:rFonts w:asciiTheme="minorHAnsi" w:hAnsiTheme="minorHAnsi"/>
          <w:b/>
        </w:rPr>
        <w:t xml:space="preserve"> (název) a adresa Správce stavby</w:t>
      </w:r>
    </w:p>
    <w:p w14:paraId="2499F751" w14:textId="56D8B10D" w:rsidR="004260D4" w:rsidRPr="001032DC" w:rsidRDefault="004260D4" w:rsidP="004260D4">
      <w:pPr>
        <w:pStyle w:val="Plnab0"/>
        <w:spacing w:after="0"/>
      </w:pPr>
      <w:r w:rsidRPr="001032DC">
        <w:t xml:space="preserve">Ing. </w:t>
      </w:r>
      <w:r>
        <w:t xml:space="preserve">Miloš </w:t>
      </w:r>
      <w:proofErr w:type="spellStart"/>
      <w:r>
        <w:t>Kosán</w:t>
      </w:r>
      <w:proofErr w:type="spellEnd"/>
    </w:p>
    <w:p w14:paraId="41B19905" w14:textId="77777777" w:rsidR="004260D4" w:rsidRPr="001032DC" w:rsidRDefault="004260D4" w:rsidP="004260D4">
      <w:pPr>
        <w:pStyle w:val="Plnab0"/>
        <w:spacing w:after="0"/>
      </w:pPr>
      <w:r w:rsidRPr="001032DC">
        <w:t>Správa železniční dopravní cesty, státní organizace</w:t>
      </w:r>
    </w:p>
    <w:p w14:paraId="5548304E" w14:textId="77777777" w:rsidR="004260D4" w:rsidRPr="001032DC" w:rsidRDefault="004260D4" w:rsidP="004260D4">
      <w:pPr>
        <w:pStyle w:val="Plnab0"/>
        <w:spacing w:after="0"/>
      </w:pPr>
      <w:r w:rsidRPr="001032DC">
        <w:t>Stavební správa západ</w:t>
      </w:r>
    </w:p>
    <w:p w14:paraId="4D71F1DC" w14:textId="77777777" w:rsidR="004260D4" w:rsidRPr="001032DC" w:rsidRDefault="004260D4" w:rsidP="004260D4">
      <w:pPr>
        <w:pStyle w:val="Plnab0"/>
        <w:spacing w:after="0"/>
      </w:pPr>
      <w:r w:rsidRPr="001032DC">
        <w:t>Sokolovská 278/1955, 190 00 Praha 9</w:t>
      </w:r>
    </w:p>
    <w:p w14:paraId="27585060" w14:textId="77777777" w:rsidR="004260D4" w:rsidRPr="001032DC" w:rsidRDefault="004260D4" w:rsidP="004260D4">
      <w:pPr>
        <w:pStyle w:val="Plnab0"/>
        <w:spacing w:after="0"/>
      </w:pPr>
      <w:r w:rsidRPr="001032DC">
        <w:t xml:space="preserve">Pracoviště: </w:t>
      </w:r>
    </w:p>
    <w:p w14:paraId="02104959" w14:textId="59F242E3" w:rsidR="004260D4" w:rsidRPr="001032DC" w:rsidRDefault="004260D4" w:rsidP="004260D4">
      <w:pPr>
        <w:jc w:val="both"/>
        <w:rPr>
          <w:rFonts w:asciiTheme="minorHAnsi" w:hAnsiTheme="minorHAnsi"/>
          <w:sz w:val="22"/>
          <w:szCs w:val="22"/>
        </w:rPr>
      </w:pPr>
      <w:r>
        <w:rPr>
          <w:rFonts w:asciiTheme="minorHAnsi" w:hAnsiTheme="minorHAnsi"/>
          <w:sz w:val="22"/>
          <w:szCs w:val="22"/>
        </w:rPr>
        <w:t>Přeštická 4</w:t>
      </w:r>
      <w:r w:rsidRPr="001032DC">
        <w:rPr>
          <w:rFonts w:asciiTheme="minorHAnsi" w:hAnsiTheme="minorHAnsi"/>
          <w:sz w:val="22"/>
          <w:szCs w:val="22"/>
        </w:rPr>
        <w:t xml:space="preserve">, </w:t>
      </w:r>
      <w:r>
        <w:rPr>
          <w:rFonts w:asciiTheme="minorHAnsi" w:hAnsiTheme="minorHAnsi"/>
          <w:sz w:val="22"/>
          <w:szCs w:val="22"/>
        </w:rPr>
        <w:t>301 32 Plzeň</w:t>
      </w:r>
    </w:p>
    <w:p w14:paraId="08B308D5" w14:textId="29141131" w:rsidR="00A92850" w:rsidRPr="0001573C" w:rsidRDefault="004260D4" w:rsidP="004260D4">
      <w:pPr>
        <w:pStyle w:val="PlnabPodnadpis"/>
        <w:rPr>
          <w:rFonts w:asciiTheme="minorHAnsi" w:hAnsiTheme="minorHAnsi"/>
        </w:rPr>
      </w:pPr>
      <w:r>
        <w:rPr>
          <w:rFonts w:asciiTheme="minorHAnsi" w:hAnsiTheme="minorHAnsi"/>
        </w:rPr>
        <w:t>M</w:t>
      </w:r>
      <w:r w:rsidRPr="001032DC">
        <w:rPr>
          <w:rFonts w:asciiTheme="minorHAnsi" w:hAnsiTheme="minorHAnsi"/>
        </w:rPr>
        <w:t>obil</w:t>
      </w:r>
      <w:r>
        <w:rPr>
          <w:rFonts w:asciiTheme="minorHAnsi" w:hAnsiTheme="minorHAnsi"/>
        </w:rPr>
        <w:t>:</w:t>
      </w:r>
      <w:r w:rsidRPr="001032DC">
        <w:rPr>
          <w:rFonts w:asciiTheme="minorHAnsi" w:hAnsiTheme="minorHAnsi"/>
        </w:rPr>
        <w:t xml:space="preserve">  </w:t>
      </w:r>
      <w:r>
        <w:rPr>
          <w:rFonts w:asciiTheme="minorHAnsi" w:hAnsiTheme="minorHAnsi"/>
        </w:rPr>
        <w:t>725 761 476</w:t>
      </w:r>
      <w:r w:rsidRPr="001032DC">
        <w:rPr>
          <w:rFonts w:asciiTheme="minorHAnsi" w:hAnsiTheme="minorHAnsi"/>
        </w:rPr>
        <w:t xml:space="preserve">, e-mail: </w:t>
      </w:r>
      <w:r>
        <w:rPr>
          <w:rFonts w:asciiTheme="minorHAnsi" w:hAnsiTheme="minorHAnsi"/>
        </w:rPr>
        <w:t>kosan</w:t>
      </w:r>
      <w:r w:rsidRPr="001032DC">
        <w:rPr>
          <w:rFonts w:asciiTheme="minorHAnsi" w:hAnsiTheme="minorHAnsi"/>
        </w:rPr>
        <w:t>@szdc.cz</w:t>
      </w:r>
    </w:p>
    <w:p w14:paraId="5D82C7AD" w14:textId="77777777" w:rsidR="005F285C" w:rsidRPr="0001573C" w:rsidRDefault="005F285C" w:rsidP="00A92850">
      <w:pPr>
        <w:pStyle w:val="PlnabPodnadpis"/>
        <w:rPr>
          <w:rFonts w:asciiTheme="minorHAnsi" w:hAnsiTheme="minorHAnsi"/>
        </w:rPr>
      </w:pPr>
    </w:p>
    <w:p w14:paraId="6B7F7CFD" w14:textId="7CFF391E"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w:t>
      </w:r>
      <w:proofErr w:type="gramEnd"/>
      <w:r w:rsidRPr="0001573C">
        <w:rPr>
          <w:rFonts w:asciiTheme="minorHAnsi" w:hAnsiTheme="minorHAnsi"/>
          <w:b/>
          <w:sz w:val="22"/>
          <w:szCs w:val="22"/>
          <w:u w:val="single"/>
        </w:rPr>
        <w:t xml:space="preserve">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1.1.4.15  Faktura</w:t>
      </w:r>
      <w:proofErr w:type="gramEnd"/>
    </w:p>
    <w:p w14:paraId="49A7A440" w14:textId="6884971F" w:rsidR="00A92850" w:rsidRPr="0001573C" w:rsidRDefault="00A92850" w:rsidP="00A92850">
      <w:pPr>
        <w:pStyle w:val="Plnab0"/>
        <w:rPr>
          <w:rFonts w:asciiTheme="minorHAnsi" w:hAnsiTheme="minorHAnsi"/>
        </w:rPr>
      </w:pPr>
      <w:r w:rsidRPr="0001573C">
        <w:rPr>
          <w:rFonts w:asciiTheme="minorHAnsi" w:hAnsiTheme="minorHAnsi"/>
        </w:rPr>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w:t>
      </w:r>
      <w:r w:rsidR="006C1729">
        <w:rPr>
          <w:rFonts w:asciiTheme="minorHAnsi" w:hAnsiTheme="minorHAnsi"/>
        </w:rPr>
        <w:t xml:space="preserve"> </w:t>
      </w:r>
      <w:r w:rsidRPr="0001573C">
        <w:rPr>
          <w:rFonts w:asciiTheme="minorHAnsi" w:hAnsiTheme="minorHAnsi"/>
        </w:rPr>
        <w:t xml:space="preserve">Vystavené Faktury se mají za kompletní, obsahují-li kromě náležitostí </w:t>
      </w:r>
      <w:proofErr w:type="spellStart"/>
      <w:r w:rsidRPr="0001573C">
        <w:rPr>
          <w:rFonts w:asciiTheme="minorHAnsi" w:hAnsiTheme="minorHAnsi"/>
        </w:rPr>
        <w:t>stano</w:t>
      </w:r>
      <w:proofErr w:type="spellEnd"/>
      <w:r w:rsidRPr="0001573C">
        <w:rPr>
          <w:rFonts w:asciiTheme="minorHAnsi" w:hAnsiTheme="minorHAnsi"/>
        </w:rPr>
        <w:t xml:space="preserve"> </w:t>
      </w:r>
      <w:proofErr w:type="spellStart"/>
      <w:r w:rsidRPr="0001573C">
        <w:rPr>
          <w:rFonts w:asciiTheme="minorHAnsi" w:hAnsiTheme="minorHAnsi"/>
        </w:rPr>
        <w:t>vených</w:t>
      </w:r>
      <w:proofErr w:type="spellEnd"/>
      <w:r w:rsidRPr="0001573C">
        <w:rPr>
          <w:rFonts w:asciiTheme="minorHAnsi" w:hAnsiTheme="minorHAnsi"/>
        </w:rPr>
        <w:t xml:space="preserve">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lastRenderedPageBreak/>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proofErr w:type="gramStart"/>
      <w:r w:rsidRPr="0001573C">
        <w:rPr>
          <w:rFonts w:asciiTheme="minorHAnsi" w:hAnsiTheme="minorHAnsi"/>
          <w:b/>
          <w:sz w:val="22"/>
          <w:szCs w:val="22"/>
          <w:u w:val="single"/>
        </w:rPr>
        <w:t>1.1.5.6  Definice</w:t>
      </w:r>
      <w:proofErr w:type="gramEnd"/>
      <w:r w:rsidRPr="0001573C">
        <w:rPr>
          <w:rFonts w:asciiTheme="minorHAnsi" w:hAnsiTheme="minorHAnsi"/>
          <w:b/>
          <w:sz w:val="22"/>
          <w:szCs w:val="22"/>
          <w:u w:val="single"/>
        </w:rPr>
        <w:t xml:space="preserv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7AA94601" w14:textId="0A6D9DD6" w:rsidR="00E12655" w:rsidRPr="004260D4" w:rsidRDefault="00E12655" w:rsidP="00E12655">
      <w:pPr>
        <w:pStyle w:val="Plnab0"/>
        <w:rPr>
          <w:rFonts w:asciiTheme="minorHAnsi" w:hAnsiTheme="minorHAnsi"/>
        </w:rPr>
      </w:pPr>
      <w:r w:rsidRPr="004260D4">
        <w:rPr>
          <w:rFonts w:asciiTheme="minorHAnsi" w:hAnsiTheme="minorHAnsi"/>
        </w:rPr>
        <w:t xml:space="preserve">Sekce nejsou specifikovány. Je-li termín Sekce v textu smluvních dokumentů použit, je tím míněna část Díla vyplývající z harmonogramu podle </w:t>
      </w:r>
      <w:r w:rsidR="00C560C8" w:rsidRPr="004260D4">
        <w:rPr>
          <w:rFonts w:asciiTheme="minorHAnsi" w:hAnsiTheme="minorHAnsi"/>
        </w:rPr>
        <w:t>p</w:t>
      </w:r>
      <w:r w:rsidRPr="004260D4">
        <w:rPr>
          <w:rFonts w:asciiTheme="minorHAnsi" w:hAnsiTheme="minorHAnsi"/>
        </w:rPr>
        <w:t>od-článku 8.3 [Harmonogram].</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1.3  Elektronické</w:t>
      </w:r>
      <w:proofErr w:type="gramEnd"/>
      <w:r w:rsidRPr="0001573C">
        <w:rPr>
          <w:rFonts w:asciiTheme="minorHAnsi" w:hAnsiTheme="minorHAnsi"/>
          <w:b/>
          <w:sz w:val="22"/>
          <w:szCs w:val="22"/>
          <w:u w:val="single"/>
        </w:rPr>
        <w:t xml:space="preserve"> přenosové systémy</w:t>
      </w:r>
    </w:p>
    <w:p w14:paraId="62CA92F9" w14:textId="76500B07" w:rsidR="00A92850" w:rsidRPr="0001573C" w:rsidRDefault="00A92850" w:rsidP="00A92850">
      <w:pPr>
        <w:pStyle w:val="Plnab0"/>
        <w:rPr>
          <w:rFonts w:asciiTheme="minorHAnsi" w:hAnsiTheme="minorHAnsi"/>
        </w:rPr>
      </w:pPr>
      <w:r w:rsidRPr="0001573C">
        <w:rPr>
          <w:rFonts w:asciiTheme="minorHAnsi" w:hAnsiTheme="minorHAnsi"/>
        </w:rPr>
        <w:t>Elektronickým přenosovým systémem ve smyslu pod-článku 1.3 se rozumí zasílání elektronických dokumentů prostřednictvím veřejné datové sítě do datové schránky Objednatele s ID:</w:t>
      </w:r>
      <w:r w:rsidR="004260D4" w:rsidRPr="004260D4">
        <w:t xml:space="preserve"> </w:t>
      </w:r>
      <w:proofErr w:type="spellStart"/>
      <w:r w:rsidR="004260D4">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Rozhodné</w:t>
      </w:r>
      <w:proofErr w:type="gramEnd"/>
      <w:r w:rsidRPr="0001573C">
        <w:rPr>
          <w:rFonts w:asciiTheme="minorHAnsi" w:hAnsiTheme="minorHAnsi"/>
          <w:b/>
          <w:sz w:val="22"/>
          <w:szCs w:val="22"/>
          <w:u w:val="single"/>
        </w:rPr>
        <w:t xml:space="preserve">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Rozhodující</w:t>
      </w:r>
      <w:proofErr w:type="gramEnd"/>
      <w:r w:rsidRPr="0001573C">
        <w:rPr>
          <w:rFonts w:asciiTheme="minorHAnsi" w:hAnsiTheme="minorHAnsi"/>
          <w:b/>
          <w:sz w:val="22"/>
          <w:szCs w:val="22"/>
          <w:u w:val="single"/>
        </w:rPr>
        <w:t xml:space="preserve">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Komunikační</w:t>
      </w:r>
      <w:proofErr w:type="gramEnd"/>
      <w:r w:rsidRPr="0001573C">
        <w:rPr>
          <w:rFonts w:asciiTheme="minorHAnsi" w:hAnsiTheme="minorHAnsi"/>
          <w:b/>
          <w:sz w:val="22"/>
          <w:szCs w:val="22"/>
          <w:u w:val="single"/>
        </w:rPr>
        <w:t xml:space="preserve">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proofErr w:type="gramStart"/>
      <w:r w:rsidRPr="0001573C">
        <w:rPr>
          <w:rFonts w:asciiTheme="minorHAnsi" w:hAnsiTheme="minorHAnsi"/>
          <w:b/>
          <w:sz w:val="22"/>
          <w:szCs w:val="22"/>
          <w:u w:val="single"/>
        </w:rPr>
        <w:t>1.14  Společná</w:t>
      </w:r>
      <w:proofErr w:type="gramEnd"/>
      <w:r w:rsidRPr="0001573C">
        <w:rPr>
          <w:rFonts w:asciiTheme="minorHAnsi" w:hAnsiTheme="minorHAnsi"/>
          <w:b/>
          <w:sz w:val="22"/>
          <w:szCs w:val="22"/>
          <w:u w:val="single"/>
        </w:rPr>
        <w:t xml:space="preserve">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2.1  Právo</w:t>
      </w:r>
      <w:proofErr w:type="gramEnd"/>
      <w:r w:rsidRPr="0001573C">
        <w:rPr>
          <w:rFonts w:asciiTheme="minorHAnsi" w:hAnsiTheme="minorHAnsi"/>
          <w:b/>
          <w:sz w:val="22"/>
          <w:szCs w:val="22"/>
          <w:u w:val="single"/>
        </w:rPr>
        <w:t xml:space="preserve">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0BF7DAE6" w:rsidR="009824E0" w:rsidRPr="0001573C" w:rsidRDefault="009824E0" w:rsidP="009824E0">
      <w:pPr>
        <w:pStyle w:val="Plnab0"/>
        <w:rPr>
          <w:rFonts w:asciiTheme="minorHAnsi" w:hAnsiTheme="minorHAnsi"/>
        </w:rPr>
      </w:pPr>
      <w:r w:rsidRPr="0001573C">
        <w:rPr>
          <w:rFonts w:asciiTheme="minorHAnsi" w:hAnsiTheme="minorHAnsi"/>
        </w:rPr>
        <w:t xml:space="preserve">Přístup na Staveniště bude Zhotoviteli umožněn od </w:t>
      </w:r>
      <w:r w:rsidR="004260D4">
        <w:rPr>
          <w:rFonts w:asciiTheme="minorHAnsi" w:hAnsiTheme="minorHAnsi"/>
        </w:rPr>
        <w:t>předání staveniště</w:t>
      </w:r>
      <w:r w:rsidRPr="0001573C">
        <w:rPr>
          <w:rFonts w:asciiTheme="minorHAnsi" w:hAnsiTheme="minorHAnsi"/>
        </w:rPr>
        <w:t xml:space="preserve"> do dne předání Dokumentů souvisejících s předáním Díla dle </w:t>
      </w:r>
      <w:r w:rsidR="00C560C8" w:rsidRPr="0001573C">
        <w:rPr>
          <w:rFonts w:asciiTheme="minorHAnsi" w:hAnsiTheme="minorHAnsi"/>
        </w:rPr>
        <w:t>p</w:t>
      </w:r>
      <w:r w:rsidRPr="0001573C">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2.3  Personál</w:t>
      </w:r>
      <w:proofErr w:type="gramEnd"/>
      <w:r w:rsidRPr="0001573C">
        <w:rPr>
          <w:rFonts w:asciiTheme="minorHAnsi" w:hAnsiTheme="minorHAnsi"/>
          <w:b/>
          <w:sz w:val="22"/>
          <w:szCs w:val="22"/>
          <w:u w:val="single"/>
        </w:rPr>
        <w:t xml:space="preserve">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20140C26" w14:textId="77777777" w:rsidR="004260D4" w:rsidRPr="00D60D2B" w:rsidRDefault="004260D4" w:rsidP="004260D4">
      <w:pPr>
        <w:jc w:val="both"/>
        <w:rPr>
          <w:rFonts w:ascii="Calibri" w:hAnsi="Calibri"/>
          <w:sz w:val="22"/>
          <w:szCs w:val="22"/>
        </w:rPr>
      </w:pPr>
      <w:r w:rsidRPr="00D60D2B">
        <w:rPr>
          <w:rFonts w:ascii="Calibri" w:hAnsi="Calibri"/>
          <w:sz w:val="22"/>
          <w:szCs w:val="22"/>
        </w:rPr>
        <w:t>Mgr. Štěpán Hošna</w:t>
      </w:r>
    </w:p>
    <w:p w14:paraId="3C22D643" w14:textId="77777777" w:rsidR="004260D4" w:rsidRPr="00D60D2B" w:rsidRDefault="004260D4" w:rsidP="004260D4">
      <w:pPr>
        <w:jc w:val="both"/>
        <w:rPr>
          <w:rFonts w:ascii="Calibri" w:hAnsi="Calibri"/>
          <w:sz w:val="22"/>
          <w:szCs w:val="22"/>
        </w:rPr>
      </w:pPr>
      <w:r w:rsidRPr="00D60D2B">
        <w:rPr>
          <w:rFonts w:ascii="Calibri" w:hAnsi="Calibri"/>
          <w:sz w:val="22"/>
          <w:szCs w:val="22"/>
        </w:rPr>
        <w:t>Správa železniční dopravní cesty, státní organizace</w:t>
      </w:r>
    </w:p>
    <w:p w14:paraId="1F82949F" w14:textId="77777777" w:rsidR="004260D4" w:rsidRPr="00D60D2B" w:rsidRDefault="004260D4" w:rsidP="004260D4">
      <w:pPr>
        <w:jc w:val="both"/>
        <w:rPr>
          <w:rFonts w:ascii="Calibri" w:hAnsi="Calibri"/>
          <w:sz w:val="22"/>
          <w:szCs w:val="22"/>
        </w:rPr>
      </w:pPr>
      <w:r w:rsidRPr="00D60D2B">
        <w:rPr>
          <w:rFonts w:ascii="Calibri" w:hAnsi="Calibri"/>
          <w:sz w:val="22"/>
          <w:szCs w:val="22"/>
        </w:rPr>
        <w:t>Stavební správa západ</w:t>
      </w:r>
    </w:p>
    <w:p w14:paraId="6F8C47CA" w14:textId="77777777" w:rsidR="004260D4" w:rsidRPr="00D60D2B" w:rsidRDefault="004260D4" w:rsidP="004260D4">
      <w:pPr>
        <w:jc w:val="both"/>
        <w:rPr>
          <w:rFonts w:asciiTheme="minorHAnsi" w:hAnsiTheme="minorHAnsi" w:cstheme="minorHAnsi"/>
          <w:sz w:val="22"/>
          <w:szCs w:val="22"/>
        </w:rPr>
      </w:pPr>
      <w:r w:rsidRPr="00D60D2B">
        <w:rPr>
          <w:rFonts w:asciiTheme="minorHAnsi" w:hAnsiTheme="minorHAnsi" w:cstheme="minorHAnsi"/>
          <w:sz w:val="22"/>
          <w:szCs w:val="22"/>
        </w:rPr>
        <w:t xml:space="preserve">Sokolovská 278/1955, 190 00 Praha </w:t>
      </w:r>
    </w:p>
    <w:p w14:paraId="28789384" w14:textId="73AAFAC7" w:rsidR="009824E0" w:rsidRPr="0001573C" w:rsidRDefault="004260D4" w:rsidP="004260D4">
      <w:pPr>
        <w:pStyle w:val="RLdajeosmluvnstran"/>
        <w:ind w:left="720" w:hanging="720"/>
        <w:jc w:val="left"/>
        <w:rPr>
          <w:rFonts w:asciiTheme="minorHAnsi" w:hAnsiTheme="minorHAnsi"/>
          <w:bCs/>
          <w:i/>
          <w:color w:val="00B050"/>
          <w:szCs w:val="22"/>
        </w:rPr>
      </w:pPr>
      <w:r w:rsidRPr="00D60D2B">
        <w:rPr>
          <w:rFonts w:asciiTheme="minorHAnsi" w:hAnsiTheme="minorHAnsi" w:cstheme="minorHAnsi"/>
          <w:szCs w:val="22"/>
        </w:rPr>
        <w:t>tel. 972 244 874, mobil 724 050 453, e-mail: Hosna@szdc.cz</w:t>
      </w:r>
    </w:p>
    <w:p w14:paraId="5A86E384" w14:textId="77777777" w:rsidR="009824E0" w:rsidRPr="0001573C" w:rsidRDefault="009824E0" w:rsidP="009824E0">
      <w:pPr>
        <w:pStyle w:val="RLdajeosmluvnstran"/>
        <w:ind w:left="720" w:hanging="720"/>
        <w:jc w:val="left"/>
        <w:rPr>
          <w:rFonts w:asciiTheme="minorHAnsi" w:hAnsiTheme="minorHAnsi"/>
          <w:bCs/>
          <w:i/>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proofErr w:type="gramStart"/>
      <w:r w:rsidRPr="0001573C">
        <w:rPr>
          <w:rFonts w:asciiTheme="minorHAnsi" w:hAnsiTheme="minorHAnsi"/>
          <w:b/>
          <w:bCs/>
          <w:szCs w:val="22"/>
          <w:u w:val="single"/>
        </w:rPr>
        <w:t>3.1  Povinnosti</w:t>
      </w:r>
      <w:proofErr w:type="gramEnd"/>
      <w:r w:rsidRPr="0001573C">
        <w:rPr>
          <w:rFonts w:asciiTheme="minorHAnsi" w:hAnsiTheme="minorHAnsi"/>
          <w:b/>
          <w:bCs/>
          <w:szCs w:val="22"/>
          <w:u w:val="single"/>
        </w:rPr>
        <w:t xml:space="preserve">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6465B938" w:rsidR="009824E0" w:rsidRPr="00992EDA" w:rsidRDefault="009824E0" w:rsidP="00992EDA">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4BB1BF28" w:rsidR="0054368A" w:rsidRPr="0001573C" w:rsidRDefault="0054368A" w:rsidP="0054368A">
      <w:pPr>
        <w:jc w:val="both"/>
        <w:rPr>
          <w:rFonts w:asciiTheme="minorHAnsi" w:hAnsiTheme="minorHAnsi"/>
          <w:b/>
          <w:sz w:val="22"/>
          <w:szCs w:val="22"/>
          <w:u w:val="single"/>
        </w:rPr>
      </w:pPr>
      <w:proofErr w:type="gramStart"/>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w:t>
      </w:r>
      <w:proofErr w:type="gramEnd"/>
      <w:r w:rsidRPr="0001573C">
        <w:rPr>
          <w:rFonts w:asciiTheme="minorHAnsi" w:hAnsiTheme="minorHAnsi"/>
          <w:b/>
          <w:sz w:val="22"/>
          <w:szCs w:val="22"/>
          <w:u w:val="single"/>
        </w:rPr>
        <w:t xml:space="preserv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4.27  Smluvní</w:t>
      </w:r>
      <w:proofErr w:type="gramEnd"/>
      <w:r w:rsidRPr="0001573C">
        <w:rPr>
          <w:rFonts w:asciiTheme="minorHAnsi" w:hAnsiTheme="minorHAnsi"/>
          <w:b/>
          <w:sz w:val="22"/>
          <w:szCs w:val="22"/>
          <w:u w:val="single"/>
        </w:rPr>
        <w:t xml:space="preserve">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lastRenderedPageBreak/>
        <w:t>Pod-článek 4.27 (d)</w:t>
      </w:r>
    </w:p>
    <w:p w14:paraId="196FB1F1" w14:textId="77777777" w:rsidR="00E950DA" w:rsidRPr="004260D4" w:rsidRDefault="00E950DA" w:rsidP="00E950DA">
      <w:pPr>
        <w:pStyle w:val="Plnab0"/>
        <w:rPr>
          <w:rFonts w:asciiTheme="minorHAnsi" w:hAnsiTheme="minorHAnsi"/>
        </w:rPr>
      </w:pPr>
      <w:r w:rsidRPr="004260D4">
        <w:rPr>
          <w:rFonts w:asciiTheme="minorHAnsi" w:hAnsiTheme="minorHAnsi"/>
        </w:rPr>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5DAD823" w14:textId="77777777" w:rsidR="004260D4" w:rsidRDefault="00E950DA" w:rsidP="00E950DA">
      <w:pPr>
        <w:pStyle w:val="Plnab0"/>
        <w:rPr>
          <w:rFonts w:asciiTheme="minorHAnsi" w:hAnsiTheme="minorHAnsi"/>
          <w:u w:val="single"/>
        </w:rPr>
      </w:pPr>
      <w:r w:rsidRPr="0001573C">
        <w:rPr>
          <w:rFonts w:asciiTheme="minorHAnsi" w:hAnsiTheme="minorHAnsi"/>
          <w:u w:val="single"/>
        </w:rPr>
        <w:t>Pod-článek 4.27 (e) a pod-článek 8.7</w:t>
      </w:r>
    </w:p>
    <w:p w14:paraId="758AC176" w14:textId="27A28684" w:rsidR="00E950DA" w:rsidRPr="004260D4" w:rsidRDefault="00E950DA" w:rsidP="00E950DA">
      <w:pPr>
        <w:pStyle w:val="Plnab0"/>
        <w:rPr>
          <w:rFonts w:asciiTheme="minorHAnsi" w:hAnsiTheme="minorHAnsi"/>
          <w:u w:val="single"/>
        </w:rPr>
      </w:pPr>
      <w:r w:rsidRPr="004260D4">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Pr="004260D4" w:rsidRDefault="00E950DA" w:rsidP="00E950DA">
      <w:pPr>
        <w:pStyle w:val="Plnab0"/>
        <w:rPr>
          <w:rFonts w:asciiTheme="minorHAnsi" w:hAnsiTheme="minorHAnsi"/>
        </w:rPr>
      </w:pPr>
      <w:r w:rsidRPr="004260D4">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lastRenderedPageBreak/>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458DC512"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č. 5 </w:t>
      </w:r>
      <w:r w:rsidRPr="0001573C">
        <w:rPr>
          <w:rFonts w:asciiTheme="minorHAnsi" w:hAnsiTheme="minorHAnsi"/>
        </w:rPr>
        <w:t>Smlouvy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color w:val="000000" w:themeColor="text1"/>
          <w:sz w:val="22"/>
          <w:szCs w:val="22"/>
          <w:u w:val="single"/>
        </w:rPr>
        <w:t>4.27  Maximální</w:t>
      </w:r>
      <w:proofErr w:type="gramEnd"/>
      <w:r w:rsidRPr="0001573C">
        <w:rPr>
          <w:rFonts w:asciiTheme="minorHAnsi" w:hAnsiTheme="minorHAnsi"/>
          <w:b/>
          <w:color w:val="000000" w:themeColor="text1"/>
          <w:sz w:val="22"/>
          <w:szCs w:val="22"/>
          <w:u w:val="single"/>
        </w:rPr>
        <w:t xml:space="preserve">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0FBEA96" w14:textId="77777777" w:rsidR="00E950DA" w:rsidRPr="0001573C" w:rsidRDefault="00E950DA" w:rsidP="00E950DA">
      <w:pPr>
        <w:pStyle w:val="Plnab0"/>
        <w:rPr>
          <w:rFonts w:asciiTheme="minorHAnsi" w:hAnsiTheme="minorHAnsi"/>
        </w:rPr>
      </w:pPr>
    </w:p>
    <w:p w14:paraId="0439B291"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4.28  Postupné</w:t>
      </w:r>
      <w:proofErr w:type="gramEnd"/>
      <w:r w:rsidRPr="0001573C">
        <w:rPr>
          <w:rFonts w:asciiTheme="minorHAnsi" w:hAnsiTheme="minorHAnsi"/>
          <w:b/>
          <w:sz w:val="22"/>
          <w:szCs w:val="22"/>
          <w:u w:val="single"/>
        </w:rPr>
        <w:t xml:space="preserve"> závazné milníky</w:t>
      </w:r>
    </w:p>
    <w:p w14:paraId="5B633955" w14:textId="5A010B00" w:rsidR="00E950DA" w:rsidRPr="0001573C" w:rsidRDefault="004260D4" w:rsidP="00E950DA">
      <w:pPr>
        <w:pStyle w:val="Plnab0"/>
        <w:rPr>
          <w:rFonts w:asciiTheme="minorHAnsi" w:hAnsiTheme="minorHAnsi"/>
        </w:rPr>
      </w:pPr>
      <w:r w:rsidRPr="009C7B12">
        <w:rPr>
          <w:rFonts w:asciiTheme="minorHAnsi" w:hAnsiTheme="minorHAnsi"/>
        </w:rPr>
        <w:t xml:space="preserve">Pro provádění Díla jsou stanoveny </w:t>
      </w:r>
      <w:r w:rsidRPr="009C7B12">
        <w:t>jako závazné milníky zahájení a ukončení výluky dle schváleného Harmonogramu</w:t>
      </w:r>
      <w:r w:rsidRPr="001E43A2">
        <w:rPr>
          <w:color w:val="FF0000"/>
        </w:rPr>
        <w:t>.</w:t>
      </w:r>
      <w:r w:rsidR="00E950DA" w:rsidRPr="0001573C">
        <w:rPr>
          <w:rFonts w:asciiTheme="minorHAnsi" w:hAnsiTheme="minorHAnsi"/>
        </w:rPr>
        <w:tab/>
      </w:r>
    </w:p>
    <w:p w14:paraId="75B22C63" w14:textId="77777777" w:rsidR="00E950DA" w:rsidRPr="0001573C" w:rsidRDefault="00E950DA" w:rsidP="00E950DA">
      <w:pPr>
        <w:pStyle w:val="Plnab0"/>
        <w:rPr>
          <w:rFonts w:asciiTheme="minorHAnsi" w:hAnsiTheme="minorHAnsi"/>
        </w:rPr>
      </w:pP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8.4  Doba</w:t>
      </w:r>
      <w:proofErr w:type="gramEnd"/>
      <w:r w:rsidRPr="0001573C">
        <w:rPr>
          <w:rFonts w:asciiTheme="minorHAnsi" w:hAnsiTheme="minorHAnsi"/>
          <w:b/>
          <w:sz w:val="22"/>
          <w:szCs w:val="22"/>
          <w:u w:val="single"/>
        </w:rPr>
        <w:t xml:space="preserve"> pro dokončení, Prodloužení doby pro dokončení</w:t>
      </w:r>
    </w:p>
    <w:p w14:paraId="364523F2" w14:textId="396516D8" w:rsidR="00E950DA" w:rsidRPr="0001573C" w:rsidRDefault="004260D4" w:rsidP="00E950DA">
      <w:pPr>
        <w:pStyle w:val="Plnab0"/>
        <w:rPr>
          <w:rFonts w:asciiTheme="minorHAnsi" w:hAnsiTheme="minorHAnsi"/>
        </w:rPr>
      </w:pPr>
      <w:r w:rsidRPr="009C7B12">
        <w:rPr>
          <w:rFonts w:asciiTheme="minorHAnsi" w:hAnsiTheme="minorHAnsi"/>
        </w:rPr>
        <w:t xml:space="preserve">Zhotovitel je povinen dokončit celé Dílo včetně příslušné dokumentace dle pod-článku 7.9 do </w:t>
      </w:r>
      <w:r>
        <w:rPr>
          <w:rFonts w:asciiTheme="minorHAnsi" w:hAnsiTheme="minorHAnsi"/>
          <w:b/>
        </w:rPr>
        <w:t>41</w:t>
      </w:r>
      <w:r w:rsidRPr="009C7B12">
        <w:rPr>
          <w:rFonts w:asciiTheme="minorHAnsi" w:hAnsiTheme="minorHAnsi"/>
          <w:b/>
        </w:rPr>
        <w:t xml:space="preserve"> měsíců</w:t>
      </w:r>
      <w:r w:rsidRPr="009C7B12">
        <w:rPr>
          <w:rFonts w:asciiTheme="minorHAnsi" w:hAnsiTheme="minorHAnsi"/>
        </w:rPr>
        <w:t xml:space="preserve"> od Data zahájení prací.</w:t>
      </w:r>
    </w:p>
    <w:p w14:paraId="5A1F8076" w14:textId="6CF3AE9C" w:rsidR="005F285C" w:rsidRPr="0001573C" w:rsidRDefault="005F285C" w:rsidP="005F285C">
      <w:pPr>
        <w:pStyle w:val="Plnab0"/>
        <w:rPr>
          <w:rFonts w:asciiTheme="minorHAnsi" w:hAnsiTheme="minorHAnsi"/>
          <w:u w:val="single"/>
        </w:rPr>
      </w:pP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1.1.3.10  Doba</w:t>
      </w:r>
      <w:proofErr w:type="gramEnd"/>
      <w:r w:rsidRPr="0001573C">
        <w:rPr>
          <w:rFonts w:asciiTheme="minorHAnsi" w:hAnsiTheme="minorHAnsi"/>
          <w:b/>
          <w:sz w:val="22"/>
          <w:szCs w:val="22"/>
          <w:u w:val="single"/>
        </w:rPr>
        <w:t xml:space="preserve"> pro uvedení do provozu</w:t>
      </w:r>
    </w:p>
    <w:p w14:paraId="04E6B42F" w14:textId="3FF8BD70" w:rsidR="005F285C" w:rsidRPr="0001573C" w:rsidRDefault="004260D4" w:rsidP="005F285C">
      <w:pPr>
        <w:pStyle w:val="Plnab0"/>
        <w:rPr>
          <w:rFonts w:asciiTheme="minorHAnsi" w:hAnsiTheme="minorHAnsi"/>
        </w:rPr>
      </w:pPr>
      <w:r w:rsidRPr="009C7B12">
        <w:rPr>
          <w:rFonts w:asciiTheme="minorHAnsi" w:hAnsiTheme="minorHAnsi"/>
        </w:rPr>
        <w:t xml:space="preserve">Zhotovitel je povinen dokončit Dílo v rozsahu nezbytném pro účely uvedení Díla nebo Sekce do provozu za podmínek stavebního zákona a zákona o drahách nejpozději do </w:t>
      </w:r>
      <w:r w:rsidRPr="009C7B12">
        <w:rPr>
          <w:rFonts w:asciiTheme="minorHAnsi" w:hAnsiTheme="minorHAnsi"/>
          <w:b/>
        </w:rPr>
        <w:t>3</w:t>
      </w:r>
      <w:r>
        <w:rPr>
          <w:rFonts w:asciiTheme="minorHAnsi" w:hAnsiTheme="minorHAnsi"/>
          <w:b/>
        </w:rPr>
        <w:t>5</w:t>
      </w:r>
      <w:r w:rsidRPr="009C7B12">
        <w:rPr>
          <w:rFonts w:asciiTheme="minorHAnsi" w:hAnsiTheme="minorHAnsi"/>
          <w:b/>
        </w:rPr>
        <w:t xml:space="preserve"> měsíců</w:t>
      </w:r>
      <w:r w:rsidRPr="009C7B12">
        <w:rPr>
          <w:rFonts w:asciiTheme="minorHAnsi" w:hAnsiTheme="minorHAnsi"/>
          <w:i/>
        </w:rPr>
        <w:t xml:space="preserve"> </w:t>
      </w:r>
      <w:r w:rsidRPr="009C7B12">
        <w:rPr>
          <w:rFonts w:asciiTheme="minorHAnsi" w:hAnsiTheme="minorHAnsi"/>
        </w:rPr>
        <w:t>od Data zahájení prací.</w:t>
      </w:r>
    </w:p>
    <w:p w14:paraId="1D2A35A1" w14:textId="77777777" w:rsidR="005F285C" w:rsidRPr="0001573C" w:rsidRDefault="005F285C" w:rsidP="005F285C">
      <w:pPr>
        <w:pStyle w:val="Plnab0"/>
        <w:rPr>
          <w:rFonts w:asciiTheme="minorHAnsi" w:hAnsiTheme="minorHAnsi"/>
        </w:rPr>
      </w:pP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8.3, </w:t>
      </w:r>
      <w:proofErr w:type="gramStart"/>
      <w:r w:rsidRPr="0001573C">
        <w:rPr>
          <w:rFonts w:asciiTheme="minorHAnsi" w:hAnsiTheme="minorHAnsi"/>
          <w:b/>
          <w:sz w:val="22"/>
          <w:szCs w:val="22"/>
          <w:u w:val="single"/>
        </w:rPr>
        <w:t>8.6  Harmonogram</w:t>
      </w:r>
      <w:proofErr w:type="gramEnd"/>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9" w:history="1"/>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Náhrada</w:t>
      </w:r>
      <w:proofErr w:type="gramEnd"/>
      <w:r w:rsidRPr="0001573C">
        <w:rPr>
          <w:rFonts w:asciiTheme="minorHAnsi" w:hAnsiTheme="minorHAnsi"/>
          <w:b/>
          <w:sz w:val="22"/>
          <w:szCs w:val="22"/>
          <w:u w:val="single"/>
        </w:rPr>
        <w:t xml:space="preserve">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Maximální</w:t>
      </w:r>
      <w:proofErr w:type="gramEnd"/>
      <w:r w:rsidRPr="0001573C">
        <w:rPr>
          <w:rFonts w:asciiTheme="minorHAnsi" w:hAnsiTheme="minorHAnsi"/>
          <w:b/>
          <w:sz w:val="22"/>
          <w:szCs w:val="22"/>
          <w:u w:val="single"/>
        </w:rPr>
        <w:t xml:space="preserve">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t>Celková výše náhrady škody za zpoždění je stanovena ve výši nabídkové ceny uvedené v Dopise nabídky.</w:t>
      </w:r>
    </w:p>
    <w:p w14:paraId="0D2A07D7" w14:textId="77777777" w:rsidR="005F285C" w:rsidRPr="0001573C" w:rsidRDefault="005F285C" w:rsidP="005F285C">
      <w:pPr>
        <w:pStyle w:val="Plnab0"/>
        <w:rPr>
          <w:rFonts w:asciiTheme="minorHAnsi" w:hAnsiTheme="minorHAnsi"/>
        </w:rPr>
      </w:pPr>
    </w:p>
    <w:p w14:paraId="3D1091D3"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11.1  Délka</w:t>
      </w:r>
      <w:proofErr w:type="gramEnd"/>
      <w:r w:rsidRPr="0001573C">
        <w:rPr>
          <w:rFonts w:asciiTheme="minorHAnsi" w:hAnsiTheme="minorHAnsi"/>
          <w:b/>
          <w:sz w:val="22"/>
          <w:szCs w:val="22"/>
          <w:u w:val="single"/>
        </w:rPr>
        <w:t xml:space="preserve">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707980B1"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železničním svršku (užitý materiál) a geometrického uspořádání koleje (užitý materiál) v trvání 2 let,</w:t>
      </w:r>
    </w:p>
    <w:p w14:paraId="004B01A3"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Pr="0001573C"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7F3BE30B" w14:textId="77777777" w:rsidR="00292C86" w:rsidRPr="0001573C" w:rsidRDefault="00292C86" w:rsidP="005F285C">
      <w:pPr>
        <w:pStyle w:val="F-ZP2Odstavec"/>
        <w:rPr>
          <w:rFonts w:asciiTheme="minorHAnsi" w:eastAsia="Calibri" w:hAnsiTheme="minorHAnsi"/>
        </w:rPr>
      </w:pPr>
    </w:p>
    <w:p w14:paraId="3FB5A7BD" w14:textId="6DBECC55" w:rsidR="00B22A4E" w:rsidRPr="0001573C" w:rsidRDefault="00B22A4E"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w:t>
      </w:r>
      <w:proofErr w:type="gramEnd"/>
      <w:r w:rsidRPr="0001573C">
        <w:rPr>
          <w:rFonts w:asciiTheme="minorHAnsi" w:hAnsiTheme="minorHAnsi"/>
          <w:b/>
          <w:sz w:val="22"/>
          <w:szCs w:val="22"/>
          <w:u w:val="single"/>
        </w:rPr>
        <w:t xml:space="preserve"> na variaci </w:t>
      </w:r>
    </w:p>
    <w:p w14:paraId="1468670D" w14:textId="38371C1F" w:rsidR="00B22A4E" w:rsidRPr="0001573C" w:rsidRDefault="00B22A4E" w:rsidP="00B22A4E">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změn Díla se řídí vedle Smlouvy v podrobnostech i Metodikou pro správu změn díla (variací) u stavebních zakázek</w:t>
      </w:r>
      <w:r w:rsidR="00556B06" w:rsidRPr="0001573C">
        <w:rPr>
          <w:rFonts w:asciiTheme="minorHAnsi" w:hAnsiTheme="minorHAnsi"/>
        </w:rPr>
        <w:t xml:space="preserve"> z ledna 2018</w:t>
      </w:r>
      <w:r w:rsidRPr="0001573C">
        <w:rPr>
          <w:rFonts w:asciiTheme="minorHAnsi" w:hAnsiTheme="minorHAnsi"/>
        </w:rPr>
        <w:t xml:space="preserve">, která je dostupná na </w:t>
      </w:r>
      <w:r w:rsidR="00556B06" w:rsidRPr="0001573C">
        <w:rPr>
          <w:rFonts w:asciiTheme="minorHAnsi" w:hAnsiTheme="minorHAnsi"/>
        </w:rPr>
        <w:t>http://</w:t>
      </w:r>
      <w:hyperlink r:id="rId10" w:history="1"/>
      <w:r w:rsidRPr="0001573C">
        <w:rPr>
          <w:rFonts w:asciiTheme="minorHAnsi" w:hAnsiTheme="minorHAnsi"/>
        </w:rPr>
        <w:t>www.sfdi.cz</w:t>
      </w:r>
      <w:r w:rsidR="00556B06" w:rsidRPr="0001573C">
        <w:rPr>
          <w:rFonts w:asciiTheme="minorHAnsi" w:hAnsiTheme="minorHAnsi"/>
        </w:rPr>
        <w:t>.</w:t>
      </w:r>
    </w:p>
    <w:p w14:paraId="29F822AB" w14:textId="77777777" w:rsidR="00B22A4E" w:rsidRPr="0001573C" w:rsidRDefault="00B22A4E" w:rsidP="00292C86">
      <w:pPr>
        <w:jc w:val="both"/>
        <w:rPr>
          <w:rFonts w:asciiTheme="minorHAnsi" w:hAnsiTheme="minorHAnsi"/>
          <w:b/>
          <w:sz w:val="22"/>
          <w:szCs w:val="22"/>
          <w:u w:val="single"/>
        </w:rPr>
      </w:pPr>
    </w:p>
    <w:p w14:paraId="16A9B3A3"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13.5  Podmíněné</w:t>
      </w:r>
      <w:proofErr w:type="gramEnd"/>
      <w:r w:rsidRPr="0001573C">
        <w:rPr>
          <w:rFonts w:asciiTheme="minorHAnsi" w:hAnsiTheme="minorHAnsi"/>
          <w:b/>
          <w:sz w:val="22"/>
          <w:szCs w:val="22"/>
          <w:u w:val="single"/>
        </w:rPr>
        <w:t xml:space="preserve">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5B7E7A66" w14:textId="77777777" w:rsidR="0001573C" w:rsidRDefault="0001573C" w:rsidP="00292C86">
      <w:pPr>
        <w:jc w:val="both"/>
        <w:rPr>
          <w:rFonts w:asciiTheme="minorHAnsi" w:hAnsiTheme="minorHAnsi"/>
          <w:b/>
          <w:sz w:val="22"/>
          <w:szCs w:val="22"/>
          <w:u w:val="single"/>
        </w:rPr>
      </w:pPr>
    </w:p>
    <w:p w14:paraId="1EAB41BD"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13.8  Úpravy</w:t>
      </w:r>
      <w:proofErr w:type="gramEnd"/>
      <w:r w:rsidRPr="0001573C">
        <w:rPr>
          <w:rFonts w:asciiTheme="minorHAnsi" w:hAnsiTheme="minorHAnsi"/>
          <w:b/>
          <w:sz w:val="22"/>
          <w:szCs w:val="22"/>
          <w:u w:val="single"/>
        </w:rPr>
        <w:t xml:space="preserve"> v důsledku změn nákladů </w:t>
      </w:r>
    </w:p>
    <w:p w14:paraId="2C722309" w14:textId="53FECF3A" w:rsidR="00292C86" w:rsidRPr="0001573C" w:rsidRDefault="004260D4" w:rsidP="00292C86">
      <w:pPr>
        <w:pStyle w:val="Plnab0"/>
        <w:rPr>
          <w:rFonts w:asciiTheme="minorHAnsi" w:hAnsiTheme="minorHAnsi"/>
        </w:rPr>
      </w:pPr>
      <w:r w:rsidRPr="009C7B12">
        <w:rPr>
          <w:rFonts w:asciiTheme="minorHAnsi" w:hAnsiTheme="minorHAnsi"/>
        </w:rPr>
        <w:t>Úpravy cen v důsledku změn nákladů nejsou povoleny.</w:t>
      </w:r>
    </w:p>
    <w:p w14:paraId="31B6DAD3" w14:textId="77777777" w:rsidR="00292C86" w:rsidRPr="0001573C" w:rsidRDefault="00292C86" w:rsidP="00292C86">
      <w:pPr>
        <w:jc w:val="both"/>
        <w:rPr>
          <w:rFonts w:asciiTheme="minorHAnsi" w:hAnsiTheme="minorHAnsi"/>
          <w:b/>
          <w:sz w:val="22"/>
          <w:szCs w:val="22"/>
        </w:rPr>
      </w:pPr>
      <w:proofErr w:type="gramStart"/>
      <w:r w:rsidRPr="0001573C">
        <w:rPr>
          <w:rFonts w:asciiTheme="minorHAnsi" w:hAnsiTheme="minorHAnsi"/>
          <w:b/>
          <w:sz w:val="22"/>
          <w:szCs w:val="22"/>
          <w:u w:val="single"/>
        </w:rPr>
        <w:t>14.2  Zálohová</w:t>
      </w:r>
      <w:proofErr w:type="gramEnd"/>
      <w:r w:rsidRPr="0001573C">
        <w:rPr>
          <w:rFonts w:asciiTheme="minorHAnsi" w:hAnsiTheme="minorHAnsi"/>
          <w:b/>
          <w:sz w:val="22"/>
          <w:szCs w:val="22"/>
          <w:u w:val="single"/>
        </w:rPr>
        <w:t xml:space="preserve"> platba</w:t>
      </w:r>
      <w:r w:rsidRPr="0001573C">
        <w:rPr>
          <w:rFonts w:asciiTheme="minorHAnsi" w:hAnsiTheme="minorHAnsi"/>
          <w:b/>
          <w:i/>
        </w:rPr>
        <w:t xml:space="preserve"> </w:t>
      </w:r>
    </w:p>
    <w:p w14:paraId="4EF5A03A" w14:textId="77777777" w:rsidR="00292C86" w:rsidRPr="0001573C" w:rsidRDefault="00292C86" w:rsidP="00292C86">
      <w:pPr>
        <w:rPr>
          <w:rFonts w:asciiTheme="minorHAnsi" w:eastAsia="Calibri" w:hAnsiTheme="minorHAnsi"/>
          <w:b/>
          <w:sz w:val="22"/>
          <w:szCs w:val="22"/>
        </w:rPr>
      </w:pPr>
    </w:p>
    <w:p w14:paraId="758F3D5E" w14:textId="77777777"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7 ke Smlouvě o dílo.  </w:t>
      </w:r>
    </w:p>
    <w:p w14:paraId="13324486" w14:textId="77777777" w:rsidR="00337225" w:rsidRPr="002D6599" w:rsidRDefault="00337225" w:rsidP="00337225">
      <w:pPr>
        <w:jc w:val="both"/>
        <w:rPr>
          <w:rFonts w:asciiTheme="minorHAnsi" w:eastAsia="Calibri" w:hAnsiTheme="minorHAnsi"/>
          <w:sz w:val="22"/>
          <w:szCs w:val="22"/>
        </w:rPr>
      </w:pPr>
    </w:p>
    <w:p w14:paraId="0A7B8872" w14:textId="098AD1C3"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w:t>
      </w:r>
      <w:r w:rsidR="00623570" w:rsidRPr="00623570">
        <w:rPr>
          <w:rFonts w:ascii="Calibri" w:hAnsi="Calibri" w:cs="Calibri"/>
          <w:sz w:val="22"/>
          <w:szCs w:val="22"/>
        </w:rPr>
        <w:t>Zálohová platba může být poskytnuta opakovaně, avšak vždy maximálně ve výši rovnající se smluvní hodnotě prací předpokládaných k realizaci pro příslušné po sobě jdoucí 3 kalendářní měsíce dle podrobného Harmonogramu, ve výši rovnající se 30 %  smluvní hodnoty prací předpokládaných k realizaci pro příslušný kalendářní rok dle podrobného Harmonogramu  [8.3 Harmonogram] a nejdéle na dobu 3 měsíců (zálohované období).</w:t>
      </w:r>
      <w:r w:rsidR="00623570">
        <w:rPr>
          <w:rFonts w:asciiTheme="minorHAnsi" w:eastAsia="Calibri" w:hAnsiTheme="minorHAnsi"/>
          <w:sz w:val="22"/>
          <w:szCs w:val="22"/>
        </w:rPr>
        <w:t xml:space="preserve"> </w:t>
      </w:r>
      <w:r w:rsidRPr="002D6599">
        <w:rPr>
          <w:rFonts w:asciiTheme="minorHAnsi" w:eastAsia="Calibri" w:hAnsiTheme="minorHAnsi"/>
          <w:sz w:val="22"/>
          <w:szCs w:val="22"/>
        </w:rPr>
        <w:t xml:space="preserve">Podmínkou pro poskytnutí první zálohové platby je fakturace za skutečně provedené práce minimálně </w:t>
      </w:r>
      <w:bookmarkStart w:id="0" w:name="_GoBack"/>
      <w:bookmarkEnd w:id="0"/>
      <w:r w:rsidRPr="002D6599">
        <w:rPr>
          <w:rFonts w:asciiTheme="minorHAnsi" w:eastAsia="Calibri" w:hAnsiTheme="minorHAnsi"/>
          <w:sz w:val="22"/>
          <w:szCs w:val="22"/>
        </w:rPr>
        <w:t xml:space="preserve">za 2 kalendářní měsíce </w:t>
      </w:r>
      <w:r w:rsidRPr="002D6599">
        <w:rPr>
          <w:rFonts w:asciiTheme="minorHAnsi" w:eastAsia="Calibri" w:hAnsiTheme="minorHAnsi"/>
          <w:sz w:val="22"/>
          <w:szCs w:val="22"/>
        </w:rPr>
        <w:lastRenderedPageBreak/>
        <w:t xml:space="preserve">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402E46FE" w14:textId="77777777" w:rsidR="00337225" w:rsidRPr="002D6599" w:rsidRDefault="00337225" w:rsidP="00337225">
      <w:pPr>
        <w:jc w:val="both"/>
        <w:rPr>
          <w:rFonts w:asciiTheme="minorHAnsi" w:eastAsia="Calibri" w:hAnsiTheme="minorHAnsi"/>
          <w:sz w:val="22"/>
          <w:szCs w:val="22"/>
        </w:rPr>
      </w:pPr>
    </w:p>
    <w:p w14:paraId="4A666659" w14:textId="0ACA28CD" w:rsidR="00337225" w:rsidRPr="002D6599" w:rsidRDefault="00337225" w:rsidP="00337225">
      <w:pPr>
        <w:jc w:val="both"/>
        <w:rPr>
          <w:rFonts w:asciiTheme="minorHAnsi" w:eastAsia="Calibri" w:hAnsiTheme="minorHAnsi"/>
          <w:sz w:val="22"/>
          <w:szCs w:val="22"/>
          <w:highlight w:val="cyan"/>
        </w:rPr>
      </w:pPr>
      <w:r w:rsidRPr="002D6599">
        <w:rPr>
          <w:rFonts w:asciiTheme="minorHAnsi" w:eastAsia="Calibri" w:hAnsiTheme="minorHAnsi"/>
          <w:sz w:val="22"/>
          <w:szCs w:val="22"/>
        </w:rPr>
        <w:t>Žádost o poskytnutí zálohové platby v příslušném kalendářním roce je třeba doručit Objednateli nejpozději do 30.</w:t>
      </w:r>
      <w:r w:rsidR="004260D4">
        <w:rPr>
          <w:rFonts w:asciiTheme="minorHAnsi" w:eastAsia="Calibri" w:hAnsiTheme="minorHAnsi"/>
          <w:sz w:val="22"/>
          <w:szCs w:val="22"/>
        </w:rPr>
        <w:t xml:space="preserve"> </w:t>
      </w:r>
      <w:r w:rsidRPr="002D6599">
        <w:rPr>
          <w:rFonts w:asciiTheme="minorHAnsi" w:eastAsia="Calibri" w:hAnsiTheme="minorHAnsi"/>
          <w:sz w:val="22"/>
          <w:szCs w:val="22"/>
        </w:rPr>
        <w:t xml:space="preserve">9. příslušného kalendářního roku; v případě pozdějšího doručení žádosti Objednatel negarantuje poskytnutí zálohové platby v tomto kalendářním roce.  </w:t>
      </w:r>
    </w:p>
    <w:p w14:paraId="557149A2" w14:textId="77777777" w:rsidR="00337225" w:rsidRPr="002D6599" w:rsidRDefault="00337225" w:rsidP="00337225">
      <w:pPr>
        <w:jc w:val="both"/>
        <w:rPr>
          <w:rFonts w:asciiTheme="minorHAnsi" w:eastAsia="Calibri" w:hAnsiTheme="minorHAnsi"/>
          <w:sz w:val="22"/>
          <w:szCs w:val="22"/>
        </w:rPr>
      </w:pPr>
    </w:p>
    <w:p w14:paraId="7622BBDE" w14:textId="77777777"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D8E22B2" w14:textId="77777777" w:rsidR="00337225" w:rsidRPr="002D6599" w:rsidRDefault="00337225" w:rsidP="00337225">
      <w:pPr>
        <w:jc w:val="both"/>
        <w:rPr>
          <w:rFonts w:asciiTheme="minorHAnsi" w:eastAsia="Calibri" w:hAnsiTheme="minorHAnsi"/>
          <w:sz w:val="22"/>
          <w:szCs w:val="22"/>
        </w:rPr>
      </w:pPr>
    </w:p>
    <w:p w14:paraId="40D5C1A2" w14:textId="77777777" w:rsidR="00337225" w:rsidRPr="002D6599" w:rsidRDefault="00337225" w:rsidP="00337225">
      <w:pPr>
        <w:jc w:val="both"/>
        <w:rPr>
          <w:rFonts w:asciiTheme="minorHAnsi" w:eastAsia="Calibri" w:hAnsiTheme="minorHAnsi"/>
          <w:sz w:val="22"/>
          <w:szCs w:val="22"/>
        </w:rPr>
      </w:pPr>
      <w:r w:rsidRPr="002D6599">
        <w:rPr>
          <w:rFonts w:asciiTheme="minorHAnsi" w:eastAsia="Calibri" w:hAnsiTheme="minorHAnsi"/>
          <w:sz w:val="22"/>
          <w:szCs w:val="22"/>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63723BD1" w14:textId="77777777" w:rsidR="00337225" w:rsidRPr="002D6599" w:rsidRDefault="00337225" w:rsidP="00337225">
      <w:pPr>
        <w:jc w:val="both"/>
        <w:rPr>
          <w:rFonts w:asciiTheme="minorHAnsi" w:eastAsia="Calibri" w:hAnsiTheme="minorHAnsi"/>
          <w:sz w:val="22"/>
          <w:szCs w:val="22"/>
        </w:rPr>
      </w:pPr>
    </w:p>
    <w:p w14:paraId="306DA435"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79415294"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 a vymahatelná po dobu o 60 dnů delší, než je Zhotovitelem oznámené prodloužené zálohované období dle bodu 1.</w:t>
      </w:r>
    </w:p>
    <w:p w14:paraId="5A09E2FD"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4855DB0D"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14:paraId="20C16514" w14:textId="77777777" w:rsidR="00337225" w:rsidRPr="002D6599" w:rsidRDefault="00337225" w:rsidP="00337225">
      <w:pPr>
        <w:pStyle w:val="Odstavecseseznamem"/>
        <w:numPr>
          <w:ilvl w:val="0"/>
          <w:numId w:val="34"/>
        </w:numPr>
        <w:jc w:val="both"/>
        <w:rPr>
          <w:rFonts w:asciiTheme="minorHAnsi" w:eastAsia="Calibri" w:hAnsiTheme="minorHAnsi"/>
          <w:sz w:val="22"/>
          <w:szCs w:val="22"/>
        </w:rPr>
      </w:pPr>
      <w:r w:rsidRPr="002D6599">
        <w:rPr>
          <w:rFonts w:asciiTheme="minorHAnsi" w:eastAsia="Calibri" w:hAnsiTheme="minorHAnsi"/>
          <w:sz w:val="22"/>
          <w:szCs w:val="22"/>
        </w:rPr>
        <w:t>V případě:</w:t>
      </w:r>
    </w:p>
    <w:p w14:paraId="364F8490" w14:textId="77777777" w:rsidR="00337225" w:rsidRPr="002D6599" w:rsidRDefault="00337225" w:rsidP="00337225">
      <w:pPr>
        <w:pStyle w:val="Odstavecseseznamem"/>
        <w:numPr>
          <w:ilvl w:val="0"/>
          <w:numId w:val="35"/>
        </w:numPr>
        <w:jc w:val="both"/>
        <w:rPr>
          <w:rFonts w:asciiTheme="minorHAnsi" w:eastAsia="Calibri" w:hAnsiTheme="minorHAnsi"/>
          <w:sz w:val="22"/>
          <w:szCs w:val="22"/>
        </w:rPr>
      </w:pPr>
      <w:r w:rsidRPr="002D6599">
        <w:rPr>
          <w:rFonts w:asciiTheme="minorHAnsi" w:eastAsia="Calibri" w:hAnsiTheme="minorHAnsi"/>
          <w:sz w:val="22"/>
          <w:szCs w:val="22"/>
        </w:rPr>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14:paraId="239D490D" w14:textId="77777777" w:rsidR="00337225" w:rsidRPr="002D6599" w:rsidRDefault="00337225" w:rsidP="00337225">
      <w:pPr>
        <w:pStyle w:val="Odstavecseseznamem"/>
        <w:numPr>
          <w:ilvl w:val="0"/>
          <w:numId w:val="35"/>
        </w:numPr>
        <w:jc w:val="both"/>
        <w:rPr>
          <w:rFonts w:asciiTheme="minorHAnsi" w:eastAsia="Calibri" w:hAnsiTheme="minorHAnsi"/>
          <w:sz w:val="22"/>
          <w:szCs w:val="22"/>
        </w:rPr>
      </w:pPr>
      <w:r w:rsidRPr="002D6599">
        <w:rPr>
          <w:rFonts w:asciiTheme="minorHAnsi" w:eastAsia="Calibri" w:hAnsiTheme="minorHAnsi"/>
          <w:sz w:val="22"/>
          <w:szCs w:val="22"/>
        </w:rPr>
        <w:t>kdy dojde k ukončení smluvního vztahu, a to z jakéhokoli důvodu před dokončením Díla, je povinen vrátit Objednateli nezúčtovanou část poskytnuté zálohové platby, a to do 15 dnů od ukončení smluvního vztahu;</w:t>
      </w:r>
    </w:p>
    <w:p w14:paraId="64084F29" w14:textId="347E149E" w:rsidR="00337225" w:rsidRPr="002D6599" w:rsidRDefault="00337225" w:rsidP="00337225">
      <w:pPr>
        <w:pStyle w:val="Odstavecseseznamem"/>
        <w:numPr>
          <w:ilvl w:val="0"/>
          <w:numId w:val="35"/>
        </w:numPr>
        <w:jc w:val="both"/>
        <w:rPr>
          <w:rFonts w:asciiTheme="minorHAnsi" w:eastAsia="Calibri" w:hAnsiTheme="minorHAnsi"/>
          <w:sz w:val="22"/>
          <w:szCs w:val="22"/>
        </w:rPr>
      </w:pPr>
      <w:r w:rsidRPr="002D6599">
        <w:rPr>
          <w:rFonts w:asciiTheme="minorHAnsi" w:eastAsia="Calibri" w:hAnsiTheme="minorHAnsi"/>
          <w:sz w:val="22"/>
          <w:szCs w:val="22"/>
        </w:rPr>
        <w:t>kdy Zhotovitel nezúčtuje zálohovou platbu do 31.</w:t>
      </w:r>
      <w:r w:rsidR="004260D4">
        <w:rPr>
          <w:rFonts w:asciiTheme="minorHAnsi" w:eastAsia="Calibri" w:hAnsiTheme="minorHAnsi"/>
          <w:sz w:val="22"/>
          <w:szCs w:val="22"/>
        </w:rPr>
        <w:t xml:space="preserve"> </w:t>
      </w:r>
      <w:r w:rsidRPr="002D6599">
        <w:rPr>
          <w:rFonts w:asciiTheme="minorHAnsi" w:eastAsia="Calibri" w:hAnsiTheme="minorHAnsi"/>
          <w:sz w:val="22"/>
          <w:szCs w:val="22"/>
        </w:rPr>
        <w:t>8.</w:t>
      </w:r>
      <w:r w:rsidR="004260D4">
        <w:rPr>
          <w:rFonts w:asciiTheme="minorHAnsi" w:eastAsia="Calibri" w:hAnsiTheme="minorHAnsi"/>
          <w:sz w:val="22"/>
          <w:szCs w:val="22"/>
        </w:rPr>
        <w:t xml:space="preserve"> </w:t>
      </w:r>
      <w:r w:rsidRPr="002D6599">
        <w:rPr>
          <w:rFonts w:asciiTheme="minorHAnsi" w:eastAsia="Calibri" w:hAnsiTheme="minorHAnsi"/>
          <w:sz w:val="22"/>
          <w:szCs w:val="22"/>
        </w:rPr>
        <w:t>následujícího kalendářního roku po poskytnutí zálohové platby, je povinen vrátit Objednateli nezúčtovanou část poskytn</w:t>
      </w:r>
      <w:r w:rsidR="004260D4">
        <w:rPr>
          <w:rFonts w:asciiTheme="minorHAnsi" w:eastAsia="Calibri" w:hAnsiTheme="minorHAnsi"/>
          <w:sz w:val="22"/>
          <w:szCs w:val="22"/>
        </w:rPr>
        <w:t>uté zálohové platby, a to do 30</w:t>
      </w:r>
      <w:r w:rsidRPr="002D6599">
        <w:rPr>
          <w:rFonts w:asciiTheme="minorHAnsi" w:eastAsia="Calibri" w:hAnsiTheme="minorHAnsi"/>
          <w:sz w:val="22"/>
          <w:szCs w:val="22"/>
        </w:rPr>
        <w:t>.</w:t>
      </w:r>
      <w:r w:rsidR="004260D4">
        <w:rPr>
          <w:rFonts w:asciiTheme="minorHAnsi" w:eastAsia="Calibri" w:hAnsiTheme="minorHAnsi"/>
          <w:sz w:val="22"/>
          <w:szCs w:val="22"/>
        </w:rPr>
        <w:t xml:space="preserve"> </w:t>
      </w:r>
      <w:r w:rsidRPr="002D6599">
        <w:rPr>
          <w:rFonts w:asciiTheme="minorHAnsi" w:eastAsia="Calibri" w:hAnsiTheme="minorHAnsi"/>
          <w:sz w:val="22"/>
          <w:szCs w:val="22"/>
        </w:rPr>
        <w:t>9. tohoto následujícího kalendářního roku.</w:t>
      </w:r>
    </w:p>
    <w:p w14:paraId="2DD1D720" w14:textId="77777777" w:rsidR="00337225" w:rsidRPr="002D6599" w:rsidRDefault="00337225" w:rsidP="00337225">
      <w:pPr>
        <w:jc w:val="both"/>
        <w:rPr>
          <w:rFonts w:asciiTheme="minorHAnsi" w:eastAsia="Calibri" w:hAnsiTheme="minorHAnsi"/>
          <w:sz w:val="22"/>
          <w:szCs w:val="22"/>
        </w:rPr>
      </w:pPr>
    </w:p>
    <w:p w14:paraId="6636AA6F" w14:textId="77777777" w:rsidR="00337225" w:rsidRPr="002D6599" w:rsidRDefault="00337225" w:rsidP="00337225">
      <w:pPr>
        <w:pStyle w:val="Odstavecseseznamem"/>
        <w:ind w:left="0"/>
        <w:jc w:val="both"/>
        <w:rPr>
          <w:rFonts w:asciiTheme="minorHAnsi" w:eastAsia="Calibri" w:hAnsiTheme="minorHAnsi"/>
          <w:sz w:val="22"/>
          <w:szCs w:val="22"/>
        </w:rPr>
      </w:pPr>
      <w:r w:rsidRPr="002D6599">
        <w:rPr>
          <w:rFonts w:asciiTheme="minorHAnsi" w:eastAsia="Calibri" w:hAnsiTheme="minorHAnsi"/>
          <w:sz w:val="22"/>
          <w:szCs w:val="22"/>
        </w:rP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5A354CEC" w14:textId="77777777" w:rsidR="00337225" w:rsidRPr="002D6599" w:rsidRDefault="00337225" w:rsidP="00337225">
      <w:pPr>
        <w:jc w:val="both"/>
        <w:rPr>
          <w:rFonts w:asciiTheme="minorHAnsi" w:eastAsia="Calibri" w:hAnsiTheme="minorHAnsi"/>
          <w:sz w:val="22"/>
          <w:szCs w:val="22"/>
        </w:rPr>
      </w:pPr>
    </w:p>
    <w:p w14:paraId="49D4E974" w14:textId="77777777" w:rsidR="00337225" w:rsidRPr="002D6599" w:rsidRDefault="00337225" w:rsidP="00337225">
      <w:pPr>
        <w:jc w:val="both"/>
        <w:rPr>
          <w:rFonts w:asciiTheme="minorHAnsi" w:eastAsia="Calibri" w:hAnsiTheme="minorHAnsi"/>
          <w:strike/>
          <w:sz w:val="22"/>
          <w:szCs w:val="22"/>
        </w:rPr>
      </w:pPr>
      <w:r w:rsidRPr="002D6599">
        <w:rPr>
          <w:rFonts w:asciiTheme="minorHAnsi" w:eastAsia="Calibri" w:hAnsiTheme="minorHAnsi"/>
          <w:sz w:val="22"/>
          <w:szCs w:val="22"/>
        </w:rPr>
        <w:t>Celkový součet požadovaných zálohových plateb nesmí překročit Smluvní cenu.</w:t>
      </w:r>
      <w:r w:rsidRPr="002D6599">
        <w:rPr>
          <w:rFonts w:asciiTheme="minorHAnsi" w:eastAsia="Calibri" w:hAnsiTheme="minorHAnsi"/>
          <w:strike/>
          <w:sz w:val="22"/>
          <w:szCs w:val="22"/>
        </w:rPr>
        <w:t xml:space="preserve"> </w:t>
      </w:r>
    </w:p>
    <w:p w14:paraId="080CDA51" w14:textId="77777777" w:rsidR="00337225" w:rsidRDefault="00337225" w:rsidP="00337225">
      <w:pPr>
        <w:jc w:val="both"/>
        <w:rPr>
          <w:rFonts w:asciiTheme="minorHAnsi" w:eastAsia="Calibri" w:hAnsiTheme="minorHAnsi"/>
          <w:sz w:val="22"/>
          <w:szCs w:val="22"/>
        </w:rPr>
      </w:pPr>
    </w:p>
    <w:p w14:paraId="7E4DCDC5" w14:textId="77777777" w:rsidR="00292C86" w:rsidRPr="0001573C" w:rsidRDefault="00292C86" w:rsidP="00292C86">
      <w:pPr>
        <w:jc w:val="both"/>
        <w:rPr>
          <w:rFonts w:asciiTheme="minorHAnsi" w:eastAsia="Calibri" w:hAnsiTheme="minorHAnsi"/>
          <w:strike/>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lastRenderedPageBreak/>
        <w:t>14.5  Technologické</w:t>
      </w:r>
      <w:proofErr w:type="gramEnd"/>
      <w:r w:rsidRPr="0001573C">
        <w:rPr>
          <w:rFonts w:asciiTheme="minorHAnsi" w:eastAsia="Calibri" w:hAnsiTheme="minorHAnsi"/>
          <w:b/>
          <w:sz w:val="22"/>
          <w:szCs w:val="22"/>
          <w:u w:val="single"/>
        </w:rPr>
        <w:t xml:space="preserve"> materiály určené pro dílo</w:t>
      </w:r>
    </w:p>
    <w:p w14:paraId="727B8F96" w14:textId="77777777" w:rsidR="00292C86" w:rsidRPr="0001573C"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094069F4" w14:textId="77777777" w:rsidR="00292C86" w:rsidRPr="0001573C" w:rsidRDefault="00292C86" w:rsidP="00292C86">
      <w:pPr>
        <w:jc w:val="both"/>
        <w:rPr>
          <w:rFonts w:asciiTheme="minorHAnsi" w:hAnsiTheme="minorHAnsi"/>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Minimální</w:t>
      </w:r>
      <w:proofErr w:type="gramEnd"/>
      <w:r w:rsidRPr="0001573C">
        <w:rPr>
          <w:rFonts w:asciiTheme="minorHAnsi" w:hAnsiTheme="minorHAnsi"/>
          <w:b/>
          <w:sz w:val="22"/>
          <w:szCs w:val="22"/>
          <w:u w:val="single"/>
        </w:rPr>
        <w:t xml:space="preserve"> částka Potvrzení průběžné platby</w:t>
      </w:r>
    </w:p>
    <w:p w14:paraId="5F34523F" w14:textId="088C0842" w:rsidR="00E12655" w:rsidRPr="0001573C" w:rsidRDefault="00E12655" w:rsidP="00E12655">
      <w:pPr>
        <w:pStyle w:val="Plnab0"/>
        <w:rPr>
          <w:rFonts w:asciiTheme="minorHAnsi" w:hAnsiTheme="minorHAnsi"/>
        </w:rPr>
      </w:pPr>
      <w:r w:rsidRPr="0001573C">
        <w:rPr>
          <w:rFonts w:asciiTheme="minorHAnsi" w:hAnsiTheme="minorHAnsi"/>
        </w:rPr>
        <w:t xml:space="preserve">Minimální částka Potvrzení průběžné platby není stanovena. </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6ACE0FE4"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důkaz, že pojištění popsaná v článku 18 jsou v platnosti, kdykoliv na vyžádání Objednatele, a to do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claimů </w:t>
      </w:r>
    </w:p>
    <w:p w14:paraId="0CA888C7" w14:textId="6477F1D0"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především podle pod-článku 3.5 platí, že ověřo</w:t>
      </w:r>
      <w:r w:rsidR="006C1729">
        <w:rPr>
          <w:rFonts w:asciiTheme="minorHAnsi" w:hAnsiTheme="minorHAnsi"/>
        </w:rPr>
        <w:t xml:space="preserve">vání </w:t>
      </w:r>
      <w:r w:rsidRPr="0001573C">
        <w:rPr>
          <w:rFonts w:asciiTheme="minorHAnsi" w:hAnsiTheme="minorHAnsi"/>
        </w:rPr>
        <w:t xml:space="preserve">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pro ověřování a kvantifikaci finančních nároků uplatněných ze smluvních závazkových vztahů z 15.</w:t>
      </w:r>
      <w:r w:rsidR="006C1729">
        <w:rPr>
          <w:rFonts w:asciiTheme="minorHAnsi" w:hAnsiTheme="minorHAnsi"/>
        </w:rPr>
        <w:t xml:space="preserve"> </w:t>
      </w:r>
      <w:r w:rsidRPr="0001573C">
        <w:rPr>
          <w:rFonts w:asciiTheme="minorHAnsi" w:hAnsiTheme="minorHAnsi"/>
        </w:rPr>
        <w:t>3.</w:t>
      </w:r>
      <w:r w:rsidR="006C1729">
        <w:rPr>
          <w:rFonts w:asciiTheme="minorHAnsi" w:hAnsiTheme="minorHAnsi"/>
        </w:rPr>
        <w:t xml:space="preserve"> </w:t>
      </w:r>
      <w:r w:rsidRPr="0001573C">
        <w:rPr>
          <w:rFonts w:asciiTheme="minorHAnsi" w:hAnsiTheme="minorHAnsi"/>
        </w:rPr>
        <w:t xml:space="preserve">2016, která je dostupná na </w:t>
      </w:r>
      <w:r w:rsidR="00051346" w:rsidRPr="0001573C">
        <w:rPr>
          <w:rFonts w:asciiTheme="minorHAnsi" w:hAnsiTheme="minorHAnsi"/>
        </w:rPr>
        <w:t>http//</w:t>
      </w:r>
      <w:hyperlink r:id="rId11" w:history="1"/>
      <w:r w:rsidR="00051346" w:rsidRPr="0001573C">
        <w:rPr>
          <w:rFonts w:asciiTheme="minorHAnsi" w:hAnsiTheme="minorHAnsi"/>
        </w:rPr>
        <w:t>www.sfdi.cz.</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4086EA" w14:textId="77777777" w:rsidR="00775F67" w:rsidRDefault="00775F67" w:rsidP="00AB4C7F">
      <w:r>
        <w:separator/>
      </w:r>
    </w:p>
  </w:endnote>
  <w:endnote w:type="continuationSeparator" w:id="0">
    <w:p w14:paraId="3DD21212" w14:textId="77777777" w:rsidR="00775F67" w:rsidRDefault="00775F67" w:rsidP="00AB4C7F">
      <w:r>
        <w:continuationSeparator/>
      </w:r>
    </w:p>
  </w:endnote>
  <w:endnote w:type="continuationNotice" w:id="1">
    <w:p w14:paraId="4B1177F3" w14:textId="77777777" w:rsidR="00775F67" w:rsidRDefault="00775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23570">
          <w:rPr>
            <w:rStyle w:val="slostrnky"/>
            <w:rFonts w:ascii="Calibri" w:hAnsi="Calibri" w:cs="Calibri"/>
            <w:noProof/>
          </w:rPr>
          <w:t>6</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23570">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4BFDFCDC" w14:textId="77777777" w:rsidR="00903D8F" w:rsidRDefault="00A31DC6" w:rsidP="00A31DC6">
        <w:pPr>
          <w:pStyle w:val="Zpat"/>
          <w:pBdr>
            <w:top w:val="single" w:sz="4" w:space="6" w:color="auto"/>
          </w:pBdr>
          <w:jc w:val="center"/>
          <w:rPr>
            <w:rFonts w:ascii="Calibri" w:hAnsi="Calibri"/>
            <w:noProof/>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23570">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23570">
          <w:rPr>
            <w:rFonts w:ascii="Calibri" w:hAnsi="Calibri"/>
            <w:noProof/>
          </w:rPr>
          <w:t>8</w:t>
        </w:r>
        <w:r w:rsidRPr="00417D4D">
          <w:rPr>
            <w:rFonts w:ascii="Calibri" w:hAnsi="Calibri"/>
            <w:noProof/>
          </w:rPr>
          <w:fldChar w:fldCharType="end"/>
        </w:r>
      </w:p>
      <w:p w14:paraId="2CA5C88B" w14:textId="09A5635B" w:rsidR="00A31DC6" w:rsidRPr="00903D8F" w:rsidRDefault="00903D8F" w:rsidP="00903D8F">
        <w:pPr>
          <w:pStyle w:val="Zpat"/>
          <w:pBdr>
            <w:top w:val="single" w:sz="4" w:space="6" w:color="auto"/>
          </w:pBdr>
          <w:spacing w:before="240"/>
          <w:jc w:val="center"/>
          <w:rPr>
            <w:rFonts w:ascii="Calibri" w:hAnsi="Calibri"/>
          </w:rPr>
        </w:pPr>
        <w:r w:rsidRPr="00903D8F">
          <w:rPr>
            <w:rFonts w:ascii="Calibri" w:hAnsi="Calibri"/>
            <w:sz w:val="16"/>
            <w:szCs w:val="16"/>
          </w:rPr>
          <w:t>Za tuto publikaci odpovídá pouze její autor. Evropská unie nenese odpovědnost za jakékoli využití informací v ní obsažených.</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8BD8A" w14:textId="77777777" w:rsidR="00775F67" w:rsidRDefault="00775F67" w:rsidP="00AB4C7F">
      <w:r>
        <w:separator/>
      </w:r>
    </w:p>
  </w:footnote>
  <w:footnote w:type="continuationSeparator" w:id="0">
    <w:p w14:paraId="15779442" w14:textId="77777777" w:rsidR="00775F67" w:rsidRDefault="00775F67" w:rsidP="00AB4C7F">
      <w:r>
        <w:continuationSeparator/>
      </w:r>
    </w:p>
  </w:footnote>
  <w:footnote w:type="continuationNotice" w:id="1">
    <w:p w14:paraId="5CE4174D" w14:textId="77777777" w:rsidR="00775F67" w:rsidRDefault="00775F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0205BAF" w:rsidR="00FF7DD9" w:rsidRDefault="002F2691">
    <w:pPr>
      <w:pStyle w:val="Zhlav"/>
    </w:pPr>
    <w:r>
      <w:t xml:space="preserve">                                                     </w:t>
    </w:r>
    <w:r w:rsidRPr="002F2691">
      <w:rPr>
        <w:noProof/>
      </w:rPr>
      <w:drawing>
        <wp:anchor distT="0" distB="0" distL="114300" distR="114300" simplePos="0" relativeHeight="251658240" behindDoc="0" locked="1" layoutInCell="1" allowOverlap="1" wp14:anchorId="5B4BC30F" wp14:editId="4865F426">
          <wp:simplePos x="0" y="0"/>
          <wp:positionH relativeFrom="page">
            <wp:posOffset>2232025</wp:posOffset>
          </wp:positionH>
          <wp:positionV relativeFrom="page">
            <wp:posOffset>288290</wp:posOffset>
          </wp:positionV>
          <wp:extent cx="3038400" cy="342000"/>
          <wp:effectExtent l="0" t="0" r="0"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8400" cy="342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9738B"/>
    <w:multiLevelType w:val="hybridMultilevel"/>
    <w:tmpl w:val="BE1CF0B4"/>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032DB"/>
    <w:multiLevelType w:val="hybridMultilevel"/>
    <w:tmpl w:val="67E2AEF0"/>
    <w:lvl w:ilvl="0" w:tplc="DFBCDD3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8"/>
  </w:num>
  <w:num w:numId="4">
    <w:abstractNumId w:val="28"/>
  </w:num>
  <w:num w:numId="5">
    <w:abstractNumId w:val="6"/>
  </w:num>
  <w:num w:numId="6">
    <w:abstractNumId w:val="30"/>
  </w:num>
  <w:num w:numId="7">
    <w:abstractNumId w:val="26"/>
  </w:num>
  <w:num w:numId="8">
    <w:abstractNumId w:val="9"/>
  </w:num>
  <w:num w:numId="9">
    <w:abstractNumId w:val="24"/>
  </w:num>
  <w:num w:numId="10">
    <w:abstractNumId w:val="12"/>
  </w:num>
  <w:num w:numId="11">
    <w:abstractNumId w:val="4"/>
  </w:num>
  <w:num w:numId="12">
    <w:abstractNumId w:val="32"/>
  </w:num>
  <w:num w:numId="13">
    <w:abstractNumId w:val="27"/>
  </w:num>
  <w:num w:numId="14">
    <w:abstractNumId w:val="13"/>
  </w:num>
  <w:num w:numId="15">
    <w:abstractNumId w:val="3"/>
  </w:num>
  <w:num w:numId="16">
    <w:abstractNumId w:val="33"/>
  </w:num>
  <w:num w:numId="17">
    <w:abstractNumId w:val="19"/>
  </w:num>
  <w:num w:numId="18">
    <w:abstractNumId w:val="29"/>
  </w:num>
  <w:num w:numId="19">
    <w:abstractNumId w:val="25"/>
  </w:num>
  <w:num w:numId="20">
    <w:abstractNumId w:val="22"/>
  </w:num>
  <w:num w:numId="21">
    <w:abstractNumId w:val="1"/>
  </w:num>
  <w:num w:numId="22">
    <w:abstractNumId w:val="21"/>
  </w:num>
  <w:num w:numId="23">
    <w:abstractNumId w:val="5"/>
  </w:num>
  <w:num w:numId="24">
    <w:abstractNumId w:val="16"/>
  </w:num>
  <w:num w:numId="25">
    <w:abstractNumId w:val="16"/>
    <w:lvlOverride w:ilvl="0">
      <w:startOverride w:val="1"/>
    </w:lvlOverride>
  </w:num>
  <w:num w:numId="26">
    <w:abstractNumId w:val="2"/>
  </w:num>
  <w:num w:numId="27">
    <w:abstractNumId w:val="7"/>
  </w:num>
  <w:num w:numId="28">
    <w:abstractNumId w:val="20"/>
  </w:num>
  <w:num w:numId="29">
    <w:abstractNumId w:val="17"/>
  </w:num>
  <w:num w:numId="30">
    <w:abstractNumId w:val="0"/>
    <w:lvlOverride w:ilvl="0">
      <w:startOverride w:val="1"/>
    </w:lvlOverride>
  </w:num>
  <w:num w:numId="31">
    <w:abstractNumId w:val="31"/>
  </w:num>
  <w:num w:numId="32">
    <w:abstractNumId w:val="18"/>
  </w:num>
  <w:num w:numId="33">
    <w:abstractNumId w:val="23"/>
  </w:num>
  <w:num w:numId="34">
    <w:abstractNumId w:val="10"/>
  </w:num>
  <w:num w:numId="3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FDA"/>
    <w:rsid w:val="00024041"/>
    <w:rsid w:val="00024B15"/>
    <w:rsid w:val="00036258"/>
    <w:rsid w:val="00036EA7"/>
    <w:rsid w:val="00037508"/>
    <w:rsid w:val="000400BE"/>
    <w:rsid w:val="00047606"/>
    <w:rsid w:val="0005134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826E8"/>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478"/>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6188"/>
    <w:rsid w:val="00237E01"/>
    <w:rsid w:val="0024018A"/>
    <w:rsid w:val="002416E0"/>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2691"/>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1FE6"/>
    <w:rsid w:val="00323BCF"/>
    <w:rsid w:val="00325CFB"/>
    <w:rsid w:val="00326C33"/>
    <w:rsid w:val="00332AFF"/>
    <w:rsid w:val="00332B4C"/>
    <w:rsid w:val="0033696E"/>
    <w:rsid w:val="00337225"/>
    <w:rsid w:val="00337B84"/>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260D4"/>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357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1729"/>
    <w:rsid w:val="006C221E"/>
    <w:rsid w:val="006C3D96"/>
    <w:rsid w:val="006C56F1"/>
    <w:rsid w:val="006D0F6E"/>
    <w:rsid w:val="006D17EC"/>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5F67"/>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46F25"/>
    <w:rsid w:val="0085016D"/>
    <w:rsid w:val="0085190D"/>
    <w:rsid w:val="008523C5"/>
    <w:rsid w:val="00852618"/>
    <w:rsid w:val="008537E9"/>
    <w:rsid w:val="00853CC3"/>
    <w:rsid w:val="008552B8"/>
    <w:rsid w:val="00856CB7"/>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3D8F"/>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4B2C"/>
    <w:rsid w:val="00970B8D"/>
    <w:rsid w:val="00972424"/>
    <w:rsid w:val="00976799"/>
    <w:rsid w:val="00977A2F"/>
    <w:rsid w:val="00977ACA"/>
    <w:rsid w:val="009824E0"/>
    <w:rsid w:val="00986172"/>
    <w:rsid w:val="00991BA5"/>
    <w:rsid w:val="009926BD"/>
    <w:rsid w:val="00992EDA"/>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0557"/>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50DA"/>
    <w:rsid w:val="00E97CAB"/>
    <w:rsid w:val="00EA0563"/>
    <w:rsid w:val="00EA1859"/>
    <w:rsid w:val="00EA3BA8"/>
    <w:rsid w:val="00EA6444"/>
    <w:rsid w:val="00EA6764"/>
    <w:rsid w:val="00EA7005"/>
    <w:rsid w:val="00EB2D9D"/>
    <w:rsid w:val="00EB5A9E"/>
    <w:rsid w:val="00EB7D35"/>
    <w:rsid w:val="00EC0A45"/>
    <w:rsid w:val="00EC3389"/>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844AA-AC2A-4890-A38A-F79AE4E7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8</Pages>
  <Words>2848</Words>
  <Characters>16806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74</cp:revision>
  <cp:lastPrinted>2017-05-09T08:59:00Z</cp:lastPrinted>
  <dcterms:created xsi:type="dcterms:W3CDTF">2017-05-04T06:36:00Z</dcterms:created>
  <dcterms:modified xsi:type="dcterms:W3CDTF">2018-12-04T07:56:00Z</dcterms:modified>
</cp:coreProperties>
</file>