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E6BF4" w14:textId="66C5F521" w:rsidR="00304AE9" w:rsidRPr="008C7C4E" w:rsidRDefault="00304AE9" w:rsidP="00304AE9">
      <w:pPr>
        <w:pStyle w:val="TPTitul2"/>
        <w:tabs>
          <w:tab w:val="left" w:pos="703"/>
          <w:tab w:val="left" w:pos="6631"/>
        </w:tabs>
        <w:jc w:val="left"/>
        <w:rPr>
          <w:b w:val="0"/>
          <w:bCs/>
          <w:sz w:val="18"/>
          <w:szCs w:val="18"/>
        </w:rPr>
      </w:pPr>
      <w:r w:rsidRPr="008C7C4E">
        <w:rPr>
          <w:b w:val="0"/>
          <w:bCs/>
          <w:sz w:val="18"/>
          <w:szCs w:val="18"/>
        </w:rPr>
        <w:t xml:space="preserve">Příloha č. </w:t>
      </w:r>
      <w:r w:rsidR="008B164E">
        <w:rPr>
          <w:b w:val="0"/>
          <w:bCs/>
          <w:sz w:val="18"/>
          <w:szCs w:val="18"/>
        </w:rPr>
        <w:t>5</w:t>
      </w:r>
      <w:r w:rsidRPr="008C7C4E">
        <w:rPr>
          <w:b w:val="0"/>
          <w:bCs/>
          <w:sz w:val="18"/>
          <w:szCs w:val="18"/>
        </w:rPr>
        <w:t xml:space="preserve"> </w:t>
      </w:r>
      <w:r w:rsidR="008B164E">
        <w:rPr>
          <w:b w:val="0"/>
          <w:bCs/>
          <w:sz w:val="18"/>
          <w:szCs w:val="18"/>
        </w:rPr>
        <w:t>–</w:t>
      </w:r>
      <w:r w:rsidR="00A52669">
        <w:rPr>
          <w:b w:val="0"/>
          <w:bCs/>
          <w:sz w:val="18"/>
          <w:szCs w:val="18"/>
        </w:rPr>
        <w:t xml:space="preserve"> </w:t>
      </w:r>
      <w:r w:rsidR="008B164E">
        <w:rPr>
          <w:b w:val="0"/>
          <w:bCs/>
          <w:sz w:val="18"/>
          <w:szCs w:val="18"/>
        </w:rPr>
        <w:t>Smlouvy na dodávku a pořízení software</w:t>
      </w:r>
    </w:p>
    <w:p w14:paraId="2463122D" w14:textId="7D630AF0"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F17CFB0" w14:textId="3E686ABA" w:rsidR="007E3D60" w:rsidRPr="007E3D60" w:rsidRDefault="003E784C" w:rsidP="007E3D60">
      <w:pPr>
        <w:pStyle w:val="Obsah2"/>
      </w:pPr>
      <w:r w:rsidRPr="007E3D60">
        <w:rPr>
          <w:rFonts w:cs="Arial"/>
          <w:noProof w:val="0"/>
        </w:rPr>
        <w:fldChar w:fldCharType="begin"/>
      </w:r>
      <w:r w:rsidRPr="007E3D60">
        <w:rPr>
          <w:rFonts w:cs="Arial"/>
        </w:rPr>
        <w:instrText xml:space="preserve"> TOC \o "1-2" \h \z \u </w:instrText>
      </w:r>
      <w:r w:rsidRPr="007E3D60">
        <w:rPr>
          <w:rFonts w:cs="Arial"/>
          <w:noProof w:val="0"/>
        </w:rPr>
        <w:fldChar w:fldCharType="separate"/>
      </w:r>
      <w:hyperlink w:anchor="_Toc136269750" w:history="1">
        <w:r w:rsidR="007E3D60" w:rsidRPr="007E3D60">
          <w:rPr>
            <w:rStyle w:val="Hypertextovodkaz"/>
            <w:color w:val="auto"/>
            <w:u w:val="none"/>
          </w:rPr>
          <w:t>1.</w:t>
        </w:r>
        <w:r w:rsidR="007E3D60" w:rsidRPr="007E3D60">
          <w:tab/>
        </w:r>
        <w:r w:rsidR="007E3D60" w:rsidRPr="007E3D60">
          <w:rPr>
            <w:rStyle w:val="Hypertextovodkaz"/>
            <w:color w:val="auto"/>
            <w:u w:val="none"/>
          </w:rPr>
          <w:t>Výklad pojmů</w:t>
        </w:r>
        <w:r w:rsidR="007E3D60" w:rsidRPr="007E3D60">
          <w:rPr>
            <w:webHidden/>
          </w:rPr>
          <w:tab/>
        </w:r>
        <w:r w:rsidR="007E3D60" w:rsidRPr="007E3D60">
          <w:rPr>
            <w:webHidden/>
          </w:rPr>
          <w:fldChar w:fldCharType="begin"/>
        </w:r>
        <w:r w:rsidR="007E3D60" w:rsidRPr="007E3D60">
          <w:rPr>
            <w:webHidden/>
          </w:rPr>
          <w:instrText xml:space="preserve"> PAGEREF _Toc136269750 \h </w:instrText>
        </w:r>
        <w:r w:rsidR="007E3D60" w:rsidRPr="007E3D60">
          <w:rPr>
            <w:webHidden/>
          </w:rPr>
        </w:r>
        <w:r w:rsidR="007E3D60" w:rsidRPr="007E3D60">
          <w:rPr>
            <w:webHidden/>
          </w:rPr>
          <w:fldChar w:fldCharType="separate"/>
        </w:r>
        <w:r w:rsidR="00A52669">
          <w:rPr>
            <w:webHidden/>
          </w:rPr>
          <w:t>2</w:t>
        </w:r>
        <w:r w:rsidR="007E3D60" w:rsidRPr="007E3D60">
          <w:rPr>
            <w:webHidden/>
          </w:rPr>
          <w:fldChar w:fldCharType="end"/>
        </w:r>
      </w:hyperlink>
    </w:p>
    <w:p w14:paraId="6F87547F" w14:textId="13C0F755" w:rsidR="007E3D60" w:rsidRPr="007E3D60" w:rsidRDefault="007E3D60" w:rsidP="007E3D60">
      <w:pPr>
        <w:pStyle w:val="Obsah2"/>
      </w:pPr>
      <w:hyperlink w:anchor="_Toc136269751" w:history="1">
        <w:r w:rsidRPr="007E3D60">
          <w:rPr>
            <w:rStyle w:val="Hypertextovodkaz"/>
            <w:color w:val="auto"/>
            <w:u w:val="none"/>
          </w:rPr>
          <w:t>2.</w:t>
        </w:r>
        <w:r w:rsidRPr="007E3D60">
          <w:tab/>
        </w:r>
        <w:r w:rsidRPr="007E3D60">
          <w:rPr>
            <w:rStyle w:val="Hypertextovodkaz"/>
            <w:color w:val="auto"/>
            <w:u w:val="none"/>
          </w:rPr>
          <w:t>Doba a místo plnění</w:t>
        </w:r>
        <w:r w:rsidRPr="007E3D60">
          <w:rPr>
            <w:webHidden/>
          </w:rPr>
          <w:tab/>
        </w:r>
        <w:r w:rsidRPr="007E3D60">
          <w:rPr>
            <w:webHidden/>
          </w:rPr>
          <w:fldChar w:fldCharType="begin"/>
        </w:r>
        <w:r w:rsidRPr="007E3D60">
          <w:rPr>
            <w:webHidden/>
          </w:rPr>
          <w:instrText xml:space="preserve"> PAGEREF _Toc136269751 \h </w:instrText>
        </w:r>
        <w:r w:rsidRPr="007E3D60">
          <w:rPr>
            <w:webHidden/>
          </w:rPr>
        </w:r>
        <w:r w:rsidRPr="007E3D60">
          <w:rPr>
            <w:webHidden/>
          </w:rPr>
          <w:fldChar w:fldCharType="separate"/>
        </w:r>
        <w:r w:rsidR="00A52669">
          <w:rPr>
            <w:webHidden/>
          </w:rPr>
          <w:t>2</w:t>
        </w:r>
        <w:r w:rsidRPr="007E3D60">
          <w:rPr>
            <w:webHidden/>
          </w:rPr>
          <w:fldChar w:fldCharType="end"/>
        </w:r>
      </w:hyperlink>
    </w:p>
    <w:p w14:paraId="35C189DE" w14:textId="0AF0B15C" w:rsidR="007E3D60" w:rsidRPr="007E3D60" w:rsidRDefault="007E3D60" w:rsidP="007E3D60">
      <w:pPr>
        <w:pStyle w:val="Obsah2"/>
      </w:pPr>
      <w:hyperlink w:anchor="_Toc136269752" w:history="1">
        <w:r w:rsidRPr="007E3D60">
          <w:rPr>
            <w:rStyle w:val="Hypertextovodkaz"/>
            <w:color w:val="auto"/>
            <w:u w:val="none"/>
          </w:rPr>
          <w:t>3.</w:t>
        </w:r>
        <w:r w:rsidRPr="007E3D60">
          <w:tab/>
        </w:r>
        <w:r w:rsidRPr="007E3D60">
          <w:rPr>
            <w:rStyle w:val="Hypertextovodkaz"/>
            <w:color w:val="auto"/>
            <w:u w:val="none"/>
          </w:rPr>
          <w:t>Práva a povinnosti obou stran</w:t>
        </w:r>
        <w:r w:rsidRPr="007E3D60">
          <w:rPr>
            <w:webHidden/>
          </w:rPr>
          <w:tab/>
        </w:r>
        <w:r w:rsidRPr="007E3D60">
          <w:rPr>
            <w:webHidden/>
          </w:rPr>
          <w:fldChar w:fldCharType="begin"/>
        </w:r>
        <w:r w:rsidRPr="007E3D60">
          <w:rPr>
            <w:webHidden/>
          </w:rPr>
          <w:instrText xml:space="preserve"> PAGEREF _Toc136269752 \h </w:instrText>
        </w:r>
        <w:r w:rsidRPr="007E3D60">
          <w:rPr>
            <w:webHidden/>
          </w:rPr>
        </w:r>
        <w:r w:rsidRPr="007E3D60">
          <w:rPr>
            <w:webHidden/>
          </w:rPr>
          <w:fldChar w:fldCharType="separate"/>
        </w:r>
        <w:r w:rsidR="00A52669">
          <w:rPr>
            <w:webHidden/>
          </w:rPr>
          <w:t>3</w:t>
        </w:r>
        <w:r w:rsidRPr="007E3D60">
          <w:rPr>
            <w:webHidden/>
          </w:rPr>
          <w:fldChar w:fldCharType="end"/>
        </w:r>
      </w:hyperlink>
    </w:p>
    <w:p w14:paraId="5CD2DBB2" w14:textId="43D5C478" w:rsidR="007E3D60" w:rsidRPr="007E3D60" w:rsidRDefault="007E3D60" w:rsidP="007E3D60">
      <w:pPr>
        <w:pStyle w:val="Obsah2"/>
      </w:pPr>
      <w:hyperlink w:anchor="_Toc136269753" w:history="1">
        <w:r w:rsidRPr="007E3D60">
          <w:rPr>
            <w:rStyle w:val="Hypertextovodkaz"/>
            <w:color w:val="auto"/>
            <w:u w:val="none"/>
          </w:rPr>
          <w:t>4.</w:t>
        </w:r>
        <w:r w:rsidRPr="007E3D60">
          <w:tab/>
        </w:r>
        <w:r w:rsidRPr="007E3D60">
          <w:rPr>
            <w:rStyle w:val="Hypertextovodkaz"/>
            <w:color w:val="auto"/>
            <w:u w:val="none"/>
          </w:rPr>
          <w:t>Povinnosti Dodavatele</w:t>
        </w:r>
        <w:r w:rsidRPr="007E3D60">
          <w:rPr>
            <w:webHidden/>
          </w:rPr>
          <w:tab/>
        </w:r>
        <w:r w:rsidRPr="007E3D60">
          <w:rPr>
            <w:webHidden/>
          </w:rPr>
          <w:fldChar w:fldCharType="begin"/>
        </w:r>
        <w:r w:rsidRPr="007E3D60">
          <w:rPr>
            <w:webHidden/>
          </w:rPr>
          <w:instrText xml:space="preserve"> PAGEREF _Toc136269753 \h </w:instrText>
        </w:r>
        <w:r w:rsidRPr="007E3D60">
          <w:rPr>
            <w:webHidden/>
          </w:rPr>
        </w:r>
        <w:r w:rsidRPr="007E3D60">
          <w:rPr>
            <w:webHidden/>
          </w:rPr>
          <w:fldChar w:fldCharType="separate"/>
        </w:r>
        <w:r w:rsidR="00A52669">
          <w:rPr>
            <w:webHidden/>
          </w:rPr>
          <w:t>3</w:t>
        </w:r>
        <w:r w:rsidRPr="007E3D60">
          <w:rPr>
            <w:webHidden/>
          </w:rPr>
          <w:fldChar w:fldCharType="end"/>
        </w:r>
      </w:hyperlink>
    </w:p>
    <w:p w14:paraId="20431189" w14:textId="2F82AF0F" w:rsidR="007E3D60" w:rsidRPr="007E3D60" w:rsidRDefault="007E3D60" w:rsidP="007E3D60">
      <w:pPr>
        <w:pStyle w:val="Obsah2"/>
      </w:pPr>
      <w:hyperlink w:anchor="_Toc136269754" w:history="1">
        <w:r w:rsidRPr="007E3D60">
          <w:rPr>
            <w:rStyle w:val="Hypertextovodkaz"/>
            <w:color w:val="auto"/>
            <w:u w:val="none"/>
          </w:rPr>
          <w:t>5.</w:t>
        </w:r>
        <w:r w:rsidRPr="007E3D60">
          <w:tab/>
        </w:r>
        <w:r w:rsidRPr="007E3D60">
          <w:rPr>
            <w:rStyle w:val="Hypertextovodkaz"/>
            <w:color w:val="auto"/>
            <w:u w:val="none"/>
          </w:rPr>
          <w:t>Povinnosti objednatele</w:t>
        </w:r>
        <w:r w:rsidRPr="007E3D60">
          <w:rPr>
            <w:webHidden/>
          </w:rPr>
          <w:tab/>
        </w:r>
        <w:r w:rsidRPr="007E3D60">
          <w:rPr>
            <w:webHidden/>
          </w:rPr>
          <w:fldChar w:fldCharType="begin"/>
        </w:r>
        <w:r w:rsidRPr="007E3D60">
          <w:rPr>
            <w:webHidden/>
          </w:rPr>
          <w:instrText xml:space="preserve"> PAGEREF _Toc136269754 \h </w:instrText>
        </w:r>
        <w:r w:rsidRPr="007E3D60">
          <w:rPr>
            <w:webHidden/>
          </w:rPr>
        </w:r>
        <w:r w:rsidRPr="007E3D60">
          <w:rPr>
            <w:webHidden/>
          </w:rPr>
          <w:fldChar w:fldCharType="separate"/>
        </w:r>
        <w:r w:rsidR="00A52669">
          <w:rPr>
            <w:webHidden/>
          </w:rPr>
          <w:t>4</w:t>
        </w:r>
        <w:r w:rsidRPr="007E3D60">
          <w:rPr>
            <w:webHidden/>
          </w:rPr>
          <w:fldChar w:fldCharType="end"/>
        </w:r>
      </w:hyperlink>
    </w:p>
    <w:p w14:paraId="48046E64" w14:textId="14DBEA86" w:rsidR="007E3D60" w:rsidRPr="007E3D60" w:rsidRDefault="007E3D60" w:rsidP="007E3D60">
      <w:pPr>
        <w:pStyle w:val="Obsah2"/>
      </w:pPr>
      <w:hyperlink w:anchor="_Toc136269755" w:history="1">
        <w:r w:rsidRPr="007E3D60">
          <w:rPr>
            <w:rStyle w:val="Hypertextovodkaz"/>
            <w:color w:val="auto"/>
            <w:u w:val="none"/>
          </w:rPr>
          <w:t>6.</w:t>
        </w:r>
        <w:r w:rsidRPr="007E3D60">
          <w:tab/>
        </w:r>
        <w:r w:rsidRPr="007E3D60">
          <w:rPr>
            <w:rStyle w:val="Hypertextovodkaz"/>
            <w:color w:val="auto"/>
            <w:u w:val="none"/>
          </w:rPr>
          <w:t>Licenční ujednání</w:t>
        </w:r>
        <w:r w:rsidRPr="007E3D60">
          <w:rPr>
            <w:webHidden/>
          </w:rPr>
          <w:tab/>
        </w:r>
        <w:r w:rsidRPr="007E3D60">
          <w:rPr>
            <w:webHidden/>
          </w:rPr>
          <w:fldChar w:fldCharType="begin"/>
        </w:r>
        <w:r w:rsidRPr="007E3D60">
          <w:rPr>
            <w:webHidden/>
          </w:rPr>
          <w:instrText xml:space="preserve"> PAGEREF _Toc136269755 \h </w:instrText>
        </w:r>
        <w:r w:rsidRPr="007E3D60">
          <w:rPr>
            <w:webHidden/>
          </w:rPr>
        </w:r>
        <w:r w:rsidRPr="007E3D60">
          <w:rPr>
            <w:webHidden/>
          </w:rPr>
          <w:fldChar w:fldCharType="separate"/>
        </w:r>
        <w:r w:rsidR="00A52669">
          <w:rPr>
            <w:webHidden/>
          </w:rPr>
          <w:t>4</w:t>
        </w:r>
        <w:r w:rsidRPr="007E3D60">
          <w:rPr>
            <w:webHidden/>
          </w:rPr>
          <w:fldChar w:fldCharType="end"/>
        </w:r>
      </w:hyperlink>
    </w:p>
    <w:p w14:paraId="6D0BBFF4" w14:textId="3497C4F8" w:rsidR="007E3D60" w:rsidRPr="007E3D60" w:rsidRDefault="007E3D60" w:rsidP="007E3D60">
      <w:pPr>
        <w:pStyle w:val="Obsah2"/>
      </w:pPr>
      <w:hyperlink w:anchor="_Toc136269756" w:history="1">
        <w:r w:rsidRPr="007E3D60">
          <w:rPr>
            <w:rStyle w:val="Hypertextovodkaz"/>
            <w:color w:val="auto"/>
            <w:u w:val="none"/>
          </w:rPr>
          <w:t>7.</w:t>
        </w:r>
        <w:r w:rsidRPr="007E3D60">
          <w:tab/>
        </w:r>
        <w:r w:rsidRPr="007E3D60">
          <w:rPr>
            <w:rStyle w:val="Hypertextovodkaz"/>
            <w:color w:val="auto"/>
            <w:u w:val="none"/>
          </w:rPr>
          <w:t>Zdrojový kód a dokumentace</w:t>
        </w:r>
        <w:r w:rsidRPr="007E3D60">
          <w:rPr>
            <w:webHidden/>
          </w:rPr>
          <w:tab/>
        </w:r>
        <w:r w:rsidRPr="007E3D60">
          <w:rPr>
            <w:webHidden/>
          </w:rPr>
          <w:fldChar w:fldCharType="begin"/>
        </w:r>
        <w:r w:rsidRPr="007E3D60">
          <w:rPr>
            <w:webHidden/>
          </w:rPr>
          <w:instrText xml:space="preserve"> PAGEREF _Toc136269756 \h </w:instrText>
        </w:r>
        <w:r w:rsidRPr="007E3D60">
          <w:rPr>
            <w:webHidden/>
          </w:rPr>
        </w:r>
        <w:r w:rsidRPr="007E3D60">
          <w:rPr>
            <w:webHidden/>
          </w:rPr>
          <w:fldChar w:fldCharType="separate"/>
        </w:r>
        <w:r w:rsidR="00A52669">
          <w:rPr>
            <w:webHidden/>
          </w:rPr>
          <w:t>6</w:t>
        </w:r>
        <w:r w:rsidRPr="007E3D60">
          <w:rPr>
            <w:webHidden/>
          </w:rPr>
          <w:fldChar w:fldCharType="end"/>
        </w:r>
      </w:hyperlink>
    </w:p>
    <w:p w14:paraId="76CFD45F" w14:textId="6F479EE9" w:rsidR="007E3D60" w:rsidRPr="007E3D60" w:rsidRDefault="007E3D60" w:rsidP="007E3D60">
      <w:pPr>
        <w:pStyle w:val="Obsah2"/>
      </w:pPr>
      <w:hyperlink w:anchor="_Toc136269757" w:history="1">
        <w:r w:rsidRPr="007E3D60">
          <w:rPr>
            <w:rStyle w:val="Hypertextovodkaz"/>
            <w:color w:val="auto"/>
            <w:u w:val="none"/>
          </w:rPr>
          <w:t>8.</w:t>
        </w:r>
        <w:r w:rsidRPr="007E3D60">
          <w:tab/>
        </w:r>
        <w:r w:rsidRPr="007E3D60">
          <w:rPr>
            <w:rStyle w:val="Hypertextovodkaz"/>
            <w:color w:val="auto"/>
            <w:u w:val="none"/>
          </w:rPr>
          <w:t>Akceptační řízení</w:t>
        </w:r>
        <w:r w:rsidRPr="007E3D60">
          <w:rPr>
            <w:webHidden/>
          </w:rPr>
          <w:tab/>
        </w:r>
        <w:r w:rsidRPr="007E3D60">
          <w:rPr>
            <w:webHidden/>
          </w:rPr>
          <w:fldChar w:fldCharType="begin"/>
        </w:r>
        <w:r w:rsidRPr="007E3D60">
          <w:rPr>
            <w:webHidden/>
          </w:rPr>
          <w:instrText xml:space="preserve"> PAGEREF _Toc136269757 \h </w:instrText>
        </w:r>
        <w:r w:rsidRPr="007E3D60">
          <w:rPr>
            <w:webHidden/>
          </w:rPr>
        </w:r>
        <w:r w:rsidRPr="007E3D60">
          <w:rPr>
            <w:webHidden/>
          </w:rPr>
          <w:fldChar w:fldCharType="separate"/>
        </w:r>
        <w:r w:rsidR="00A52669">
          <w:rPr>
            <w:webHidden/>
          </w:rPr>
          <w:t>7</w:t>
        </w:r>
        <w:r w:rsidRPr="007E3D60">
          <w:rPr>
            <w:webHidden/>
          </w:rPr>
          <w:fldChar w:fldCharType="end"/>
        </w:r>
      </w:hyperlink>
    </w:p>
    <w:p w14:paraId="1E132D89" w14:textId="65AE20CE" w:rsidR="007E3D60" w:rsidRPr="007E3D60" w:rsidRDefault="007E3D60" w:rsidP="007E3D60">
      <w:pPr>
        <w:pStyle w:val="Obsah2"/>
      </w:pPr>
      <w:hyperlink w:anchor="_Toc136269758" w:history="1">
        <w:r w:rsidRPr="007E3D60">
          <w:rPr>
            <w:rStyle w:val="Hypertextovodkaz"/>
            <w:color w:val="auto"/>
            <w:u w:val="none"/>
          </w:rPr>
          <w:t>9.</w:t>
        </w:r>
        <w:r w:rsidRPr="007E3D60">
          <w:tab/>
        </w:r>
        <w:r w:rsidRPr="007E3D60">
          <w:rPr>
            <w:rStyle w:val="Hypertextovodkaz"/>
            <w:color w:val="auto"/>
            <w:u w:val="none"/>
          </w:rPr>
          <w:t>Školení</w:t>
        </w:r>
        <w:r w:rsidRPr="007E3D60">
          <w:rPr>
            <w:webHidden/>
          </w:rPr>
          <w:tab/>
        </w:r>
        <w:r w:rsidRPr="007E3D60">
          <w:rPr>
            <w:webHidden/>
          </w:rPr>
          <w:fldChar w:fldCharType="begin"/>
        </w:r>
        <w:r w:rsidRPr="007E3D60">
          <w:rPr>
            <w:webHidden/>
          </w:rPr>
          <w:instrText xml:space="preserve"> PAGEREF _Toc136269758 \h </w:instrText>
        </w:r>
        <w:r w:rsidRPr="007E3D60">
          <w:rPr>
            <w:webHidden/>
          </w:rPr>
        </w:r>
        <w:r w:rsidRPr="007E3D60">
          <w:rPr>
            <w:webHidden/>
          </w:rPr>
          <w:fldChar w:fldCharType="separate"/>
        </w:r>
        <w:r w:rsidR="00A52669">
          <w:rPr>
            <w:webHidden/>
          </w:rPr>
          <w:t>9</w:t>
        </w:r>
        <w:r w:rsidRPr="007E3D60">
          <w:rPr>
            <w:webHidden/>
          </w:rPr>
          <w:fldChar w:fldCharType="end"/>
        </w:r>
      </w:hyperlink>
    </w:p>
    <w:p w14:paraId="60C69F55" w14:textId="4E56B01F" w:rsidR="007E3D60" w:rsidRPr="007E3D60" w:rsidRDefault="007E3D60" w:rsidP="007E3D60">
      <w:pPr>
        <w:pStyle w:val="Obsah2"/>
      </w:pPr>
      <w:hyperlink w:anchor="_Toc136269759" w:history="1">
        <w:r w:rsidRPr="007E3D60">
          <w:rPr>
            <w:rStyle w:val="Hypertextovodkaz"/>
            <w:color w:val="auto"/>
            <w:u w:val="none"/>
          </w:rPr>
          <w:t>10.</w:t>
        </w:r>
        <w:r w:rsidRPr="007E3D60">
          <w:tab/>
        </w:r>
        <w:r w:rsidRPr="007E3D60">
          <w:rPr>
            <w:rStyle w:val="Hypertextovodkaz"/>
            <w:color w:val="auto"/>
            <w:u w:val="none"/>
          </w:rPr>
          <w:t>HelpDesk</w:t>
        </w:r>
        <w:r w:rsidRPr="007E3D60">
          <w:rPr>
            <w:webHidden/>
          </w:rPr>
          <w:tab/>
        </w:r>
        <w:r w:rsidRPr="007E3D60">
          <w:rPr>
            <w:webHidden/>
          </w:rPr>
          <w:fldChar w:fldCharType="begin"/>
        </w:r>
        <w:r w:rsidRPr="007E3D60">
          <w:rPr>
            <w:webHidden/>
          </w:rPr>
          <w:instrText xml:space="preserve"> PAGEREF _Toc136269759 \h </w:instrText>
        </w:r>
        <w:r w:rsidRPr="007E3D60">
          <w:rPr>
            <w:webHidden/>
          </w:rPr>
        </w:r>
        <w:r w:rsidRPr="007E3D60">
          <w:rPr>
            <w:webHidden/>
          </w:rPr>
          <w:fldChar w:fldCharType="separate"/>
        </w:r>
        <w:r w:rsidR="00A52669">
          <w:rPr>
            <w:webHidden/>
          </w:rPr>
          <w:t>9</w:t>
        </w:r>
        <w:r w:rsidRPr="007E3D60">
          <w:rPr>
            <w:webHidden/>
          </w:rPr>
          <w:fldChar w:fldCharType="end"/>
        </w:r>
      </w:hyperlink>
    </w:p>
    <w:p w14:paraId="3EDB736B" w14:textId="48854159" w:rsidR="007E3D60" w:rsidRPr="007E3D60" w:rsidRDefault="007E3D60" w:rsidP="007E3D60">
      <w:pPr>
        <w:pStyle w:val="Obsah2"/>
      </w:pPr>
      <w:hyperlink w:anchor="_Toc136269760" w:history="1">
        <w:r w:rsidRPr="007E3D60">
          <w:rPr>
            <w:rStyle w:val="Hypertextovodkaz"/>
            <w:color w:val="auto"/>
            <w:u w:val="none"/>
          </w:rPr>
          <w:t>11.</w:t>
        </w:r>
        <w:r w:rsidRPr="007E3D60">
          <w:tab/>
        </w:r>
        <w:r w:rsidRPr="007E3D60">
          <w:rPr>
            <w:rStyle w:val="Hypertextovodkaz"/>
            <w:color w:val="auto"/>
            <w:u w:val="none"/>
          </w:rPr>
          <w:t>nahlášení incidentu</w:t>
        </w:r>
        <w:r w:rsidRPr="007E3D60">
          <w:rPr>
            <w:webHidden/>
          </w:rPr>
          <w:tab/>
        </w:r>
        <w:r w:rsidRPr="007E3D60">
          <w:rPr>
            <w:webHidden/>
          </w:rPr>
          <w:fldChar w:fldCharType="begin"/>
        </w:r>
        <w:r w:rsidRPr="007E3D60">
          <w:rPr>
            <w:webHidden/>
          </w:rPr>
          <w:instrText xml:space="preserve"> PAGEREF _Toc136269760 \h </w:instrText>
        </w:r>
        <w:r w:rsidRPr="007E3D60">
          <w:rPr>
            <w:webHidden/>
          </w:rPr>
        </w:r>
        <w:r w:rsidRPr="007E3D60">
          <w:rPr>
            <w:webHidden/>
          </w:rPr>
          <w:fldChar w:fldCharType="separate"/>
        </w:r>
        <w:r w:rsidR="00A52669">
          <w:rPr>
            <w:webHidden/>
          </w:rPr>
          <w:t>10</w:t>
        </w:r>
        <w:r w:rsidRPr="007E3D60">
          <w:rPr>
            <w:webHidden/>
          </w:rPr>
          <w:fldChar w:fldCharType="end"/>
        </w:r>
      </w:hyperlink>
    </w:p>
    <w:p w14:paraId="03E7AD29" w14:textId="40BCDE1F" w:rsidR="007E3D60" w:rsidRPr="007E3D60" w:rsidRDefault="007E3D60" w:rsidP="007E3D60">
      <w:pPr>
        <w:pStyle w:val="Obsah2"/>
      </w:pPr>
      <w:hyperlink w:anchor="_Toc136269761" w:history="1">
        <w:r w:rsidRPr="007E3D60">
          <w:rPr>
            <w:rStyle w:val="Hypertextovodkaz"/>
            <w:color w:val="auto"/>
            <w:u w:val="none"/>
          </w:rPr>
          <w:t>12.</w:t>
        </w:r>
        <w:r w:rsidRPr="007E3D60">
          <w:tab/>
        </w:r>
        <w:r w:rsidRPr="007E3D60">
          <w:rPr>
            <w:rStyle w:val="Hypertextovodkaz"/>
            <w:color w:val="auto"/>
            <w:u w:val="none"/>
          </w:rPr>
          <w:t>Servisní modely</w:t>
        </w:r>
        <w:r w:rsidRPr="007E3D60">
          <w:rPr>
            <w:webHidden/>
          </w:rPr>
          <w:tab/>
        </w:r>
        <w:r w:rsidRPr="007E3D60">
          <w:rPr>
            <w:webHidden/>
          </w:rPr>
          <w:fldChar w:fldCharType="begin"/>
        </w:r>
        <w:r w:rsidRPr="007E3D60">
          <w:rPr>
            <w:webHidden/>
          </w:rPr>
          <w:instrText xml:space="preserve"> PAGEREF _Toc136269761 \h </w:instrText>
        </w:r>
        <w:r w:rsidRPr="007E3D60">
          <w:rPr>
            <w:webHidden/>
          </w:rPr>
        </w:r>
        <w:r w:rsidRPr="007E3D60">
          <w:rPr>
            <w:webHidden/>
          </w:rPr>
          <w:fldChar w:fldCharType="separate"/>
        </w:r>
        <w:r w:rsidR="00A52669">
          <w:rPr>
            <w:webHidden/>
          </w:rPr>
          <w:t>10</w:t>
        </w:r>
        <w:r w:rsidRPr="007E3D60">
          <w:rPr>
            <w:webHidden/>
          </w:rPr>
          <w:fldChar w:fldCharType="end"/>
        </w:r>
      </w:hyperlink>
    </w:p>
    <w:p w14:paraId="69EAB6D6" w14:textId="75F83FBF" w:rsidR="007E3D60" w:rsidRPr="007E3D60" w:rsidRDefault="007E3D60" w:rsidP="007E3D60">
      <w:pPr>
        <w:pStyle w:val="Obsah2"/>
      </w:pPr>
      <w:hyperlink w:anchor="_Toc136269762" w:history="1">
        <w:r w:rsidRPr="007E3D60">
          <w:rPr>
            <w:rStyle w:val="Hypertextovodkaz"/>
            <w:color w:val="auto"/>
            <w:u w:val="none"/>
          </w:rPr>
          <w:t>13.</w:t>
        </w:r>
        <w:r w:rsidRPr="007E3D60">
          <w:tab/>
        </w:r>
        <w:r w:rsidRPr="007E3D60">
          <w:rPr>
            <w:rStyle w:val="Hypertextovodkaz"/>
            <w:color w:val="auto"/>
            <w:u w:val="none"/>
          </w:rPr>
          <w:t>Účast poddodavatelů</w:t>
        </w:r>
        <w:r w:rsidRPr="007E3D60">
          <w:rPr>
            <w:webHidden/>
          </w:rPr>
          <w:tab/>
        </w:r>
        <w:r w:rsidRPr="007E3D60">
          <w:rPr>
            <w:webHidden/>
          </w:rPr>
          <w:fldChar w:fldCharType="begin"/>
        </w:r>
        <w:r w:rsidRPr="007E3D60">
          <w:rPr>
            <w:webHidden/>
          </w:rPr>
          <w:instrText xml:space="preserve"> PAGEREF _Toc136269762 \h </w:instrText>
        </w:r>
        <w:r w:rsidRPr="007E3D60">
          <w:rPr>
            <w:webHidden/>
          </w:rPr>
        </w:r>
        <w:r w:rsidRPr="007E3D60">
          <w:rPr>
            <w:webHidden/>
          </w:rPr>
          <w:fldChar w:fldCharType="separate"/>
        </w:r>
        <w:r w:rsidR="00A52669">
          <w:rPr>
            <w:webHidden/>
          </w:rPr>
          <w:t>12</w:t>
        </w:r>
        <w:r w:rsidRPr="007E3D60">
          <w:rPr>
            <w:webHidden/>
          </w:rPr>
          <w:fldChar w:fldCharType="end"/>
        </w:r>
      </w:hyperlink>
    </w:p>
    <w:p w14:paraId="6C7531BE" w14:textId="77922A7D" w:rsidR="007E3D60" w:rsidRPr="007E3D60" w:rsidRDefault="007E3D60" w:rsidP="007E3D60">
      <w:pPr>
        <w:pStyle w:val="Obsah2"/>
      </w:pPr>
      <w:hyperlink w:anchor="_Toc136269763" w:history="1">
        <w:r w:rsidRPr="007E3D60">
          <w:rPr>
            <w:rStyle w:val="Hypertextovodkaz"/>
            <w:color w:val="auto"/>
            <w:u w:val="none"/>
          </w:rPr>
          <w:t>14.</w:t>
        </w:r>
        <w:r w:rsidRPr="007E3D60">
          <w:tab/>
        </w:r>
        <w:r w:rsidRPr="007E3D60">
          <w:rPr>
            <w:rStyle w:val="Hypertextovodkaz"/>
            <w:color w:val="auto"/>
            <w:u w:val="none"/>
          </w:rPr>
          <w:t>Realizační tým</w:t>
        </w:r>
        <w:r w:rsidRPr="007E3D60">
          <w:rPr>
            <w:webHidden/>
          </w:rPr>
          <w:tab/>
        </w:r>
        <w:r w:rsidRPr="007E3D60">
          <w:rPr>
            <w:webHidden/>
          </w:rPr>
          <w:fldChar w:fldCharType="begin"/>
        </w:r>
        <w:r w:rsidRPr="007E3D60">
          <w:rPr>
            <w:webHidden/>
          </w:rPr>
          <w:instrText xml:space="preserve"> PAGEREF _Toc136269763 \h </w:instrText>
        </w:r>
        <w:r w:rsidRPr="007E3D60">
          <w:rPr>
            <w:webHidden/>
          </w:rPr>
        </w:r>
        <w:r w:rsidRPr="007E3D60">
          <w:rPr>
            <w:webHidden/>
          </w:rPr>
          <w:fldChar w:fldCharType="separate"/>
        </w:r>
        <w:r w:rsidR="00A52669">
          <w:rPr>
            <w:webHidden/>
          </w:rPr>
          <w:t>12</w:t>
        </w:r>
        <w:r w:rsidRPr="007E3D60">
          <w:rPr>
            <w:webHidden/>
          </w:rPr>
          <w:fldChar w:fldCharType="end"/>
        </w:r>
      </w:hyperlink>
    </w:p>
    <w:p w14:paraId="6702257B" w14:textId="35CE3BE9" w:rsidR="007E3D60" w:rsidRPr="007E3D60" w:rsidRDefault="007E3D60" w:rsidP="007E3D60">
      <w:pPr>
        <w:pStyle w:val="Obsah2"/>
      </w:pPr>
      <w:hyperlink w:anchor="_Toc136269764" w:history="1">
        <w:r w:rsidRPr="007E3D60">
          <w:rPr>
            <w:rStyle w:val="Hypertextovodkaz"/>
            <w:color w:val="auto"/>
            <w:u w:val="none"/>
          </w:rPr>
          <w:t>15.</w:t>
        </w:r>
        <w:r w:rsidRPr="007E3D60">
          <w:tab/>
        </w:r>
        <w:r w:rsidRPr="007E3D60">
          <w:rPr>
            <w:rStyle w:val="Hypertextovodkaz"/>
            <w:color w:val="auto"/>
            <w:u w:val="none"/>
          </w:rPr>
          <w:t>Komunikace stran</w:t>
        </w:r>
        <w:r w:rsidRPr="007E3D60">
          <w:rPr>
            <w:webHidden/>
          </w:rPr>
          <w:tab/>
        </w:r>
        <w:r w:rsidRPr="007E3D60">
          <w:rPr>
            <w:webHidden/>
          </w:rPr>
          <w:fldChar w:fldCharType="begin"/>
        </w:r>
        <w:r w:rsidRPr="007E3D60">
          <w:rPr>
            <w:webHidden/>
          </w:rPr>
          <w:instrText xml:space="preserve"> PAGEREF _Toc136269764 \h </w:instrText>
        </w:r>
        <w:r w:rsidRPr="007E3D60">
          <w:rPr>
            <w:webHidden/>
          </w:rPr>
        </w:r>
        <w:r w:rsidRPr="007E3D60">
          <w:rPr>
            <w:webHidden/>
          </w:rPr>
          <w:fldChar w:fldCharType="separate"/>
        </w:r>
        <w:r w:rsidR="00A52669">
          <w:rPr>
            <w:webHidden/>
          </w:rPr>
          <w:t>12</w:t>
        </w:r>
        <w:r w:rsidRPr="007E3D60">
          <w:rPr>
            <w:webHidden/>
          </w:rPr>
          <w:fldChar w:fldCharType="end"/>
        </w:r>
      </w:hyperlink>
    </w:p>
    <w:p w14:paraId="5864C968" w14:textId="456BDDBA" w:rsidR="007E3D60" w:rsidRPr="007E3D60" w:rsidRDefault="007E3D60" w:rsidP="007E3D60">
      <w:pPr>
        <w:pStyle w:val="Obsah2"/>
      </w:pPr>
      <w:hyperlink w:anchor="_Toc136269765" w:history="1">
        <w:r w:rsidRPr="007E3D60">
          <w:rPr>
            <w:rStyle w:val="Hypertextovodkaz"/>
            <w:color w:val="auto"/>
            <w:u w:val="none"/>
          </w:rPr>
          <w:t>16.</w:t>
        </w:r>
        <w:r w:rsidRPr="007E3D60">
          <w:tab/>
        </w:r>
        <w:r w:rsidRPr="007E3D60">
          <w:rPr>
            <w:rStyle w:val="Hypertextovodkaz"/>
            <w:color w:val="auto"/>
            <w:u w:val="none"/>
          </w:rPr>
          <w:t>Smluvní pokuty</w:t>
        </w:r>
        <w:r w:rsidRPr="007E3D60">
          <w:rPr>
            <w:webHidden/>
          </w:rPr>
          <w:tab/>
        </w:r>
        <w:r w:rsidRPr="007E3D60">
          <w:rPr>
            <w:webHidden/>
          </w:rPr>
          <w:fldChar w:fldCharType="begin"/>
        </w:r>
        <w:r w:rsidRPr="007E3D60">
          <w:rPr>
            <w:webHidden/>
          </w:rPr>
          <w:instrText xml:space="preserve"> PAGEREF _Toc136269765 \h </w:instrText>
        </w:r>
        <w:r w:rsidRPr="007E3D60">
          <w:rPr>
            <w:webHidden/>
          </w:rPr>
        </w:r>
        <w:r w:rsidRPr="007E3D60">
          <w:rPr>
            <w:webHidden/>
          </w:rPr>
          <w:fldChar w:fldCharType="separate"/>
        </w:r>
        <w:r w:rsidR="00A52669">
          <w:rPr>
            <w:webHidden/>
          </w:rPr>
          <w:t>13</w:t>
        </w:r>
        <w:r w:rsidRPr="007E3D60">
          <w:rPr>
            <w:webHidden/>
          </w:rPr>
          <w:fldChar w:fldCharType="end"/>
        </w:r>
      </w:hyperlink>
    </w:p>
    <w:p w14:paraId="2D8F7FF0" w14:textId="43C123C2" w:rsidR="007E3D60" w:rsidRPr="007E3D60" w:rsidRDefault="007E3D60" w:rsidP="007E3D60">
      <w:pPr>
        <w:pStyle w:val="Obsah2"/>
      </w:pPr>
      <w:hyperlink w:anchor="_Toc136269766" w:history="1">
        <w:r w:rsidRPr="007E3D60">
          <w:rPr>
            <w:rStyle w:val="Hypertextovodkaz"/>
            <w:color w:val="auto"/>
            <w:u w:val="none"/>
          </w:rPr>
          <w:t>17.</w:t>
        </w:r>
        <w:r w:rsidRPr="007E3D60">
          <w:tab/>
        </w:r>
        <w:r w:rsidRPr="007E3D60">
          <w:rPr>
            <w:rStyle w:val="Hypertextovodkaz"/>
            <w:color w:val="auto"/>
            <w:u w:val="none"/>
          </w:rPr>
          <w:t>Záruka za jakost a práva z vadného plnění</w:t>
        </w:r>
        <w:r w:rsidRPr="007E3D60">
          <w:rPr>
            <w:webHidden/>
          </w:rPr>
          <w:tab/>
        </w:r>
        <w:r w:rsidRPr="007E3D60">
          <w:rPr>
            <w:webHidden/>
          </w:rPr>
          <w:fldChar w:fldCharType="begin"/>
        </w:r>
        <w:r w:rsidRPr="007E3D60">
          <w:rPr>
            <w:webHidden/>
          </w:rPr>
          <w:instrText xml:space="preserve"> PAGEREF _Toc136269766 \h </w:instrText>
        </w:r>
        <w:r w:rsidRPr="007E3D60">
          <w:rPr>
            <w:webHidden/>
          </w:rPr>
        </w:r>
        <w:r w:rsidRPr="007E3D60">
          <w:rPr>
            <w:webHidden/>
          </w:rPr>
          <w:fldChar w:fldCharType="separate"/>
        </w:r>
        <w:r w:rsidR="00A52669">
          <w:rPr>
            <w:webHidden/>
          </w:rPr>
          <w:t>14</w:t>
        </w:r>
        <w:r w:rsidRPr="007E3D60">
          <w:rPr>
            <w:webHidden/>
          </w:rPr>
          <w:fldChar w:fldCharType="end"/>
        </w:r>
      </w:hyperlink>
    </w:p>
    <w:p w14:paraId="752BD5E7" w14:textId="586BB2B2" w:rsidR="007E3D60" w:rsidRPr="007E3D60" w:rsidRDefault="007E3D60" w:rsidP="007E3D60">
      <w:pPr>
        <w:pStyle w:val="Obsah2"/>
      </w:pPr>
      <w:hyperlink w:anchor="_Toc136269767" w:history="1">
        <w:r w:rsidRPr="007E3D60">
          <w:rPr>
            <w:rStyle w:val="Hypertextovodkaz"/>
            <w:color w:val="auto"/>
            <w:u w:val="none"/>
          </w:rPr>
          <w:t>18.</w:t>
        </w:r>
        <w:r w:rsidRPr="007E3D60">
          <w:tab/>
        </w:r>
        <w:r w:rsidRPr="007E3D60">
          <w:rPr>
            <w:rStyle w:val="Hypertextovodkaz"/>
            <w:color w:val="auto"/>
            <w:u w:val="none"/>
          </w:rPr>
          <w:t>Ukončení smluvního vztahu</w:t>
        </w:r>
        <w:r w:rsidRPr="007E3D60">
          <w:rPr>
            <w:webHidden/>
          </w:rPr>
          <w:tab/>
        </w:r>
        <w:r w:rsidRPr="007E3D60">
          <w:rPr>
            <w:webHidden/>
          </w:rPr>
          <w:fldChar w:fldCharType="begin"/>
        </w:r>
        <w:r w:rsidRPr="007E3D60">
          <w:rPr>
            <w:webHidden/>
          </w:rPr>
          <w:instrText xml:space="preserve"> PAGEREF _Toc136269767 \h </w:instrText>
        </w:r>
        <w:r w:rsidRPr="007E3D60">
          <w:rPr>
            <w:webHidden/>
          </w:rPr>
        </w:r>
        <w:r w:rsidRPr="007E3D60">
          <w:rPr>
            <w:webHidden/>
          </w:rPr>
          <w:fldChar w:fldCharType="separate"/>
        </w:r>
        <w:r w:rsidR="00A52669">
          <w:rPr>
            <w:webHidden/>
          </w:rPr>
          <w:t>16</w:t>
        </w:r>
        <w:r w:rsidRPr="007E3D60">
          <w:rPr>
            <w:webHidden/>
          </w:rPr>
          <w:fldChar w:fldCharType="end"/>
        </w:r>
      </w:hyperlink>
    </w:p>
    <w:p w14:paraId="2DB9F635" w14:textId="58669134" w:rsidR="007E3D60" w:rsidRPr="007E3D60" w:rsidRDefault="007E3D60" w:rsidP="007E3D60">
      <w:pPr>
        <w:pStyle w:val="Obsah2"/>
      </w:pPr>
      <w:hyperlink w:anchor="_Toc136269768" w:history="1">
        <w:r w:rsidRPr="007E3D60">
          <w:rPr>
            <w:rStyle w:val="Hypertextovodkaz"/>
            <w:color w:val="auto"/>
            <w:u w:val="none"/>
          </w:rPr>
          <w:t>19.</w:t>
        </w:r>
        <w:r w:rsidRPr="007E3D60">
          <w:tab/>
        </w:r>
        <w:r w:rsidRPr="007E3D60">
          <w:rPr>
            <w:rStyle w:val="Hypertextovodkaz"/>
            <w:color w:val="auto"/>
            <w:u w:val="none"/>
          </w:rPr>
          <w:t>Změny smlouvy a změnové řízení</w:t>
        </w:r>
        <w:r w:rsidRPr="007E3D60">
          <w:rPr>
            <w:webHidden/>
          </w:rPr>
          <w:tab/>
        </w:r>
        <w:r w:rsidRPr="007E3D60">
          <w:rPr>
            <w:webHidden/>
          </w:rPr>
          <w:fldChar w:fldCharType="begin"/>
        </w:r>
        <w:r w:rsidRPr="007E3D60">
          <w:rPr>
            <w:webHidden/>
          </w:rPr>
          <w:instrText xml:space="preserve"> PAGEREF _Toc136269768 \h </w:instrText>
        </w:r>
        <w:r w:rsidRPr="007E3D60">
          <w:rPr>
            <w:webHidden/>
          </w:rPr>
        </w:r>
        <w:r w:rsidRPr="007E3D60">
          <w:rPr>
            <w:webHidden/>
          </w:rPr>
          <w:fldChar w:fldCharType="separate"/>
        </w:r>
        <w:r w:rsidR="00A52669">
          <w:rPr>
            <w:webHidden/>
          </w:rPr>
          <w:t>17</w:t>
        </w:r>
        <w:r w:rsidRPr="007E3D60">
          <w:rPr>
            <w:webHidden/>
          </w:rPr>
          <w:fldChar w:fldCharType="end"/>
        </w:r>
      </w:hyperlink>
    </w:p>
    <w:p w14:paraId="52270953" w14:textId="5AC4ED0A" w:rsidR="007E3D60" w:rsidRPr="007E3D60" w:rsidRDefault="007E3D60" w:rsidP="007E3D60">
      <w:pPr>
        <w:pStyle w:val="Obsah2"/>
      </w:pPr>
      <w:hyperlink w:anchor="_Toc136269769" w:history="1">
        <w:r w:rsidRPr="007E3D60">
          <w:rPr>
            <w:rStyle w:val="Hypertextovodkaz"/>
            <w:color w:val="auto"/>
            <w:u w:val="none"/>
          </w:rPr>
          <w:t>20.</w:t>
        </w:r>
        <w:r w:rsidRPr="007E3D60">
          <w:tab/>
        </w:r>
        <w:r w:rsidRPr="007E3D60">
          <w:rPr>
            <w:rStyle w:val="Hypertextovodkaz"/>
            <w:color w:val="auto"/>
            <w:u w:val="none"/>
          </w:rPr>
          <w:t>Kybernetická bezpečnost</w:t>
        </w:r>
        <w:r w:rsidRPr="007E3D60">
          <w:rPr>
            <w:webHidden/>
          </w:rPr>
          <w:tab/>
        </w:r>
        <w:r w:rsidRPr="007E3D60">
          <w:rPr>
            <w:webHidden/>
          </w:rPr>
          <w:fldChar w:fldCharType="begin"/>
        </w:r>
        <w:r w:rsidRPr="007E3D60">
          <w:rPr>
            <w:webHidden/>
          </w:rPr>
          <w:instrText xml:space="preserve"> PAGEREF _Toc136269769 \h </w:instrText>
        </w:r>
        <w:r w:rsidRPr="007E3D60">
          <w:rPr>
            <w:webHidden/>
          </w:rPr>
        </w:r>
        <w:r w:rsidRPr="007E3D60">
          <w:rPr>
            <w:webHidden/>
          </w:rPr>
          <w:fldChar w:fldCharType="separate"/>
        </w:r>
        <w:r w:rsidR="00A52669">
          <w:rPr>
            <w:webHidden/>
          </w:rPr>
          <w:t>17</w:t>
        </w:r>
        <w:r w:rsidRPr="007E3D60">
          <w:rPr>
            <w:webHidden/>
          </w:rPr>
          <w:fldChar w:fldCharType="end"/>
        </w:r>
      </w:hyperlink>
    </w:p>
    <w:p w14:paraId="3E9D863A" w14:textId="02AD8771" w:rsidR="007E3D60" w:rsidRPr="007E3D60" w:rsidRDefault="007E3D60" w:rsidP="007E3D60">
      <w:pPr>
        <w:pStyle w:val="Obsah2"/>
      </w:pPr>
      <w:hyperlink w:anchor="_Toc136269775" w:history="1">
        <w:r w:rsidRPr="007E3D60">
          <w:rPr>
            <w:rStyle w:val="Hypertextovodkaz"/>
            <w:color w:val="auto"/>
            <w:u w:val="none"/>
          </w:rPr>
          <w:t>21.</w:t>
        </w:r>
        <w:r w:rsidRPr="007E3D60">
          <w:tab/>
        </w:r>
        <w:r w:rsidRPr="007E3D60">
          <w:rPr>
            <w:rStyle w:val="Hypertextovodkaz"/>
            <w:color w:val="auto"/>
            <w:u w:val="none"/>
          </w:rPr>
          <w:t>Ochrana osobních údajů</w:t>
        </w:r>
        <w:r w:rsidRPr="007E3D60">
          <w:rPr>
            <w:webHidden/>
          </w:rPr>
          <w:tab/>
        </w:r>
        <w:r w:rsidRPr="007E3D60">
          <w:rPr>
            <w:webHidden/>
          </w:rPr>
          <w:fldChar w:fldCharType="begin"/>
        </w:r>
        <w:r w:rsidRPr="007E3D60">
          <w:rPr>
            <w:webHidden/>
          </w:rPr>
          <w:instrText xml:space="preserve"> PAGEREF _Toc136269775 \h </w:instrText>
        </w:r>
        <w:r w:rsidRPr="007E3D60">
          <w:rPr>
            <w:webHidden/>
          </w:rPr>
        </w:r>
        <w:r w:rsidRPr="007E3D60">
          <w:rPr>
            <w:webHidden/>
          </w:rPr>
          <w:fldChar w:fldCharType="separate"/>
        </w:r>
        <w:r w:rsidR="00A52669">
          <w:rPr>
            <w:webHidden/>
          </w:rPr>
          <w:t>21</w:t>
        </w:r>
        <w:r w:rsidRPr="007E3D60">
          <w:rPr>
            <w:webHidden/>
          </w:rPr>
          <w:fldChar w:fldCharType="end"/>
        </w:r>
      </w:hyperlink>
    </w:p>
    <w:p w14:paraId="3C332714" w14:textId="2AC7EF92" w:rsidR="007E3D60" w:rsidRDefault="007E3D60" w:rsidP="007E3D60">
      <w:pPr>
        <w:pStyle w:val="Obsah2"/>
        <w:rPr>
          <w:rFonts w:asciiTheme="minorHAnsi" w:eastAsiaTheme="minorEastAsia" w:hAnsiTheme="minorHAnsi" w:cstheme="minorBidi"/>
          <w:b/>
          <w:bCs/>
          <w:caps/>
          <w:sz w:val="22"/>
          <w:szCs w:val="22"/>
          <w:lang w:eastAsia="cs-CZ"/>
        </w:rPr>
      </w:pPr>
      <w:hyperlink w:anchor="_Toc136269776" w:history="1">
        <w:r w:rsidRPr="007E3D60">
          <w:rPr>
            <w:rStyle w:val="Hypertextovodkaz"/>
            <w:color w:val="auto"/>
            <w:u w:val="none"/>
          </w:rPr>
          <w:t>22.</w:t>
        </w:r>
        <w:r w:rsidRPr="007E3D60">
          <w:tab/>
        </w:r>
        <w:r w:rsidRPr="007E3D60">
          <w:rPr>
            <w:rStyle w:val="Hypertextovodkaz"/>
            <w:color w:val="auto"/>
            <w:u w:val="none"/>
          </w:rPr>
          <w:t>ochrana důvěrných informací</w:t>
        </w:r>
        <w:r w:rsidRPr="007E3D60">
          <w:rPr>
            <w:webHidden/>
          </w:rPr>
          <w:tab/>
        </w:r>
        <w:r w:rsidRPr="007E3D60">
          <w:rPr>
            <w:webHidden/>
          </w:rPr>
          <w:fldChar w:fldCharType="begin"/>
        </w:r>
        <w:r w:rsidRPr="007E3D60">
          <w:rPr>
            <w:webHidden/>
          </w:rPr>
          <w:instrText xml:space="preserve"> PAGEREF _Toc136269776 \h </w:instrText>
        </w:r>
        <w:r w:rsidRPr="007E3D60">
          <w:rPr>
            <w:webHidden/>
          </w:rPr>
        </w:r>
        <w:r w:rsidRPr="007E3D60">
          <w:rPr>
            <w:webHidden/>
          </w:rPr>
          <w:fldChar w:fldCharType="separate"/>
        </w:r>
        <w:r w:rsidR="00A52669">
          <w:rPr>
            <w:webHidden/>
          </w:rPr>
          <w:t>22</w:t>
        </w:r>
        <w:r w:rsidRPr="007E3D60">
          <w:rPr>
            <w:webHidden/>
          </w:rPr>
          <w:fldChar w:fldCharType="end"/>
        </w:r>
      </w:hyperlink>
    </w:p>
    <w:p w14:paraId="4881131C" w14:textId="74E5631A" w:rsidR="003E784C" w:rsidRPr="007E3D60" w:rsidRDefault="003E784C" w:rsidP="007E3D60">
      <w:pPr>
        <w:pStyle w:val="Obsah2"/>
      </w:pPr>
      <w:r w:rsidRPr="007E3D60">
        <w:fldChar w:fldCharType="end"/>
      </w:r>
      <w:r w:rsidRPr="007E3D60">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03154243"/>
      <w:bookmarkStart w:id="39" w:name="_Toc136269750"/>
      <w:bookmarkEnd w:id="34"/>
      <w:r w:rsidRPr="00ED6198">
        <w:lastRenderedPageBreak/>
        <w:t>Výklad pojmů</w:t>
      </w:r>
      <w:bookmarkEnd w:id="35"/>
      <w:bookmarkEnd w:id="36"/>
      <w:bookmarkEnd w:id="37"/>
      <w:bookmarkEnd w:id="38"/>
      <w:bookmarkEnd w:id="39"/>
    </w:p>
    <w:p w14:paraId="4630365E" w14:textId="2D9C4671" w:rsidR="002D0E1D" w:rsidRPr="008C7C4E" w:rsidRDefault="002D0E1D" w:rsidP="007E3D60">
      <w:pPr>
        <w:pStyle w:val="TPText-1slovan"/>
        <w:jc w:val="both"/>
      </w:pPr>
      <w:r w:rsidRPr="008C7C4E">
        <w:t xml:space="preserve">Není-li výslovně uvedeno jinak nebo nevyplývá-li něco jiného z povahy věci, mají pojmy, které nejsou definovány v těchto Zvláštních obchodních podmínkách, význam uvedený </w:t>
      </w:r>
      <w:r w:rsidRPr="005D6F33">
        <w:t xml:space="preserve">v příloze </w:t>
      </w:r>
      <w:r w:rsidR="00A17568">
        <w:br/>
      </w:r>
      <w:r w:rsidRPr="005D6F33">
        <w:t xml:space="preserve">č. </w:t>
      </w:r>
      <w:r w:rsidRPr="007E3D60">
        <w:t>7</w:t>
      </w:r>
      <w:r w:rsidRPr="005D6F33">
        <w:t xml:space="preserve"> </w:t>
      </w:r>
      <w:r>
        <w:t>S</w:t>
      </w:r>
      <w:r w:rsidRPr="007E3D60">
        <w:t>eznam použitých zkratek a definic</w:t>
      </w:r>
      <w:r w:rsidRPr="008C7C4E">
        <w:t>.</w:t>
      </w:r>
    </w:p>
    <w:p w14:paraId="42A29063" w14:textId="4D445179" w:rsidR="002D0E1D" w:rsidRPr="008C7C4E" w:rsidRDefault="002D0E1D" w:rsidP="007E3D60">
      <w:pPr>
        <w:pStyle w:val="TPText-1slovan"/>
        <w:jc w:val="both"/>
      </w:pPr>
      <w:r w:rsidRPr="008C7C4E">
        <w:t>Ustanovení Smlouvy mají přednost před ustanoveními Zvláštních obchodních podmínek. V případě rozporu mezi jednotlivými dokumenty, budou tyto mít následující prioritu: 1. Smlouva, 2. Přílohy Smlouvy,</w:t>
      </w:r>
      <w:r w:rsidR="00A17568">
        <w:t xml:space="preserve"> </w:t>
      </w:r>
      <w:r w:rsidRPr="008C7C4E">
        <w:t>5. Zadávací dokumentace, 6. ostatní přílohy Zadávací dokumentace.</w:t>
      </w:r>
    </w:p>
    <w:p w14:paraId="7189F071" w14:textId="77777777" w:rsidR="002D0E1D" w:rsidRPr="008C7C4E" w:rsidRDefault="002D0E1D" w:rsidP="007E3D60">
      <w:pPr>
        <w:pStyle w:val="TPText-1slovan"/>
        <w:jc w:val="both"/>
      </w:pPr>
      <w:r w:rsidRPr="008C7C4E">
        <w:t>Každá Strana je povinna bez zbytečného odkladu poté, co se dozvěděla o jakémkoli rozporu, neshodě, rozdílu nebo odchylce mezi jakýmikoli dokumenty, které tvoří Smlouvy a tyto Zvláštní obchodní podmínky, nebo dokumenty, které souvisí se Zadávací dokumentací, Smlouvami anebo těmito Zvláštními obchodními podmínkami, toto písemně oznámit druhé Straně.</w:t>
      </w:r>
    </w:p>
    <w:p w14:paraId="53DA0E05" w14:textId="77777777" w:rsidR="002D0E1D" w:rsidRPr="008C7C4E" w:rsidRDefault="002D0E1D" w:rsidP="007E3D60">
      <w:pPr>
        <w:pStyle w:val="TPText-1slovan"/>
        <w:jc w:val="both"/>
      </w:pPr>
      <w:r w:rsidRPr="008C7C4E">
        <w:t>Pojmy definované v těchto Zvláštních obchodních podmínkách, v Technické specifikaci či ve Smlouv</w:t>
      </w:r>
      <w:r>
        <w:t>ě</w:t>
      </w:r>
      <w:r w:rsidRPr="008C7C4E">
        <w:t xml:space="preserve"> a jej</w:t>
      </w:r>
      <w:r>
        <w:t>í</w:t>
      </w:r>
      <w:r w:rsidRPr="008C7C4E">
        <w:t>ch přílohách v množném čísle mají shodný význam i v jednotném čísle a naopak.</w:t>
      </w:r>
    </w:p>
    <w:p w14:paraId="6F58B01A" w14:textId="77777777" w:rsidR="002D0E1D" w:rsidRPr="008C7C4E" w:rsidRDefault="002D0E1D" w:rsidP="007E3D60">
      <w:pPr>
        <w:pStyle w:val="TPText-1slovan"/>
        <w:jc w:val="both"/>
      </w:pPr>
      <w:r w:rsidRPr="008C7C4E">
        <w:t>Odkazy na „články“ a „přílohy“ se vykládají jako odkazy na příslušné články a přílohy těchto Zvláštních obchodních podmínek, Technické specifikace nebo konkrétní Smlouvy či přílohy Zadávací dokumentace dle umístění daného odkazu.</w:t>
      </w:r>
    </w:p>
    <w:p w14:paraId="7E258829" w14:textId="434F2B83" w:rsidR="00A91FA2" w:rsidRPr="00ED6198" w:rsidRDefault="002D0E1D" w:rsidP="007E3D60">
      <w:pPr>
        <w:pStyle w:val="TPText-1slovan"/>
        <w:jc w:val="both"/>
        <w:rPr>
          <w:b/>
        </w:rPr>
      </w:pPr>
      <w:r w:rsidRPr="008C7C4E">
        <w:t>Újma znamená vždy újmu na jmění (škodu) ve smyslu § 2894 odst. 1 Občanského zákoníku a dále vždy i nemajetkovou újmu ve smyslu § 2894 odst. 2 Občanského zákoníku. Toto ustanovení je výslovným ujednáním o povinnosti Stran odčinit nemajetkovou újmu v případech porušení povinností dle těchto Zvláštních obchodních podmínek a Smlouvy.</w:t>
      </w:r>
      <w:r w:rsidR="00A91FA2" w:rsidRPr="007E3D60">
        <w:t xml:space="preserve"> </w:t>
      </w:r>
    </w:p>
    <w:p w14:paraId="412454EE" w14:textId="14930A8A" w:rsidR="00037CDB" w:rsidRPr="00ED6198" w:rsidRDefault="00890F17">
      <w:pPr>
        <w:pStyle w:val="TPText-1slovan"/>
        <w:jc w:val="both"/>
      </w:pPr>
      <w:bookmarkStart w:id="40" w:name="_Hlk26264618"/>
      <w:r w:rsidRPr="00ED6198">
        <w:t xml:space="preserve"> </w:t>
      </w:r>
      <w:bookmarkEnd w:id="40"/>
      <w:r w:rsidR="00A17568">
        <w:t>N</w:t>
      </w:r>
      <w:r w:rsidR="00037CDB" w:rsidRPr="00ED6198">
        <w:t>ení-li výslovně uvedeno jinak nebo nevyplývá-li něco jiného z</w:t>
      </w:r>
      <w:r w:rsidR="00E03343" w:rsidRPr="00ED6198">
        <w:t> </w:t>
      </w:r>
      <w:r w:rsidR="00037CDB" w:rsidRPr="00ED6198">
        <w:t>povahy věci, mají pojmy</w:t>
      </w:r>
      <w:r w:rsidR="003762DF" w:rsidRPr="00ED6198">
        <w:t xml:space="preserve">, </w:t>
      </w:r>
      <w:r w:rsidR="00037CDB" w:rsidRPr="00ED6198">
        <w:t>které nejsou definovány v</w:t>
      </w:r>
      <w:r w:rsidR="00E03343" w:rsidRPr="00ED6198">
        <w:t> </w:t>
      </w:r>
      <w:r w:rsidR="00037CDB" w:rsidRPr="00ED6198">
        <w:t xml:space="preserve">těchto </w:t>
      </w:r>
      <w:r w:rsidR="0064197E" w:rsidRPr="00ED6198">
        <w:t>ZOP</w:t>
      </w:r>
      <w:r w:rsidR="00037CDB" w:rsidRPr="00ED6198">
        <w:t>, význam uvedený v</w:t>
      </w:r>
      <w:r w:rsidR="00C97BD0">
        <w:t>e</w:t>
      </w:r>
      <w:r w:rsidR="00726F80" w:rsidRPr="00ED6198">
        <w:t xml:space="preserve"> Smlouvě</w:t>
      </w:r>
      <w:r w:rsidR="001F22D0" w:rsidRPr="00ED6198">
        <w:t xml:space="preserve"> a jejích přílohách</w:t>
      </w:r>
      <w:r w:rsidR="00037CDB" w:rsidRPr="00ED6198">
        <w:t xml:space="preserve">. </w:t>
      </w:r>
    </w:p>
    <w:p w14:paraId="3A9A1739" w14:textId="74AD0B6B" w:rsidR="00C17E1C" w:rsidRPr="00ED6198" w:rsidRDefault="00C3314F" w:rsidP="007C38AC">
      <w:pPr>
        <w:pStyle w:val="TPText-1slovan"/>
        <w:jc w:val="both"/>
      </w:pPr>
      <w:r w:rsidRPr="00ED6198">
        <w:t xml:space="preserve">Ustanovení Smlouvy mají přednost před ustanoveními </w:t>
      </w:r>
      <w:r w:rsidR="0064197E" w:rsidRPr="00ED6198">
        <w:t>ZOP.</w:t>
      </w:r>
    </w:p>
    <w:p w14:paraId="29DB0EAC" w14:textId="2DF149D2" w:rsidR="003E784C" w:rsidRPr="00ED6198" w:rsidRDefault="003115E8" w:rsidP="007C38AC">
      <w:pPr>
        <w:pStyle w:val="TPNADPIS-1slovan"/>
        <w:jc w:val="both"/>
      </w:pPr>
      <w:bookmarkStart w:id="41" w:name="_Toc103154244"/>
      <w:bookmarkStart w:id="42" w:name="_Toc136269751"/>
      <w:r w:rsidRPr="00ED6198">
        <w:t>Doba a místo plnění</w:t>
      </w:r>
      <w:bookmarkEnd w:id="41"/>
      <w:bookmarkEnd w:id="42"/>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32BE96C0"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6C0592">
        <w:rPr>
          <w:i/>
          <w:iCs/>
        </w:rPr>
        <w:t>Technická s</w:t>
      </w:r>
      <w:r w:rsidR="00EA4502" w:rsidRPr="00ED6198">
        <w:rPr>
          <w:i/>
          <w:iCs/>
        </w:rPr>
        <w:t>pecifikace.</w:t>
      </w:r>
    </w:p>
    <w:p w14:paraId="4016E082" w14:textId="19332A16"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006E4D31">
        <w:rPr>
          <w:i/>
          <w:iCs/>
        </w:rPr>
        <w:t>Technická s</w:t>
      </w:r>
      <w:r w:rsidRPr="00ED6198">
        <w:rPr>
          <w:i/>
          <w:iCs/>
        </w:rPr>
        <w:t>pecifikace</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191BEB56"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A078BD" w:rsidRPr="00335BA4">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6B56DA">
      <w:pPr>
        <w:pStyle w:val="TPText-1slovan"/>
        <w:numPr>
          <w:ilvl w:val="0"/>
          <w:numId w:val="23"/>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6B56DA">
      <w:pPr>
        <w:pStyle w:val="TPText-1slovan"/>
        <w:numPr>
          <w:ilvl w:val="0"/>
          <w:numId w:val="23"/>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6B56DA">
      <w:pPr>
        <w:pStyle w:val="TPText-1slovan"/>
        <w:numPr>
          <w:ilvl w:val="0"/>
          <w:numId w:val="23"/>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3" w:name="_Toc103154245"/>
      <w:bookmarkStart w:id="44" w:name="_Toc136269752"/>
      <w:r w:rsidRPr="00ED6198">
        <w:t>P</w:t>
      </w:r>
      <w:r w:rsidR="000301CA" w:rsidRPr="00ED6198">
        <w:t>ráva a povinnosti obou stran</w:t>
      </w:r>
      <w:bookmarkEnd w:id="43"/>
      <w:bookmarkEnd w:id="44"/>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w:t>
      </w:r>
      <w:r w:rsidR="00530C0A" w:rsidRPr="00ED6198">
        <w:lastRenderedPageBreak/>
        <w:t>závazného právního předpisu, platí příslušné ustanovení právního předpisu s tím, že zbývající ustanovení Smlouvy zůstávají v platnosti.</w:t>
      </w:r>
      <w:r w:rsidR="000F4091" w:rsidRPr="00ED6198">
        <w:t xml:space="preserve"> </w:t>
      </w:r>
    </w:p>
    <w:p w14:paraId="00CD6CC3" w14:textId="054F5B24"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DC5D2C">
        <w:rPr>
          <w:i/>
          <w:iCs/>
        </w:rPr>
        <w:t>Technická specifikace</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00DC5D2C">
        <w:rPr>
          <w:i/>
          <w:iCs/>
        </w:rPr>
        <w:t>Technická specifikace</w:t>
      </w:r>
      <w:r w:rsidRPr="00ED6198">
        <w:t xml:space="preserve">,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5" w:name="_Toc103154246"/>
      <w:bookmarkStart w:id="46" w:name="_Toc136269753"/>
      <w:r w:rsidRPr="00ED6198">
        <w:t xml:space="preserve">Povinnosti </w:t>
      </w:r>
      <w:r w:rsidR="00197141" w:rsidRPr="00ED6198">
        <w:t>Dodavatele</w:t>
      </w:r>
      <w:bookmarkEnd w:id="45"/>
      <w:bookmarkEnd w:id="46"/>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6B56DA">
      <w:pPr>
        <w:pStyle w:val="TPText-1slovan"/>
        <w:numPr>
          <w:ilvl w:val="0"/>
          <w:numId w:val="51"/>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715C6525" w:rsidR="001A4073" w:rsidRPr="00ED6198" w:rsidRDefault="000301CA" w:rsidP="006B56DA">
      <w:pPr>
        <w:pStyle w:val="TPText-1slovan"/>
        <w:numPr>
          <w:ilvl w:val="0"/>
          <w:numId w:val="51"/>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A078BD" w:rsidRPr="00ED6198">
        <w:t>12.2</w:t>
      </w:r>
      <w:r w:rsidR="00EE4767" w:rsidRPr="00ED6198">
        <w:fldChar w:fldCharType="end"/>
      </w:r>
      <w:r w:rsidR="00EA4502" w:rsidRPr="00ED6198">
        <w:t>.</w:t>
      </w:r>
      <w:r w:rsidR="00352DD7" w:rsidRPr="00ED6198">
        <w:t xml:space="preserve"> ZOP</w:t>
      </w:r>
      <w:r w:rsidR="007C33D7" w:rsidRPr="00ED6198">
        <w:t>;</w:t>
      </w:r>
    </w:p>
    <w:p w14:paraId="3D83C0D3" w14:textId="5068277A" w:rsidR="000301CA" w:rsidRPr="00ED6198" w:rsidRDefault="000301CA" w:rsidP="006B56DA">
      <w:pPr>
        <w:pStyle w:val="TPText-1slovan"/>
        <w:numPr>
          <w:ilvl w:val="0"/>
          <w:numId w:val="51"/>
        </w:numPr>
        <w:ind w:left="1701" w:hanging="425"/>
        <w:jc w:val="both"/>
      </w:pPr>
      <w:r w:rsidRPr="00ED6198">
        <w:t xml:space="preserve">upozorňovat Objednatele včas na všechny hrozící vady svého </w:t>
      </w:r>
      <w:r w:rsidR="00AB0CBB" w:rsidRPr="00ED6198">
        <w:t>P</w:t>
      </w:r>
      <w:r w:rsidRPr="00ED6198">
        <w:t xml:space="preserve">lnění či potenciální </w:t>
      </w:r>
      <w:r w:rsidR="002E32E5">
        <w:t>v</w:t>
      </w:r>
      <w:r w:rsidR="002E32E5" w:rsidRPr="00ED6198">
        <w:t xml:space="preserve">ýpadky </w:t>
      </w:r>
      <w:r w:rsidRPr="00ED6198">
        <w:t xml:space="preserve">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6B56DA">
      <w:pPr>
        <w:pStyle w:val="TPText-1slovan"/>
        <w:numPr>
          <w:ilvl w:val="0"/>
          <w:numId w:val="51"/>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05DAA12D" w:rsidR="004036E2" w:rsidRDefault="000301CA" w:rsidP="006B56DA">
      <w:pPr>
        <w:pStyle w:val="TPText-1slovan"/>
        <w:numPr>
          <w:ilvl w:val="0"/>
          <w:numId w:val="51"/>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w:t>
      </w:r>
      <w:r w:rsidR="008A67DC">
        <w:t>Standardního Software</w:t>
      </w:r>
      <w:r w:rsidRPr="00ED6198">
        <w:t xml:space="preserve"> nebo IT prostředí Objednatele virem či jiným škodlivým kódem (malware apod.) způsobujícím narušení zabezpečení </w:t>
      </w:r>
      <w:r w:rsidR="00283BA7" w:rsidRPr="00ED6198">
        <w:t xml:space="preserve">Software </w:t>
      </w:r>
      <w:r w:rsidRPr="00ED6198">
        <w:t xml:space="preserve">a </w:t>
      </w:r>
      <w:r w:rsidR="008A67DC">
        <w:t>Standardního Software</w:t>
      </w:r>
      <w:r w:rsidRPr="00ED6198">
        <w:t xml:space="preserve"> za účelem jeho poškození či jiného narušení běhu</w:t>
      </w:r>
      <w:r w:rsidR="00633ABC" w:rsidRPr="00ED6198">
        <w:t>;</w:t>
      </w:r>
    </w:p>
    <w:p w14:paraId="64874C0D" w14:textId="70CE5F01" w:rsidR="00390672" w:rsidRPr="00ED6198" w:rsidRDefault="00390672" w:rsidP="006B56DA">
      <w:pPr>
        <w:pStyle w:val="TPText-1slovan"/>
        <w:numPr>
          <w:ilvl w:val="0"/>
          <w:numId w:val="51"/>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6B56DA">
      <w:pPr>
        <w:pStyle w:val="TPText-1slovan"/>
        <w:numPr>
          <w:ilvl w:val="0"/>
          <w:numId w:val="51"/>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6D54A7DE" w:rsidR="004036E2" w:rsidRDefault="00C21A4E" w:rsidP="006B56DA">
      <w:pPr>
        <w:pStyle w:val="TPText-1slovan"/>
        <w:numPr>
          <w:ilvl w:val="0"/>
          <w:numId w:val="51"/>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F27210">
        <w:t xml:space="preserve"> </w:t>
      </w:r>
      <w:r w:rsidR="00F27210" w:rsidRPr="00F27210">
        <w:t>Dodavatel musí především postupovat tak, aby nebylo možné odstraněná data zneužít. Za odpovídající způsob likvidace dat je považováno odstranění, přepsání či fyzická likvidace nosiče informace v souladu se standardem US DoD 5220.22-M</w:t>
      </w:r>
      <w:r w:rsidR="00F27210">
        <w:t>;</w:t>
      </w:r>
    </w:p>
    <w:p w14:paraId="46862A95" w14:textId="62D23599" w:rsidR="00F27210" w:rsidRPr="00335BA4" w:rsidRDefault="00F27210" w:rsidP="006B56DA">
      <w:pPr>
        <w:pStyle w:val="TPText-1slovan"/>
        <w:numPr>
          <w:ilvl w:val="0"/>
          <w:numId w:val="51"/>
        </w:numPr>
        <w:ind w:left="1701" w:hanging="425"/>
        <w:jc w:val="both"/>
      </w:pPr>
      <w:r w:rsidRPr="00F27210">
        <w:lastRenderedPageBreak/>
        <w:t>poskytnout při ukončení smluvního vztahu přiměřenou součinnost při Převzetí poskytování Plnění novým Dodavatelem nebo Objednatelem, a to s odbornou péčí, zodpovědně a do doby úplného Převzetí poskytování Plnění</w:t>
      </w:r>
      <w:r>
        <w:t>.</w:t>
      </w:r>
    </w:p>
    <w:p w14:paraId="30BA7725" w14:textId="77777777" w:rsidR="000301CA" w:rsidRPr="00ED6198" w:rsidRDefault="000301CA" w:rsidP="007C38AC">
      <w:pPr>
        <w:pStyle w:val="TPNADPIS-1slovan"/>
        <w:jc w:val="both"/>
      </w:pPr>
      <w:bookmarkStart w:id="47" w:name="_Toc28452702"/>
      <w:bookmarkStart w:id="48" w:name="_Toc103154247"/>
      <w:bookmarkStart w:id="49" w:name="_Toc136269754"/>
      <w:bookmarkEnd w:id="47"/>
      <w:r w:rsidRPr="00ED6198">
        <w:t>Povinnosti objednatele</w:t>
      </w:r>
      <w:bookmarkEnd w:id="48"/>
      <w:bookmarkEnd w:id="49"/>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0" w:name="_Ref115695706"/>
      <w:bookmarkStart w:id="51" w:name="_Toc103154248"/>
      <w:bookmarkStart w:id="52" w:name="_Toc136269755"/>
      <w:r w:rsidRPr="00ED6198">
        <w:t>L</w:t>
      </w:r>
      <w:r w:rsidR="00A11B07" w:rsidRPr="00ED6198">
        <w:t>icenční ujednání</w:t>
      </w:r>
      <w:bookmarkEnd w:id="50"/>
      <w:bookmarkEnd w:id="51"/>
      <w:bookmarkEnd w:id="52"/>
    </w:p>
    <w:p w14:paraId="2B78EBC0" w14:textId="36FD9633" w:rsidR="007036B7" w:rsidRPr="00335BA4" w:rsidRDefault="00EC4104" w:rsidP="007E3D60">
      <w:pPr>
        <w:pStyle w:val="TPText-1slovan"/>
        <w:jc w:val="both"/>
      </w:pPr>
      <w:bookmarkStart w:id="53" w:name="_Ref118295046"/>
      <w:bookmarkStart w:id="54" w:name="_Ref118361583"/>
      <w:bookmarkStart w:id="55" w:name="_Ref118361692"/>
      <w:bookmarkStart w:id="56" w:name="_Ref118361742"/>
      <w:bookmarkStart w:id="57" w:name="_Toc103154249"/>
      <w:r w:rsidRPr="00335BA4">
        <w:t>Software</w:t>
      </w:r>
      <w:bookmarkEnd w:id="53"/>
      <w:bookmarkEnd w:id="54"/>
      <w:bookmarkEnd w:id="55"/>
      <w:bookmarkEnd w:id="56"/>
      <w:bookmarkEnd w:id="57"/>
    </w:p>
    <w:p w14:paraId="5712844C" w14:textId="37C7DFCF" w:rsidR="00283BA7" w:rsidRPr="00335BA4" w:rsidRDefault="0075610B" w:rsidP="00755027">
      <w:pPr>
        <w:pStyle w:val="TPText-2slovan"/>
        <w:tabs>
          <w:tab w:val="clear" w:pos="2382"/>
          <w:tab w:val="num" w:pos="1985"/>
        </w:tabs>
        <w:ind w:left="1985"/>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00113447">
        <w:t>uděluje</w:t>
      </w:r>
      <w:r w:rsidRPr="00335BA4">
        <w:t xml:space="preserve"> Objednatel</w:t>
      </w:r>
      <w:r w:rsidR="00113447">
        <w:t>i</w:t>
      </w:r>
      <w:r w:rsidRPr="00335BA4">
        <w:t xml:space="preserve"> </w:t>
      </w:r>
      <w:r w:rsidR="001B77C2">
        <w:t>nevýhradní</w:t>
      </w:r>
      <w:r w:rsidR="003731DE">
        <w:t xml:space="preserve"> </w:t>
      </w:r>
      <w:r w:rsidRPr="00335BA4">
        <w:t xml:space="preserve">oprávnění k výkonu </w:t>
      </w:r>
      <w:r w:rsidR="009D37C7" w:rsidRPr="008C7C4E">
        <w:t xml:space="preserve">práva užít příslušný Software v souladu s dalšími podmínkami tohoto článku </w:t>
      </w:r>
      <w:r w:rsidR="009D37C7" w:rsidRPr="008C7C4E">
        <w:fldChar w:fldCharType="begin"/>
      </w:r>
      <w:r w:rsidR="009D37C7" w:rsidRPr="008C7C4E">
        <w:instrText xml:space="preserve"> REF _Ref43822887 \w \h </w:instrText>
      </w:r>
      <w:r w:rsidR="009D37C7" w:rsidRPr="008C7C4E">
        <w:fldChar w:fldCharType="separate"/>
      </w:r>
      <w:r w:rsidR="009D37C7" w:rsidRPr="008C7C4E">
        <w:t>6.1</w:t>
      </w:r>
      <w:r w:rsidR="009D37C7" w:rsidRPr="008C7C4E">
        <w:fldChar w:fldCharType="end"/>
      </w:r>
      <w:r w:rsidRPr="00335BA4">
        <w:t>.</w:t>
      </w:r>
      <w:r w:rsidR="00A46199" w:rsidRPr="00335BA4">
        <w:t xml:space="preserve"> </w:t>
      </w:r>
    </w:p>
    <w:p w14:paraId="106B00CA" w14:textId="26D286A1" w:rsidR="00283BA7" w:rsidRPr="00335BA4" w:rsidRDefault="007F3E06" w:rsidP="00D40168">
      <w:pPr>
        <w:pStyle w:val="TPText-2slovan"/>
        <w:tabs>
          <w:tab w:val="clear" w:pos="2382"/>
          <w:tab w:val="num" w:pos="1985"/>
        </w:tabs>
        <w:ind w:left="1985"/>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D40168">
      <w:pPr>
        <w:pStyle w:val="TPText-2slovan"/>
        <w:tabs>
          <w:tab w:val="clear" w:pos="2382"/>
          <w:tab w:val="num" w:pos="1985"/>
        </w:tabs>
        <w:ind w:left="1985"/>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04B355B7" w:rsidR="00DF138D" w:rsidRPr="00335BA4" w:rsidRDefault="007A2C04" w:rsidP="00D40168">
      <w:pPr>
        <w:pStyle w:val="TPText-2slovan"/>
        <w:tabs>
          <w:tab w:val="clear" w:pos="2382"/>
          <w:tab w:val="num" w:pos="1985"/>
        </w:tabs>
        <w:ind w:left="1985"/>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6EEC0A8B" w:rsidR="007311BD" w:rsidRPr="00335BA4" w:rsidRDefault="007A2C04" w:rsidP="00D40168">
      <w:pPr>
        <w:pStyle w:val="TPText-2slovan"/>
        <w:tabs>
          <w:tab w:val="clear" w:pos="2382"/>
          <w:tab w:val="num" w:pos="1985"/>
        </w:tabs>
        <w:ind w:left="1985"/>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D40168">
      <w:pPr>
        <w:pStyle w:val="TPText-2slovan"/>
        <w:tabs>
          <w:tab w:val="clear" w:pos="2382"/>
          <w:tab w:val="num" w:pos="1985"/>
        </w:tabs>
        <w:ind w:left="1985"/>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2CF9819F" w14:textId="77777777" w:rsidR="00493626" w:rsidRPr="00493626" w:rsidRDefault="00493626" w:rsidP="00493626">
      <w:pPr>
        <w:pStyle w:val="TPText-2slovan"/>
        <w:tabs>
          <w:tab w:val="clear" w:pos="2382"/>
          <w:tab w:val="num" w:pos="1985"/>
        </w:tabs>
        <w:ind w:left="1985"/>
      </w:pPr>
      <w:bookmarkStart w:id="58" w:name="_Ref118293553"/>
      <w:r w:rsidRPr="00493626">
        <w:t>K ostatním majetkovým hodnotám, které spadají pod pojem Software a zároveň nespadají pod definici Autorského díla, uděluje Dodavatel Objednateli oprávnění v rozsahu dle článku 6.1.8. ZOP. Ustanovení článku 6.2. ZOP tímto nejsou dotčena.</w:t>
      </w:r>
    </w:p>
    <w:p w14:paraId="20052BE7" w14:textId="7592CA65" w:rsidR="007311BD" w:rsidRPr="00335BA4" w:rsidRDefault="00E47F1D" w:rsidP="00D40168">
      <w:pPr>
        <w:pStyle w:val="TPText-2slovan"/>
        <w:tabs>
          <w:tab w:val="clear" w:pos="2382"/>
          <w:tab w:val="num" w:pos="1985"/>
        </w:tabs>
        <w:ind w:left="1985"/>
      </w:pPr>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8"/>
    </w:p>
    <w:p w14:paraId="24B41313" w14:textId="36A09AE3" w:rsidR="007A29AC" w:rsidRPr="00335BA4" w:rsidRDefault="007A29AC" w:rsidP="00D40168">
      <w:pPr>
        <w:pStyle w:val="TPText-2slovan"/>
        <w:tabs>
          <w:tab w:val="clear" w:pos="2382"/>
          <w:tab w:val="num" w:pos="1985"/>
        </w:tabs>
        <w:ind w:left="1985"/>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w:t>
      </w:r>
      <w:r w:rsidR="00E26EEC" w:rsidRPr="00335BA4">
        <w:lastRenderedPageBreak/>
        <w:t xml:space="preserve">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4DA58228" w:rsidR="003A4554" w:rsidRPr="00335BA4" w:rsidRDefault="003A4554" w:rsidP="00D40168">
      <w:pPr>
        <w:pStyle w:val="TPText-2slovan"/>
        <w:tabs>
          <w:tab w:val="clear" w:pos="2382"/>
          <w:tab w:val="num" w:pos="1985"/>
        </w:tabs>
        <w:ind w:left="1985"/>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A078BD" w:rsidRPr="00335BA4">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2F2988E" w:rsidR="007036B7" w:rsidRPr="00ED6198" w:rsidRDefault="008A67DC" w:rsidP="007E3D60">
      <w:pPr>
        <w:pStyle w:val="TPText-1slovan"/>
        <w:jc w:val="both"/>
      </w:pPr>
      <w:r>
        <w:t>Standardní Software</w:t>
      </w:r>
    </w:p>
    <w:p w14:paraId="5286152F" w14:textId="77777777" w:rsidR="00C93A41" w:rsidRPr="00C93A41" w:rsidRDefault="00C93A41" w:rsidP="006B56DA">
      <w:pPr>
        <w:pStyle w:val="Odstavecseseznamem"/>
        <w:keepNext/>
        <w:numPr>
          <w:ilvl w:val="1"/>
          <w:numId w:val="50"/>
        </w:numPr>
        <w:spacing w:before="120" w:after="0" w:line="240" w:lineRule="auto"/>
        <w:contextualSpacing w:val="0"/>
        <w:jc w:val="both"/>
        <w:outlineLvl w:val="1"/>
        <w:rPr>
          <w:rFonts w:ascii="Verdana" w:hAnsi="Verdana" w:cs="Arial"/>
          <w:vanish/>
          <w:sz w:val="18"/>
        </w:rPr>
      </w:pPr>
    </w:p>
    <w:p w14:paraId="7650E7BE" w14:textId="77777777" w:rsidR="00C93A41" w:rsidRPr="00C93A41" w:rsidRDefault="00C93A41" w:rsidP="006B56DA">
      <w:pPr>
        <w:pStyle w:val="Odstavecseseznamem"/>
        <w:numPr>
          <w:ilvl w:val="2"/>
          <w:numId w:val="50"/>
        </w:numPr>
        <w:spacing w:before="80" w:after="0" w:line="240" w:lineRule="auto"/>
        <w:contextualSpacing w:val="0"/>
        <w:rPr>
          <w:rFonts w:ascii="Verdana" w:hAnsi="Verdana" w:cs="Arial"/>
          <w:vanish/>
          <w:sz w:val="18"/>
        </w:rPr>
      </w:pPr>
    </w:p>
    <w:p w14:paraId="16ABFF2B" w14:textId="77777777" w:rsidR="00C93A41" w:rsidRPr="00C93A41" w:rsidRDefault="00C93A41" w:rsidP="006B56DA">
      <w:pPr>
        <w:pStyle w:val="Odstavecseseznamem"/>
        <w:numPr>
          <w:ilvl w:val="2"/>
          <w:numId w:val="50"/>
        </w:numPr>
        <w:spacing w:before="80" w:after="0" w:line="240" w:lineRule="auto"/>
        <w:contextualSpacing w:val="0"/>
        <w:rPr>
          <w:rFonts w:ascii="Verdana" w:hAnsi="Verdana" w:cs="Arial"/>
          <w:vanish/>
          <w:sz w:val="18"/>
        </w:rPr>
      </w:pPr>
    </w:p>
    <w:p w14:paraId="2125D25B" w14:textId="77777777" w:rsidR="00493626" w:rsidRPr="00493626" w:rsidRDefault="00493626" w:rsidP="00493626">
      <w:pPr>
        <w:pStyle w:val="TPText-2slovan"/>
        <w:tabs>
          <w:tab w:val="clear" w:pos="2382"/>
          <w:tab w:val="num" w:pos="1985"/>
        </w:tabs>
        <w:ind w:left="1985"/>
      </w:pPr>
      <w:bookmarkStart w:id="59" w:name="_Ref516734271"/>
      <w:bookmarkStart w:id="60" w:name="_Ref516153256"/>
      <w:r w:rsidRPr="00493626">
        <w:t>V případech, kdy je součástí Předmětu Smlouvy dodání Standardního Software, Dodavatel poskytuje nevýhradní licenci, čímž se rozumí nevýhradní nevýlučné oprávnění Autorské dílo užít v souladu s dalšími podmínkami článku 6.2. ZOP, přičemž nevýhradní licence je poskytována Objednateli dále za následujících podmínek, není-li ve Smlouvě či v Příloze Smlouvy Technická specifikace stanoveno výslovně jinak:</w:t>
      </w:r>
    </w:p>
    <w:p w14:paraId="395E3AB2" w14:textId="3A530D0F" w:rsidR="00651733" w:rsidRPr="00ED6198" w:rsidRDefault="00805DFC" w:rsidP="006B56DA">
      <w:pPr>
        <w:pStyle w:val="TPText-1slovan"/>
        <w:numPr>
          <w:ilvl w:val="0"/>
          <w:numId w:val="31"/>
        </w:numPr>
        <w:ind w:left="2552" w:hanging="425"/>
        <w:jc w:val="both"/>
      </w:pPr>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4376701D" w:rsidR="00651733" w:rsidRPr="00ED6198" w:rsidRDefault="00651733" w:rsidP="006B56DA">
      <w:pPr>
        <w:pStyle w:val="TPText-1slovan"/>
        <w:numPr>
          <w:ilvl w:val="0"/>
          <w:numId w:val="31"/>
        </w:numPr>
        <w:ind w:left="2552" w:hanging="425"/>
        <w:jc w:val="both"/>
      </w:pPr>
      <w:r w:rsidRPr="00ED6198">
        <w:t>Dodavatel</w:t>
      </w:r>
      <w:r w:rsidR="000F0903" w:rsidRPr="00ED6198">
        <w:t xml:space="preserve"> je povinen zajistit poskytnutí podpory (subscription/license maintenance) </w:t>
      </w:r>
      <w:r w:rsidR="008A67DC">
        <w:t>Standardního Software</w:t>
      </w:r>
      <w:r w:rsidRPr="00ED6198">
        <w:t xml:space="preserve">, </w:t>
      </w:r>
      <w:r w:rsidR="000F0903" w:rsidRPr="00ED6198">
        <w:t xml:space="preserve">tj. zajistit poskytování nejnovějších verzí </w:t>
      </w:r>
      <w:r w:rsidR="008A67DC">
        <w:t>Standardního Software</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w:t>
      </w:r>
      <w:r w:rsidR="008A67DC">
        <w:t>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31B7D470" w:rsidR="000F0903" w:rsidRPr="00ED6198" w:rsidRDefault="00651733" w:rsidP="006B56DA">
      <w:pPr>
        <w:pStyle w:val="TPText-1slovan"/>
        <w:numPr>
          <w:ilvl w:val="0"/>
          <w:numId w:val="31"/>
        </w:numPr>
        <w:ind w:left="2552" w:hanging="425"/>
        <w:jc w:val="both"/>
      </w:pPr>
      <w:r w:rsidRPr="00ED6198">
        <w:t>Dodavate</w:t>
      </w:r>
      <w:r w:rsidR="000F0903" w:rsidRPr="00ED6198">
        <w:t xml:space="preserve">l je povinen poskytnout Objednateli o zajištění oprávnění ke Standardnímu </w:t>
      </w:r>
      <w:r w:rsidR="002119DC">
        <w:t>S</w:t>
      </w:r>
      <w:r w:rsidR="002119DC" w:rsidRPr="00ED6198">
        <w:t xml:space="preserve">oftware </w:t>
      </w:r>
      <w:r w:rsidR="000F0903" w:rsidRPr="00ED6198">
        <w:t>písemné prohlášení a na výzvu Objednatele tuto skutečnost prokázat.</w:t>
      </w:r>
      <w:bookmarkEnd w:id="59"/>
      <w:bookmarkEnd w:id="60"/>
    </w:p>
    <w:p w14:paraId="12F3C46D" w14:textId="0010D52D" w:rsidR="000F0903" w:rsidRPr="00ED6198" w:rsidRDefault="000F0903" w:rsidP="006B56DA">
      <w:pPr>
        <w:pStyle w:val="TPText-1slovan"/>
        <w:numPr>
          <w:ilvl w:val="0"/>
          <w:numId w:val="31"/>
        </w:numPr>
        <w:ind w:left="2552" w:hanging="425"/>
        <w:jc w:val="both"/>
      </w:pPr>
      <w:r w:rsidRPr="00ED6198">
        <w:t xml:space="preserve">Oprávnění musí vždy umožňovat Objednateli používání </w:t>
      </w:r>
      <w:r w:rsidR="008A67DC">
        <w:t>Standardního Software</w:t>
      </w:r>
      <w:r w:rsidRPr="00ED6198">
        <w:t xml:space="preserve"> pro interní potřeby Objednatele a jemu podřízených složek, organizací, částí nebo s ním propojených právnických osob. </w:t>
      </w:r>
    </w:p>
    <w:p w14:paraId="37574233" w14:textId="235350A0" w:rsidR="00006EA2" w:rsidRPr="00ED6198" w:rsidRDefault="00006EA2" w:rsidP="00746D1D">
      <w:pPr>
        <w:pStyle w:val="TPText-2slovan"/>
        <w:tabs>
          <w:tab w:val="clear" w:pos="2382"/>
          <w:tab w:val="num" w:pos="1985"/>
        </w:tabs>
        <w:ind w:left="1985"/>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6B56DA">
      <w:pPr>
        <w:pStyle w:val="TPText-1slovan"/>
        <w:numPr>
          <w:ilvl w:val="0"/>
          <w:numId w:val="36"/>
        </w:numPr>
        <w:ind w:left="2552" w:hanging="425"/>
        <w:jc w:val="both"/>
      </w:pPr>
      <w:r w:rsidRPr="00ED6198">
        <w:t>Aktualizaci, Modernizaci a Zásadní modernizaci;</w:t>
      </w:r>
    </w:p>
    <w:p w14:paraId="17303A56" w14:textId="20CED719" w:rsidR="00006EA2" w:rsidRPr="00ED6198" w:rsidRDefault="00006EA2" w:rsidP="006B56DA">
      <w:pPr>
        <w:pStyle w:val="TPText-1slovan"/>
        <w:numPr>
          <w:ilvl w:val="0"/>
          <w:numId w:val="36"/>
        </w:numPr>
        <w:ind w:left="2552" w:hanging="425"/>
        <w:jc w:val="both"/>
      </w:pPr>
      <w:r w:rsidRPr="00ED6198">
        <w:t xml:space="preserve">Dokumentaci specifikovanou v Příloze Smlouvy </w:t>
      </w:r>
      <w:r w:rsidR="00DB5D7D">
        <w:rPr>
          <w:i/>
          <w:iCs/>
        </w:rPr>
        <w:t>Technická specifikace</w:t>
      </w:r>
      <w:r w:rsidRPr="00ED6198">
        <w:t>;</w:t>
      </w:r>
    </w:p>
    <w:p w14:paraId="303AA918" w14:textId="77777777" w:rsidR="00006EA2" w:rsidRPr="00ED6198" w:rsidRDefault="00006EA2" w:rsidP="006B56DA">
      <w:pPr>
        <w:pStyle w:val="TPText-1slovan"/>
        <w:numPr>
          <w:ilvl w:val="0"/>
          <w:numId w:val="36"/>
        </w:numPr>
        <w:ind w:left="2552" w:hanging="425"/>
        <w:jc w:val="both"/>
      </w:pPr>
      <w:r w:rsidRPr="00ED6198">
        <w:t>Dokumentaci nad rámec Dokumentace dle předchozího bodu;</w:t>
      </w:r>
    </w:p>
    <w:p w14:paraId="5575CBDE" w14:textId="00C4D1F5" w:rsidR="00006EA2" w:rsidRPr="00ED6198" w:rsidRDefault="00006EA2" w:rsidP="006B56DA">
      <w:pPr>
        <w:pStyle w:val="TPText-1slovan"/>
        <w:numPr>
          <w:ilvl w:val="0"/>
          <w:numId w:val="36"/>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6B56DA">
      <w:pPr>
        <w:pStyle w:val="TPText-1slovan"/>
        <w:numPr>
          <w:ilvl w:val="0"/>
          <w:numId w:val="36"/>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75180110" w:rsidR="00006EA2" w:rsidRPr="00ED6198" w:rsidRDefault="00651733" w:rsidP="00746D1D">
      <w:pPr>
        <w:pStyle w:val="TPText-2slovan"/>
        <w:tabs>
          <w:tab w:val="clear" w:pos="2382"/>
          <w:tab w:val="num" w:pos="1985"/>
        </w:tabs>
        <w:ind w:left="1985"/>
      </w:pPr>
      <w:r w:rsidRPr="00ED6198">
        <w:t xml:space="preserve">Je-li </w:t>
      </w:r>
      <w:r w:rsidR="008A67DC">
        <w:t>Standardní Software</w:t>
      </w:r>
      <w:r w:rsidRPr="00ED6198">
        <w:t xml:space="preserv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w:t>
      </w:r>
      <w:r w:rsidR="008A67DC">
        <w:t>Standardního Software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w:t>
      </w:r>
      <w:r w:rsidR="008A67DC">
        <w:t>Standardního Software</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4ED7E769" w:rsidR="00650E11" w:rsidRPr="00ED6198" w:rsidRDefault="00AA590A" w:rsidP="00746D1D">
      <w:pPr>
        <w:pStyle w:val="TPText-2slovan"/>
        <w:tabs>
          <w:tab w:val="clear" w:pos="2382"/>
          <w:tab w:val="num" w:pos="1985"/>
        </w:tabs>
        <w:ind w:left="1985"/>
      </w:pPr>
      <w:r w:rsidRPr="00ED6198">
        <w:t xml:space="preserve">Pokud se jedná o </w:t>
      </w:r>
      <w:r w:rsidR="008A67DC">
        <w:t>Standardní Software</w:t>
      </w:r>
      <w:r w:rsidRPr="00ED6198">
        <w:t xml:space="preserv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 xml:space="preserve">zavazuje udělit či zajistit udělení nevýhradního oprávnění k výkonu práva užít (licenci, resp. podlicenci) veškerá Autorská díla a k výkonu práva vytěžovat a zužitkovat Databáze, a to všemi </w:t>
      </w:r>
      <w:r w:rsidRPr="00ED6198">
        <w:lastRenderedPageBreak/>
        <w:t>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w:t>
      </w:r>
      <w:r w:rsidR="008A67DC">
        <w:t>Standardního Software</w:t>
      </w:r>
      <w:r w:rsidRPr="00ED6198">
        <w:t xml:space="preserve"> dle tohoto článku, tj. zajistit poskytování nejnovějších verzí </w:t>
      </w:r>
      <w:r w:rsidR="008A67DC">
        <w:t>Standardního Software</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w:t>
      </w:r>
      <w:r w:rsidR="008A67DC">
        <w:t>Standardního Software</w:t>
      </w:r>
      <w:r w:rsidRPr="00ED6198">
        <w:t xml:space="preserve"> pro interní potřeby Objednatele a jemu podřízených složek, organizací, částí nebo s ním propojených právnických osob. </w:t>
      </w:r>
    </w:p>
    <w:p w14:paraId="19C0F3DB" w14:textId="5C17CECF" w:rsidR="00FA6454" w:rsidRPr="00ED6198" w:rsidRDefault="00650E11" w:rsidP="00746D1D">
      <w:pPr>
        <w:pStyle w:val="TPText-2slovan"/>
        <w:tabs>
          <w:tab w:val="clear" w:pos="2382"/>
          <w:tab w:val="num" w:pos="1985"/>
        </w:tabs>
        <w:ind w:left="1985"/>
      </w:pPr>
      <w:r w:rsidRPr="00ED6198">
        <w:t>V ostatních parametrech se udělení licence řídí licenčními podmínkami výrobce</w:t>
      </w:r>
      <w:r w:rsidR="005F5289" w:rsidRPr="00ED6198">
        <w:t xml:space="preserve"> </w:t>
      </w:r>
      <w:r w:rsidR="008A67DC">
        <w:t>Standardního Software</w:t>
      </w:r>
      <w:r w:rsidRPr="00ED6198">
        <w:t>.</w:t>
      </w:r>
    </w:p>
    <w:p w14:paraId="7F17CE37" w14:textId="02A90D85" w:rsidR="00650E11" w:rsidRPr="00335BA4" w:rsidRDefault="00FA6454" w:rsidP="00746D1D">
      <w:pPr>
        <w:pStyle w:val="TPText-2slovan"/>
        <w:tabs>
          <w:tab w:val="clear" w:pos="2382"/>
          <w:tab w:val="num" w:pos="1985"/>
        </w:tabs>
        <w:ind w:left="1985"/>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 xml:space="preserve">a jeho podčlánků se pro </w:t>
      </w:r>
      <w:r w:rsidR="008A67DC">
        <w:t>Standardní Software</w:t>
      </w:r>
      <w:r w:rsidRPr="00335BA4">
        <w:t xml:space="preserve"> nepoužijí</w:t>
      </w:r>
      <w:r w:rsidR="00EE5784">
        <w:t xml:space="preserve"> vyjma případu, kdy v rámci Plnění bude Standardní Software upravované nebo jinak modifikované pro potřeby Objednatele. V těchto případech bude na upravované a modifikované části Standardního Software uvedené články uplatněné.</w:t>
      </w:r>
    </w:p>
    <w:p w14:paraId="7116C1AF" w14:textId="475B22CA" w:rsidR="007036B7" w:rsidRPr="00ED6198" w:rsidRDefault="007036B7" w:rsidP="007E3D60">
      <w:pPr>
        <w:pStyle w:val="TPText-1slovan"/>
        <w:jc w:val="both"/>
      </w:pPr>
      <w:bookmarkStart w:id="61" w:name="_Toc26368452"/>
      <w:bookmarkStart w:id="62" w:name="_Toc103154251"/>
      <w:bookmarkEnd w:id="61"/>
      <w:r w:rsidRPr="00ED6198">
        <w:t xml:space="preserve">Software vztahující se k </w:t>
      </w:r>
      <w:r w:rsidR="005F5289" w:rsidRPr="00ED6198">
        <w:t>Hardware</w:t>
      </w:r>
      <w:bookmarkEnd w:id="62"/>
    </w:p>
    <w:p w14:paraId="7B808ED6" w14:textId="77777777" w:rsidR="00C93A41" w:rsidRPr="00C93A41" w:rsidRDefault="00C93A41" w:rsidP="006B56DA">
      <w:pPr>
        <w:pStyle w:val="Odstavecseseznamem"/>
        <w:keepNext/>
        <w:numPr>
          <w:ilvl w:val="1"/>
          <w:numId w:val="50"/>
        </w:numPr>
        <w:spacing w:before="120" w:after="0" w:line="240" w:lineRule="auto"/>
        <w:contextualSpacing w:val="0"/>
        <w:jc w:val="both"/>
        <w:outlineLvl w:val="1"/>
        <w:rPr>
          <w:rFonts w:ascii="Verdana" w:hAnsi="Verdana" w:cs="Arial"/>
          <w:vanish/>
          <w:sz w:val="18"/>
        </w:rPr>
      </w:pPr>
    </w:p>
    <w:p w14:paraId="6AF09AB3" w14:textId="77777777" w:rsidR="00C93A41" w:rsidRPr="00C93A41" w:rsidRDefault="00C93A41" w:rsidP="006B56DA">
      <w:pPr>
        <w:pStyle w:val="Odstavecseseznamem"/>
        <w:numPr>
          <w:ilvl w:val="2"/>
          <w:numId w:val="50"/>
        </w:numPr>
        <w:spacing w:before="80" w:after="0" w:line="240" w:lineRule="auto"/>
        <w:contextualSpacing w:val="0"/>
        <w:rPr>
          <w:rFonts w:ascii="Verdana" w:hAnsi="Verdana" w:cs="Arial"/>
          <w:vanish/>
          <w:sz w:val="18"/>
        </w:rPr>
      </w:pPr>
    </w:p>
    <w:p w14:paraId="600A1F26" w14:textId="77777777" w:rsidR="00C93A41" w:rsidRPr="00C93A41" w:rsidRDefault="00C93A41" w:rsidP="006B56DA">
      <w:pPr>
        <w:pStyle w:val="Odstavecseseznamem"/>
        <w:numPr>
          <w:ilvl w:val="2"/>
          <w:numId w:val="50"/>
        </w:numPr>
        <w:spacing w:before="80" w:after="0" w:line="240" w:lineRule="auto"/>
        <w:contextualSpacing w:val="0"/>
        <w:rPr>
          <w:rFonts w:ascii="Verdana" w:hAnsi="Verdana" w:cs="Arial"/>
          <w:vanish/>
          <w:sz w:val="18"/>
        </w:rPr>
      </w:pPr>
    </w:p>
    <w:p w14:paraId="345EF5D8" w14:textId="77777777" w:rsidR="00C93A41" w:rsidRPr="00C93A41" w:rsidRDefault="00C93A41" w:rsidP="006B56DA">
      <w:pPr>
        <w:pStyle w:val="Odstavecseseznamem"/>
        <w:numPr>
          <w:ilvl w:val="2"/>
          <w:numId w:val="50"/>
        </w:numPr>
        <w:spacing w:before="80" w:after="0" w:line="240" w:lineRule="auto"/>
        <w:contextualSpacing w:val="0"/>
        <w:rPr>
          <w:rFonts w:ascii="Verdana" w:hAnsi="Verdana" w:cs="Arial"/>
          <w:vanish/>
          <w:sz w:val="18"/>
        </w:rPr>
      </w:pPr>
    </w:p>
    <w:p w14:paraId="6030CDCA" w14:textId="7F59D575" w:rsidR="00E01D90" w:rsidRPr="00ED6198" w:rsidRDefault="00E01D90" w:rsidP="00746D1D">
      <w:pPr>
        <w:pStyle w:val="TPText-2slovan"/>
        <w:tabs>
          <w:tab w:val="clear" w:pos="2382"/>
          <w:tab w:val="num" w:pos="1985"/>
        </w:tabs>
        <w:ind w:left="1985"/>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w:t>
      </w:r>
      <w:r w:rsidR="0089117D">
        <w:t>jiný</w:t>
      </w:r>
      <w:r w:rsidR="0089117D" w:rsidRPr="00ED6198">
        <w:t xml:space="preserve"> </w:t>
      </w:r>
      <w:r w:rsidR="0089117D">
        <w:t>s</w:t>
      </w:r>
      <w:r w:rsidR="0089117D" w:rsidRPr="00ED6198">
        <w:t>oftware</w:t>
      </w:r>
      <w:r w:rsidR="0089117D">
        <w:t>, který není součástí Software nebo Standardního Software</w:t>
      </w:r>
      <w:r w:rsidR="001304A1" w:rsidRPr="00ED6198">
        <w:t xml:space="preserve">, </w:t>
      </w:r>
      <w:r w:rsidRPr="00ED6198">
        <w:t xml:space="preserve">je </w:t>
      </w:r>
      <w:r w:rsidR="00123D4D">
        <w:t xml:space="preserve">ho </w:t>
      </w:r>
      <w:r w:rsidRPr="00ED6198">
        <w:t xml:space="preserve">Dodavatel povinen poskytnout/zajistit Objednateli jako součást plnění a za cenu zahrnutou v ceně </w:t>
      </w:r>
      <w:r w:rsidR="005F5289" w:rsidRPr="00ED6198">
        <w:t>Hardware</w:t>
      </w:r>
      <w:r w:rsidRPr="00ED6198">
        <w:t xml:space="preserve">, oprávnění užít tento </w:t>
      </w:r>
      <w:r w:rsidR="00123D4D">
        <w:t>s</w:t>
      </w:r>
      <w:r w:rsidR="00123D4D" w:rsidRPr="00ED6198">
        <w:t xml:space="preserve">oftware </w:t>
      </w:r>
      <w:r w:rsidRPr="00ED6198">
        <w:t xml:space="preserve">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00DB5D7D" w:rsidRPr="00746D1D">
        <w:t>Technická specifikace</w:t>
      </w:r>
      <w:r w:rsidR="005F5289" w:rsidRPr="00ED6198">
        <w:t>.</w:t>
      </w:r>
    </w:p>
    <w:p w14:paraId="16E99A06" w14:textId="3EA33153" w:rsidR="00FA6454" w:rsidRPr="00335BA4" w:rsidRDefault="00FA6454" w:rsidP="00746D1D">
      <w:pPr>
        <w:pStyle w:val="TPText-2slovan"/>
        <w:tabs>
          <w:tab w:val="clear" w:pos="2382"/>
          <w:tab w:val="num" w:pos="1985"/>
        </w:tabs>
        <w:ind w:left="1985"/>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 xml:space="preserve">a jeho podčlánků se pro </w:t>
      </w:r>
      <w:r w:rsidR="00123D4D">
        <w:t>s</w:t>
      </w:r>
      <w:r w:rsidR="00123D4D" w:rsidRPr="00335BA4">
        <w:t xml:space="preserve">oftware </w:t>
      </w:r>
      <w:r w:rsidRPr="00335BA4">
        <w:t>vztahující se k Hardware nepoužijí.</w:t>
      </w:r>
    </w:p>
    <w:p w14:paraId="0561F681" w14:textId="5E295959" w:rsidR="005202F6" w:rsidRPr="00335BA4" w:rsidRDefault="005F0BAE" w:rsidP="007E3D60">
      <w:pPr>
        <w:pStyle w:val="TPText-1slovan"/>
        <w:jc w:val="both"/>
      </w:pPr>
      <w:r w:rsidRPr="00335BA4">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63" w:name="_Toc103154252"/>
      <w:bookmarkStart w:id="64" w:name="_Toc136269756"/>
      <w:r w:rsidRPr="00ED6198">
        <w:t>Zdrojový kód</w:t>
      </w:r>
      <w:r w:rsidR="005F5289" w:rsidRPr="00ED6198">
        <w:t xml:space="preserve"> a dokumentace</w:t>
      </w:r>
      <w:bookmarkEnd w:id="63"/>
      <w:bookmarkEnd w:id="64"/>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6B56DA">
      <w:pPr>
        <w:pStyle w:val="TPText-1slovan"/>
        <w:numPr>
          <w:ilvl w:val="0"/>
          <w:numId w:val="37"/>
        </w:numPr>
        <w:ind w:left="1701" w:hanging="425"/>
        <w:jc w:val="both"/>
      </w:pPr>
      <w:r w:rsidRPr="00ED6198">
        <w:t xml:space="preserve">Kompletní </w:t>
      </w:r>
      <w:r w:rsidR="00EF4636" w:rsidRPr="00ED6198">
        <w:t>Z</w:t>
      </w:r>
      <w:r w:rsidRPr="00ED6198">
        <w:t>drojové kódy celého díla.</w:t>
      </w:r>
    </w:p>
    <w:p w14:paraId="14DCD874" w14:textId="15A8235C" w:rsidR="0055737D" w:rsidRPr="00ED6198" w:rsidRDefault="0055737D" w:rsidP="006B56DA">
      <w:pPr>
        <w:pStyle w:val="TPText-1slovan"/>
        <w:numPr>
          <w:ilvl w:val="0"/>
          <w:numId w:val="37"/>
        </w:numPr>
        <w:ind w:left="1701" w:hanging="425"/>
        <w:jc w:val="both"/>
      </w:pPr>
      <w:r w:rsidRPr="00ED6198">
        <w:t xml:space="preserve">Uživatelskou příručku obsahující konkrétní popis uživatelského prostředí, funkcí a postupů pro </w:t>
      </w:r>
      <w:r w:rsidR="00935D7D">
        <w:t>Š</w:t>
      </w:r>
      <w:r w:rsidR="00935D7D" w:rsidRPr="00ED6198">
        <w:t xml:space="preserve">kolení </w:t>
      </w:r>
      <w:r w:rsidRPr="00ED6198">
        <w:t>zaměstnanců.</w:t>
      </w:r>
    </w:p>
    <w:p w14:paraId="1BA81395" w14:textId="5F9C00C1" w:rsidR="001304A1" w:rsidRPr="00ED6198" w:rsidRDefault="0055737D" w:rsidP="006B56DA">
      <w:pPr>
        <w:pStyle w:val="TPText-1slovan"/>
        <w:numPr>
          <w:ilvl w:val="0"/>
          <w:numId w:val="37"/>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6B56DA">
      <w:pPr>
        <w:pStyle w:val="TPText-1slovan"/>
        <w:numPr>
          <w:ilvl w:val="0"/>
          <w:numId w:val="37"/>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6B56DA">
      <w:pPr>
        <w:pStyle w:val="Odstavecseseznamem"/>
        <w:numPr>
          <w:ilvl w:val="2"/>
          <w:numId w:val="38"/>
        </w:numPr>
        <w:spacing w:before="80" w:after="0"/>
        <w:ind w:left="2552" w:hanging="567"/>
        <w:contextualSpacing w:val="0"/>
        <w:jc w:val="both"/>
        <w:rPr>
          <w:rFonts w:ascii="Verdana" w:hAnsi="Verdana"/>
          <w:sz w:val="18"/>
        </w:rPr>
      </w:pPr>
      <w:r w:rsidRPr="007C38AC">
        <w:rPr>
          <w:rFonts w:ascii="Verdana" w:hAnsi="Verdana"/>
          <w:sz w:val="18"/>
        </w:rPr>
        <w:t>Datová vrstva – popis datové vrstvy, čili tabulek v databázi včetně vazeb mezi tabulkami a včetně E-R schémat.</w:t>
      </w:r>
    </w:p>
    <w:p w14:paraId="427EFE02" w14:textId="77777777" w:rsidR="0055737D" w:rsidRPr="007C38AC" w:rsidRDefault="0055737D" w:rsidP="006B56DA">
      <w:pPr>
        <w:pStyle w:val="Odstavecseseznamem"/>
        <w:numPr>
          <w:ilvl w:val="2"/>
          <w:numId w:val="38"/>
        </w:numPr>
        <w:spacing w:before="80" w:after="0"/>
        <w:ind w:left="2552" w:hanging="567"/>
        <w:contextualSpacing w:val="0"/>
        <w:jc w:val="both"/>
        <w:rPr>
          <w:rFonts w:ascii="Verdana" w:hAnsi="Verdana"/>
          <w:sz w:val="18"/>
        </w:rPr>
      </w:pPr>
      <w:r w:rsidRPr="007C38AC">
        <w:rPr>
          <w:rFonts w:ascii="Verdana" w:hAnsi="Verdana"/>
          <w:sz w:val="18"/>
        </w:rPr>
        <w:t xml:space="preserve">Aplikační vrstva – popis jádra systému, jeho funkcí, služeb a rozhraní. Dokumentace musí obsahovat kompletní popis architektury jádra systému, </w:t>
      </w:r>
      <w:r w:rsidRPr="007C38AC">
        <w:rPr>
          <w:rFonts w:ascii="Verdana" w:hAnsi="Verdana"/>
          <w:sz w:val="18"/>
        </w:rPr>
        <w:lastRenderedPageBreak/>
        <w:t>výčet a podrobný popis všech jeho funkcí, přehled a popis služeb, které jádro poskytuje dalším komponentám systému, modulům a knihovnám.</w:t>
      </w:r>
    </w:p>
    <w:p w14:paraId="1CE35F02" w14:textId="6C373ADE" w:rsidR="0055737D" w:rsidRPr="00ED6198" w:rsidRDefault="0055737D" w:rsidP="006B56DA">
      <w:pPr>
        <w:pStyle w:val="Odstavecseseznamem"/>
        <w:numPr>
          <w:ilvl w:val="2"/>
          <w:numId w:val="38"/>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6B56DA">
      <w:pPr>
        <w:pStyle w:val="TPText-1slovan"/>
        <w:numPr>
          <w:ilvl w:val="0"/>
          <w:numId w:val="37"/>
        </w:numPr>
        <w:ind w:left="1701" w:hanging="425"/>
        <w:jc w:val="both"/>
      </w:pPr>
      <w:r w:rsidRPr="00ED6198">
        <w:t>Popis konfigurace provozního prostředí systému (serverová strana i klientská strana)</w:t>
      </w:r>
    </w:p>
    <w:p w14:paraId="7CA4E2A0" w14:textId="77072313" w:rsidR="00ED6713" w:rsidRPr="00ED6198" w:rsidRDefault="0055737D" w:rsidP="006B56DA">
      <w:pPr>
        <w:pStyle w:val="TPText-1slovan"/>
        <w:numPr>
          <w:ilvl w:val="0"/>
          <w:numId w:val="37"/>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6B56DA">
      <w:pPr>
        <w:pStyle w:val="Odstavecseseznamem"/>
        <w:numPr>
          <w:ilvl w:val="0"/>
          <w:numId w:val="45"/>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6B56DA">
      <w:pPr>
        <w:pStyle w:val="Odstavecseseznamem"/>
        <w:numPr>
          <w:ilvl w:val="0"/>
          <w:numId w:val="45"/>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6B56DA">
      <w:pPr>
        <w:pStyle w:val="Odstavecseseznamem"/>
        <w:numPr>
          <w:ilvl w:val="0"/>
          <w:numId w:val="45"/>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58442C66" w:rsidR="00A50EBE" w:rsidRPr="00ED6198" w:rsidRDefault="00D3172A" w:rsidP="006B56DA">
      <w:pPr>
        <w:pStyle w:val="TPText-1slovan"/>
        <w:numPr>
          <w:ilvl w:val="0"/>
          <w:numId w:val="37"/>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r w:rsidR="00F27210" w:rsidRPr="00F27210">
        <w:t xml:space="preserve"> jednotlivých verzí a musí být obsahově úplné pro tu část systému, kterou popisují.</w:t>
      </w:r>
    </w:p>
    <w:p w14:paraId="1B358B24" w14:textId="66F8911E" w:rsidR="0055737D" w:rsidRPr="00ED6198" w:rsidRDefault="0055737D" w:rsidP="006B56DA">
      <w:pPr>
        <w:pStyle w:val="TPText-1slovan"/>
        <w:numPr>
          <w:ilvl w:val="0"/>
          <w:numId w:val="37"/>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 xml:space="preserve">okumentace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65" w:name="_Toc522718164"/>
      <w:bookmarkStart w:id="66" w:name="_Toc522718166"/>
      <w:bookmarkStart w:id="67" w:name="_Toc522718168"/>
      <w:bookmarkStart w:id="68" w:name="_Toc522718169"/>
      <w:bookmarkStart w:id="69" w:name="_Toc522718172"/>
      <w:bookmarkStart w:id="70" w:name="_Toc522718174"/>
      <w:bookmarkStart w:id="71" w:name="_Toc522718184"/>
      <w:bookmarkStart w:id="72" w:name="_Toc103154253"/>
      <w:bookmarkStart w:id="73" w:name="_Toc136269757"/>
      <w:bookmarkEnd w:id="65"/>
      <w:bookmarkEnd w:id="66"/>
      <w:bookmarkEnd w:id="67"/>
      <w:bookmarkEnd w:id="68"/>
      <w:bookmarkEnd w:id="69"/>
      <w:bookmarkEnd w:id="70"/>
      <w:bookmarkEnd w:id="71"/>
      <w:r w:rsidRPr="00ED6198">
        <w:t>A</w:t>
      </w:r>
      <w:r w:rsidR="00442655" w:rsidRPr="00ED6198">
        <w:t>k</w:t>
      </w:r>
      <w:r w:rsidRPr="00ED6198">
        <w:t>ceptační řízení</w:t>
      </w:r>
      <w:bookmarkEnd w:id="72"/>
      <w:bookmarkEnd w:id="73"/>
    </w:p>
    <w:p w14:paraId="782B0556" w14:textId="4122222B" w:rsidR="003E784C" w:rsidRPr="00ED6198" w:rsidRDefault="000923C9" w:rsidP="007C38AC">
      <w:pPr>
        <w:pStyle w:val="TPText-1slovan"/>
        <w:jc w:val="both"/>
      </w:pPr>
      <w:bookmarkStart w:id="74" w:name="_Toc374550723"/>
      <w:bookmarkStart w:id="75"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E612A9B"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00DB5D7D">
        <w:rPr>
          <w:i/>
          <w:iCs/>
        </w:rPr>
        <w:t>Technická specifikace</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6B56DA">
      <w:pPr>
        <w:pStyle w:val="TPText-1slovan"/>
        <w:numPr>
          <w:ilvl w:val="0"/>
          <w:numId w:val="20"/>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0FF5D02C" w:rsidR="006730E8" w:rsidRPr="00ED6198" w:rsidRDefault="00C7388A" w:rsidP="006B56DA">
      <w:pPr>
        <w:pStyle w:val="TPText-1slovan"/>
        <w:numPr>
          <w:ilvl w:val="0"/>
          <w:numId w:val="20"/>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2C259F">
        <w:t>HelpDesk</w:t>
      </w:r>
      <w:r w:rsidR="006730E8" w:rsidRPr="00ED6198">
        <w:t>u, e-mailem, anebo prostřednictvím ISDS; převzetím k Akceptačnímu řízení anebo potvrzením ve smyslu tohoto článku je zahájeno Akceptační řízení;</w:t>
      </w:r>
    </w:p>
    <w:p w14:paraId="0CD401FC" w14:textId="54A4DF66" w:rsidR="006730E8" w:rsidRPr="00ED6198" w:rsidRDefault="006730E8" w:rsidP="006B56DA">
      <w:pPr>
        <w:pStyle w:val="TPText-1slovan"/>
        <w:numPr>
          <w:ilvl w:val="0"/>
          <w:numId w:val="20"/>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lastRenderedPageBreak/>
        <w:t xml:space="preserve">Dodavatelem </w:t>
      </w:r>
      <w:r w:rsidRPr="00ED6198">
        <w:t xml:space="preserve">a upravený a vyplněný Objednatelem (Akceptační protokol). Akceptační protokol obsahuje: </w:t>
      </w:r>
    </w:p>
    <w:p w14:paraId="115ED3F4" w14:textId="2F64610E" w:rsidR="006730E8" w:rsidRPr="00ED6198" w:rsidRDefault="006730E8" w:rsidP="006B56DA">
      <w:pPr>
        <w:pStyle w:val="TPText-1slovan"/>
        <w:numPr>
          <w:ilvl w:val="0"/>
          <w:numId w:val="21"/>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6B56DA">
      <w:pPr>
        <w:pStyle w:val="TPText-1slovan"/>
        <w:numPr>
          <w:ilvl w:val="0"/>
          <w:numId w:val="21"/>
        </w:numPr>
        <w:ind w:left="2552" w:hanging="567"/>
        <w:jc w:val="both"/>
      </w:pPr>
      <w:r w:rsidRPr="00ED6198">
        <w:t>Akceptační kritéria;</w:t>
      </w:r>
    </w:p>
    <w:p w14:paraId="78BBADC4" w14:textId="31FEC1CA" w:rsidR="006730E8" w:rsidRPr="00ED6198" w:rsidRDefault="006730E8" w:rsidP="006B56DA">
      <w:pPr>
        <w:pStyle w:val="TPText-1slovan"/>
        <w:numPr>
          <w:ilvl w:val="0"/>
          <w:numId w:val="21"/>
        </w:numPr>
        <w:ind w:left="2552" w:hanging="567"/>
        <w:jc w:val="both"/>
      </w:pPr>
      <w:r w:rsidRPr="00ED6198">
        <w:t>informace o průběhu Testů, jsou-li prováděny</w:t>
      </w:r>
      <w:r w:rsidR="00E2168F" w:rsidRPr="00ED6198">
        <w:t>;</w:t>
      </w:r>
    </w:p>
    <w:p w14:paraId="313F9389" w14:textId="41A2AD64" w:rsidR="006730E8" w:rsidRPr="00ED6198" w:rsidRDefault="006730E8" w:rsidP="006B56DA">
      <w:pPr>
        <w:pStyle w:val="TPText-1slovan"/>
        <w:numPr>
          <w:ilvl w:val="0"/>
          <w:numId w:val="21"/>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6B56DA">
      <w:pPr>
        <w:pStyle w:val="TPText-1slovan"/>
        <w:numPr>
          <w:ilvl w:val="0"/>
          <w:numId w:val="20"/>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6B56DA">
      <w:pPr>
        <w:pStyle w:val="TPText-1slovan"/>
        <w:numPr>
          <w:ilvl w:val="0"/>
          <w:numId w:val="20"/>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6B56DA">
      <w:pPr>
        <w:pStyle w:val="TPText-1slovan"/>
        <w:numPr>
          <w:ilvl w:val="0"/>
          <w:numId w:val="20"/>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643FD5B0"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w:t>
      </w:r>
      <w:r w:rsidR="00865795">
        <w:t>A</w:t>
      </w:r>
      <w:r w:rsidR="00865795" w:rsidRPr="00ED6198">
        <w:t xml:space="preserve">kceptovat </w:t>
      </w:r>
      <w:r w:rsidRPr="00ED6198">
        <w:t xml:space="preserve">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00BF675B">
        <w:t>, D</w:t>
      </w:r>
      <w:r w:rsidRPr="00ED6198">
        <w:t xml:space="preserve">. </w:t>
      </w:r>
    </w:p>
    <w:p w14:paraId="588E8F7F" w14:textId="7FF5B97E"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jsou způsobilé k </w:t>
      </w:r>
      <w:r w:rsidR="00865795">
        <w:t>A</w:t>
      </w:r>
      <w:r w:rsidR="00865795" w:rsidRPr="00ED6198">
        <w:t xml:space="preserve">kceptaci </w:t>
      </w:r>
      <w:r w:rsidRPr="00ED6198">
        <w:t xml:space="preserve">Objednatelem, pokud: </w:t>
      </w:r>
    </w:p>
    <w:p w14:paraId="1D45E800" w14:textId="01D784AC" w:rsidR="00490FFD" w:rsidRPr="00ED6198" w:rsidRDefault="00B012C9" w:rsidP="006B56DA">
      <w:pPr>
        <w:pStyle w:val="TPText-1slovan"/>
        <w:numPr>
          <w:ilvl w:val="0"/>
          <w:numId w:val="22"/>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6B56DA">
      <w:pPr>
        <w:pStyle w:val="TPText-1slovan"/>
        <w:numPr>
          <w:ilvl w:val="0"/>
          <w:numId w:val="22"/>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76" w:name="_Hlk118177184"/>
      <w:r w:rsidR="007976EC" w:rsidRPr="00ED6198">
        <w:t>do 30 dnů od zahájení akceptačního řízení</w:t>
      </w:r>
      <w:bookmarkEnd w:id="76"/>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77" w:name="_Hlk118177166"/>
      <w:r w:rsidR="007976EC" w:rsidRPr="00ED6198">
        <w:t>Objednatel není povinen výše uvedené lhůty dodržet, dojde-li k prodloužení akceptačního řízení z důvodu na straně Dodavatele.</w:t>
      </w:r>
      <w:bookmarkEnd w:id="77"/>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10DA20F2" w:rsidR="00A84D6D" w:rsidRPr="00ED6198" w:rsidRDefault="00A84D6D" w:rsidP="006B56DA">
      <w:pPr>
        <w:pStyle w:val="TPText-1slovan"/>
        <w:numPr>
          <w:ilvl w:val="0"/>
          <w:numId w:val="41"/>
        </w:numPr>
        <w:ind w:left="1701" w:hanging="425"/>
        <w:jc w:val="both"/>
      </w:pPr>
      <w:r w:rsidRPr="00ED6198">
        <w:lastRenderedPageBreak/>
        <w:t xml:space="preserve">výkaz a report, včetně všech jeho součástí, se považuje za akceptovaný doručením Dodavateli sdělení Objednatele, že Objednatel jej považuje za úplný a správný, a souhlasí s vystavenou </w:t>
      </w:r>
      <w:r w:rsidR="00513D36">
        <w:t>F</w:t>
      </w:r>
      <w:r w:rsidR="00513D36" w:rsidRPr="00ED6198">
        <w:t>akturou</w:t>
      </w:r>
      <w:r w:rsidRPr="00ED6198">
        <w:t xml:space="preserve">; nebo </w:t>
      </w:r>
    </w:p>
    <w:p w14:paraId="48DB71B6" w14:textId="1B2E954B" w:rsidR="00A84D6D" w:rsidRPr="00ED6198" w:rsidRDefault="00A84D6D" w:rsidP="006B56DA">
      <w:pPr>
        <w:pStyle w:val="TPText-1slovan"/>
        <w:numPr>
          <w:ilvl w:val="0"/>
          <w:numId w:val="41"/>
        </w:numPr>
        <w:ind w:left="1701" w:hanging="425"/>
        <w:jc w:val="both"/>
      </w:pPr>
      <w:r w:rsidRPr="00ED6198">
        <w:t xml:space="preserve">marným uplynutím lhůty pro posouzení úplnosti a správnosti </w:t>
      </w:r>
      <w:r w:rsidR="00513D36">
        <w:t>F</w:t>
      </w:r>
      <w:r w:rsidR="00513D36" w:rsidRPr="00ED6198">
        <w:t>aktury</w:t>
      </w:r>
      <w:r w:rsidRPr="00ED6198">
        <w:t>,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78" w:name="_Toc26368456"/>
      <w:bookmarkStart w:id="79" w:name="_Toc26368457"/>
      <w:bookmarkStart w:id="80" w:name="_Toc26368458"/>
      <w:bookmarkStart w:id="81" w:name="_Toc26368459"/>
      <w:bookmarkStart w:id="82" w:name="_Toc26368460"/>
      <w:bookmarkStart w:id="83" w:name="_Toc26368461"/>
      <w:bookmarkStart w:id="84" w:name="_Toc26368462"/>
      <w:bookmarkStart w:id="85" w:name="_Toc26368463"/>
      <w:bookmarkStart w:id="86" w:name="_Toc26368464"/>
      <w:bookmarkStart w:id="87" w:name="_Toc103154254"/>
      <w:bookmarkStart w:id="88" w:name="_Toc136269758"/>
      <w:bookmarkEnd w:id="74"/>
      <w:bookmarkEnd w:id="75"/>
      <w:bookmarkEnd w:id="78"/>
      <w:bookmarkEnd w:id="79"/>
      <w:bookmarkEnd w:id="80"/>
      <w:bookmarkEnd w:id="81"/>
      <w:bookmarkEnd w:id="82"/>
      <w:bookmarkEnd w:id="83"/>
      <w:bookmarkEnd w:id="84"/>
      <w:bookmarkEnd w:id="85"/>
      <w:bookmarkEnd w:id="86"/>
      <w:r w:rsidRPr="00ED6198">
        <w:t>Školení</w:t>
      </w:r>
      <w:bookmarkEnd w:id="87"/>
      <w:bookmarkEnd w:id="88"/>
    </w:p>
    <w:p w14:paraId="149190F6" w14:textId="1D743B34" w:rsidR="003618EC" w:rsidRPr="00ED6198" w:rsidRDefault="00CA47ED" w:rsidP="007C38AC">
      <w:pPr>
        <w:pStyle w:val="TPText-1slovan"/>
        <w:jc w:val="both"/>
      </w:pPr>
      <w:r w:rsidRPr="00ED6198">
        <w:t xml:space="preserve">Dodavatel </w:t>
      </w:r>
      <w:r w:rsidR="003618EC" w:rsidRPr="00ED6198">
        <w:t xml:space="preserve">provede </w:t>
      </w:r>
      <w:r w:rsidR="006D170E">
        <w:t>Š</w:t>
      </w:r>
      <w:r w:rsidR="006D170E" w:rsidRPr="00ED6198">
        <w:t xml:space="preserve">kolení </w:t>
      </w:r>
      <w:r w:rsidR="003618EC" w:rsidRPr="00ED6198">
        <w:t xml:space="preserve">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A41BE32" w:rsidR="003618EC" w:rsidRPr="00ED6198" w:rsidRDefault="003618EC" w:rsidP="007C38AC">
      <w:pPr>
        <w:pStyle w:val="TPText-1slovan"/>
        <w:jc w:val="both"/>
      </w:pPr>
      <w:bookmarkStart w:id="89" w:name="_Hlk109409482"/>
      <w:r w:rsidRPr="00ED6198">
        <w:t xml:space="preserve">Součástí </w:t>
      </w:r>
      <w:r w:rsidR="00935D7D">
        <w:t>Š</w:t>
      </w:r>
      <w:r w:rsidR="00935D7D" w:rsidRPr="00ED6198">
        <w:t xml:space="preserve">kolení </w:t>
      </w:r>
      <w:r w:rsidRPr="00ED6198">
        <w:t xml:space="preserve">je i poskytnutí Dokumentace pro provedení </w:t>
      </w:r>
      <w:r w:rsidR="00935D7D">
        <w:t>Š</w:t>
      </w:r>
      <w:r w:rsidR="00935D7D" w:rsidRPr="00ED6198">
        <w:t xml:space="preserve">kolení </w:t>
      </w:r>
      <w:r w:rsidRPr="00ED6198">
        <w:t xml:space="preserve">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w:t>
      </w:r>
      <w:r w:rsidR="00935D7D">
        <w:t>Š</w:t>
      </w:r>
      <w:r w:rsidR="00935D7D" w:rsidRPr="00ED6198">
        <w:t xml:space="preserve">kolení </w:t>
      </w:r>
      <w:r w:rsidRPr="00ED6198">
        <w:t xml:space="preserve">absolvující </w:t>
      </w:r>
      <w:r w:rsidR="00935D7D">
        <w:t>Š</w:t>
      </w:r>
      <w:r w:rsidR="00935D7D" w:rsidRPr="00ED6198">
        <w:t xml:space="preserve">kolení </w:t>
      </w:r>
      <w:r w:rsidRPr="00ED6198">
        <w:t xml:space="preserve">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9"/>
      <w:r w:rsidRPr="00ED6198">
        <w:t xml:space="preserve">. </w:t>
      </w:r>
    </w:p>
    <w:p w14:paraId="37075BE5" w14:textId="697C2CDB" w:rsidR="003618EC" w:rsidRPr="00ED6198" w:rsidRDefault="003618EC" w:rsidP="007C38AC">
      <w:pPr>
        <w:pStyle w:val="TPText-1slovan"/>
        <w:jc w:val="both"/>
      </w:pPr>
      <w:r w:rsidRPr="00ED6198">
        <w:t xml:space="preserve">Účelem provedení </w:t>
      </w:r>
      <w:r w:rsidR="00935D7D">
        <w:t>Š</w:t>
      </w:r>
      <w:r w:rsidR="00935D7D" w:rsidRPr="00ED6198">
        <w:t xml:space="preserve">kolení </w:t>
      </w:r>
      <w:r w:rsidRPr="00ED6198">
        <w:t xml:space="preserve">je seznámení </w:t>
      </w:r>
      <w:r w:rsidR="00C34EFE" w:rsidRPr="00ED6198">
        <w:t>ú</w:t>
      </w:r>
      <w:r w:rsidRPr="00ED6198">
        <w:t xml:space="preserve">častníků </w:t>
      </w:r>
      <w:r w:rsidR="00935D7D">
        <w:t>Š</w:t>
      </w:r>
      <w:r w:rsidR="00935D7D" w:rsidRPr="00ED6198">
        <w:t xml:space="preserve">kolení </w:t>
      </w:r>
      <w:r w:rsidRPr="00ED6198">
        <w:t xml:space="preserve">se </w:t>
      </w:r>
      <w:r w:rsidR="00446BC5" w:rsidRPr="00ED6198">
        <w:t xml:space="preserve">Softwarem nebo Zařízením </w:t>
      </w:r>
      <w:r w:rsidRPr="00ED6198">
        <w:t>do té míry, aby jej byli schopni samostatně užívat</w:t>
      </w:r>
      <w:r w:rsidR="00935D7D">
        <w:t>, nastavovat nebo administrovat</w:t>
      </w:r>
      <w:r w:rsidRPr="00ED6198">
        <w:t xml:space="preserve"> v souladu se svým pracovním zařazením u Objednatele. </w:t>
      </w:r>
    </w:p>
    <w:p w14:paraId="61630A7F" w14:textId="17BE6E3C" w:rsidR="009138D6" w:rsidRPr="00ED6198" w:rsidRDefault="000B3FA8" w:rsidP="007C38AC">
      <w:pPr>
        <w:pStyle w:val="TPText-1slovan"/>
        <w:jc w:val="both"/>
      </w:pPr>
      <w:r w:rsidRPr="00ED6198">
        <w:t xml:space="preserve">Požadavek na </w:t>
      </w:r>
      <w:r w:rsidR="00935D7D">
        <w:t>Š</w:t>
      </w:r>
      <w:r w:rsidR="00935D7D" w:rsidRPr="00ED6198">
        <w:t xml:space="preserve">kolení </w:t>
      </w:r>
      <w:r w:rsidRPr="00ED6198">
        <w:t xml:space="preserve">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935D7D">
        <w:t>Š</w:t>
      </w:r>
      <w:r w:rsidR="00935D7D" w:rsidRPr="00ED6198">
        <w:t>kolení</w:t>
      </w:r>
      <w:r w:rsidRPr="00ED6198">
        <w:t xml:space="preserve">, </w:t>
      </w:r>
      <w:r w:rsidR="00446BC5" w:rsidRPr="00ED6198">
        <w:t>provede Dodavatel seznámení zaměstnanců Objednatele s Předmětem smlouvy za podmínek</w:t>
      </w:r>
      <w:r w:rsidRPr="00ED6198">
        <w:t>, jež jsou uvedeny v tomto článku</w:t>
      </w:r>
      <w:r w:rsidR="009138D6" w:rsidRPr="00ED6198">
        <w:t>.</w:t>
      </w:r>
    </w:p>
    <w:p w14:paraId="0578D565" w14:textId="7F97C324" w:rsidR="003556E0" w:rsidRPr="00335BA4" w:rsidRDefault="003556E0" w:rsidP="00F07A3F">
      <w:pPr>
        <w:pStyle w:val="TPText-1slovan"/>
        <w:jc w:val="both"/>
      </w:pPr>
      <w:r w:rsidRPr="00335BA4">
        <w:t xml:space="preserve">Dodavatel je dále povinen provést v přiměřeném rozsahu </w:t>
      </w:r>
      <w:r w:rsidR="00935D7D">
        <w:t>Š</w:t>
      </w:r>
      <w:r w:rsidR="00935D7D" w:rsidRPr="00335BA4">
        <w:t xml:space="preserve">kolení </w:t>
      </w:r>
      <w:r w:rsidRPr="00335BA4">
        <w:t>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A078BD" w:rsidRPr="00335BA4">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63F1704F" w:rsidR="009138D6" w:rsidRPr="00ED6198" w:rsidRDefault="002C259F" w:rsidP="007C38AC">
      <w:pPr>
        <w:pStyle w:val="TPNADPIS-1slovan"/>
        <w:jc w:val="both"/>
      </w:pPr>
      <w:bookmarkStart w:id="90" w:name="_Toc136269759"/>
      <w:r>
        <w:t>HelpDesk</w:t>
      </w:r>
      <w:bookmarkEnd w:id="90"/>
    </w:p>
    <w:p w14:paraId="0F6364FC" w14:textId="4D2BF9F1" w:rsidR="00F22481" w:rsidRPr="00335BA4" w:rsidRDefault="00CA47ED" w:rsidP="004F2C62">
      <w:pPr>
        <w:pStyle w:val="TPText-1slovan"/>
        <w:jc w:val="both"/>
      </w:pPr>
      <w:bookmarkStart w:id="91" w:name="_Ref26890885"/>
      <w:r w:rsidRPr="00335BA4">
        <w:t xml:space="preserve">Dodavatel </w:t>
      </w:r>
      <w:r w:rsidR="00816027" w:rsidRPr="00335BA4">
        <w:t>se zavazuje</w:t>
      </w:r>
      <w:r w:rsidR="00F22481" w:rsidRPr="00335BA4">
        <w:t>:</w:t>
      </w:r>
    </w:p>
    <w:p w14:paraId="2000DCE0" w14:textId="59038A99"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2C259F">
        <w:t>HelpDesk</w:t>
      </w:r>
      <w:r w:rsidR="00B77EBD" w:rsidRPr="00335BA4">
        <w:t xml:space="preserve"> (včetně úhrady případných licenčních poplatků za </w:t>
      </w:r>
      <w:r w:rsidR="00892FA9" w:rsidRPr="00335BA4">
        <w:t xml:space="preserve">aplikaci </w:t>
      </w:r>
      <w:r w:rsidR="002C259F">
        <w:t>HelpDesk</w:t>
      </w:r>
      <w:r w:rsidR="00B77EBD" w:rsidRPr="00335BA4">
        <w:t>)</w:t>
      </w:r>
      <w:r w:rsidRPr="00335BA4">
        <w:t xml:space="preserve"> a udělit náležitá oprávnění k přístupu do </w:t>
      </w:r>
      <w:r w:rsidR="002C259F">
        <w:t>HelpDesk</w:t>
      </w:r>
      <w:r w:rsidRPr="00335BA4">
        <w:t>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2C259F">
        <w:t>HelpDesk</w:t>
      </w:r>
      <w:r w:rsidR="009138D6" w:rsidRPr="00335BA4">
        <w:t xml:space="preserve">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E907D7" w:rsidR="00F22481" w:rsidRPr="00335BA4" w:rsidRDefault="00F22481" w:rsidP="004F2C62">
      <w:pPr>
        <w:pStyle w:val="TPText-2slovan"/>
        <w:jc w:val="both"/>
      </w:pPr>
      <w:r w:rsidRPr="00335BA4">
        <w:t xml:space="preserve">po celou dobu trvání Smlouvy užívat </w:t>
      </w:r>
      <w:r w:rsidR="002C259F">
        <w:t>HelpDesk</w:t>
      </w:r>
      <w:r w:rsidRPr="00335BA4">
        <w:t xml:space="preserve"> provozovaný Objednatelem.</w:t>
      </w:r>
    </w:p>
    <w:p w14:paraId="3DF63608" w14:textId="41FAE3AF" w:rsidR="00F22481" w:rsidRPr="00335BA4" w:rsidRDefault="00F22481" w:rsidP="005F0BAE">
      <w:pPr>
        <w:pStyle w:val="TPText-1slovan"/>
        <w:jc w:val="both"/>
      </w:pPr>
      <w:r w:rsidRPr="00335BA4">
        <w:t>Provozovatel</w:t>
      </w:r>
      <w:r w:rsidR="001C1BF8" w:rsidRPr="00335BA4">
        <w:t>e</w:t>
      </w:r>
      <w:r w:rsidRPr="00335BA4">
        <w:t xml:space="preserve"> </w:t>
      </w:r>
      <w:r w:rsidR="002C259F">
        <w:t>HelpDesk</w:t>
      </w:r>
      <w:r w:rsidRPr="00335BA4">
        <w:t xml:space="preserve"> stanoví Smlouva</w:t>
      </w:r>
      <w:r w:rsidR="004B7B03" w:rsidRPr="00335BA4">
        <w:t>. Pokud</w:t>
      </w:r>
      <w:r w:rsidRPr="00335BA4">
        <w:t xml:space="preserve"> Smlouva provozovatele </w:t>
      </w:r>
      <w:r w:rsidR="002C259F">
        <w:t>HelpDesk</w:t>
      </w:r>
      <w:r w:rsidR="004B7B03" w:rsidRPr="00335BA4">
        <w:t xml:space="preserve"> nestanoví</w:t>
      </w:r>
      <w:r w:rsidRPr="00335BA4">
        <w:t xml:space="preserve">, má se za to, že provozovatelem </w:t>
      </w:r>
      <w:r w:rsidR="002C259F">
        <w:t>HelpDesk</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w:t>
      </w:r>
      <w:r w:rsidR="002C259F">
        <w:t>HelpDesk</w:t>
      </w:r>
      <w:r w:rsidR="00AD757A" w:rsidRPr="00335BA4">
        <w:t xml:space="preserve"> včetně případného poskytnutí licencí.</w:t>
      </w:r>
    </w:p>
    <w:p w14:paraId="726C059E" w14:textId="67A9AB5D" w:rsidR="00816027" w:rsidRPr="00ED6198" w:rsidRDefault="00177EF4" w:rsidP="007C38AC">
      <w:pPr>
        <w:pStyle w:val="TPText-1slovan"/>
        <w:jc w:val="both"/>
      </w:pPr>
      <w:r w:rsidRPr="00ED6198">
        <w:t xml:space="preserve">Dodavatel </w:t>
      </w:r>
      <w:r w:rsidR="00816027" w:rsidRPr="00ED6198">
        <w:t xml:space="preserve">se zavazuje zajistit </w:t>
      </w:r>
      <w:r w:rsidR="002C259F">
        <w:t>HelpDesk</w:t>
      </w:r>
      <w:r w:rsidR="00F146D8" w:rsidRPr="00ED6198">
        <w:t xml:space="preserve"> v</w:t>
      </w:r>
      <w:r w:rsidR="00415C7C" w:rsidRPr="00ED6198">
        <w:t> </w:t>
      </w:r>
      <w:bookmarkEnd w:id="91"/>
      <w:r w:rsidR="00BF675B" w:rsidRPr="00ED6198" w:rsidDel="00BF675B">
        <w:t xml:space="preserve"> </w:t>
      </w:r>
      <w:r w:rsidR="00415C7C" w:rsidRPr="00ED6198">
        <w:t>následujících režimů</w:t>
      </w:r>
      <w:r w:rsidR="00F146D8" w:rsidRPr="00ED6198">
        <w:t>, kter</w:t>
      </w:r>
      <w:r w:rsidR="00415C7C" w:rsidRPr="00ED6198">
        <w:t>ý</w:t>
      </w:r>
      <w:r w:rsidR="00F146D8" w:rsidRPr="00ED6198">
        <w:t xml:space="preserve"> je </w:t>
      </w:r>
      <w:r w:rsidR="00BF675B">
        <w:t xml:space="preserve">detailně </w:t>
      </w:r>
      <w:r w:rsidR="00F146D8" w:rsidRPr="00ED6198">
        <w:t xml:space="preserve">vymezen v </w:t>
      </w:r>
      <w:r w:rsidR="00913304">
        <w:t xml:space="preserve">Technické specifikaci, která je součástí </w:t>
      </w:r>
      <w:r w:rsidR="00913304" w:rsidRPr="00ED6198">
        <w:t>Smlouv</w:t>
      </w:r>
      <w:r w:rsidR="00913304">
        <w:t>y</w:t>
      </w:r>
      <w:r w:rsidR="00F146D8" w:rsidRPr="00ED6198">
        <w:t>:</w:t>
      </w:r>
    </w:p>
    <w:p w14:paraId="4D8BEC70" w14:textId="5592007C" w:rsidR="00E9086F" w:rsidRPr="00ED6198" w:rsidRDefault="00E9086F" w:rsidP="007C38AC">
      <w:pPr>
        <w:pStyle w:val="TPText-1slovan"/>
        <w:numPr>
          <w:ilvl w:val="0"/>
          <w:numId w:val="0"/>
        </w:numPr>
        <w:ind w:left="1701"/>
        <w:jc w:val="both"/>
      </w:pPr>
      <w:r w:rsidRPr="00ED6198">
        <w:t>5×</w:t>
      </w:r>
      <w:r w:rsidR="00821CBF">
        <w:t>12</w:t>
      </w:r>
      <w:r w:rsidRPr="00ED6198">
        <w:t xml:space="preserve">, tj. v pracovních dnech v době od </w:t>
      </w:r>
      <w:r w:rsidR="00821CBF">
        <w:t>6</w:t>
      </w:r>
      <w:r w:rsidRPr="00ED6198">
        <w:t xml:space="preserve">:00 do </w:t>
      </w:r>
      <w:r w:rsidR="00821CBF" w:rsidRPr="00ED6198">
        <w:t>1</w:t>
      </w:r>
      <w:r w:rsidR="00821CBF">
        <w:t>8</w:t>
      </w:r>
      <w:r w:rsidRPr="00ED6198">
        <w:t>:00</w:t>
      </w:r>
      <w:r w:rsidR="00FF4D5F" w:rsidRPr="00ED6198">
        <w:t xml:space="preserve"> </w:t>
      </w:r>
      <w:r w:rsidR="00BF675B" w:rsidRPr="00ED6198">
        <w:t xml:space="preserve">prostřednictvím přímého přístupu do </w:t>
      </w:r>
      <w:r w:rsidR="00BF675B">
        <w:t>HelpDesk</w:t>
      </w:r>
      <w:r w:rsidR="00BF675B" w:rsidRPr="00ED6198">
        <w:t xml:space="preserve">u na webové adrese určené Dodavatelem/Objednatelem dle provozních podmínek aplikace </w:t>
      </w:r>
      <w:r w:rsidR="00BF675B">
        <w:t>HelpDesk</w:t>
      </w:r>
      <w:r w:rsidR="00BF675B" w:rsidRPr="00ED6198">
        <w:t>, případně prostřednictvím přímého datového</w:t>
      </w:r>
      <w:r w:rsidR="00BF675B">
        <w:t xml:space="preserve"> nebo elektronického </w:t>
      </w:r>
      <w:r w:rsidR="00BF675B" w:rsidRPr="00ED6198">
        <w:t xml:space="preserve">propojení </w:t>
      </w:r>
      <w:r w:rsidR="00BF675B">
        <w:t>HelpDesk</w:t>
      </w:r>
      <w:r w:rsidR="00BF675B" w:rsidRPr="00ED6198">
        <w:t>ů Objednatele a Dodavatele</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5FDD6BE3" w:rsidR="00E32E1D" w:rsidRPr="00335BA4" w:rsidRDefault="002C259F" w:rsidP="007C38AC">
      <w:pPr>
        <w:pStyle w:val="TPText-1slovan"/>
        <w:jc w:val="both"/>
      </w:pPr>
      <w:r>
        <w:t>HelpDesk</w:t>
      </w:r>
      <w:r w:rsidR="0055599D" w:rsidRPr="00335BA4">
        <w:t xml:space="preserve">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t>HelpDesk</w:t>
      </w:r>
      <w:r w:rsidR="00E32E1D" w:rsidRPr="00335BA4">
        <w:t xml:space="preserve">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t>HelpDesk</w:t>
      </w:r>
      <w:r w:rsidR="00E32E1D" w:rsidRPr="00335BA4">
        <w:t xml:space="preserve">u je záznam o veškerých úkonech </w:t>
      </w:r>
      <w:r>
        <w:t>HelpDesk</w:t>
      </w:r>
      <w:r w:rsidR="00E32E1D" w:rsidRPr="00335BA4">
        <w:t xml:space="preserve">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4C80BB5B" w:rsidR="0055599D" w:rsidRPr="00ED6198" w:rsidRDefault="002C259F" w:rsidP="007C38AC">
      <w:pPr>
        <w:pStyle w:val="TPText-1slovan"/>
        <w:jc w:val="both"/>
      </w:pPr>
      <w:r>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421FB8DA" w:rsidR="00F146D8" w:rsidRPr="00ED6198" w:rsidRDefault="002C259F" w:rsidP="007C38AC">
      <w:pPr>
        <w:pStyle w:val="TPText-1slovan"/>
        <w:jc w:val="both"/>
      </w:pPr>
      <w:r>
        <w:t>HelpDesk</w:t>
      </w:r>
      <w:r w:rsidR="00F146D8" w:rsidRPr="00ED6198">
        <w:t xml:space="preserve"> je provozován v některé z těchto úrovní podpory, která je vymezena v</w:t>
      </w:r>
      <w:r w:rsidR="00821CBF">
        <w:t> Technické specifikaci, která je součástí</w:t>
      </w:r>
      <w:r w:rsidR="00F146D8" w:rsidRPr="00ED6198">
        <w:t xml:space="preserve"> </w:t>
      </w:r>
      <w:r w:rsidR="00821CBF" w:rsidRPr="00ED6198">
        <w:t>Smlouv</w:t>
      </w:r>
      <w:r w:rsidR="00821CBF">
        <w:t>y</w:t>
      </w:r>
      <w:r w:rsidR="00F146D8" w:rsidRPr="00ED6198">
        <w:t>:</w:t>
      </w:r>
    </w:p>
    <w:p w14:paraId="2DE8B030" w14:textId="77777777" w:rsidR="00F146D8" w:rsidRPr="00ED6198" w:rsidRDefault="00F146D8" w:rsidP="006B56DA">
      <w:pPr>
        <w:pStyle w:val="TPText-2slovan"/>
        <w:numPr>
          <w:ilvl w:val="0"/>
          <w:numId w:val="40"/>
        </w:numPr>
        <w:ind w:left="1701" w:hanging="425"/>
        <w:jc w:val="both"/>
      </w:pPr>
      <w:r w:rsidRPr="00ED6198">
        <w:lastRenderedPageBreak/>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56036948" w:rsidR="00F146D8" w:rsidRPr="00ED6198" w:rsidRDefault="00F146D8" w:rsidP="006B56DA">
      <w:pPr>
        <w:pStyle w:val="TPText-2slovan"/>
        <w:numPr>
          <w:ilvl w:val="0"/>
          <w:numId w:val="40"/>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2C259F">
        <w:t>HelpDesk</w:t>
      </w:r>
      <w:r w:rsidRPr="00ED6198">
        <w:t xml:space="preserve"> Dodavateli; </w:t>
      </w:r>
    </w:p>
    <w:p w14:paraId="54079F5E" w14:textId="5BEAD7D4" w:rsidR="00F146D8" w:rsidRPr="00ED6198" w:rsidRDefault="00F146D8" w:rsidP="006B56DA">
      <w:pPr>
        <w:pStyle w:val="TPText-2slovan"/>
        <w:numPr>
          <w:ilvl w:val="0"/>
          <w:numId w:val="40"/>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2C259F">
        <w:t>HelpDesk</w:t>
      </w:r>
      <w:r w:rsidRPr="00ED6198">
        <w:t xml:space="preserve"> eskalační úrovni Dodavatele anebo Dodavatelem třetí osobě.</w:t>
      </w:r>
    </w:p>
    <w:p w14:paraId="79C064FE" w14:textId="5B66D6B3" w:rsidR="0055599D" w:rsidRPr="00ED6198" w:rsidRDefault="0055599D" w:rsidP="007C38AC">
      <w:pPr>
        <w:pStyle w:val="TPText-1slovan"/>
        <w:jc w:val="both"/>
      </w:pPr>
      <w:r w:rsidRPr="00ED6198">
        <w:t xml:space="preserve">Ohlašovatelem s přístupem do </w:t>
      </w:r>
      <w:r w:rsidR="002C259F">
        <w:t>HelpDesk</w:t>
      </w:r>
      <w:r w:rsidRPr="00ED6198">
        <w:t xml:space="preserve"> je</w:t>
      </w:r>
    </w:p>
    <w:p w14:paraId="64EF52DE" w14:textId="13478671" w:rsidR="0055599D" w:rsidRPr="00ED6198" w:rsidRDefault="0055599D" w:rsidP="006B56DA">
      <w:pPr>
        <w:pStyle w:val="TPText-1slovan"/>
        <w:numPr>
          <w:ilvl w:val="0"/>
          <w:numId w:val="39"/>
        </w:numPr>
        <w:ind w:left="1701" w:hanging="425"/>
        <w:jc w:val="both"/>
      </w:pPr>
      <w:r w:rsidRPr="00ED6198">
        <w:t xml:space="preserve">pro úroveň L1 </w:t>
      </w:r>
      <w:r w:rsidR="002C259F">
        <w:t>HelpDesk</w:t>
      </w:r>
      <w:r w:rsidRPr="00ED6198">
        <w:t xml:space="preserve"> uživatele Software</w:t>
      </w:r>
      <w:r w:rsidR="00EF4636" w:rsidRPr="00ED6198">
        <w:t xml:space="preserve"> nebo Hardware</w:t>
      </w:r>
      <w:r w:rsidRPr="00ED6198">
        <w:t>;</w:t>
      </w:r>
    </w:p>
    <w:p w14:paraId="4C4AEC62" w14:textId="39FD68BB" w:rsidR="0055599D" w:rsidRPr="00ED6198" w:rsidRDefault="0055599D" w:rsidP="006B56DA">
      <w:pPr>
        <w:pStyle w:val="TPText-1slovan"/>
        <w:numPr>
          <w:ilvl w:val="0"/>
          <w:numId w:val="39"/>
        </w:numPr>
        <w:ind w:left="1701" w:hanging="425"/>
        <w:jc w:val="both"/>
      </w:pPr>
      <w:r w:rsidRPr="00ED6198">
        <w:t xml:space="preserve">pro úroveň L2 </w:t>
      </w:r>
      <w:r w:rsidR="002C259F">
        <w:t>HelpDesk</w:t>
      </w:r>
      <w:r w:rsidRPr="00ED6198">
        <w:t xml:space="preserve"> osoby určených Objednatelem dle jeho potřeb zajišťující úroveň L1 podpory;</w:t>
      </w:r>
    </w:p>
    <w:p w14:paraId="52BF85B4" w14:textId="49A792F1" w:rsidR="0055599D" w:rsidRPr="00ED6198" w:rsidRDefault="0055599D" w:rsidP="006B56DA">
      <w:pPr>
        <w:pStyle w:val="TPText-1slovan"/>
        <w:numPr>
          <w:ilvl w:val="0"/>
          <w:numId w:val="39"/>
        </w:numPr>
        <w:ind w:left="1701" w:hanging="425"/>
        <w:jc w:val="both"/>
      </w:pPr>
      <w:r w:rsidRPr="00ED6198">
        <w:t xml:space="preserve">pro úroveň L3 </w:t>
      </w:r>
      <w:r w:rsidR="002C259F">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92" w:name="_Ref118204245"/>
      <w:bookmarkStart w:id="93" w:name="_Ref118364511"/>
      <w:bookmarkStart w:id="94" w:name="_Toc103154256"/>
      <w:bookmarkStart w:id="95" w:name="_Toc136269760"/>
      <w:r w:rsidRPr="00ED6198">
        <w:t>nahlášení incidentu</w:t>
      </w:r>
      <w:bookmarkEnd w:id="92"/>
      <w:bookmarkEnd w:id="93"/>
      <w:bookmarkEnd w:id="94"/>
      <w:bookmarkEnd w:id="95"/>
    </w:p>
    <w:p w14:paraId="4009AEE0" w14:textId="6FCB10C3" w:rsidR="00821CBF" w:rsidRDefault="00821CBF" w:rsidP="007E3D60">
      <w:pPr>
        <w:pStyle w:val="TPText-1slovan"/>
        <w:jc w:val="both"/>
      </w:pPr>
      <w:bookmarkStart w:id="96" w:name="_Ref118204106"/>
      <w:r>
        <w:t>Hlášení o Incidentu Ohlašovatelem v doloženém časovém údaji, definovaném jako Čas nahlášení Incidentu bude provedena na příslušný HelDesk definovaný v </w:t>
      </w:r>
      <w:r w:rsidR="009D7EBD">
        <w:t>T</w:t>
      </w:r>
      <w:r>
        <w:t xml:space="preserve">echnické specifikaci. Ohlašovatel je povinen uvést popis Incidentu v následujícím rozsahu: </w:t>
      </w:r>
    </w:p>
    <w:p w14:paraId="4E86A94E" w14:textId="77777777" w:rsidR="00821CBF" w:rsidRDefault="00821CBF" w:rsidP="006B56DA">
      <w:pPr>
        <w:pStyle w:val="TPText-1slovan"/>
        <w:numPr>
          <w:ilvl w:val="0"/>
          <w:numId w:val="24"/>
        </w:numPr>
        <w:spacing w:before="40"/>
        <w:ind w:left="1701" w:hanging="425"/>
        <w:jc w:val="both"/>
      </w:pPr>
      <w:r>
        <w:t>krátký a rámcově výstižný název Incidentu;</w:t>
      </w:r>
    </w:p>
    <w:p w14:paraId="1F19FEB0" w14:textId="77777777" w:rsidR="00821CBF" w:rsidRDefault="00821CBF" w:rsidP="006B56DA">
      <w:pPr>
        <w:pStyle w:val="TPText-1slovan"/>
        <w:numPr>
          <w:ilvl w:val="0"/>
          <w:numId w:val="24"/>
        </w:numPr>
        <w:spacing w:before="40"/>
        <w:ind w:left="1701" w:hanging="425"/>
        <w:jc w:val="both"/>
      </w:pPr>
      <w:r>
        <w:t>identifikace části Předmětu Plnění, které se Incident týká,</w:t>
      </w:r>
    </w:p>
    <w:p w14:paraId="434C6840" w14:textId="77777777" w:rsidR="00821CBF" w:rsidRDefault="00821CBF" w:rsidP="006B56DA">
      <w:pPr>
        <w:pStyle w:val="TPText-1slovan"/>
        <w:numPr>
          <w:ilvl w:val="0"/>
          <w:numId w:val="24"/>
        </w:numPr>
        <w:spacing w:before="40"/>
        <w:ind w:left="1701" w:hanging="425"/>
        <w:jc w:val="both"/>
      </w:pPr>
      <w:r>
        <w:t>určení prostředí (Testovací prostředí, Produkční prostředí),</w:t>
      </w:r>
    </w:p>
    <w:p w14:paraId="65482F92" w14:textId="77777777" w:rsidR="00821CBF" w:rsidRDefault="00821CBF" w:rsidP="006B56DA">
      <w:pPr>
        <w:pStyle w:val="TPText-1slovan"/>
        <w:numPr>
          <w:ilvl w:val="0"/>
          <w:numId w:val="24"/>
        </w:numPr>
        <w:spacing w:before="40"/>
        <w:ind w:left="1701" w:hanging="425"/>
        <w:jc w:val="both"/>
      </w:pPr>
      <w:r>
        <w:t>detailní popis Incidentu, průvodních jevů a všech významných souvisejících informací,</w:t>
      </w:r>
    </w:p>
    <w:p w14:paraId="1D55E974" w14:textId="77777777" w:rsidR="00821CBF" w:rsidRDefault="00821CBF" w:rsidP="006B56DA">
      <w:pPr>
        <w:pStyle w:val="TPText-1slovan"/>
        <w:numPr>
          <w:ilvl w:val="0"/>
          <w:numId w:val="24"/>
        </w:numPr>
        <w:spacing w:before="40"/>
        <w:ind w:left="1701" w:hanging="425"/>
        <w:jc w:val="both"/>
      </w:pPr>
      <w:r>
        <w:t>Kategorii Incidentu specifikovanou jako Urgence</w:t>
      </w:r>
    </w:p>
    <w:p w14:paraId="03E9D2D2" w14:textId="77777777" w:rsidR="00821CBF" w:rsidRDefault="00821CBF" w:rsidP="006B56DA">
      <w:pPr>
        <w:pStyle w:val="TPText-1slovan"/>
        <w:numPr>
          <w:ilvl w:val="0"/>
          <w:numId w:val="24"/>
        </w:numPr>
        <w:spacing w:before="40"/>
        <w:ind w:left="1701" w:hanging="425"/>
        <w:jc w:val="both"/>
      </w:pPr>
      <w:r>
        <w:t>identifikaci Ohlašovatele.</w:t>
      </w:r>
    </w:p>
    <w:p w14:paraId="65F7E2AF" w14:textId="63C3F90F" w:rsidR="002B7DBD" w:rsidRPr="00335BA4" w:rsidRDefault="002B7DBD" w:rsidP="002B7DBD">
      <w:pPr>
        <w:pStyle w:val="TPText-1slovan"/>
        <w:jc w:val="both"/>
      </w:pPr>
      <w:bookmarkStart w:id="97" w:name="_Hlk118204340"/>
      <w:bookmarkEnd w:id="96"/>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A078BD" w:rsidRPr="00335BA4">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22C87DC4" w:rsidR="002B7DBD" w:rsidRPr="00335BA4" w:rsidRDefault="002B7DBD" w:rsidP="002B7DBD">
      <w:pPr>
        <w:pStyle w:val="TPText-1slovan"/>
        <w:jc w:val="both"/>
      </w:pPr>
      <w:r w:rsidRPr="00335BA4">
        <w:t xml:space="preserve">Je-li Incident nahlašován zadáním Incidentu do </w:t>
      </w:r>
      <w:r w:rsidR="002C259F">
        <w:t>HelpDesk</w:t>
      </w:r>
      <w:r w:rsidRPr="00335BA4">
        <w:t xml:space="preserve">u, pak se za Čas nahlášení Incidentu považuje čas vytvoření ticketu v </w:t>
      </w:r>
      <w:r w:rsidR="002C259F">
        <w:t>HelpDesk</w:t>
      </w:r>
      <w:r w:rsidRPr="00335BA4">
        <w:t xml:space="preserve">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prostřednictvím </w:t>
      </w:r>
      <w:r w:rsidR="002C259F">
        <w:t>HelpDesk</w:t>
      </w:r>
      <w:r w:rsidRPr="00335BA4">
        <w:t>. Nepotvrdí-li Dodavatel přijetí Incidentu, nemá to vliv na Čas nahlášení Incidentu.</w:t>
      </w:r>
    </w:p>
    <w:p w14:paraId="0733A3AA" w14:textId="008D85E0"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w:t>
      </w:r>
      <w:r w:rsidR="002E32E5">
        <w:t>v</w:t>
      </w:r>
      <w:r w:rsidR="002E32E5" w:rsidRPr="00335BA4">
        <w:t>ýkazech</w:t>
      </w:r>
      <w:r w:rsidRPr="00335BA4">
        <w:t>.</w:t>
      </w:r>
    </w:p>
    <w:p w14:paraId="3F67ABB9" w14:textId="478326B8" w:rsidR="002B7DBD"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A078BD" w:rsidRPr="00335BA4">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7"/>
      <w:r w:rsidRPr="00335BA4">
        <w:t>.</w:t>
      </w:r>
    </w:p>
    <w:p w14:paraId="2D10F67F" w14:textId="77777777" w:rsidR="00517047" w:rsidRPr="00335BA4" w:rsidRDefault="00517047" w:rsidP="00517047">
      <w:pPr>
        <w:pStyle w:val="TPText-1slovan"/>
        <w:numPr>
          <w:ilvl w:val="0"/>
          <w:numId w:val="0"/>
        </w:numPr>
        <w:ind w:left="1106"/>
        <w:jc w:val="both"/>
      </w:pPr>
    </w:p>
    <w:p w14:paraId="0DF54E13" w14:textId="37D59F25" w:rsidR="00754D6A" w:rsidRPr="00335BA4" w:rsidRDefault="007E3D60" w:rsidP="007C38AC">
      <w:pPr>
        <w:pStyle w:val="TPNADPIS-1slovan"/>
        <w:jc w:val="both"/>
      </w:pPr>
      <w:bookmarkStart w:id="98" w:name="_Ref118366079"/>
      <w:bookmarkStart w:id="99" w:name="_Toc103154257"/>
      <w:bookmarkStart w:id="100" w:name="_Toc136269761"/>
      <w:r>
        <w:t>Servisní</w:t>
      </w:r>
      <w:r w:rsidR="00754D6A" w:rsidRPr="00335BA4">
        <w:t xml:space="preserve"> modely</w:t>
      </w:r>
      <w:bookmarkEnd w:id="98"/>
      <w:bookmarkEnd w:id="99"/>
      <w:bookmarkEnd w:id="100"/>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D76E9E2" w:rsidR="00754D6A" w:rsidRPr="00ED6198" w:rsidRDefault="008B31AA" w:rsidP="007C38AC">
      <w:pPr>
        <w:pStyle w:val="TPText-1slovan"/>
        <w:jc w:val="both"/>
      </w:pPr>
      <w:bookmarkStart w:id="101"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w:t>
      </w:r>
      <w:r w:rsidR="00F45A74">
        <w:t xml:space="preserve">dle Technické specifikaci </w:t>
      </w:r>
      <w:r w:rsidRPr="00ED6198">
        <w:t>vymezen níže uvedených servisních model:</w:t>
      </w:r>
      <w:bookmarkEnd w:id="101"/>
    </w:p>
    <w:p w14:paraId="46AB4BF4" w14:textId="77777777" w:rsidR="005766CA" w:rsidRDefault="00F179F9" w:rsidP="00F179F9">
      <w:pPr>
        <w:pStyle w:val="TPText-1slovan"/>
        <w:numPr>
          <w:ilvl w:val="0"/>
          <w:numId w:val="0"/>
        </w:numPr>
        <w:ind w:left="1106"/>
        <w:jc w:val="both"/>
      </w:pPr>
      <w:r>
        <w:t xml:space="preserve"> </w:t>
      </w:r>
    </w:p>
    <w:p w14:paraId="2342F03F" w14:textId="348DA090" w:rsidR="00F45A74" w:rsidRPr="00BA2BBA" w:rsidRDefault="00F45A74" w:rsidP="007E3D60">
      <w:pPr>
        <w:pStyle w:val="TPText-1slovan"/>
        <w:numPr>
          <w:ilvl w:val="0"/>
          <w:numId w:val="0"/>
        </w:numPr>
        <w:ind w:left="1106"/>
        <w:jc w:val="both"/>
      </w:pPr>
      <w:r w:rsidRPr="00BA2BBA">
        <w:t>Dostupnost a provozu Software ve vazbě na servisní model a parametry SLA</w:t>
      </w:r>
    </w:p>
    <w:tbl>
      <w:tblPr>
        <w:tblStyle w:val="Mkatabulky"/>
        <w:tblW w:w="8643" w:type="dxa"/>
        <w:tblInd w:w="1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3"/>
        <w:gridCol w:w="1210"/>
        <w:gridCol w:w="998"/>
        <w:gridCol w:w="992"/>
        <w:gridCol w:w="704"/>
        <w:gridCol w:w="567"/>
        <w:gridCol w:w="1058"/>
        <w:gridCol w:w="2061"/>
      </w:tblGrid>
      <w:tr w:rsidR="00F45A74" w:rsidRPr="00F179F9" w14:paraId="5F1F6B91" w14:textId="77777777" w:rsidTr="007E3D60">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53" w:type="dxa"/>
            <w:tcBorders>
              <w:top w:val="single" w:sz="4" w:space="0" w:color="auto"/>
              <w:left w:val="single" w:sz="4" w:space="0" w:color="auto"/>
              <w:bottom w:val="single" w:sz="4" w:space="0" w:color="auto"/>
              <w:right w:val="single" w:sz="4" w:space="0" w:color="auto"/>
            </w:tcBorders>
          </w:tcPr>
          <w:p w14:paraId="5A075FD3" w14:textId="77777777" w:rsidR="00F45A74" w:rsidRPr="007E3D60" w:rsidRDefault="00F45A74" w:rsidP="00A17568">
            <w:pPr>
              <w:contextualSpacing/>
              <w:jc w:val="center"/>
              <w:rPr>
                <w:rFonts w:ascii="Verdana" w:hAnsi="Verdana"/>
                <w:b/>
                <w:sz w:val="16"/>
                <w:szCs w:val="16"/>
              </w:rPr>
            </w:pPr>
            <w:r w:rsidRPr="007E3D60">
              <w:rPr>
                <w:rFonts w:ascii="Verdana" w:hAnsi="Verdana"/>
                <w:b/>
                <w:sz w:val="16"/>
                <w:szCs w:val="16"/>
              </w:rPr>
              <w:t>Provozní</w:t>
            </w:r>
          </w:p>
          <w:p w14:paraId="67F411AB" w14:textId="77777777" w:rsidR="00F45A74" w:rsidRPr="007E3D60" w:rsidRDefault="00F45A74" w:rsidP="00A17568">
            <w:pPr>
              <w:contextualSpacing/>
              <w:jc w:val="center"/>
              <w:rPr>
                <w:rFonts w:ascii="Verdana" w:hAnsi="Verdana"/>
                <w:b/>
                <w:sz w:val="16"/>
                <w:szCs w:val="16"/>
              </w:rPr>
            </w:pPr>
            <w:r w:rsidRPr="007E3D60">
              <w:rPr>
                <w:rFonts w:ascii="Verdana" w:hAnsi="Verdana"/>
                <w:b/>
                <w:sz w:val="16"/>
                <w:szCs w:val="16"/>
              </w:rPr>
              <w:t>doba Software</w:t>
            </w:r>
          </w:p>
        </w:tc>
        <w:tc>
          <w:tcPr>
            <w:tcW w:w="1210" w:type="dxa"/>
            <w:tcBorders>
              <w:top w:val="single" w:sz="4" w:space="0" w:color="auto"/>
              <w:left w:val="single" w:sz="4" w:space="0" w:color="auto"/>
              <w:bottom w:val="single" w:sz="4" w:space="0" w:color="auto"/>
              <w:right w:val="single" w:sz="4" w:space="0" w:color="auto"/>
            </w:tcBorders>
          </w:tcPr>
          <w:p w14:paraId="1956BC2B"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Dostupnost Software</w:t>
            </w:r>
          </w:p>
        </w:tc>
        <w:tc>
          <w:tcPr>
            <w:tcW w:w="998" w:type="dxa"/>
            <w:tcBorders>
              <w:top w:val="single" w:sz="4" w:space="0" w:color="auto"/>
              <w:left w:val="single" w:sz="4" w:space="0" w:color="auto"/>
              <w:bottom w:val="single" w:sz="4" w:space="0" w:color="auto"/>
              <w:right w:val="single" w:sz="4" w:space="0" w:color="auto"/>
            </w:tcBorders>
          </w:tcPr>
          <w:p w14:paraId="2F7D7871"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Servisní model</w:t>
            </w:r>
          </w:p>
        </w:tc>
        <w:tc>
          <w:tcPr>
            <w:tcW w:w="992" w:type="dxa"/>
            <w:tcBorders>
              <w:top w:val="single" w:sz="4" w:space="0" w:color="auto"/>
              <w:left w:val="single" w:sz="4" w:space="0" w:color="auto"/>
              <w:bottom w:val="single" w:sz="4" w:space="0" w:color="auto"/>
              <w:right w:val="single" w:sz="4" w:space="0" w:color="auto"/>
            </w:tcBorders>
          </w:tcPr>
          <w:p w14:paraId="7B825114"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Doba provozu</w:t>
            </w:r>
          </w:p>
          <w:p w14:paraId="516D57C9"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(PD)</w:t>
            </w:r>
          </w:p>
        </w:tc>
        <w:tc>
          <w:tcPr>
            <w:tcW w:w="704" w:type="dxa"/>
            <w:tcBorders>
              <w:top w:val="single" w:sz="4" w:space="0" w:color="auto"/>
              <w:left w:val="single" w:sz="4" w:space="0" w:color="auto"/>
              <w:bottom w:val="single" w:sz="4" w:space="0" w:color="auto"/>
              <w:right w:val="single" w:sz="4" w:space="0" w:color="auto"/>
            </w:tcBorders>
          </w:tcPr>
          <w:p w14:paraId="6ACDAD08"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RPO</w:t>
            </w:r>
          </w:p>
        </w:tc>
        <w:tc>
          <w:tcPr>
            <w:tcW w:w="567" w:type="dxa"/>
            <w:tcBorders>
              <w:top w:val="single" w:sz="4" w:space="0" w:color="auto"/>
              <w:left w:val="single" w:sz="4" w:space="0" w:color="auto"/>
              <w:bottom w:val="single" w:sz="4" w:space="0" w:color="auto"/>
              <w:right w:val="single" w:sz="4" w:space="0" w:color="auto"/>
            </w:tcBorders>
          </w:tcPr>
          <w:p w14:paraId="6F740523"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RTO</w:t>
            </w:r>
          </w:p>
        </w:tc>
        <w:tc>
          <w:tcPr>
            <w:tcW w:w="1058" w:type="dxa"/>
            <w:tcBorders>
              <w:top w:val="single" w:sz="4" w:space="0" w:color="auto"/>
              <w:left w:val="single" w:sz="4" w:space="0" w:color="auto"/>
              <w:bottom w:val="single" w:sz="4" w:space="0" w:color="auto"/>
              <w:right w:val="single" w:sz="4" w:space="0" w:color="auto"/>
            </w:tcBorders>
          </w:tcPr>
          <w:p w14:paraId="50F60C05" w14:textId="4C31E874"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Plán</w:t>
            </w:r>
            <w:r w:rsidR="00F179F9">
              <w:rPr>
                <w:rFonts w:ascii="Verdana" w:hAnsi="Verdana"/>
                <w:b/>
                <w:sz w:val="16"/>
                <w:szCs w:val="16"/>
              </w:rPr>
              <w:t>.</w:t>
            </w:r>
          </w:p>
          <w:p w14:paraId="0A3802D9"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Odstávka</w:t>
            </w:r>
          </w:p>
        </w:tc>
        <w:tc>
          <w:tcPr>
            <w:tcW w:w="2061" w:type="dxa"/>
            <w:tcBorders>
              <w:top w:val="single" w:sz="4" w:space="0" w:color="auto"/>
              <w:left w:val="single" w:sz="4" w:space="0" w:color="auto"/>
              <w:bottom w:val="single" w:sz="4" w:space="0" w:color="auto"/>
              <w:right w:val="single" w:sz="4" w:space="0" w:color="auto"/>
            </w:tcBorders>
          </w:tcPr>
          <w:p w14:paraId="21D1E8F2"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Neplánovaná</w:t>
            </w:r>
          </w:p>
          <w:p w14:paraId="0CE2428A"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Odstávka</w:t>
            </w:r>
          </w:p>
        </w:tc>
      </w:tr>
      <w:tr w:rsidR="00F45A74" w:rsidRPr="00F179F9" w14:paraId="7567D11B" w14:textId="77777777" w:rsidTr="007E3D60">
        <w:tc>
          <w:tcPr>
            <w:cnfStyle w:val="001000000000" w:firstRow="0" w:lastRow="0" w:firstColumn="1" w:lastColumn="0" w:oddVBand="0" w:evenVBand="0" w:oddHBand="0" w:evenHBand="0" w:firstRowFirstColumn="0" w:firstRowLastColumn="0" w:lastRowFirstColumn="0" w:lastRowLastColumn="0"/>
            <w:tcW w:w="1053" w:type="dxa"/>
            <w:vMerge w:val="restart"/>
            <w:tcBorders>
              <w:top w:val="single" w:sz="4" w:space="0" w:color="auto"/>
            </w:tcBorders>
          </w:tcPr>
          <w:p w14:paraId="536E85CC" w14:textId="77777777" w:rsidR="00F45A74" w:rsidRPr="007E3D60" w:rsidRDefault="00F45A74" w:rsidP="00A17568">
            <w:pPr>
              <w:jc w:val="center"/>
              <w:rPr>
                <w:rFonts w:ascii="Verdana" w:hAnsi="Verdana"/>
                <w:sz w:val="16"/>
              </w:rPr>
            </w:pPr>
            <w:r w:rsidRPr="007E3D60">
              <w:rPr>
                <w:rFonts w:ascii="Verdana" w:hAnsi="Verdana"/>
                <w:sz w:val="16"/>
              </w:rPr>
              <w:lastRenderedPageBreak/>
              <w:t>7x24</w:t>
            </w:r>
          </w:p>
        </w:tc>
        <w:tc>
          <w:tcPr>
            <w:tcW w:w="1210" w:type="dxa"/>
            <w:vMerge w:val="restart"/>
            <w:tcBorders>
              <w:top w:val="single" w:sz="4" w:space="0" w:color="auto"/>
            </w:tcBorders>
          </w:tcPr>
          <w:p w14:paraId="520FC112"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97%</w:t>
            </w:r>
          </w:p>
        </w:tc>
        <w:tc>
          <w:tcPr>
            <w:tcW w:w="998" w:type="dxa"/>
            <w:tcBorders>
              <w:top w:val="single" w:sz="4" w:space="0" w:color="auto"/>
            </w:tcBorders>
          </w:tcPr>
          <w:p w14:paraId="416EA0D6"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C1</w:t>
            </w:r>
          </w:p>
        </w:tc>
        <w:tc>
          <w:tcPr>
            <w:tcW w:w="992" w:type="dxa"/>
            <w:tcBorders>
              <w:top w:val="single" w:sz="4" w:space="0" w:color="auto"/>
            </w:tcBorders>
          </w:tcPr>
          <w:p w14:paraId="4C1D0EA7"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5x12</w:t>
            </w:r>
          </w:p>
        </w:tc>
        <w:tc>
          <w:tcPr>
            <w:tcW w:w="704" w:type="dxa"/>
            <w:vMerge w:val="restart"/>
            <w:tcBorders>
              <w:top w:val="single" w:sz="4" w:space="0" w:color="auto"/>
            </w:tcBorders>
          </w:tcPr>
          <w:p w14:paraId="11C7FF80"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24 h</w:t>
            </w:r>
          </w:p>
        </w:tc>
        <w:tc>
          <w:tcPr>
            <w:tcW w:w="567" w:type="dxa"/>
            <w:vMerge w:val="restart"/>
            <w:tcBorders>
              <w:top w:val="single" w:sz="4" w:space="0" w:color="auto"/>
            </w:tcBorders>
          </w:tcPr>
          <w:p w14:paraId="40A19B61"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N/A</w:t>
            </w:r>
          </w:p>
        </w:tc>
        <w:tc>
          <w:tcPr>
            <w:tcW w:w="1058" w:type="dxa"/>
            <w:vMerge w:val="restart"/>
            <w:tcBorders>
              <w:top w:val="single" w:sz="4" w:space="0" w:color="auto"/>
            </w:tcBorders>
          </w:tcPr>
          <w:p w14:paraId="12D2B5D4"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dle Plánu</w:t>
            </w:r>
          </w:p>
        </w:tc>
        <w:tc>
          <w:tcPr>
            <w:tcW w:w="2061" w:type="dxa"/>
            <w:tcBorders>
              <w:top w:val="single" w:sz="4" w:space="0" w:color="auto"/>
            </w:tcBorders>
          </w:tcPr>
          <w:p w14:paraId="38963479" w14:textId="77777777" w:rsidR="00F45A74" w:rsidRPr="007E3D60" w:rsidRDefault="00F45A74" w:rsidP="00A17568">
            <w:pP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 xml:space="preserve"> do 24 h 5 PD předem</w:t>
            </w:r>
          </w:p>
        </w:tc>
      </w:tr>
      <w:tr w:rsidR="00F45A74" w:rsidRPr="00F179F9" w14:paraId="335287F4" w14:textId="77777777" w:rsidTr="007E3D60">
        <w:tc>
          <w:tcPr>
            <w:cnfStyle w:val="001000000000" w:firstRow="0" w:lastRow="0" w:firstColumn="1" w:lastColumn="0" w:oddVBand="0" w:evenVBand="0" w:oddHBand="0" w:evenHBand="0" w:firstRowFirstColumn="0" w:firstRowLastColumn="0" w:lastRowFirstColumn="0" w:lastRowLastColumn="0"/>
            <w:tcW w:w="1053" w:type="dxa"/>
            <w:vMerge/>
          </w:tcPr>
          <w:p w14:paraId="2ACE0021" w14:textId="77777777" w:rsidR="00F45A74" w:rsidRPr="007E3D60" w:rsidRDefault="00F45A74" w:rsidP="00A17568">
            <w:pPr>
              <w:jc w:val="center"/>
              <w:rPr>
                <w:rFonts w:ascii="Verdana" w:hAnsi="Verdana"/>
                <w:sz w:val="16"/>
              </w:rPr>
            </w:pPr>
          </w:p>
        </w:tc>
        <w:tc>
          <w:tcPr>
            <w:tcW w:w="1210" w:type="dxa"/>
            <w:vMerge/>
          </w:tcPr>
          <w:p w14:paraId="3BE7CDA0"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p>
        </w:tc>
        <w:tc>
          <w:tcPr>
            <w:tcW w:w="998" w:type="dxa"/>
          </w:tcPr>
          <w:p w14:paraId="46C85295"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normální</w:t>
            </w:r>
          </w:p>
        </w:tc>
        <w:tc>
          <w:tcPr>
            <w:tcW w:w="992" w:type="dxa"/>
          </w:tcPr>
          <w:p w14:paraId="0E1507B5"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(6-18)</w:t>
            </w:r>
          </w:p>
        </w:tc>
        <w:tc>
          <w:tcPr>
            <w:tcW w:w="704" w:type="dxa"/>
            <w:vMerge/>
          </w:tcPr>
          <w:p w14:paraId="57D55B9B"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p>
        </w:tc>
        <w:tc>
          <w:tcPr>
            <w:tcW w:w="567" w:type="dxa"/>
            <w:vMerge/>
          </w:tcPr>
          <w:p w14:paraId="2F2833A2"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p>
        </w:tc>
        <w:tc>
          <w:tcPr>
            <w:tcW w:w="1058" w:type="dxa"/>
            <w:vMerge/>
          </w:tcPr>
          <w:p w14:paraId="34519E07"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p>
        </w:tc>
        <w:tc>
          <w:tcPr>
            <w:tcW w:w="2061" w:type="dxa"/>
          </w:tcPr>
          <w:p w14:paraId="3A2833A8" w14:textId="77777777" w:rsidR="00F45A74" w:rsidRPr="007E3D60" w:rsidRDefault="00F45A74" w:rsidP="00A17568">
            <w:pP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 xml:space="preserve"> nad 24 h 14 PD předem</w:t>
            </w:r>
          </w:p>
        </w:tc>
      </w:tr>
    </w:tbl>
    <w:p w14:paraId="4109E69A" w14:textId="493FC94F" w:rsidR="00F45A74" w:rsidRPr="007E3D60" w:rsidRDefault="00F179F9" w:rsidP="007E3D60">
      <w:pPr>
        <w:pStyle w:val="TPText-1slovan"/>
        <w:numPr>
          <w:ilvl w:val="0"/>
          <w:numId w:val="0"/>
        </w:numPr>
        <w:ind w:left="1106"/>
        <w:jc w:val="both"/>
      </w:pPr>
      <w:bookmarkStart w:id="102" w:name="_Toc135064448"/>
      <w:r>
        <w:t xml:space="preserve">  </w:t>
      </w:r>
      <w:r w:rsidR="00F45A74" w:rsidRPr="00F179F9">
        <w:t>Ře</w:t>
      </w:r>
      <w:r w:rsidR="00F45A74" w:rsidRPr="007E3D60">
        <w:t>šení Incidentů a Požadavků ve vazbě na servisní model a parametry SLA</w:t>
      </w:r>
      <w:bookmarkEnd w:id="102"/>
    </w:p>
    <w:tbl>
      <w:tblPr>
        <w:tblStyle w:val="Mkatabulky"/>
        <w:tblW w:w="8642" w:type="dxa"/>
        <w:tblInd w:w="1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134"/>
        <w:gridCol w:w="851"/>
        <w:gridCol w:w="850"/>
        <w:gridCol w:w="1134"/>
        <w:gridCol w:w="709"/>
        <w:gridCol w:w="1134"/>
        <w:gridCol w:w="992"/>
        <w:gridCol w:w="1134"/>
      </w:tblGrid>
      <w:tr w:rsidR="00F45A74" w:rsidRPr="00BA2BBA" w14:paraId="38245204" w14:textId="77777777" w:rsidTr="007E3D60">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673" w:type="dxa"/>
            <w:gridSpan w:val="5"/>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3E078F1" w14:textId="77777777" w:rsidR="00F45A74" w:rsidRPr="007E3D60" w:rsidRDefault="00F45A74" w:rsidP="00A17568">
            <w:pPr>
              <w:contextualSpacing/>
              <w:jc w:val="center"/>
              <w:rPr>
                <w:rFonts w:ascii="Verdana" w:hAnsi="Verdana"/>
                <w:b/>
                <w:sz w:val="16"/>
                <w:szCs w:val="16"/>
              </w:rPr>
            </w:pPr>
            <w:r w:rsidRPr="007E3D60">
              <w:rPr>
                <w:rFonts w:ascii="Verdana" w:hAnsi="Verdana"/>
                <w:b/>
                <w:sz w:val="16"/>
                <w:szCs w:val="16"/>
              </w:rPr>
              <w:t>Incident</w:t>
            </w:r>
          </w:p>
        </w:tc>
        <w:tc>
          <w:tcPr>
            <w:tcW w:w="3969" w:type="dxa"/>
            <w:gridSpan w:val="4"/>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8C72FE"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Požadavek</w:t>
            </w:r>
          </w:p>
        </w:tc>
      </w:tr>
      <w:tr w:rsidR="00F45A74" w:rsidRPr="00BA2BBA" w14:paraId="2249CE79" w14:textId="77777777" w:rsidTr="007E3D60">
        <w:trPr>
          <w:trHeight w:val="402"/>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F2F2F2" w:themeFill="background1" w:themeFillShade="F2"/>
          </w:tcPr>
          <w:p w14:paraId="646B31D4" w14:textId="77777777" w:rsidR="00F45A74" w:rsidRPr="00BA2BBA" w:rsidRDefault="00F45A74" w:rsidP="00A17568">
            <w:pPr>
              <w:contextualSpacing/>
              <w:jc w:val="center"/>
              <w:rPr>
                <w:b/>
                <w:sz w:val="16"/>
                <w:szCs w:val="16"/>
              </w:rPr>
            </w:pPr>
            <w:r w:rsidRPr="00BA2BBA">
              <w:rPr>
                <w:b/>
                <w:sz w:val="16"/>
                <w:szCs w:val="16"/>
              </w:rPr>
              <w:t>RTI</w:t>
            </w:r>
          </w:p>
        </w:tc>
        <w:tc>
          <w:tcPr>
            <w:tcW w:w="3969" w:type="dxa"/>
            <w:gridSpan w:val="4"/>
            <w:shd w:val="clear" w:color="auto" w:fill="F2F2F2" w:themeFill="background1" w:themeFillShade="F2"/>
          </w:tcPr>
          <w:p w14:paraId="7F636BB4"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Priorita Incidentu</w:t>
            </w:r>
          </w:p>
        </w:tc>
        <w:tc>
          <w:tcPr>
            <w:tcW w:w="709" w:type="dxa"/>
            <w:vMerge w:val="restart"/>
            <w:shd w:val="clear" w:color="auto" w:fill="F2F2F2" w:themeFill="background1" w:themeFillShade="F2"/>
          </w:tcPr>
          <w:p w14:paraId="2427C27E"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RTR</w:t>
            </w:r>
          </w:p>
        </w:tc>
        <w:tc>
          <w:tcPr>
            <w:tcW w:w="3260" w:type="dxa"/>
            <w:gridSpan w:val="3"/>
            <w:shd w:val="clear" w:color="auto" w:fill="F2F2F2" w:themeFill="background1" w:themeFillShade="F2"/>
          </w:tcPr>
          <w:p w14:paraId="245D170B"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Kategorie Požadavku</w:t>
            </w:r>
          </w:p>
        </w:tc>
      </w:tr>
      <w:tr w:rsidR="00F45A74" w:rsidRPr="00BA2BBA" w14:paraId="2BB1C04D" w14:textId="77777777" w:rsidTr="007E3D60">
        <w:trPr>
          <w:trHeight w:val="402"/>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F2F2F2" w:themeFill="background1" w:themeFillShade="F2"/>
          </w:tcPr>
          <w:p w14:paraId="0482CAC2" w14:textId="77777777" w:rsidR="00F45A74" w:rsidRPr="00BA2BBA" w:rsidRDefault="00F45A74" w:rsidP="00A17568">
            <w:pPr>
              <w:contextualSpacing/>
              <w:jc w:val="center"/>
              <w:rPr>
                <w:b/>
                <w:sz w:val="16"/>
                <w:szCs w:val="16"/>
              </w:rPr>
            </w:pPr>
          </w:p>
        </w:tc>
        <w:tc>
          <w:tcPr>
            <w:tcW w:w="1134" w:type="dxa"/>
            <w:shd w:val="clear" w:color="auto" w:fill="F2F2F2" w:themeFill="background1" w:themeFillShade="F2"/>
          </w:tcPr>
          <w:p w14:paraId="28A91CF1"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(A)</w:t>
            </w:r>
          </w:p>
        </w:tc>
        <w:tc>
          <w:tcPr>
            <w:tcW w:w="851" w:type="dxa"/>
            <w:shd w:val="clear" w:color="auto" w:fill="F2F2F2" w:themeFill="background1" w:themeFillShade="F2"/>
          </w:tcPr>
          <w:p w14:paraId="7AC80052"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(B)</w:t>
            </w:r>
          </w:p>
        </w:tc>
        <w:tc>
          <w:tcPr>
            <w:tcW w:w="850" w:type="dxa"/>
            <w:shd w:val="clear" w:color="auto" w:fill="F2F2F2" w:themeFill="background1" w:themeFillShade="F2"/>
          </w:tcPr>
          <w:p w14:paraId="65C14186"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(C)</w:t>
            </w:r>
          </w:p>
        </w:tc>
        <w:tc>
          <w:tcPr>
            <w:tcW w:w="1134" w:type="dxa"/>
            <w:shd w:val="clear" w:color="auto" w:fill="F2F2F2" w:themeFill="background1" w:themeFillShade="F2"/>
          </w:tcPr>
          <w:p w14:paraId="41FB95B6"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(D)</w:t>
            </w:r>
          </w:p>
        </w:tc>
        <w:tc>
          <w:tcPr>
            <w:tcW w:w="709" w:type="dxa"/>
            <w:vMerge/>
            <w:shd w:val="clear" w:color="auto" w:fill="F2F2F2" w:themeFill="background1" w:themeFillShade="F2"/>
          </w:tcPr>
          <w:p w14:paraId="6BAB2D66"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p>
        </w:tc>
        <w:tc>
          <w:tcPr>
            <w:tcW w:w="1134" w:type="dxa"/>
            <w:shd w:val="clear" w:color="auto" w:fill="F2F2F2" w:themeFill="background1" w:themeFillShade="F2"/>
          </w:tcPr>
          <w:p w14:paraId="20F98A6F"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V</w:t>
            </w:r>
          </w:p>
        </w:tc>
        <w:tc>
          <w:tcPr>
            <w:tcW w:w="992" w:type="dxa"/>
            <w:shd w:val="clear" w:color="auto" w:fill="F2F2F2" w:themeFill="background1" w:themeFillShade="F2"/>
          </w:tcPr>
          <w:p w14:paraId="204078DA"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S</w:t>
            </w:r>
          </w:p>
        </w:tc>
        <w:tc>
          <w:tcPr>
            <w:tcW w:w="1134" w:type="dxa"/>
            <w:shd w:val="clear" w:color="auto" w:fill="F2F2F2" w:themeFill="background1" w:themeFillShade="F2"/>
          </w:tcPr>
          <w:p w14:paraId="64690355"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N</w:t>
            </w:r>
          </w:p>
        </w:tc>
      </w:tr>
      <w:tr w:rsidR="00F45A74" w:rsidRPr="00BA2BBA" w14:paraId="527EB812" w14:textId="77777777" w:rsidTr="007E3D60">
        <w:trPr>
          <w:trHeight w:val="402"/>
        </w:trPr>
        <w:tc>
          <w:tcPr>
            <w:cnfStyle w:val="001000000000" w:firstRow="0" w:lastRow="0" w:firstColumn="1" w:lastColumn="0" w:oddVBand="0" w:evenVBand="0" w:oddHBand="0" w:evenHBand="0" w:firstRowFirstColumn="0" w:firstRowLastColumn="0" w:lastRowFirstColumn="0" w:lastRowLastColumn="0"/>
            <w:tcW w:w="704" w:type="dxa"/>
          </w:tcPr>
          <w:p w14:paraId="5D2B1D71" w14:textId="77777777" w:rsidR="00F45A74" w:rsidRPr="00BA2BBA" w:rsidRDefault="00F45A74" w:rsidP="00A17568">
            <w:pPr>
              <w:jc w:val="center"/>
              <w:rPr>
                <w:sz w:val="16"/>
              </w:rPr>
            </w:pPr>
            <w:r w:rsidRPr="00BA2BBA">
              <w:rPr>
                <w:sz w:val="16"/>
              </w:rPr>
              <w:t>1 PD</w:t>
            </w:r>
          </w:p>
        </w:tc>
        <w:tc>
          <w:tcPr>
            <w:tcW w:w="1134" w:type="dxa"/>
          </w:tcPr>
          <w:p w14:paraId="5A155F3A"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4 h</w:t>
            </w:r>
          </w:p>
        </w:tc>
        <w:tc>
          <w:tcPr>
            <w:tcW w:w="851" w:type="dxa"/>
          </w:tcPr>
          <w:p w14:paraId="00F3127C"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3 PD</w:t>
            </w:r>
          </w:p>
        </w:tc>
        <w:tc>
          <w:tcPr>
            <w:tcW w:w="850" w:type="dxa"/>
          </w:tcPr>
          <w:p w14:paraId="0818CD6E"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5 PD</w:t>
            </w:r>
          </w:p>
        </w:tc>
        <w:tc>
          <w:tcPr>
            <w:tcW w:w="1134" w:type="dxa"/>
          </w:tcPr>
          <w:p w14:paraId="3A8DB926"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individuálně</w:t>
            </w:r>
          </w:p>
        </w:tc>
        <w:tc>
          <w:tcPr>
            <w:tcW w:w="709" w:type="dxa"/>
          </w:tcPr>
          <w:p w14:paraId="6A04B105"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3 PD</w:t>
            </w:r>
          </w:p>
        </w:tc>
        <w:tc>
          <w:tcPr>
            <w:tcW w:w="1134" w:type="dxa"/>
          </w:tcPr>
          <w:p w14:paraId="5107F69D"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7 PD</w:t>
            </w:r>
          </w:p>
        </w:tc>
        <w:tc>
          <w:tcPr>
            <w:tcW w:w="992" w:type="dxa"/>
          </w:tcPr>
          <w:p w14:paraId="398CD128"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10 PD</w:t>
            </w:r>
          </w:p>
        </w:tc>
        <w:tc>
          <w:tcPr>
            <w:tcW w:w="1134" w:type="dxa"/>
          </w:tcPr>
          <w:p w14:paraId="6A40C97D"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individuálně</w:t>
            </w:r>
          </w:p>
        </w:tc>
      </w:tr>
    </w:tbl>
    <w:p w14:paraId="584BB9E5" w14:textId="77777777" w:rsidR="003277D7" w:rsidRPr="00ED6198" w:rsidRDefault="003277D7" w:rsidP="007C38AC">
      <w:pPr>
        <w:pStyle w:val="TPText-1slovan"/>
        <w:numPr>
          <w:ilvl w:val="0"/>
          <w:numId w:val="0"/>
        </w:numPr>
        <w:ind w:left="1106"/>
        <w:jc w:val="both"/>
      </w:pPr>
    </w:p>
    <w:p w14:paraId="113152E7" w14:textId="11861B18" w:rsidR="00FA6454" w:rsidRPr="007E3D60" w:rsidRDefault="00FA6454">
      <w:pPr>
        <w:pStyle w:val="TPText-1slovan"/>
        <w:jc w:val="both"/>
        <w:rPr>
          <w:highlight w:val="green"/>
        </w:rPr>
      </w:pPr>
      <w:bookmarkStart w:id="103" w:name="_Ref118357435"/>
      <w:r w:rsidRPr="00BD1DDA">
        <w:t xml:space="preserve">Doba řešení </w:t>
      </w:r>
      <w:r w:rsidR="00F45A74" w:rsidRPr="00BD1DDA">
        <w:t>Incidentu</w:t>
      </w:r>
      <w:r w:rsidR="00176EB7" w:rsidRPr="007E3D60">
        <w:t xml:space="preserve"> </w:t>
      </w:r>
      <w:r w:rsidR="00AB5950">
        <w:t>P</w:t>
      </w:r>
      <w:r w:rsidR="00176EB7" w:rsidRPr="007E3D60">
        <w:t>riority D</w:t>
      </w:r>
      <w:r w:rsidR="00F45A74" w:rsidRPr="00BD1DDA">
        <w:t xml:space="preserve"> </w:t>
      </w:r>
      <w:r w:rsidRPr="00BD1DDA">
        <w:t xml:space="preserve">a </w:t>
      </w:r>
      <w:r w:rsidR="000123ED" w:rsidRPr="00BD1DDA">
        <w:t>P</w:t>
      </w:r>
      <w:r w:rsidRPr="00BD1DDA">
        <w:t xml:space="preserve">ožadavku </w:t>
      </w:r>
      <w:r w:rsidR="00AB5950">
        <w:t>K</w:t>
      </w:r>
      <w:r w:rsidR="00AB5950" w:rsidRPr="00BD1DDA">
        <w:t xml:space="preserve">ategorie </w:t>
      </w:r>
      <w:r w:rsidRPr="00BD1DDA">
        <w:t xml:space="preserve">C je </w:t>
      </w:r>
      <w:r w:rsidR="00176EB7" w:rsidRPr="007E3D60">
        <w:t xml:space="preserve">primárně </w:t>
      </w:r>
      <w:r w:rsidRPr="00BD1DDA">
        <w:t>stanovena na 15 PD.</w:t>
      </w:r>
    </w:p>
    <w:p w14:paraId="7DA0FEE5" w14:textId="78CD1433" w:rsidR="006434ED" w:rsidRPr="00335BA4" w:rsidRDefault="0029363B" w:rsidP="004B7B03">
      <w:pPr>
        <w:pStyle w:val="TPText-1slovan"/>
        <w:jc w:val="both"/>
      </w:pPr>
      <w:bookmarkStart w:id="104" w:name="_Ref135126511"/>
      <w:r w:rsidRPr="00335BA4">
        <w:t>D</w:t>
      </w:r>
      <w:r w:rsidR="00DF19CC" w:rsidRPr="00335BA4">
        <w:t xml:space="preserve">o měření úrovně </w:t>
      </w:r>
      <w:r w:rsidR="000123ED" w:rsidRPr="00335BA4">
        <w:t>D</w:t>
      </w:r>
      <w:r w:rsidR="00DF19CC" w:rsidRPr="00335BA4">
        <w:t>ostupnosti nejsou započítávány</w:t>
      </w:r>
      <w:r w:rsidRPr="00335BA4">
        <w:t>:</w:t>
      </w:r>
      <w:bookmarkEnd w:id="103"/>
      <w:bookmarkEnd w:id="104"/>
    </w:p>
    <w:p w14:paraId="478D3B45" w14:textId="41376B2E" w:rsidR="0029363B" w:rsidRPr="00335BA4" w:rsidRDefault="009C65B9" w:rsidP="006B56DA">
      <w:pPr>
        <w:pStyle w:val="TPText-1slovan"/>
        <w:numPr>
          <w:ilvl w:val="0"/>
          <w:numId w:val="56"/>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w:t>
      </w:r>
      <w:r w:rsidR="00732952">
        <w:t xml:space="preserve">Plánovaná </w:t>
      </w:r>
      <w:r w:rsidR="00F1604E">
        <w:t>O</w:t>
      </w:r>
      <w:r w:rsidR="00F1604E" w:rsidRPr="00335BA4">
        <w:t>dstávka</w:t>
      </w:r>
      <w:r w:rsidR="00DF19CC" w:rsidRPr="00335BA4">
        <w:t>),</w:t>
      </w:r>
    </w:p>
    <w:p w14:paraId="0C8FB3CA" w14:textId="1D669689" w:rsidR="00DF19CC" w:rsidRPr="00335BA4" w:rsidRDefault="009C65B9" w:rsidP="006B56DA">
      <w:pPr>
        <w:pStyle w:val="TPText-1slovan"/>
        <w:numPr>
          <w:ilvl w:val="0"/>
          <w:numId w:val="56"/>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6B56DA">
      <w:pPr>
        <w:pStyle w:val="TPText-1slovan"/>
        <w:numPr>
          <w:ilvl w:val="0"/>
          <w:numId w:val="56"/>
        </w:numPr>
        <w:jc w:val="both"/>
      </w:pPr>
      <w:r w:rsidRPr="00335BA4">
        <w:t>smluvními stranami předem dohodnutý časový úsek za účelem instalace upgrade,</w:t>
      </w:r>
    </w:p>
    <w:p w14:paraId="34F170FF" w14:textId="48864B11" w:rsidR="00D6195A" w:rsidRPr="00335BA4" w:rsidRDefault="00D6195A" w:rsidP="006B56DA">
      <w:pPr>
        <w:pStyle w:val="TPText-1slovan"/>
        <w:numPr>
          <w:ilvl w:val="0"/>
          <w:numId w:val="56"/>
        </w:numPr>
        <w:jc w:val="both"/>
      </w:pPr>
      <w:r w:rsidRPr="00335BA4">
        <w:t>výpadky Software způsobené Objednatelem přímo v důsledku jím provedených zásahů do Software, které nebyly Dodavatelem předem schváleny,</w:t>
      </w:r>
    </w:p>
    <w:p w14:paraId="7AB75029" w14:textId="5EF0775A" w:rsidR="001F22F8" w:rsidRPr="005766CA" w:rsidRDefault="009C65B9" w:rsidP="007E3D60">
      <w:pPr>
        <w:pStyle w:val="TPText-1slovan"/>
        <w:spacing w:after="160" w:line="259" w:lineRule="auto"/>
        <w:jc w:val="both"/>
      </w:pPr>
      <w:r w:rsidRPr="00335BA4">
        <w:t xml:space="preserve">Nedostupnost Software dle </w:t>
      </w:r>
      <w:r w:rsidR="00AD757A" w:rsidRPr="00335BA4">
        <w:t>článku</w:t>
      </w:r>
      <w:r w:rsidR="00F05382">
        <w:t xml:space="preserve"> </w:t>
      </w:r>
      <w:r w:rsidR="00F05382">
        <w:fldChar w:fldCharType="begin"/>
      </w:r>
      <w:r w:rsidR="00F05382">
        <w:instrText xml:space="preserve"> REF _Ref135126511 \r \h </w:instrText>
      </w:r>
      <w:r w:rsidR="00F05382">
        <w:fldChar w:fldCharType="separate"/>
      </w:r>
      <w:r w:rsidR="00F05382">
        <w:t>12.4</w:t>
      </w:r>
      <w:r w:rsidR="00F05382">
        <w:fldChar w:fldCharType="end"/>
      </w:r>
      <w:r w:rsidR="00E03343" w:rsidRPr="00335BA4">
        <w:t>.</w:t>
      </w:r>
      <w:r w:rsidR="00AD757A" w:rsidRPr="00335BA4">
        <w:t xml:space="preserve"> ZOP</w:t>
      </w:r>
      <w:r w:rsidR="004B5747">
        <w:t xml:space="preserve"> </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A078BD" w:rsidRPr="00335BA4">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A078BD" w:rsidRPr="00335BA4">
        <w:t>12.7</w:t>
      </w:r>
      <w:r w:rsidR="00E84709" w:rsidRPr="00335BA4">
        <w:fldChar w:fldCharType="end"/>
      </w:r>
      <w:r w:rsidR="00E03343" w:rsidRPr="00335BA4">
        <w:t>.</w:t>
      </w:r>
      <w:r w:rsidR="00E84709" w:rsidRPr="00335BA4">
        <w:t xml:space="preserve"> </w:t>
      </w:r>
      <w:r w:rsidR="00AD757A" w:rsidRPr="00335BA4">
        <w:t>ZOP</w:t>
      </w:r>
      <w:r w:rsidR="003615BA" w:rsidRPr="00335BA4">
        <w:t>.</w:t>
      </w:r>
      <w:bookmarkStart w:id="105" w:name="_Ref118362256"/>
    </w:p>
    <w:p w14:paraId="0E835A01" w14:textId="5DB512BC" w:rsidR="003615BA" w:rsidRPr="00335BA4" w:rsidRDefault="003615BA" w:rsidP="004B7B03">
      <w:pPr>
        <w:pStyle w:val="TPText-1slovan"/>
        <w:jc w:val="both"/>
      </w:pPr>
      <w:r w:rsidRPr="00335BA4">
        <w:t>Nestanoví-li Smlouva jinak, bude Dostupnost Software měřena na základě následujícího vzorce:</w:t>
      </w:r>
      <w:bookmarkEnd w:id="105"/>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06"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06"/>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2B497A3D" w:rsidR="005613AC" w:rsidRDefault="004B3538" w:rsidP="004B7B03">
      <w:pPr>
        <w:pStyle w:val="TPText-1slovan"/>
        <w:jc w:val="both"/>
      </w:pPr>
      <w:bookmarkStart w:id="107"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07"/>
    </w:p>
    <w:p w14:paraId="418B2427" w14:textId="7FD497CD" w:rsidR="001500AE" w:rsidRPr="00ED6198" w:rsidRDefault="001500AE" w:rsidP="007C38AC">
      <w:pPr>
        <w:pStyle w:val="TPNADPIS-1slovan"/>
        <w:jc w:val="both"/>
      </w:pPr>
      <w:bookmarkStart w:id="108" w:name="_Toc103154258"/>
      <w:bookmarkStart w:id="109" w:name="_Toc136269762"/>
      <w:r w:rsidRPr="00ED6198">
        <w:t>Účast poddodavatelů</w:t>
      </w:r>
      <w:bookmarkEnd w:id="108"/>
      <w:bookmarkEnd w:id="109"/>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0" w:name="_Ref115447808"/>
      <w:r w:rsidRPr="00ED6198">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0"/>
      <w:r w:rsidRPr="00ED6198">
        <w:t xml:space="preserve">  </w:t>
      </w:r>
    </w:p>
    <w:p w14:paraId="00F49220" w14:textId="513C1D73" w:rsidR="00A0266C" w:rsidRPr="00335BA4" w:rsidRDefault="00A0266C" w:rsidP="00F07A3F">
      <w:pPr>
        <w:pStyle w:val="TPText-1slovan"/>
        <w:jc w:val="both"/>
      </w:pPr>
      <w:bookmarkStart w:id="111" w:name="_Ref115684777"/>
      <w:r w:rsidRPr="00335BA4">
        <w:lastRenderedPageBreak/>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1"/>
    </w:p>
    <w:p w14:paraId="52E042F1" w14:textId="770B3195" w:rsidR="005F2A37" w:rsidRPr="00ED6198" w:rsidRDefault="005F2A37" w:rsidP="007C38AC">
      <w:pPr>
        <w:pStyle w:val="TPNADPIS-1slovan"/>
        <w:jc w:val="both"/>
      </w:pPr>
      <w:bookmarkStart w:id="112" w:name="_Toc103154259"/>
      <w:bookmarkStart w:id="113" w:name="_Toc136269763"/>
      <w:r w:rsidRPr="00ED6198">
        <w:t>Realizační tým</w:t>
      </w:r>
      <w:bookmarkEnd w:id="112"/>
      <w:bookmarkEnd w:id="113"/>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14" w:name="_Toc27420364"/>
      <w:bookmarkStart w:id="115" w:name="_Toc28452716"/>
      <w:bookmarkStart w:id="116" w:name="_Toc103154260"/>
      <w:bookmarkStart w:id="117" w:name="_Toc136269764"/>
      <w:bookmarkEnd w:id="114"/>
      <w:bookmarkEnd w:id="115"/>
      <w:r w:rsidRPr="00ED6198">
        <w:t>K</w:t>
      </w:r>
      <w:r w:rsidR="00B50D4F" w:rsidRPr="00ED6198">
        <w:t>omunikace stran</w:t>
      </w:r>
      <w:bookmarkEnd w:id="116"/>
      <w:bookmarkEnd w:id="117"/>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648E8370"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A078BD" w:rsidRPr="00335BA4">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A078BD" w:rsidRPr="00335BA4">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A078BD" w:rsidRPr="00335BA4">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18" w:name="_Toc26368471"/>
      <w:bookmarkStart w:id="119" w:name="_Toc103154261"/>
      <w:bookmarkStart w:id="120" w:name="_Toc136269765"/>
      <w:bookmarkEnd w:id="118"/>
      <w:r w:rsidRPr="00ED6198">
        <w:t>Smluvní pokuty</w:t>
      </w:r>
      <w:bookmarkEnd w:id="119"/>
      <w:bookmarkEnd w:id="120"/>
    </w:p>
    <w:p w14:paraId="16973C90" w14:textId="373115C9"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0094254F">
        <w:rPr>
          <w:i/>
          <w:iCs/>
        </w:rPr>
        <w:t>Technická specifikace</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1" w:name="_Ref26890919"/>
      <w:r w:rsidRPr="00335BA4">
        <w:t xml:space="preserve">Objednateli vzniká vůči </w:t>
      </w:r>
      <w:r w:rsidR="001F6504" w:rsidRPr="00335BA4">
        <w:t xml:space="preserve">Dodavateli </w:t>
      </w:r>
      <w:r w:rsidRPr="00335BA4">
        <w:t>právo na zaplacení smluvní pokuty:</w:t>
      </w:r>
      <w:bookmarkEnd w:id="121"/>
      <w:r w:rsidRPr="00335BA4">
        <w:t xml:space="preserve"> </w:t>
      </w:r>
    </w:p>
    <w:p w14:paraId="1F7456A2" w14:textId="64880B9A" w:rsidR="006D135C" w:rsidRPr="00335BA4" w:rsidRDefault="006D135C" w:rsidP="006B56DA">
      <w:pPr>
        <w:pStyle w:val="TPText-1slovan"/>
        <w:numPr>
          <w:ilvl w:val="0"/>
          <w:numId w:val="25"/>
        </w:numPr>
        <w:ind w:left="1701" w:hanging="425"/>
        <w:jc w:val="both"/>
      </w:pPr>
      <w:bookmarkStart w:id="122"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BF476F">
        <w:t>10 000 Kč</w:t>
      </w:r>
      <w:r w:rsidR="00725654" w:rsidRPr="00335BA4">
        <w:t xml:space="preserve"> </w:t>
      </w:r>
      <w:r w:rsidRPr="00335BA4">
        <w:t>za každý započatý den prodlení až do řádného splnění této povinnosti;</w:t>
      </w:r>
      <w:bookmarkEnd w:id="122"/>
    </w:p>
    <w:p w14:paraId="15900F57" w14:textId="72D82B74" w:rsidR="00331774" w:rsidRPr="00335BA4" w:rsidRDefault="00331774" w:rsidP="006B56DA">
      <w:pPr>
        <w:pStyle w:val="TPText-1slovan"/>
        <w:numPr>
          <w:ilvl w:val="0"/>
          <w:numId w:val="25"/>
        </w:numPr>
        <w:ind w:left="1701" w:hanging="425"/>
        <w:jc w:val="both"/>
      </w:pPr>
      <w:bookmarkStart w:id="123" w:name="_Ref118179580"/>
      <w:bookmarkStart w:id="124" w:name="_Ref118179909"/>
      <w:r w:rsidRPr="00335BA4">
        <w:lastRenderedPageBreak/>
        <w:t xml:space="preserve">poruší-li Dodavatel svoji povinnost řádně a včas provést jakoukoliv část Plnění ve výši </w:t>
      </w:r>
      <w:r w:rsidR="00BF476F">
        <w:t>10 000 Kč</w:t>
      </w:r>
      <w:r w:rsidRPr="00335BA4">
        <w:t xml:space="preserve"> za každý započatý den prodlení až do řádného splnění této povinnosti; v případě, že by smluvní pokut</w:t>
      </w:r>
      <w:r w:rsidR="00EC5DDE" w:rsidRPr="00335BA4">
        <w:t>y</w:t>
      </w:r>
      <w:r w:rsidRPr="00335BA4">
        <w:t xml:space="preserve"> dle čl. </w:t>
      </w:r>
      <w:bookmarkStart w:id="125"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A078BD" w:rsidRPr="00335BA4">
        <w:t>a</w:t>
      </w:r>
      <w:r w:rsidRPr="00335BA4">
        <w:fldChar w:fldCharType="end"/>
      </w:r>
      <w:r w:rsidRPr="00335BA4">
        <w:t>.</w:t>
      </w:r>
      <w:bookmarkEnd w:id="125"/>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w:t>
      </w:r>
      <w:bookmarkEnd w:id="123"/>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A078BD" w:rsidRPr="00335BA4">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A078BD" w:rsidRPr="00335BA4">
        <w:t>a</w:t>
      </w:r>
      <w:r w:rsidR="00726BBD" w:rsidRPr="00335BA4">
        <w:fldChar w:fldCharType="end"/>
      </w:r>
      <w:r w:rsidRPr="00335BA4">
        <w:t>.</w:t>
      </w:r>
      <w:bookmarkEnd w:id="124"/>
    </w:p>
    <w:p w14:paraId="44B4DC5C" w14:textId="535C531B" w:rsidR="006D135C" w:rsidRPr="00335BA4" w:rsidRDefault="006D135C" w:rsidP="006B56DA">
      <w:pPr>
        <w:pStyle w:val="TPText-1slovan"/>
        <w:numPr>
          <w:ilvl w:val="0"/>
          <w:numId w:val="25"/>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495B2A">
        <w:t> 1 000 000 Kč</w:t>
      </w:r>
      <w:r w:rsidRPr="00335BA4">
        <w:t xml:space="preserve"> za každé jednotlivé porušení;</w:t>
      </w:r>
    </w:p>
    <w:p w14:paraId="3DF169C9" w14:textId="60027576" w:rsidR="00724302" w:rsidRPr="00335BA4" w:rsidRDefault="00D17442" w:rsidP="006B56DA">
      <w:pPr>
        <w:pStyle w:val="TPText-1slovan"/>
        <w:numPr>
          <w:ilvl w:val="0"/>
          <w:numId w:val="25"/>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EEE">
        <w:t> 10 000 Kč</w:t>
      </w:r>
      <w:r w:rsidR="00215315" w:rsidRPr="00335BA4">
        <w:t xml:space="preserve"> </w:t>
      </w:r>
      <w:r w:rsidRPr="00335BA4">
        <w:t>za každý započatý den prodlení;</w:t>
      </w:r>
    </w:p>
    <w:p w14:paraId="146BA112" w14:textId="2619688C" w:rsidR="00D17442" w:rsidRPr="00335BA4" w:rsidRDefault="00D17442" w:rsidP="006B56DA">
      <w:pPr>
        <w:pStyle w:val="TPText-1slovan"/>
        <w:numPr>
          <w:ilvl w:val="0"/>
          <w:numId w:val="25"/>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E154B4">
        <w:t> 300 000 Kč</w:t>
      </w:r>
      <w:r w:rsidR="0000199B" w:rsidRPr="00335BA4">
        <w:t xml:space="preserve"> za každé jednotlivé porušení povinnosti; </w:t>
      </w:r>
    </w:p>
    <w:p w14:paraId="4A9DDBD3" w14:textId="4219FF41" w:rsidR="004036E2" w:rsidRPr="00335BA4" w:rsidRDefault="004036E2" w:rsidP="006B56DA">
      <w:pPr>
        <w:pStyle w:val="TPText-1slovan"/>
        <w:numPr>
          <w:ilvl w:val="0"/>
          <w:numId w:val="25"/>
        </w:numPr>
        <w:ind w:left="1701" w:hanging="425"/>
        <w:jc w:val="both"/>
      </w:pPr>
      <w:bookmarkStart w:id="126" w:name="_Ref118365998"/>
      <w:r w:rsidRPr="00335BA4">
        <w:t>poruší-li Dodavatel</w:t>
      </w:r>
      <w:r w:rsidR="004060AB">
        <w:tab/>
      </w:r>
      <w:r w:rsidRPr="00335BA4">
        <w:t xml:space="preserve"> svoji</w:t>
      </w:r>
      <w:r w:rsidRPr="00ED6198">
        <w:t xml:space="preserve"> povinnost dodržet sjednanou Dobu vyřešení Incidentu, ve </w:t>
      </w:r>
      <w:r w:rsidRPr="00335BA4">
        <w:t>výši:</w:t>
      </w:r>
      <w:bookmarkEnd w:id="126"/>
    </w:p>
    <w:p w14:paraId="25070C97" w14:textId="2E0F5F4E" w:rsidR="004036E2" w:rsidRPr="00335BA4" w:rsidRDefault="004036E2" w:rsidP="006B56DA">
      <w:pPr>
        <w:pStyle w:val="TPText-1slovan"/>
        <w:numPr>
          <w:ilvl w:val="0"/>
          <w:numId w:val="26"/>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w:t>
      </w:r>
      <w:r w:rsidR="00732952">
        <w:t>Priority</w:t>
      </w:r>
      <w:r w:rsidR="00732952" w:rsidRPr="00335BA4">
        <w:t xml:space="preserve"> </w:t>
      </w:r>
      <w:r w:rsidRPr="00335BA4">
        <w:t>A;</w:t>
      </w:r>
    </w:p>
    <w:p w14:paraId="1A7AB5A7" w14:textId="1EC80E9A" w:rsidR="004036E2" w:rsidRPr="00335BA4" w:rsidRDefault="004036E2" w:rsidP="006B56DA">
      <w:pPr>
        <w:pStyle w:val="TPText-1slovan"/>
        <w:numPr>
          <w:ilvl w:val="0"/>
          <w:numId w:val="26"/>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w:t>
      </w:r>
      <w:r w:rsidR="00C1136D">
        <w:t>P</w:t>
      </w:r>
      <w:r w:rsidR="00732952">
        <w:t>r</w:t>
      </w:r>
      <w:r w:rsidR="00C1136D">
        <w:t>iority</w:t>
      </w:r>
      <w:r w:rsidR="00732952" w:rsidRPr="00335BA4">
        <w:t xml:space="preserve"> </w:t>
      </w:r>
      <w:r w:rsidRPr="00335BA4">
        <w:t>B;</w:t>
      </w:r>
    </w:p>
    <w:p w14:paraId="5091A3F6" w14:textId="7BE4E68F" w:rsidR="004036E2" w:rsidRDefault="004036E2" w:rsidP="006B56DA">
      <w:pPr>
        <w:pStyle w:val="TPText-1slovan"/>
        <w:numPr>
          <w:ilvl w:val="0"/>
          <w:numId w:val="26"/>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w:t>
      </w:r>
      <w:r w:rsidR="00C1136D">
        <w:t>Priority</w:t>
      </w:r>
      <w:r w:rsidR="00C1136D" w:rsidRPr="00335BA4">
        <w:t xml:space="preserve"> </w:t>
      </w:r>
      <w:r w:rsidRPr="00335BA4">
        <w:t>C;</w:t>
      </w:r>
    </w:p>
    <w:p w14:paraId="2812C8D7" w14:textId="56833AB9" w:rsidR="00F714FD" w:rsidRPr="00335BA4" w:rsidRDefault="00F714FD" w:rsidP="006B56DA">
      <w:pPr>
        <w:pStyle w:val="TPText-1slovan"/>
        <w:numPr>
          <w:ilvl w:val="0"/>
          <w:numId w:val="26"/>
        </w:numPr>
        <w:ind w:left="2552" w:hanging="567"/>
        <w:jc w:val="both"/>
      </w:pPr>
      <w:r w:rsidRPr="00335BA4">
        <w:t>ve výši 0,005 % z</w:t>
      </w:r>
      <w:r w:rsidRPr="007C38AC">
        <w:rPr>
          <w:vertAlign w:val="subscript"/>
        </w:rPr>
        <w:t xml:space="preserve"> </w:t>
      </w:r>
      <w:r w:rsidRPr="00335BA4">
        <w:t xml:space="preserve">Ceny v případě každé započaté hodiny/den prodlení nad rámec sjednané Doby vyřešení v případě každého Incidentu </w:t>
      </w:r>
      <w:r>
        <w:t>Priority</w:t>
      </w:r>
      <w:r w:rsidRPr="00335BA4">
        <w:t xml:space="preserve"> </w:t>
      </w:r>
      <w:r>
        <w:t>D</w:t>
      </w:r>
      <w:r w:rsidRPr="00335BA4">
        <w:t>;</w:t>
      </w:r>
    </w:p>
    <w:p w14:paraId="247E06A1" w14:textId="74DAEB5D" w:rsidR="0000199B" w:rsidRPr="00335BA4" w:rsidRDefault="0000199B" w:rsidP="006B56DA">
      <w:pPr>
        <w:pStyle w:val="TPText-1slovan"/>
        <w:numPr>
          <w:ilvl w:val="0"/>
          <w:numId w:val="25"/>
        </w:numPr>
        <w:ind w:left="1701" w:hanging="425"/>
        <w:jc w:val="both"/>
      </w:pPr>
      <w:bookmarkStart w:id="127" w:name="_Ref118366017"/>
      <w:r w:rsidRPr="00335BA4">
        <w:t>v případě prodlení nad rámec sjednané lhůty pro odstranění vad v Produkčním prostředí:</w:t>
      </w:r>
      <w:bookmarkEnd w:id="127"/>
      <w:r w:rsidRPr="00335BA4">
        <w:t xml:space="preserve"> </w:t>
      </w:r>
    </w:p>
    <w:p w14:paraId="0D84573C" w14:textId="6301A6DE" w:rsidR="0000199B" w:rsidRPr="00335BA4" w:rsidRDefault="0000199B" w:rsidP="006B56DA">
      <w:pPr>
        <w:pStyle w:val="TPText-1slovan"/>
        <w:numPr>
          <w:ilvl w:val="0"/>
          <w:numId w:val="42"/>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6B56DA">
      <w:pPr>
        <w:pStyle w:val="TPText-1slovan"/>
        <w:numPr>
          <w:ilvl w:val="0"/>
          <w:numId w:val="42"/>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3A16B1DE" w:rsidR="0000199B" w:rsidRDefault="0000199B" w:rsidP="006B56DA">
      <w:pPr>
        <w:pStyle w:val="TPText-1slovan"/>
        <w:numPr>
          <w:ilvl w:val="0"/>
          <w:numId w:val="42"/>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DF30F15" w14:textId="6BA022D2" w:rsidR="00665B34" w:rsidRPr="00335BA4" w:rsidRDefault="00665B34" w:rsidP="006B56DA">
      <w:pPr>
        <w:pStyle w:val="TPText-1slovan"/>
        <w:numPr>
          <w:ilvl w:val="0"/>
          <w:numId w:val="42"/>
        </w:numPr>
        <w:ind w:left="2552" w:hanging="567"/>
        <w:jc w:val="both"/>
      </w:pPr>
      <w:r w:rsidRPr="00335BA4">
        <w:t xml:space="preserve">Vada kategorie </w:t>
      </w:r>
      <w:r>
        <w:t>D</w:t>
      </w:r>
      <w:r w:rsidRPr="00335BA4">
        <w:t xml:space="preserve"> ve výši 0,005 % z Ceny za každou započatou hodinu/den v případě každé Vady;</w:t>
      </w:r>
    </w:p>
    <w:p w14:paraId="2FBFFC00" w14:textId="26BE2CDB" w:rsidR="0000199B" w:rsidRPr="00335BA4" w:rsidRDefault="0000199B" w:rsidP="006B56DA">
      <w:pPr>
        <w:pStyle w:val="TPText-1slovan"/>
        <w:numPr>
          <w:ilvl w:val="0"/>
          <w:numId w:val="25"/>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6B56DA">
      <w:pPr>
        <w:pStyle w:val="TPText-1slovan"/>
        <w:numPr>
          <w:ilvl w:val="0"/>
          <w:numId w:val="27"/>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1798D526" w:rsidR="0000199B" w:rsidRPr="00335BA4" w:rsidRDefault="0000199B" w:rsidP="006B56DA">
      <w:pPr>
        <w:pStyle w:val="TPText-1slovan"/>
        <w:numPr>
          <w:ilvl w:val="0"/>
          <w:numId w:val="27"/>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r w:rsidR="0012308A">
        <w:t>, maximálně však do celkové výše 1 000 000 Kč</w:t>
      </w:r>
      <w:r w:rsidRPr="00335BA4">
        <w:t>;</w:t>
      </w:r>
    </w:p>
    <w:p w14:paraId="14917C1A" w14:textId="129B02FA" w:rsidR="004B1B88" w:rsidRPr="00335BA4" w:rsidRDefault="004B1B88" w:rsidP="006B56DA">
      <w:pPr>
        <w:pStyle w:val="TPText-1slovan"/>
        <w:numPr>
          <w:ilvl w:val="0"/>
          <w:numId w:val="25"/>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A078BD" w:rsidRPr="00335BA4">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0F01E452" w:rsidR="004B1B88" w:rsidRPr="00335BA4" w:rsidRDefault="004B1B88" w:rsidP="007E3D60">
            <w:pPr>
              <w:pStyle w:val="TPText-1slovan"/>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07EDC34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A078BD" w:rsidRPr="00335BA4">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476A70FC"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t>5 do 10 %</w:t>
            </w:r>
          </w:p>
        </w:tc>
        <w:tc>
          <w:tcPr>
            <w:tcW w:w="3872" w:type="dxa"/>
          </w:tcPr>
          <w:p w14:paraId="3484A54C" w14:textId="597D51BB"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lastRenderedPageBreak/>
              <w:t>10 %</w:t>
            </w:r>
            <w:r w:rsidR="00466D7E" w:rsidRPr="00335BA4">
              <w:t xml:space="preserve"> a více</w:t>
            </w:r>
          </w:p>
        </w:tc>
        <w:tc>
          <w:tcPr>
            <w:tcW w:w="3872" w:type="dxa"/>
          </w:tcPr>
          <w:p w14:paraId="5131F76E" w14:textId="37B5592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3A4C0E42" w:rsidR="00D331EF" w:rsidRPr="00335BA4" w:rsidRDefault="00D331EF" w:rsidP="006B56DA">
      <w:pPr>
        <w:pStyle w:val="TPText-1slovan"/>
        <w:numPr>
          <w:ilvl w:val="0"/>
          <w:numId w:val="25"/>
        </w:numPr>
        <w:ind w:left="1701" w:hanging="425"/>
        <w:jc w:val="both"/>
      </w:pPr>
      <w:r w:rsidRPr="00335BA4">
        <w:t xml:space="preserve">v případě prodlení Dodavatele reagovat na Požadavek Objednatele v době řešení </w:t>
      </w:r>
      <w:r w:rsidR="00671CE5">
        <w:t>I</w:t>
      </w:r>
      <w:r w:rsidR="00671CE5" w:rsidRPr="00335BA4">
        <w:t xml:space="preserve">ncidentu </w:t>
      </w:r>
      <w:r w:rsidRPr="00335BA4">
        <w:t>uvedené v článku 12.2</w:t>
      </w:r>
      <w:r w:rsidR="00F93E0D" w:rsidRPr="00335BA4">
        <w:t>.</w:t>
      </w:r>
      <w:r w:rsidR="007578F8" w:rsidRPr="00335BA4">
        <w:t xml:space="preserve"> ZOP</w:t>
      </w:r>
      <w:r w:rsidRPr="00335BA4">
        <w:t xml:space="preserve"> ve výši </w:t>
      </w:r>
      <w:r w:rsidR="001B352F" w:rsidRPr="00335BA4">
        <w:t xml:space="preserve">0,02 z </w:t>
      </w:r>
      <w:r w:rsidRPr="00335BA4">
        <w:t>% Ceny</w:t>
      </w:r>
      <w:r w:rsidR="001B352F" w:rsidRPr="00335BA4">
        <w:t xml:space="preserve"> za každý jednotlivý případ</w:t>
      </w:r>
      <w:r w:rsidRPr="00335BA4">
        <w:t>;</w:t>
      </w:r>
    </w:p>
    <w:p w14:paraId="192180C6" w14:textId="5F7171FB" w:rsidR="004F10DC" w:rsidRDefault="004F10DC" w:rsidP="006B56DA">
      <w:pPr>
        <w:pStyle w:val="TPText-1slovan"/>
        <w:numPr>
          <w:ilvl w:val="0"/>
          <w:numId w:val="25"/>
        </w:numPr>
        <w:ind w:left="1701" w:hanging="425"/>
        <w:jc w:val="both"/>
      </w:pPr>
      <w:r>
        <w:t xml:space="preserve">v případě, že Software nebude dodržovat podmínku požadované šířky pásma ve smyslu čl. 6.1 písm. n) Přílohy č. 1 Smlouvy </w:t>
      </w:r>
      <w:r w:rsidRPr="00335BA4">
        <w:t>ve výši</w:t>
      </w:r>
      <w:r>
        <w:t> 10 000 Kč</w:t>
      </w:r>
      <w:r w:rsidRPr="00335BA4">
        <w:t xml:space="preserve"> za každé jednotlivé porušení</w:t>
      </w:r>
      <w:r>
        <w:rPr>
          <w:rStyle w:val="Znakapoznpodarou"/>
        </w:rPr>
        <w:footnoteReference w:id="2"/>
      </w:r>
    </w:p>
    <w:p w14:paraId="07DF635B" w14:textId="187344C2" w:rsidR="0000199B" w:rsidRPr="00ED6198" w:rsidRDefault="0000199B" w:rsidP="006B56DA">
      <w:pPr>
        <w:pStyle w:val="TPText-1slovan"/>
        <w:numPr>
          <w:ilvl w:val="0"/>
          <w:numId w:val="25"/>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6B56DA">
      <w:pPr>
        <w:pStyle w:val="TPText-1slovan"/>
        <w:numPr>
          <w:ilvl w:val="0"/>
          <w:numId w:val="25"/>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67338FEA" w:rsidR="005B1F90" w:rsidRPr="00ED6198" w:rsidRDefault="009B6B56" w:rsidP="006B56DA">
      <w:pPr>
        <w:pStyle w:val="TPText-1slovan"/>
        <w:numPr>
          <w:ilvl w:val="0"/>
          <w:numId w:val="25"/>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A078BD" w:rsidRPr="00ED6198">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C4DF8B2" w:rsidR="00C70F14" w:rsidRPr="00ED6198" w:rsidRDefault="005B1F90" w:rsidP="006B56DA">
      <w:pPr>
        <w:pStyle w:val="TPText-1slovan"/>
        <w:numPr>
          <w:ilvl w:val="0"/>
          <w:numId w:val="25"/>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A078BD" w:rsidRPr="00ED6198">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58971D5C"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A078BD" w:rsidRPr="00ED6198">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A078BD" w:rsidRPr="00ED6198">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A078BD" w:rsidRPr="00ED6198">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721BB449" w:rsidR="00BE04E4" w:rsidRPr="00ED6198" w:rsidRDefault="00BE04E4" w:rsidP="007C38AC">
      <w:pPr>
        <w:pStyle w:val="TPText-1slovan"/>
        <w:jc w:val="both"/>
      </w:pPr>
      <w:r w:rsidRPr="00ED6198">
        <w:t xml:space="preserve">Zaplacením smluvních pokut není dotčeno právo Objednatele na náhradu </w:t>
      </w:r>
      <w:r w:rsidR="00182A60">
        <w:t>Ú</w:t>
      </w:r>
      <w:r w:rsidR="00182A60" w:rsidRPr="00ED6198">
        <w:t xml:space="preserve">jmy </w:t>
      </w:r>
      <w:r w:rsidRPr="00ED6198">
        <w:t xml:space="preserve">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28" w:name="_Toc103154262"/>
      <w:bookmarkStart w:id="129" w:name="_Toc136269766"/>
      <w:r w:rsidRPr="00ED6198">
        <w:t xml:space="preserve">Záruka </w:t>
      </w:r>
      <w:r w:rsidR="00F75A5B" w:rsidRPr="00ED6198">
        <w:t xml:space="preserve">za jakost </w:t>
      </w:r>
      <w:r w:rsidR="0041381C" w:rsidRPr="00ED6198">
        <w:t xml:space="preserve">a práva </w:t>
      </w:r>
      <w:r w:rsidRPr="00ED6198">
        <w:t>z vadného plnění</w:t>
      </w:r>
      <w:bookmarkEnd w:id="128"/>
      <w:bookmarkEnd w:id="129"/>
    </w:p>
    <w:p w14:paraId="39EE0717" w14:textId="0F9A45B0" w:rsidR="00F75A5B" w:rsidRPr="00ED6198" w:rsidRDefault="00F75A5B" w:rsidP="007C38AC">
      <w:pPr>
        <w:pStyle w:val="TPText-1slovan"/>
        <w:jc w:val="both"/>
      </w:pPr>
      <w:bookmarkStart w:id="130" w:name="_Toc103154263"/>
      <w:r w:rsidRPr="00ED6198">
        <w:t>Společná ustanovení</w:t>
      </w:r>
      <w:bookmarkEnd w:id="130"/>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58868A4C"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2C259F">
        <w:t>HelpDesk</w:t>
      </w:r>
      <w:r w:rsidRPr="00ED6198">
        <w:t>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1" w:name="_Hlk118204552"/>
      <w:r w:rsidRPr="00335BA4">
        <w:t>Dodavatel neodpovídá za vady Plnění vzniklé:</w:t>
      </w:r>
    </w:p>
    <w:p w14:paraId="55BC2642" w14:textId="3EA55611" w:rsidR="00BC2A6A" w:rsidRPr="00335BA4" w:rsidRDefault="00BC2A6A" w:rsidP="006B56DA">
      <w:pPr>
        <w:pStyle w:val="TPText-2slovan"/>
        <w:numPr>
          <w:ilvl w:val="0"/>
          <w:numId w:val="55"/>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6B56DA">
      <w:pPr>
        <w:pStyle w:val="TPText-2slovan"/>
        <w:numPr>
          <w:ilvl w:val="0"/>
          <w:numId w:val="55"/>
        </w:numPr>
      </w:pPr>
      <w:r w:rsidRPr="00335BA4">
        <w:t>neoprávněným nebo neodborným zásahem či nesprávným užitím Díla Objednatelem;</w:t>
      </w:r>
    </w:p>
    <w:p w14:paraId="0B3D5C11" w14:textId="05648E63" w:rsidR="00BC2A6A" w:rsidRPr="00335BA4" w:rsidRDefault="00BC2A6A" w:rsidP="006B56DA">
      <w:pPr>
        <w:pStyle w:val="TPText-2slovan"/>
        <w:numPr>
          <w:ilvl w:val="0"/>
          <w:numId w:val="55"/>
        </w:numPr>
      </w:pPr>
      <w:r w:rsidRPr="00335BA4">
        <w:t>vadami IT prostředí Objednatele</w:t>
      </w:r>
      <w:bookmarkEnd w:id="131"/>
      <w:r w:rsidRPr="00335BA4">
        <w:t>.</w:t>
      </w:r>
    </w:p>
    <w:p w14:paraId="0318E689" w14:textId="77777777" w:rsidR="00F75A5B" w:rsidRPr="00ED6198" w:rsidRDefault="00F75A5B" w:rsidP="007C38AC">
      <w:pPr>
        <w:pStyle w:val="TPText-1slovan"/>
        <w:jc w:val="both"/>
      </w:pPr>
      <w:bookmarkStart w:id="132" w:name="_Toc103154264"/>
      <w:r w:rsidRPr="00ED6198">
        <w:t>Záruka vztahující se k Software</w:t>
      </w:r>
      <w:bookmarkEnd w:id="132"/>
    </w:p>
    <w:p w14:paraId="53CC473A" w14:textId="77777777" w:rsidR="00245563" w:rsidRPr="00245563" w:rsidRDefault="00245563" w:rsidP="006B56DA">
      <w:pPr>
        <w:pStyle w:val="Odstavecseseznamem"/>
        <w:keepNext/>
        <w:numPr>
          <w:ilvl w:val="1"/>
          <w:numId w:val="50"/>
        </w:numPr>
        <w:spacing w:before="120" w:after="0" w:line="240" w:lineRule="auto"/>
        <w:contextualSpacing w:val="0"/>
        <w:jc w:val="both"/>
        <w:outlineLvl w:val="1"/>
        <w:rPr>
          <w:rFonts w:ascii="Verdana" w:hAnsi="Verdana" w:cs="Arial"/>
          <w:vanish/>
          <w:sz w:val="18"/>
        </w:rPr>
      </w:pPr>
    </w:p>
    <w:p w14:paraId="52E30A0E" w14:textId="77777777" w:rsidR="00245563" w:rsidRPr="00245563" w:rsidRDefault="00245563" w:rsidP="006B56DA">
      <w:pPr>
        <w:pStyle w:val="Odstavecseseznamem"/>
        <w:numPr>
          <w:ilvl w:val="2"/>
          <w:numId w:val="50"/>
        </w:numPr>
        <w:spacing w:before="80" w:after="0" w:line="240" w:lineRule="auto"/>
        <w:contextualSpacing w:val="0"/>
        <w:rPr>
          <w:rFonts w:ascii="Verdana" w:hAnsi="Verdana" w:cs="Arial"/>
          <w:vanish/>
          <w:sz w:val="18"/>
        </w:rPr>
      </w:pPr>
    </w:p>
    <w:p w14:paraId="50B91390" w14:textId="77777777" w:rsidR="00245563" w:rsidRPr="00245563" w:rsidRDefault="00245563" w:rsidP="006B56DA">
      <w:pPr>
        <w:pStyle w:val="Odstavecseseznamem"/>
        <w:numPr>
          <w:ilvl w:val="2"/>
          <w:numId w:val="50"/>
        </w:numPr>
        <w:spacing w:before="80" w:after="0" w:line="240" w:lineRule="auto"/>
        <w:contextualSpacing w:val="0"/>
        <w:rPr>
          <w:rFonts w:ascii="Verdana" w:hAnsi="Verdana" w:cs="Arial"/>
          <w:vanish/>
          <w:sz w:val="18"/>
        </w:rPr>
      </w:pPr>
    </w:p>
    <w:p w14:paraId="00C7E4E0" w14:textId="6B059885" w:rsidR="006C6152" w:rsidRPr="00ED6198" w:rsidRDefault="006C6152" w:rsidP="00245563">
      <w:pPr>
        <w:pStyle w:val="TPText-2slovan"/>
      </w:pPr>
      <w:r w:rsidRPr="00ED6198">
        <w:t xml:space="preserve">Pokud výrobce </w:t>
      </w:r>
      <w:r w:rsidR="008A67DC">
        <w:t>Standardního Software</w:t>
      </w:r>
      <w:r w:rsidRPr="00ED6198">
        <w:t xml:space="preserve"> poskytuje záruku za jakost, pak Dodavatel postupuje takovou záruku za jakost Objednateli. To nezbavuje </w:t>
      </w:r>
      <w:r w:rsidRPr="00ED6198">
        <w:lastRenderedPageBreak/>
        <w:t>Dodavatel</w:t>
      </w:r>
      <w:r w:rsidR="007405D7" w:rsidRPr="00ED6198">
        <w:t>e</w:t>
      </w:r>
      <w:r w:rsidRPr="00ED6198">
        <w:t xml:space="preserve"> povinnosti poskytnout Objednateli vlastní záruku za jakost ve smyslu tohoto článku. </w:t>
      </w:r>
    </w:p>
    <w:p w14:paraId="4DD837FC" w14:textId="1BEA1FCB" w:rsidR="00FC16A3" w:rsidRPr="00ED6198" w:rsidRDefault="00F75A5B" w:rsidP="007E3D60">
      <w:pPr>
        <w:pStyle w:val="TPText-2slovan"/>
        <w:jc w:val="both"/>
      </w:pPr>
      <w:r w:rsidRPr="00ED6198">
        <w:t>V době trvání záruční doby je Dodavatel povinen odstraňovat vady ve lhůtách uvedených v tabulce níže. Lhůty stanovené v hodinách běží pouze v </w:t>
      </w:r>
      <w:r w:rsidR="00E41149">
        <w:t>P</w:t>
      </w:r>
      <w:r w:rsidR="00E41149" w:rsidRPr="00ED6198">
        <w:t>racovní</w:t>
      </w:r>
      <w:r w:rsidR="00E41149">
        <w:t>ch</w:t>
      </w:r>
      <w:r w:rsidR="00E41149" w:rsidRPr="00ED6198">
        <w:t xml:space="preserve"> dn</w:t>
      </w:r>
      <w:r w:rsidR="00E41149">
        <w:t>ech (dále také PD)</w:t>
      </w:r>
      <w:r w:rsidR="00E41149" w:rsidRPr="00ED6198">
        <w:t xml:space="preserve"> </w:t>
      </w:r>
      <w:r w:rsidR="00E41149">
        <w:t>dvanáct</w:t>
      </w:r>
      <w:r w:rsidR="00E41149" w:rsidRPr="00ED6198">
        <w:t xml:space="preserve"> </w:t>
      </w:r>
      <w:r w:rsidRPr="00ED6198">
        <w:t>(</w:t>
      </w:r>
      <w:r w:rsidR="00D437AD">
        <w:t>12</w:t>
      </w:r>
      <w:r w:rsidRPr="00ED6198">
        <w:t xml:space="preserve">) hodin denně v době od </w:t>
      </w:r>
      <w:r w:rsidR="00D437AD">
        <w:t>6</w:t>
      </w:r>
      <w:r w:rsidRPr="00ED6198">
        <w:t xml:space="preserve">:00 do </w:t>
      </w:r>
      <w:r w:rsidR="00D437AD" w:rsidRPr="00ED6198">
        <w:t>1</w:t>
      </w:r>
      <w:r w:rsidR="00D437AD">
        <w:t>8</w:t>
      </w:r>
      <w:r w:rsidRPr="00ED6198">
        <w:t xml:space="preserve">:00 hodin (režim </w:t>
      </w:r>
      <w:r w:rsidR="00D437AD" w:rsidRPr="00ED6198">
        <w:t>5x</w:t>
      </w:r>
      <w:r w:rsidR="00D437AD">
        <w:t>12</w:t>
      </w:r>
      <w:r w:rsidR="00E41149">
        <w:t>).</w:t>
      </w:r>
      <w:r w:rsidR="00E41149" w:rsidRPr="00E41149">
        <w:t xml:space="preserve"> </w:t>
      </w:r>
      <w:r w:rsidR="00E41149">
        <w:t>Lhůty</w:t>
      </w:r>
      <w:r w:rsidR="00E41149" w:rsidRPr="00E41149">
        <w:t xml:space="preserve"> stanoven</w:t>
      </w:r>
      <w:r w:rsidR="00E41149">
        <w:t>é</w:t>
      </w:r>
      <w:r w:rsidR="00E41149" w:rsidRPr="00E41149">
        <w:t xml:space="preserve"> v hodinách (h) určuj</w:t>
      </w:r>
      <w:r w:rsidR="00E41149">
        <w:t>í</w:t>
      </w:r>
      <w:r w:rsidR="00E41149" w:rsidRPr="00E41149">
        <w:t xml:space="preserve"> počet hodin v rámci </w:t>
      </w:r>
      <w:r w:rsidR="00E41149">
        <w:t>PD</w:t>
      </w:r>
      <w:r w:rsidR="00E41149" w:rsidRPr="00E41149">
        <w:t xml:space="preserve">, pokud není upřesněno jinak. Přesahuje-li doba určená v hodinách, definované rozmezí doby PD, hodinová lhůta se mimo dobu PD zastaví a pokračuje dále v běhu během další bezprostředně následující doby definované jako PD. </w:t>
      </w:r>
      <w:r w:rsidRPr="00ED6198">
        <w:t xml:space="preserve">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1275DEB8"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w:t>
      </w:r>
    </w:p>
    <w:p w14:paraId="368B8576" w14:textId="0B93345B" w:rsidR="00F75A5B" w:rsidRPr="00ED6198" w:rsidRDefault="00F75A5B" w:rsidP="007C38AC">
      <w:pPr>
        <w:pStyle w:val="TPText-1slovan"/>
        <w:numPr>
          <w:ilvl w:val="0"/>
          <w:numId w:val="0"/>
        </w:numPr>
        <w:ind w:left="1416" w:hanging="681"/>
        <w:jc w:val="both"/>
      </w:pPr>
      <w:r w:rsidRPr="00ED6198">
        <w:tab/>
        <w:t xml:space="preserve">Vada kategorie B – </w:t>
      </w:r>
      <w:r w:rsidR="00E41149">
        <w:t>vysoká</w:t>
      </w:r>
      <w:r w:rsidRPr="00ED6198">
        <w:tab/>
        <w:t xml:space="preserve">do </w:t>
      </w:r>
      <w:r w:rsidR="00E41149" w:rsidRPr="00ED6198">
        <w:t>1</w:t>
      </w:r>
      <w:r w:rsidR="00E41149">
        <w:t>8</w:t>
      </w:r>
      <w:r w:rsidRPr="00ED6198">
        <w:t xml:space="preserve">:00 </w:t>
      </w:r>
      <w:r w:rsidR="009C4807">
        <w:t>prvního</w:t>
      </w:r>
      <w:r w:rsidR="009C4807" w:rsidRPr="00ED6198">
        <w:t xml:space="preserve"> </w:t>
      </w:r>
      <w:r w:rsidR="00E41149">
        <w:t>PD</w:t>
      </w:r>
      <w:r w:rsidRPr="00ED6198">
        <w:t xml:space="preserve"> od nahlášení vady</w:t>
      </w:r>
    </w:p>
    <w:p w14:paraId="492D4C3F" w14:textId="1355DB6A" w:rsidR="00A4610E" w:rsidRDefault="001E54ED" w:rsidP="007C38AC">
      <w:pPr>
        <w:pStyle w:val="TPText-1slovan"/>
        <w:numPr>
          <w:ilvl w:val="0"/>
          <w:numId w:val="0"/>
        </w:numPr>
        <w:ind w:left="1416" w:hanging="681"/>
        <w:jc w:val="both"/>
      </w:pPr>
      <w:r w:rsidRPr="00ED6198">
        <w:tab/>
        <w:t xml:space="preserve">Vada kategorie C – </w:t>
      </w:r>
      <w:r w:rsidR="00E41149">
        <w:t>střední</w:t>
      </w:r>
      <w:r w:rsidRPr="00ED6198">
        <w:tab/>
      </w:r>
      <w:r w:rsidR="00F75A5B" w:rsidRPr="00ED6198">
        <w:t xml:space="preserve">do </w:t>
      </w:r>
      <w:r w:rsidR="00E41149" w:rsidRPr="00ED6198">
        <w:t>1</w:t>
      </w:r>
      <w:r w:rsidR="00E41149">
        <w:t>8</w:t>
      </w:r>
      <w:r w:rsidR="00F75A5B" w:rsidRPr="00ED6198">
        <w:t xml:space="preserve">:00 </w:t>
      </w:r>
      <w:r w:rsidR="009C4807">
        <w:t>třetího</w:t>
      </w:r>
      <w:r w:rsidR="009C4807" w:rsidRPr="00ED6198">
        <w:t xml:space="preserve"> </w:t>
      </w:r>
      <w:r w:rsidR="00E41149">
        <w:t>PD</w:t>
      </w:r>
      <w:r w:rsidR="00F75A5B" w:rsidRPr="00ED6198">
        <w:t xml:space="preserve"> od nahlášení vady</w:t>
      </w:r>
    </w:p>
    <w:p w14:paraId="2E59E259" w14:textId="5FCF2C1A" w:rsidR="000705F0" w:rsidRPr="00ED6198" w:rsidRDefault="00A4610E">
      <w:pPr>
        <w:pStyle w:val="TPText-1slovan"/>
        <w:numPr>
          <w:ilvl w:val="0"/>
          <w:numId w:val="0"/>
        </w:numPr>
        <w:ind w:left="1416"/>
        <w:jc w:val="both"/>
      </w:pPr>
      <w:r w:rsidRPr="00ED6198">
        <w:t xml:space="preserve">Vada kategorie </w:t>
      </w:r>
      <w:r>
        <w:t>D</w:t>
      </w:r>
      <w:r w:rsidRPr="00ED6198">
        <w:t xml:space="preserve"> – </w:t>
      </w:r>
      <w:r>
        <w:t>nízká</w:t>
      </w:r>
      <w:r w:rsidRPr="00ED6198">
        <w:tab/>
        <w:t>do 1</w:t>
      </w:r>
      <w:r>
        <w:t>8</w:t>
      </w:r>
      <w:r w:rsidRPr="00ED6198">
        <w:t xml:space="preserve">:00 </w:t>
      </w:r>
      <w:r>
        <w:t>pátého</w:t>
      </w:r>
      <w:r w:rsidRPr="00ED6198">
        <w:t xml:space="preserve"> </w:t>
      </w:r>
      <w:r>
        <w:t>PD</w:t>
      </w:r>
      <w:r w:rsidRPr="00ED6198">
        <w:t xml:space="preserve"> od nahlášení vady</w:t>
      </w:r>
      <w:r w:rsidRPr="00ED6198" w:rsidDel="00E41149">
        <w:rPr>
          <w:rStyle w:val="Znakapoznpodarou"/>
        </w:rPr>
        <w:t xml:space="preserve"> </w:t>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0F2397CA"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 xml:space="preserve">do </w:t>
      </w:r>
      <w:r w:rsidR="00E41149" w:rsidRPr="00ED6198">
        <w:t>1</w:t>
      </w:r>
      <w:r w:rsidR="00E41149">
        <w:t>8</w:t>
      </w:r>
      <w:r w:rsidRPr="00ED6198">
        <w:t xml:space="preserve">:00 druhého </w:t>
      </w:r>
      <w:r w:rsidR="00E41149">
        <w:t>PD</w:t>
      </w:r>
      <w:r w:rsidRPr="00ED6198">
        <w:t xml:space="preserve"> od nahlášení vady</w:t>
      </w:r>
    </w:p>
    <w:p w14:paraId="350284DB" w14:textId="5A7575F9" w:rsidR="00F75A5B" w:rsidRPr="00ED6198" w:rsidRDefault="00F75A5B" w:rsidP="007C38AC">
      <w:pPr>
        <w:pStyle w:val="TPText-1slovan"/>
        <w:numPr>
          <w:ilvl w:val="0"/>
          <w:numId w:val="0"/>
        </w:numPr>
        <w:ind w:left="1416" w:hanging="681"/>
        <w:jc w:val="both"/>
      </w:pPr>
      <w:r w:rsidRPr="00ED6198">
        <w:tab/>
        <w:t xml:space="preserve">Vada kategorie B – </w:t>
      </w:r>
      <w:r w:rsidR="00E41149">
        <w:t>vysoká</w:t>
      </w:r>
      <w:r w:rsidR="00E41149" w:rsidRPr="00ED6198">
        <w:t xml:space="preserve"> </w:t>
      </w:r>
      <w:r w:rsidRPr="00ED6198">
        <w:tab/>
        <w:t xml:space="preserve">do </w:t>
      </w:r>
      <w:r w:rsidR="00E41149" w:rsidRPr="00ED6198">
        <w:t>1</w:t>
      </w:r>
      <w:r w:rsidR="00E41149">
        <w:t>8</w:t>
      </w:r>
      <w:r w:rsidRPr="00ED6198">
        <w:t xml:space="preserve">:00 pátého </w:t>
      </w:r>
      <w:r w:rsidR="00E41149">
        <w:t>PD</w:t>
      </w:r>
      <w:r w:rsidRPr="00ED6198">
        <w:t xml:space="preserve"> od nahlášení vady</w:t>
      </w:r>
    </w:p>
    <w:p w14:paraId="42EE9892" w14:textId="697771EE" w:rsidR="00A4610E" w:rsidRDefault="00F75A5B" w:rsidP="007C38AC">
      <w:pPr>
        <w:pStyle w:val="TPText-1slovan"/>
        <w:numPr>
          <w:ilvl w:val="0"/>
          <w:numId w:val="0"/>
        </w:numPr>
        <w:ind w:left="1416"/>
        <w:jc w:val="both"/>
      </w:pPr>
      <w:r w:rsidRPr="00ED6198">
        <w:t>Vada kategorie C</w:t>
      </w:r>
      <w:r w:rsidR="001E54ED" w:rsidRPr="00ED6198">
        <w:t xml:space="preserve"> – </w:t>
      </w:r>
      <w:r w:rsidR="00E41149">
        <w:t>střední</w:t>
      </w:r>
      <w:r w:rsidR="001E54ED" w:rsidRPr="00ED6198">
        <w:tab/>
      </w:r>
      <w:r w:rsidRPr="00ED6198">
        <w:t xml:space="preserve">do </w:t>
      </w:r>
      <w:r w:rsidR="003D1F4A" w:rsidRPr="00ED6198">
        <w:t>1</w:t>
      </w:r>
      <w:r w:rsidR="003D1F4A">
        <w:t>8</w:t>
      </w:r>
      <w:r w:rsidRPr="00ED6198">
        <w:t xml:space="preserve">:00 desátého </w:t>
      </w:r>
      <w:r w:rsidR="003D1F4A">
        <w:t>PD</w:t>
      </w:r>
      <w:r w:rsidRPr="00ED6198">
        <w:t xml:space="preserve"> od nahlášení vady</w:t>
      </w:r>
    </w:p>
    <w:p w14:paraId="3CAF9EF3" w14:textId="265AB9EA" w:rsidR="00F75A5B" w:rsidRPr="00ED6198" w:rsidRDefault="00A4610E" w:rsidP="007C38AC">
      <w:pPr>
        <w:pStyle w:val="TPText-1slovan"/>
        <w:numPr>
          <w:ilvl w:val="0"/>
          <w:numId w:val="0"/>
        </w:numPr>
        <w:ind w:left="1416"/>
        <w:jc w:val="both"/>
      </w:pPr>
      <w:r w:rsidRPr="00ED6198">
        <w:t xml:space="preserve">Vada kategorie </w:t>
      </w:r>
      <w:r>
        <w:t>D</w:t>
      </w:r>
      <w:r w:rsidRPr="00ED6198">
        <w:t xml:space="preserve"> – </w:t>
      </w:r>
      <w:r>
        <w:t>nízká</w:t>
      </w:r>
      <w:r w:rsidRPr="00ED6198">
        <w:tab/>
        <w:t>do 1</w:t>
      </w:r>
      <w:r>
        <w:t>8</w:t>
      </w:r>
      <w:r w:rsidRPr="00ED6198">
        <w:t xml:space="preserve">:00 </w:t>
      </w:r>
      <w:r>
        <w:t>patnáctého</w:t>
      </w:r>
      <w:r w:rsidRPr="00ED6198">
        <w:t xml:space="preserve"> </w:t>
      </w:r>
      <w:r>
        <w:t>PD</w:t>
      </w:r>
      <w:r w:rsidRPr="00ED6198">
        <w:t xml:space="preserve"> od nahlášení vady</w:t>
      </w:r>
      <w:r w:rsidRPr="00ED6198" w:rsidDel="003D1F4A">
        <w:rPr>
          <w:rStyle w:val="Znakapoznpodarou"/>
        </w:rPr>
        <w:t xml:space="preserve"> </w:t>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7C38AC">
      <w:pPr>
        <w:pStyle w:val="TPText-1slovan"/>
        <w:jc w:val="both"/>
      </w:pPr>
      <w:bookmarkStart w:id="133" w:name="_Toc103154265"/>
      <w:r w:rsidRPr="00ED6198">
        <w:t>Záruka vztahující se k Hardware</w:t>
      </w:r>
      <w:bookmarkEnd w:id="133"/>
    </w:p>
    <w:p w14:paraId="04F9E408" w14:textId="77777777" w:rsidR="00245563" w:rsidRPr="00245563" w:rsidRDefault="00245563" w:rsidP="006B56DA">
      <w:pPr>
        <w:pStyle w:val="Odstavecseseznamem"/>
        <w:keepNext/>
        <w:numPr>
          <w:ilvl w:val="1"/>
          <w:numId w:val="50"/>
        </w:numPr>
        <w:spacing w:before="120" w:after="0" w:line="240" w:lineRule="auto"/>
        <w:contextualSpacing w:val="0"/>
        <w:jc w:val="both"/>
        <w:outlineLvl w:val="1"/>
        <w:rPr>
          <w:rFonts w:ascii="Verdana" w:hAnsi="Verdana" w:cs="Arial"/>
          <w:vanish/>
          <w:sz w:val="18"/>
        </w:rPr>
      </w:pPr>
    </w:p>
    <w:p w14:paraId="178C444F" w14:textId="77777777" w:rsidR="00245563" w:rsidRPr="00245563" w:rsidRDefault="00245563" w:rsidP="006B56DA">
      <w:pPr>
        <w:pStyle w:val="Odstavecseseznamem"/>
        <w:numPr>
          <w:ilvl w:val="2"/>
          <w:numId w:val="50"/>
        </w:numPr>
        <w:spacing w:before="80" w:after="0" w:line="240" w:lineRule="auto"/>
        <w:contextualSpacing w:val="0"/>
        <w:rPr>
          <w:rFonts w:ascii="Verdana" w:hAnsi="Verdana" w:cs="Arial"/>
          <w:vanish/>
          <w:sz w:val="18"/>
        </w:rPr>
      </w:pPr>
    </w:p>
    <w:p w14:paraId="605EA40B" w14:textId="77777777" w:rsidR="00245563" w:rsidRPr="00245563" w:rsidRDefault="00245563" w:rsidP="006B56DA">
      <w:pPr>
        <w:pStyle w:val="Odstavecseseznamem"/>
        <w:numPr>
          <w:ilvl w:val="2"/>
          <w:numId w:val="50"/>
        </w:numPr>
        <w:spacing w:before="80" w:after="0" w:line="240" w:lineRule="auto"/>
        <w:contextualSpacing w:val="0"/>
        <w:rPr>
          <w:rFonts w:ascii="Verdana" w:hAnsi="Verdana" w:cs="Arial"/>
          <w:vanish/>
          <w:sz w:val="18"/>
        </w:rPr>
      </w:pPr>
    </w:p>
    <w:p w14:paraId="7C040688" w14:textId="77777777" w:rsidR="00245563" w:rsidRPr="00245563" w:rsidRDefault="00245563" w:rsidP="006B56DA">
      <w:pPr>
        <w:pStyle w:val="Odstavecseseznamem"/>
        <w:numPr>
          <w:ilvl w:val="2"/>
          <w:numId w:val="50"/>
        </w:numPr>
        <w:spacing w:before="80" w:after="0" w:line="240" w:lineRule="auto"/>
        <w:contextualSpacing w:val="0"/>
        <w:rPr>
          <w:rFonts w:ascii="Verdana" w:hAnsi="Verdana" w:cs="Arial"/>
          <w:vanish/>
          <w:sz w:val="18"/>
        </w:rPr>
      </w:pPr>
    </w:p>
    <w:p w14:paraId="0DF2442C" w14:textId="29C81616" w:rsidR="00ED61F0" w:rsidRPr="00ED6198" w:rsidRDefault="00ED61F0" w:rsidP="00245563">
      <w:pPr>
        <w:pStyle w:val="TPText-2slovan"/>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684226">
      <w:pPr>
        <w:pStyle w:val="TPNADPIS-1slovan"/>
        <w:keepNext w:val="0"/>
        <w:jc w:val="both"/>
      </w:pPr>
      <w:bookmarkStart w:id="134" w:name="_Toc103154266"/>
      <w:bookmarkStart w:id="135" w:name="_Toc136269767"/>
      <w:r w:rsidRPr="00ED6198">
        <w:t>Ukončení smluvního vztahu</w:t>
      </w:r>
      <w:bookmarkEnd w:id="134"/>
      <w:bookmarkEnd w:id="135"/>
    </w:p>
    <w:p w14:paraId="09C6640C" w14:textId="7F7F5277" w:rsidR="001413EE" w:rsidRPr="00ED6198" w:rsidRDefault="001413EE" w:rsidP="00684226">
      <w:pPr>
        <w:pStyle w:val="TPText-1slovan"/>
        <w:jc w:val="both"/>
      </w:pPr>
      <w:r w:rsidRPr="00ED6198">
        <w:t>Obecně k odstoupení od Smlouvy</w:t>
      </w:r>
      <w:r w:rsidR="00DA153E" w:rsidRPr="00ED6198">
        <w:t>:</w:t>
      </w:r>
    </w:p>
    <w:p w14:paraId="1246D6E3" w14:textId="5064E859" w:rsidR="003A60F1" w:rsidRPr="00ED6198" w:rsidRDefault="003A60F1" w:rsidP="00684226">
      <w:pPr>
        <w:pStyle w:val="TPText-1slovan"/>
        <w:numPr>
          <w:ilvl w:val="0"/>
          <w:numId w:val="28"/>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684226">
      <w:pPr>
        <w:pStyle w:val="TPText-1slovan"/>
        <w:numPr>
          <w:ilvl w:val="0"/>
          <w:numId w:val="28"/>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684226">
      <w:pPr>
        <w:pStyle w:val="TPText-1slovan"/>
        <w:numPr>
          <w:ilvl w:val="0"/>
          <w:numId w:val="28"/>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84226">
      <w:pPr>
        <w:pStyle w:val="TPText-1slovan"/>
        <w:jc w:val="both"/>
      </w:pPr>
      <w:bookmarkStart w:id="136" w:name="_Ref115692306"/>
      <w:r w:rsidRPr="00ED6198">
        <w:lastRenderedPageBreak/>
        <w:t>Objednatel je oprávněn odstoupit od Smlouvy, v případě, že:</w:t>
      </w:r>
      <w:bookmarkEnd w:id="136"/>
      <w:r w:rsidRPr="00ED6198">
        <w:t xml:space="preserve"> </w:t>
      </w:r>
    </w:p>
    <w:p w14:paraId="7DE1DA04" w14:textId="6249890E" w:rsidR="008F46D1" w:rsidRPr="00ED6198" w:rsidRDefault="00440523" w:rsidP="00684226">
      <w:pPr>
        <w:pStyle w:val="TPText-1slovan"/>
        <w:numPr>
          <w:ilvl w:val="0"/>
          <w:numId w:val="29"/>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684226">
      <w:pPr>
        <w:pStyle w:val="TPText-1slovan"/>
        <w:numPr>
          <w:ilvl w:val="0"/>
          <w:numId w:val="29"/>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684226">
      <w:pPr>
        <w:pStyle w:val="TPText-1slovan"/>
        <w:numPr>
          <w:ilvl w:val="0"/>
          <w:numId w:val="29"/>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684226">
      <w:pPr>
        <w:pStyle w:val="TPText-1slovan"/>
        <w:numPr>
          <w:ilvl w:val="0"/>
          <w:numId w:val="30"/>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684226">
      <w:pPr>
        <w:pStyle w:val="TPText-1slovan"/>
        <w:numPr>
          <w:ilvl w:val="0"/>
          <w:numId w:val="30"/>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684226">
      <w:pPr>
        <w:pStyle w:val="TPText-1slovan"/>
        <w:numPr>
          <w:ilvl w:val="0"/>
          <w:numId w:val="30"/>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22C2AF81" w14:textId="77777777" w:rsidR="004F10DC" w:rsidRDefault="00CA5B5F" w:rsidP="00684226">
      <w:pPr>
        <w:pStyle w:val="TPText-1slovan"/>
        <w:numPr>
          <w:ilvl w:val="0"/>
          <w:numId w:val="30"/>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A078BD" w:rsidRPr="00335BA4">
        <w:t>20</w:t>
      </w:r>
      <w:r w:rsidRPr="00335BA4">
        <w:fldChar w:fldCharType="end"/>
      </w:r>
      <w:r w:rsidR="00E03343" w:rsidRPr="00335BA4">
        <w:t>.</w:t>
      </w:r>
      <w:r w:rsidR="00162601" w:rsidRPr="00335BA4">
        <w:t xml:space="preserve"> ZOP</w:t>
      </w:r>
      <w:r w:rsidR="00B90730" w:rsidRPr="00335BA4">
        <w:t xml:space="preserve"> opakovaně nebo závažným způsobem</w:t>
      </w:r>
    </w:p>
    <w:p w14:paraId="3B6D063F" w14:textId="0C1A250C" w:rsidR="000B2098" w:rsidRPr="00335BA4" w:rsidRDefault="004F10DC" w:rsidP="00684226">
      <w:pPr>
        <w:pStyle w:val="TPText-1slovan"/>
        <w:numPr>
          <w:ilvl w:val="0"/>
          <w:numId w:val="30"/>
        </w:numPr>
        <w:ind w:left="2552" w:hanging="567"/>
        <w:jc w:val="both"/>
      </w:pPr>
      <w:r>
        <w:t>Nedodržení šířky pásma ve smyslu čl. 6.1 písm. n) Přílohy č. 1 Smlouvy</w:t>
      </w:r>
      <w:r w:rsidR="000B2098" w:rsidRPr="00335BA4">
        <w:t>.</w:t>
      </w:r>
    </w:p>
    <w:p w14:paraId="01A0556E" w14:textId="6D49082F" w:rsidR="00924B84" w:rsidRPr="00ED6198" w:rsidRDefault="00412AE4" w:rsidP="00684226">
      <w:pPr>
        <w:pStyle w:val="TPText-1slovan"/>
        <w:numPr>
          <w:ilvl w:val="0"/>
          <w:numId w:val="29"/>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1B02D97A" w:rsidR="000754A5" w:rsidRPr="00ED6198" w:rsidRDefault="000754A5" w:rsidP="00684226">
      <w:pPr>
        <w:pStyle w:val="TPText-1slovan"/>
        <w:numPr>
          <w:ilvl w:val="0"/>
          <w:numId w:val="29"/>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A078BD" w:rsidRPr="00ED6198">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684226">
      <w:pPr>
        <w:pStyle w:val="TPText-1slovan"/>
        <w:numPr>
          <w:ilvl w:val="0"/>
          <w:numId w:val="29"/>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684226">
      <w:pPr>
        <w:pStyle w:val="TPText-1slovan"/>
        <w:numPr>
          <w:ilvl w:val="0"/>
          <w:numId w:val="29"/>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019B028E" w:rsidR="00C21A4E" w:rsidRPr="00ED6198" w:rsidRDefault="00A83885" w:rsidP="00684226">
      <w:pPr>
        <w:pStyle w:val="TPText-1slovan"/>
        <w:numPr>
          <w:ilvl w:val="0"/>
          <w:numId w:val="29"/>
        </w:numPr>
        <w:ind w:left="1701" w:hanging="425"/>
        <w:jc w:val="both"/>
      </w:pPr>
      <w:r w:rsidRPr="00ED6198">
        <w:t xml:space="preserve">okolnost vylučující povinnost k náhradě </w:t>
      </w:r>
      <w:r w:rsidR="00182A60">
        <w:t>Ú</w:t>
      </w:r>
      <w:r w:rsidR="00182A60" w:rsidRPr="00ED6198">
        <w:t xml:space="preserve">jmy </w:t>
      </w:r>
      <w:r w:rsidRPr="00ED6198">
        <w:t>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684226">
      <w:pPr>
        <w:pStyle w:val="TPText-1slovan"/>
        <w:numPr>
          <w:ilvl w:val="0"/>
          <w:numId w:val="29"/>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84226">
      <w:pPr>
        <w:pStyle w:val="TPText-1slovan"/>
        <w:numPr>
          <w:ilvl w:val="0"/>
          <w:numId w:val="29"/>
        </w:numPr>
        <w:ind w:left="1701" w:hanging="425"/>
        <w:jc w:val="both"/>
      </w:pPr>
      <w:r w:rsidRPr="00335BA4">
        <w:t xml:space="preserve">dojde k </w:t>
      </w:r>
      <w:r w:rsidR="00817E25" w:rsidRPr="00335BA4">
        <w:t>V</w:t>
      </w:r>
      <w:r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rsidR="002C2B59" w:rsidRPr="00335BA4">
        <w:t>;</w:t>
      </w:r>
    </w:p>
    <w:p w14:paraId="01616E84" w14:textId="1C9BE86E" w:rsidR="0084219A" w:rsidRPr="00335BA4" w:rsidRDefault="002C2B59" w:rsidP="00684226">
      <w:pPr>
        <w:pStyle w:val="TPText-1slovan"/>
        <w:numPr>
          <w:ilvl w:val="0"/>
          <w:numId w:val="29"/>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684226">
      <w:pPr>
        <w:pStyle w:val="TPText-1slovan"/>
        <w:jc w:val="both"/>
      </w:pPr>
      <w:r w:rsidRPr="00ED6198">
        <w:t xml:space="preserve">Dodavatel </w:t>
      </w:r>
      <w:r w:rsidR="00A83885" w:rsidRPr="00ED6198">
        <w:t>je oprávněn odstoupit od Smlouvy pouze v případech jejího podstatného porušení,</w:t>
      </w:r>
    </w:p>
    <w:p w14:paraId="71874E42" w14:textId="32BDAC12" w:rsidR="00A83885" w:rsidRPr="00ED6198" w:rsidRDefault="00A83885" w:rsidP="00684226">
      <w:pPr>
        <w:pStyle w:val="TPText-1slovan"/>
        <w:numPr>
          <w:ilvl w:val="0"/>
          <w:numId w:val="0"/>
        </w:numPr>
        <w:ind w:left="1106"/>
        <w:jc w:val="both"/>
      </w:pPr>
      <w:r w:rsidRPr="00ED6198">
        <w:t xml:space="preserve">jestliže: </w:t>
      </w:r>
    </w:p>
    <w:p w14:paraId="66FCAA69" w14:textId="1F27969A" w:rsidR="00A83885" w:rsidRPr="00ED6198" w:rsidRDefault="00A83885" w:rsidP="00684226">
      <w:pPr>
        <w:pStyle w:val="TPText-1slovan"/>
        <w:numPr>
          <w:ilvl w:val="0"/>
          <w:numId w:val="43"/>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684226">
      <w:pPr>
        <w:pStyle w:val="TPText-1slovan"/>
        <w:numPr>
          <w:ilvl w:val="0"/>
          <w:numId w:val="43"/>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84226">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684226">
      <w:pPr>
        <w:pStyle w:val="TPNADPIS-1slovan"/>
        <w:keepNext w:val="0"/>
        <w:jc w:val="both"/>
      </w:pPr>
      <w:bookmarkStart w:id="137" w:name="_Toc103154267"/>
      <w:bookmarkStart w:id="138" w:name="_Toc136269768"/>
      <w:r w:rsidRPr="00ED6198">
        <w:t>Změny smlouvy a změnové řízení</w:t>
      </w:r>
      <w:bookmarkEnd w:id="137"/>
      <w:bookmarkEnd w:id="138"/>
    </w:p>
    <w:p w14:paraId="47CF386F" w14:textId="1A7EC5BA" w:rsidR="0085302D" w:rsidRPr="00ED6198" w:rsidRDefault="0085302D" w:rsidP="00684226">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84226">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w:t>
      </w:r>
      <w:r w:rsidRPr="00ED6198">
        <w:lastRenderedPageBreak/>
        <w:t xml:space="preserve">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84226">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684226">
      <w:pPr>
        <w:pStyle w:val="TPNADPIS-1slovan"/>
        <w:keepNext w:val="0"/>
        <w:jc w:val="both"/>
      </w:pPr>
      <w:bookmarkStart w:id="139" w:name="_Ref115447290"/>
      <w:bookmarkStart w:id="140" w:name="_Ref115681601"/>
      <w:bookmarkStart w:id="141" w:name="_Ref115682240"/>
      <w:bookmarkStart w:id="142" w:name="_Ref115685219"/>
      <w:bookmarkStart w:id="143" w:name="_Ref115692359"/>
      <w:bookmarkStart w:id="144" w:name="_Ref115692399"/>
      <w:bookmarkStart w:id="145" w:name="_Ref116909220"/>
      <w:bookmarkStart w:id="146" w:name="_Ref117498800"/>
      <w:bookmarkStart w:id="147" w:name="_Ref117498912"/>
      <w:bookmarkStart w:id="148" w:name="_Ref117514943"/>
      <w:bookmarkStart w:id="149" w:name="_Ref117518066"/>
      <w:bookmarkStart w:id="150" w:name="_Ref117521145"/>
      <w:bookmarkStart w:id="151" w:name="_Ref117697862"/>
      <w:bookmarkStart w:id="152" w:name="_Ref117698211"/>
      <w:bookmarkStart w:id="153" w:name="_Toc103154268"/>
      <w:bookmarkStart w:id="154" w:name="_Toc136269769"/>
      <w:r w:rsidRPr="00ED6198">
        <w:t>Kybernetická bezpečnost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08DD274E" w14:textId="3E9C3F72" w:rsidR="00AD6A94" w:rsidRPr="00335BA4" w:rsidRDefault="001C63B2" w:rsidP="00684226">
      <w:pPr>
        <w:pStyle w:val="TPText-1slovan"/>
        <w:jc w:val="both"/>
      </w:pPr>
      <w:bookmarkStart w:id="155"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55"/>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A078BD" w:rsidRPr="00335BA4">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684226">
      <w:pPr>
        <w:pStyle w:val="TPText-1slovan"/>
        <w:jc w:val="both"/>
      </w:pPr>
      <w:bookmarkStart w:id="156" w:name="_Ref115606269"/>
      <w:bookmarkStart w:id="157"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684226">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56"/>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57"/>
    </w:p>
    <w:p w14:paraId="6602E344" w14:textId="78F71742" w:rsidR="00476758" w:rsidRPr="00335BA4" w:rsidRDefault="0092722D" w:rsidP="00684226">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684226">
      <w:pPr>
        <w:pStyle w:val="Odstavecseseznamem"/>
        <w:numPr>
          <w:ilvl w:val="1"/>
          <w:numId w:val="1"/>
        </w:numPr>
        <w:spacing w:before="120" w:after="0" w:line="240" w:lineRule="auto"/>
        <w:contextualSpacing w:val="0"/>
        <w:jc w:val="both"/>
        <w:outlineLvl w:val="1"/>
        <w:rPr>
          <w:rFonts w:ascii="Verdana" w:hAnsi="Verdana" w:cs="Arial"/>
          <w:b/>
          <w:vanish/>
          <w:sz w:val="18"/>
        </w:rPr>
      </w:pPr>
      <w:bookmarkStart w:id="158" w:name="_Toc117704193"/>
      <w:bookmarkStart w:id="159" w:name="_Toc118366962"/>
      <w:bookmarkStart w:id="160" w:name="_Toc119490036"/>
      <w:bookmarkStart w:id="161" w:name="_Toc119490076"/>
      <w:bookmarkStart w:id="162" w:name="_Toc119490113"/>
      <w:bookmarkStart w:id="163" w:name="_Toc119490231"/>
      <w:bookmarkStart w:id="164" w:name="_Toc135157395"/>
      <w:bookmarkStart w:id="165" w:name="_Toc136269717"/>
      <w:bookmarkStart w:id="166" w:name="_Toc136269770"/>
      <w:bookmarkEnd w:id="158"/>
      <w:bookmarkEnd w:id="159"/>
      <w:bookmarkEnd w:id="160"/>
      <w:bookmarkEnd w:id="161"/>
      <w:bookmarkEnd w:id="162"/>
      <w:bookmarkEnd w:id="163"/>
      <w:bookmarkEnd w:id="164"/>
      <w:bookmarkEnd w:id="165"/>
      <w:bookmarkEnd w:id="166"/>
    </w:p>
    <w:p w14:paraId="08A1AD8C" w14:textId="77777777" w:rsidR="00771A8D" w:rsidRPr="00335BA4" w:rsidRDefault="00771A8D" w:rsidP="00684226">
      <w:pPr>
        <w:pStyle w:val="Odstavecseseznamem"/>
        <w:numPr>
          <w:ilvl w:val="1"/>
          <w:numId w:val="1"/>
        </w:numPr>
        <w:spacing w:before="120" w:after="0" w:line="240" w:lineRule="auto"/>
        <w:contextualSpacing w:val="0"/>
        <w:jc w:val="both"/>
        <w:outlineLvl w:val="1"/>
        <w:rPr>
          <w:rFonts w:ascii="Verdana" w:hAnsi="Verdana" w:cs="Arial"/>
          <w:b/>
          <w:vanish/>
          <w:sz w:val="18"/>
        </w:rPr>
      </w:pPr>
      <w:bookmarkStart w:id="167" w:name="_Toc117704194"/>
      <w:bookmarkStart w:id="168" w:name="_Toc118366963"/>
      <w:bookmarkStart w:id="169" w:name="_Toc119490037"/>
      <w:bookmarkStart w:id="170" w:name="_Toc119490077"/>
      <w:bookmarkStart w:id="171" w:name="_Toc119490114"/>
      <w:bookmarkStart w:id="172" w:name="_Toc119490232"/>
      <w:bookmarkStart w:id="173" w:name="_Toc135157396"/>
      <w:bookmarkStart w:id="174" w:name="_Toc136269718"/>
      <w:bookmarkStart w:id="175" w:name="_Toc136269771"/>
      <w:bookmarkEnd w:id="167"/>
      <w:bookmarkEnd w:id="168"/>
      <w:bookmarkEnd w:id="169"/>
      <w:bookmarkEnd w:id="170"/>
      <w:bookmarkEnd w:id="171"/>
      <w:bookmarkEnd w:id="172"/>
      <w:bookmarkEnd w:id="173"/>
      <w:bookmarkEnd w:id="174"/>
      <w:bookmarkEnd w:id="175"/>
    </w:p>
    <w:p w14:paraId="6D2D0339" w14:textId="77777777" w:rsidR="00771A8D" w:rsidRPr="00335BA4" w:rsidRDefault="00771A8D" w:rsidP="00684226">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684226">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684226">
      <w:pPr>
        <w:pStyle w:val="Odstavecseseznamem"/>
        <w:numPr>
          <w:ilvl w:val="2"/>
          <w:numId w:val="1"/>
        </w:numPr>
        <w:spacing w:before="80" w:after="0" w:line="240" w:lineRule="auto"/>
        <w:contextualSpacing w:val="0"/>
        <w:jc w:val="both"/>
        <w:rPr>
          <w:rFonts w:ascii="Verdana" w:hAnsi="Verdana" w:cs="Arial"/>
          <w:vanish/>
          <w:sz w:val="18"/>
        </w:rPr>
      </w:pPr>
    </w:p>
    <w:p w14:paraId="4DA3FB78" w14:textId="3B4390E0" w:rsidR="002D4FC9" w:rsidRPr="00335BA4" w:rsidRDefault="00760613" w:rsidP="00684226">
      <w:pPr>
        <w:pStyle w:val="TPText-1slovan"/>
        <w:numPr>
          <w:ilvl w:val="0"/>
          <w:numId w:val="33"/>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5E3055">
        <w:t xml:space="preserve"> </w:t>
      </w:r>
      <w:r w:rsidR="005E3055" w:rsidRPr="005E3055">
        <w:t>a Dodavatel musí umožnit a poskytnout součinnost na jejich integraci do systému bezpečnostního monitoringu (SIEM), systému pro správu logů a centrální úložiště logů Objednatele</w:t>
      </w:r>
      <w:r w:rsidR="0000496A" w:rsidRPr="00335BA4">
        <w:t>;</w:t>
      </w:r>
    </w:p>
    <w:p w14:paraId="3A0762B2" w14:textId="7E861857" w:rsidR="00DF4C0B" w:rsidRPr="00335BA4" w:rsidRDefault="00476758" w:rsidP="00684226">
      <w:pPr>
        <w:pStyle w:val="TPText-1slovan"/>
        <w:numPr>
          <w:ilvl w:val="0"/>
          <w:numId w:val="33"/>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684226">
      <w:pPr>
        <w:pStyle w:val="TPText-1slovan"/>
        <w:numPr>
          <w:ilvl w:val="2"/>
          <w:numId w:val="52"/>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w:t>
      </w:r>
      <w:r w:rsidR="00F44329" w:rsidRPr="00335BA4">
        <w:lastRenderedPageBreak/>
        <w:t>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684226">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684226">
      <w:pPr>
        <w:pStyle w:val="TPText-1slovan"/>
        <w:numPr>
          <w:ilvl w:val="0"/>
          <w:numId w:val="44"/>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684226">
      <w:pPr>
        <w:pStyle w:val="TPText-1slovan"/>
        <w:numPr>
          <w:ilvl w:val="0"/>
          <w:numId w:val="44"/>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317F0801" w:rsidR="008278E0" w:rsidRPr="00335BA4" w:rsidRDefault="008278E0" w:rsidP="00684226">
      <w:pPr>
        <w:pStyle w:val="TPText-1slovan"/>
        <w:numPr>
          <w:ilvl w:val="0"/>
          <w:numId w:val="44"/>
        </w:numPr>
        <w:ind w:left="1701" w:hanging="425"/>
        <w:jc w:val="both"/>
      </w:pPr>
      <w:r w:rsidRPr="00335BA4">
        <w:t xml:space="preserve">ohlášením do </w:t>
      </w:r>
      <w:r w:rsidR="002C259F">
        <w:t>HelpDesk</w:t>
      </w:r>
      <w:r w:rsidR="001B096A" w:rsidRPr="00335BA4">
        <w:t>u</w:t>
      </w:r>
      <w:r w:rsidRPr="00335BA4">
        <w:t xml:space="preserve"> Objednatele.</w:t>
      </w:r>
    </w:p>
    <w:p w14:paraId="66C3C539" w14:textId="325C3E70" w:rsidR="00004AE2" w:rsidRPr="00335BA4" w:rsidRDefault="00004AE2" w:rsidP="00684226">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684226">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2C0034F2" w14:textId="19D08DAF" w:rsidR="000C0233" w:rsidRDefault="005E3055" w:rsidP="00684226">
      <w:pPr>
        <w:pStyle w:val="TPText-1slovan"/>
        <w:numPr>
          <w:ilvl w:val="0"/>
          <w:numId w:val="0"/>
        </w:numPr>
        <w:ind w:left="1106"/>
        <w:jc w:val="both"/>
      </w:pPr>
      <w:r w:rsidRPr="005E3055">
        <w:t>Dodavatel bere na vědomí, že v rámci provádění Plnění může být podroben Interním předpisům Objednatele či jeho pokynům v oblasti řízení kontinuity činností, zejména může být zahrnut do havarijních plánů, úkolů při aktivaci řízení kontinuity činností, bezpečnostní politiky apod., a to v rozsahu, v jakém lze po Dodavateli spravedlivě požadovat s ohledem na předmět plnění.</w:t>
      </w:r>
    </w:p>
    <w:p w14:paraId="51ABC2CC" w14:textId="1A258230" w:rsidR="00004AE2" w:rsidRPr="00335BA4" w:rsidRDefault="00004AE2" w:rsidP="00684226">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684226">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684226">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w:t>
      </w:r>
      <w:r w:rsidRPr="00335BA4">
        <w:lastRenderedPageBreak/>
        <w:t>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684226">
      <w:pPr>
        <w:pStyle w:val="TPText-1slovan"/>
        <w:numPr>
          <w:ilvl w:val="0"/>
          <w:numId w:val="32"/>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684226">
      <w:pPr>
        <w:pStyle w:val="TPText-1slovan"/>
        <w:numPr>
          <w:ilvl w:val="0"/>
          <w:numId w:val="32"/>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684226">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Default="00854C94" w:rsidP="00684226">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09881DDC" w14:textId="69996093" w:rsidR="005E3055" w:rsidRPr="00335BA4" w:rsidRDefault="005E3055" w:rsidP="00684226">
      <w:pPr>
        <w:pStyle w:val="TPText-1slovan"/>
        <w:numPr>
          <w:ilvl w:val="0"/>
          <w:numId w:val="0"/>
        </w:numPr>
        <w:ind w:left="1106"/>
        <w:jc w:val="both"/>
      </w:pPr>
      <w:r w:rsidRPr="005E3055">
        <w:t>Je-li součástí Předmětu Plnění přenos Dat a informací, je Dodavatel povinen jej za součinnosti oprávněných osob na straně Objednatele zabezpečit odolnými kryptografickými algoritmy v souladu s aktuálními doporučeními NÚKIB</w:t>
      </w:r>
    </w:p>
    <w:p w14:paraId="4ACD3B54" w14:textId="2888E575" w:rsidR="00F25DB0" w:rsidRPr="00335BA4" w:rsidRDefault="007A2C2C" w:rsidP="00684226">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684226">
      <w:pPr>
        <w:pStyle w:val="Odstavecseseznamem"/>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Start w:id="182" w:name="_Toc135157397"/>
      <w:bookmarkStart w:id="183" w:name="_Toc136269719"/>
      <w:bookmarkStart w:id="184" w:name="_Toc136269772"/>
      <w:bookmarkEnd w:id="176"/>
      <w:bookmarkEnd w:id="177"/>
      <w:bookmarkEnd w:id="178"/>
      <w:bookmarkEnd w:id="179"/>
      <w:bookmarkEnd w:id="180"/>
      <w:bookmarkEnd w:id="181"/>
      <w:bookmarkEnd w:id="182"/>
      <w:bookmarkEnd w:id="183"/>
      <w:bookmarkEnd w:id="184"/>
    </w:p>
    <w:p w14:paraId="51F40FB7" w14:textId="77777777" w:rsidR="009F03F8" w:rsidRPr="00335BA4" w:rsidRDefault="009F03F8" w:rsidP="00684226">
      <w:pPr>
        <w:pStyle w:val="Odstavecseseznamem"/>
        <w:numPr>
          <w:ilvl w:val="1"/>
          <w:numId w:val="1"/>
        </w:numPr>
        <w:spacing w:before="120" w:after="0" w:line="240" w:lineRule="auto"/>
        <w:contextualSpacing w:val="0"/>
        <w:jc w:val="both"/>
        <w:outlineLvl w:val="1"/>
        <w:rPr>
          <w:rFonts w:ascii="Verdana" w:hAnsi="Verdana" w:cs="Arial"/>
          <w:b/>
          <w:vanish/>
          <w:sz w:val="18"/>
        </w:rPr>
      </w:pPr>
      <w:bookmarkStart w:id="185" w:name="_Toc117704196"/>
      <w:bookmarkStart w:id="186" w:name="_Toc118366965"/>
      <w:bookmarkStart w:id="187" w:name="_Toc119490039"/>
      <w:bookmarkStart w:id="188" w:name="_Toc119490079"/>
      <w:bookmarkStart w:id="189" w:name="_Toc119490116"/>
      <w:bookmarkStart w:id="190" w:name="_Toc119490234"/>
      <w:bookmarkStart w:id="191" w:name="_Toc135157398"/>
      <w:bookmarkStart w:id="192" w:name="_Toc136269720"/>
      <w:bookmarkStart w:id="193" w:name="_Toc136269773"/>
      <w:bookmarkEnd w:id="185"/>
      <w:bookmarkEnd w:id="186"/>
      <w:bookmarkEnd w:id="187"/>
      <w:bookmarkEnd w:id="188"/>
      <w:bookmarkEnd w:id="189"/>
      <w:bookmarkEnd w:id="190"/>
      <w:bookmarkEnd w:id="191"/>
      <w:bookmarkEnd w:id="192"/>
      <w:bookmarkEnd w:id="193"/>
    </w:p>
    <w:p w14:paraId="079A8654"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684226">
      <w:pPr>
        <w:pStyle w:val="TPText-1slovan"/>
        <w:numPr>
          <w:ilvl w:val="0"/>
          <w:numId w:val="47"/>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684226">
      <w:pPr>
        <w:pStyle w:val="TPText-1slovan"/>
        <w:numPr>
          <w:ilvl w:val="0"/>
          <w:numId w:val="47"/>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684226">
      <w:pPr>
        <w:pStyle w:val="TPText-1slovan"/>
        <w:numPr>
          <w:ilvl w:val="0"/>
          <w:numId w:val="47"/>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684226">
      <w:pPr>
        <w:pStyle w:val="TPText-1slovan"/>
        <w:numPr>
          <w:ilvl w:val="2"/>
          <w:numId w:val="53"/>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684226">
      <w:pPr>
        <w:pStyle w:val="Odstavecseseznamem"/>
        <w:numPr>
          <w:ilvl w:val="1"/>
          <w:numId w:val="1"/>
        </w:numPr>
        <w:spacing w:before="120" w:after="0" w:line="240" w:lineRule="auto"/>
        <w:contextualSpacing w:val="0"/>
        <w:jc w:val="both"/>
        <w:outlineLvl w:val="1"/>
        <w:rPr>
          <w:rFonts w:ascii="Verdana" w:hAnsi="Verdana" w:cs="Arial"/>
          <w:b/>
          <w:vanish/>
          <w:sz w:val="18"/>
        </w:rPr>
      </w:pPr>
      <w:bookmarkStart w:id="194" w:name="_Toc117704197"/>
      <w:bookmarkStart w:id="195" w:name="_Toc118366966"/>
      <w:bookmarkStart w:id="196" w:name="_Toc119490040"/>
      <w:bookmarkStart w:id="197" w:name="_Toc119490080"/>
      <w:bookmarkStart w:id="198" w:name="_Toc119490117"/>
      <w:bookmarkStart w:id="199" w:name="_Toc119490235"/>
      <w:bookmarkStart w:id="200" w:name="_Toc135157399"/>
      <w:bookmarkStart w:id="201" w:name="_Toc136269721"/>
      <w:bookmarkStart w:id="202" w:name="_Toc136269774"/>
      <w:bookmarkEnd w:id="194"/>
      <w:bookmarkEnd w:id="195"/>
      <w:bookmarkEnd w:id="196"/>
      <w:bookmarkEnd w:id="197"/>
      <w:bookmarkEnd w:id="198"/>
      <w:bookmarkEnd w:id="199"/>
      <w:bookmarkEnd w:id="200"/>
      <w:bookmarkEnd w:id="201"/>
      <w:bookmarkEnd w:id="202"/>
    </w:p>
    <w:p w14:paraId="4D76AA95"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684226">
      <w:pPr>
        <w:pStyle w:val="TPText-1slovan"/>
        <w:numPr>
          <w:ilvl w:val="0"/>
          <w:numId w:val="48"/>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684226">
      <w:pPr>
        <w:pStyle w:val="TPText-1slovan"/>
        <w:numPr>
          <w:ilvl w:val="0"/>
          <w:numId w:val="48"/>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684226">
      <w:pPr>
        <w:pStyle w:val="TPText-1slovan"/>
        <w:numPr>
          <w:ilvl w:val="0"/>
          <w:numId w:val="48"/>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684226">
      <w:pPr>
        <w:pStyle w:val="TPText-1slovan"/>
        <w:numPr>
          <w:ilvl w:val="0"/>
          <w:numId w:val="48"/>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0394439F" w:rsidR="00847E1F" w:rsidRPr="00335BA4" w:rsidRDefault="00847E1F" w:rsidP="00684226">
      <w:pPr>
        <w:pStyle w:val="TPText-1slovan"/>
        <w:numPr>
          <w:ilvl w:val="0"/>
          <w:numId w:val="48"/>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A078BD" w:rsidRPr="00335BA4">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A078BD" w:rsidRPr="00335BA4">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684226">
      <w:pPr>
        <w:pStyle w:val="TPText-1slovan"/>
        <w:numPr>
          <w:ilvl w:val="2"/>
          <w:numId w:val="54"/>
        </w:numPr>
        <w:jc w:val="both"/>
      </w:pPr>
      <w:r w:rsidRPr="00335BA4">
        <w:t>Provozovatel je dále povinen:</w:t>
      </w:r>
    </w:p>
    <w:p w14:paraId="467FBF93" w14:textId="3FF4529C" w:rsidR="004310AC" w:rsidRPr="00335BA4" w:rsidRDefault="00222121" w:rsidP="00684226">
      <w:pPr>
        <w:pStyle w:val="TPText-1slovan"/>
        <w:numPr>
          <w:ilvl w:val="0"/>
          <w:numId w:val="49"/>
        </w:numPr>
        <w:jc w:val="both"/>
      </w:pPr>
      <w:r w:rsidRPr="00335BA4">
        <w:lastRenderedPageBreak/>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684226">
      <w:pPr>
        <w:pStyle w:val="TPText-1slovan"/>
        <w:numPr>
          <w:ilvl w:val="0"/>
          <w:numId w:val="49"/>
        </w:numPr>
        <w:jc w:val="both"/>
      </w:pPr>
      <w:r w:rsidRPr="00335BA4">
        <w:t>plnit další povinnosti vyplývající pro Provozovatele ze ZKB a VKB.</w:t>
      </w:r>
    </w:p>
    <w:p w14:paraId="502DD717" w14:textId="3D395179" w:rsidR="00004AE2" w:rsidRPr="00335BA4" w:rsidRDefault="00004AE2" w:rsidP="00684226">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684226">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6946D5B2" w:rsidR="008368F2" w:rsidRPr="00335BA4" w:rsidRDefault="008368F2" w:rsidP="00684226">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A078BD" w:rsidRPr="00335BA4">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684226">
      <w:pPr>
        <w:pStyle w:val="TPText-1slovan"/>
        <w:jc w:val="both"/>
      </w:pPr>
      <w:r w:rsidRPr="00335BA4">
        <w:t xml:space="preserve">Objednatel je oprávněn požadovat na Dodavateli zaplacení smluvní pokuty: </w:t>
      </w:r>
    </w:p>
    <w:p w14:paraId="7BBEA52B" w14:textId="5D80EE52" w:rsidR="005713A3" w:rsidRPr="00335BA4" w:rsidRDefault="005713A3" w:rsidP="00684226">
      <w:pPr>
        <w:pStyle w:val="TPText-1slovan"/>
        <w:numPr>
          <w:ilvl w:val="0"/>
          <w:numId w:val="46"/>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684226">
      <w:pPr>
        <w:pStyle w:val="TPText-1slovan"/>
        <w:numPr>
          <w:ilvl w:val="0"/>
          <w:numId w:val="34"/>
        </w:numPr>
        <w:spacing w:before="40"/>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684226">
      <w:pPr>
        <w:pStyle w:val="TPText-1slovan"/>
        <w:numPr>
          <w:ilvl w:val="0"/>
          <w:numId w:val="34"/>
        </w:numPr>
        <w:spacing w:before="40"/>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684226">
      <w:pPr>
        <w:pStyle w:val="TPText-1slovan"/>
        <w:numPr>
          <w:ilvl w:val="0"/>
          <w:numId w:val="34"/>
        </w:numPr>
        <w:spacing w:before="40"/>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684226">
      <w:pPr>
        <w:pStyle w:val="TPText-1slovan"/>
        <w:numPr>
          <w:ilvl w:val="0"/>
          <w:numId w:val="46"/>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684226">
      <w:pPr>
        <w:pStyle w:val="TPText-1slovan"/>
        <w:numPr>
          <w:ilvl w:val="0"/>
          <w:numId w:val="35"/>
        </w:numPr>
        <w:spacing w:before="40"/>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684226">
      <w:pPr>
        <w:pStyle w:val="TPText-1slovan"/>
        <w:numPr>
          <w:ilvl w:val="0"/>
          <w:numId w:val="35"/>
        </w:numPr>
        <w:spacing w:before="40"/>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684226">
      <w:pPr>
        <w:pStyle w:val="TPText-1slovan"/>
        <w:numPr>
          <w:ilvl w:val="0"/>
          <w:numId w:val="46"/>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07FBF931" w:rsidR="00423298" w:rsidRPr="00335BA4" w:rsidRDefault="005713A3" w:rsidP="00684226">
      <w:pPr>
        <w:pStyle w:val="TPText-1slovan"/>
        <w:numPr>
          <w:ilvl w:val="0"/>
          <w:numId w:val="46"/>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A078BD" w:rsidRPr="00335BA4">
        <w:t>20</w:t>
      </w:r>
      <w:r w:rsidR="00493B63" w:rsidRPr="00335BA4">
        <w:fldChar w:fldCharType="end"/>
      </w:r>
      <w:r w:rsidR="00E72A10" w:rsidRPr="00335BA4">
        <w:t>.</w:t>
      </w:r>
      <w:r w:rsidR="00CA72F9" w:rsidRPr="00335BA4">
        <w:t xml:space="preserve"> ZOP</w:t>
      </w:r>
      <w:r w:rsidR="00423298" w:rsidRPr="00335BA4">
        <w:t>;</w:t>
      </w:r>
    </w:p>
    <w:p w14:paraId="3FCD6F27" w14:textId="13C3C123" w:rsidR="00423298" w:rsidRPr="00335BA4" w:rsidRDefault="00423298" w:rsidP="00684226">
      <w:pPr>
        <w:pStyle w:val="TPText-1slovan"/>
        <w:numPr>
          <w:ilvl w:val="0"/>
          <w:numId w:val="46"/>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A078BD" w:rsidRPr="00335BA4">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00C0D3D8" w:rsidR="00D07CD1" w:rsidRPr="00335BA4" w:rsidRDefault="00D07CD1" w:rsidP="00684226">
      <w:pPr>
        <w:pStyle w:val="TPText-1slovan"/>
        <w:numPr>
          <w:ilvl w:val="0"/>
          <w:numId w:val="46"/>
        </w:numPr>
        <w:ind w:left="1701" w:hanging="425"/>
        <w:jc w:val="both"/>
      </w:pPr>
      <w:r w:rsidRPr="00335BA4">
        <w:t xml:space="preserve">ve výši </w:t>
      </w:r>
      <w:r w:rsidR="00AC6256">
        <w:t> 10 000 Kč</w:t>
      </w:r>
      <w:r w:rsidR="00624239" w:rsidRPr="00335BA4">
        <w:t xml:space="preserve">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A078BD" w:rsidRPr="00335BA4">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7A5020AC" w:rsidR="00A31979" w:rsidRPr="00335BA4" w:rsidRDefault="00423298" w:rsidP="00684226">
      <w:pPr>
        <w:pStyle w:val="TPText-1slovan"/>
        <w:numPr>
          <w:ilvl w:val="0"/>
          <w:numId w:val="46"/>
        </w:numPr>
        <w:ind w:left="1701" w:hanging="425"/>
        <w:jc w:val="both"/>
      </w:pPr>
      <w:r w:rsidRPr="00335BA4">
        <w:t xml:space="preserve">ve </w:t>
      </w:r>
      <w:r w:rsidR="00915903">
        <w:t> 100 000 Kč</w:t>
      </w:r>
      <w:r w:rsidRPr="00335BA4">
        <w:t xml:space="preserve">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A078BD" w:rsidRPr="00335BA4">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684226">
      <w:pPr>
        <w:pStyle w:val="TPNADPIS-1slovan"/>
        <w:keepNext w:val="0"/>
        <w:jc w:val="both"/>
      </w:pPr>
      <w:bookmarkStart w:id="203" w:name="_Ref117498661"/>
      <w:bookmarkStart w:id="204" w:name="_Toc103154269"/>
      <w:bookmarkStart w:id="205" w:name="_Toc136269775"/>
      <w:r w:rsidRPr="00ED6198">
        <w:t>Ochrana osobních údajů</w:t>
      </w:r>
      <w:bookmarkEnd w:id="203"/>
      <w:bookmarkEnd w:id="204"/>
      <w:bookmarkEnd w:id="205"/>
    </w:p>
    <w:p w14:paraId="0C3FB491" w14:textId="22B28A73" w:rsidR="00F56D62" w:rsidRPr="00ED6198" w:rsidRDefault="00F039B0" w:rsidP="00684226">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684226">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684226">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 xml:space="preserve">údaje výhradně za uvedeným účelem, způsobem a na základě doložených pokynů a </w:t>
      </w:r>
      <w:r w:rsidRPr="00ED6198">
        <w:lastRenderedPageBreak/>
        <w:t>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684226">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684226">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684226">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684226">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684226">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684226">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684226">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684226">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684226">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684226">
      <w:pPr>
        <w:pStyle w:val="TPNADPIS-1slovan"/>
        <w:keepNext w:val="0"/>
        <w:jc w:val="both"/>
      </w:pPr>
      <w:bookmarkStart w:id="206" w:name="_Ref115696518"/>
      <w:bookmarkStart w:id="207" w:name="_Toc103154270"/>
      <w:bookmarkStart w:id="208" w:name="_Toc136269776"/>
      <w:r w:rsidRPr="00ED6198">
        <w:t>ochrana důvěrných informací</w:t>
      </w:r>
      <w:bookmarkEnd w:id="206"/>
      <w:bookmarkEnd w:id="207"/>
      <w:bookmarkEnd w:id="208"/>
    </w:p>
    <w:p w14:paraId="44D53AB3" w14:textId="646E0606" w:rsidR="007405D7" w:rsidRPr="00ED6198" w:rsidRDefault="007405D7" w:rsidP="00684226">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684226">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84226">
      <w:pPr>
        <w:pStyle w:val="TPText-1slovan"/>
        <w:jc w:val="both"/>
      </w:pPr>
      <w:r w:rsidRPr="00ED6198">
        <w:t xml:space="preserve">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w:t>
      </w:r>
      <w:r w:rsidRPr="00ED6198">
        <w:lastRenderedPageBreak/>
        <w:t>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84226">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684226">
      <w:pPr>
        <w:pStyle w:val="TPText-1slovan"/>
        <w:jc w:val="both"/>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684226">
      <w:pPr>
        <w:pStyle w:val="TPText-1slovan"/>
        <w:jc w:val="both"/>
      </w:pPr>
      <w:bookmarkStart w:id="209"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9"/>
    </w:p>
    <w:p w14:paraId="6C7F47E5" w14:textId="77777777" w:rsidR="007405D7" w:rsidRPr="00ED6198" w:rsidRDefault="007405D7" w:rsidP="00684226">
      <w:pPr>
        <w:pStyle w:val="TPText-1slovan"/>
        <w:jc w:val="both"/>
      </w:pPr>
      <w:r w:rsidRPr="00ED6198">
        <w:t xml:space="preserve">Objednatel je oprávněn požadovat na Dodavateli zaplacení smluvní pokuty: </w:t>
      </w:r>
    </w:p>
    <w:p w14:paraId="69F6065D" w14:textId="1E5B8BDA" w:rsidR="007405D7" w:rsidRPr="00ED6198" w:rsidRDefault="007405D7" w:rsidP="00684226">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p>
    <w:p w14:paraId="1E5F0676" w14:textId="5B4DB087" w:rsidR="007405D7" w:rsidRDefault="007405D7" w:rsidP="00684226">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684226">
      <w:pPr>
        <w:pStyle w:val="TPText-1slovan"/>
        <w:numPr>
          <w:ilvl w:val="0"/>
          <w:numId w:val="0"/>
        </w:numPr>
        <w:ind w:left="1106" w:hanging="681"/>
        <w:jc w:val="both"/>
      </w:pPr>
    </w:p>
    <w:sectPr w:rsidR="007405D7" w:rsidRPr="00094D15" w:rsidSect="00471F7F">
      <w:headerReference w:type="even" r:id="rId10"/>
      <w:headerReference w:type="default" r:id="rId11"/>
      <w:footerReference w:type="even"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D7D83" w14:textId="77777777" w:rsidR="00D92509" w:rsidRDefault="00D92509" w:rsidP="00533FFF">
      <w:pPr>
        <w:spacing w:after="0" w:line="240" w:lineRule="auto"/>
      </w:pPr>
      <w:r>
        <w:separator/>
      </w:r>
    </w:p>
  </w:endnote>
  <w:endnote w:type="continuationSeparator" w:id="0">
    <w:p w14:paraId="596E1FBF" w14:textId="77777777" w:rsidR="00D92509" w:rsidRDefault="00D92509" w:rsidP="00533FFF">
      <w:pPr>
        <w:spacing w:after="0" w:line="240" w:lineRule="auto"/>
      </w:pPr>
      <w:r>
        <w:continuationSeparator/>
      </w:r>
    </w:p>
  </w:endnote>
  <w:endnote w:type="continuationNotice" w:id="1">
    <w:p w14:paraId="4A416308" w14:textId="77777777" w:rsidR="00D92509" w:rsidRDefault="00D92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0D3B2" w14:textId="77777777" w:rsidR="00A17568" w:rsidRDefault="00A1756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17568" w:rsidRPr="00471F7F" w14:paraId="59048D64" w14:textId="77777777" w:rsidTr="00EC4104">
      <w:tc>
        <w:tcPr>
          <w:tcW w:w="1361" w:type="dxa"/>
          <w:tcMar>
            <w:left w:w="0" w:type="dxa"/>
            <w:right w:w="0" w:type="dxa"/>
          </w:tcMar>
          <w:vAlign w:val="bottom"/>
        </w:tcPr>
        <w:p w14:paraId="7EAAC4FF" w14:textId="6B46EE1D" w:rsidR="00A17568" w:rsidRPr="00471F7F" w:rsidRDefault="00A17568"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49362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493626">
            <w:rPr>
              <w:rFonts w:ascii="Verdana" w:eastAsia="Verdana" w:hAnsi="Verdana"/>
              <w:b/>
              <w:noProof/>
              <w:color w:val="FF5200"/>
              <w:sz w:val="12"/>
              <w:szCs w:val="12"/>
            </w:rPr>
            <w:t>22</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A17568" w:rsidRPr="00471F7F" w:rsidRDefault="00A17568"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A17568" w:rsidRPr="00471F7F" w:rsidRDefault="00A17568"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A17568" w:rsidRPr="00471F7F" w:rsidRDefault="00A17568" w:rsidP="00471F7F">
          <w:pPr>
            <w:tabs>
              <w:tab w:val="center" w:pos="4536"/>
              <w:tab w:val="right" w:pos="9072"/>
            </w:tabs>
            <w:spacing w:after="0" w:line="240" w:lineRule="auto"/>
            <w:rPr>
              <w:rFonts w:ascii="Verdana" w:eastAsia="Verdana" w:hAnsi="Verdana"/>
              <w:sz w:val="12"/>
              <w:szCs w:val="12"/>
            </w:rPr>
          </w:pPr>
        </w:p>
      </w:tc>
    </w:tr>
  </w:tbl>
  <w:p w14:paraId="1EB12726" w14:textId="77777777" w:rsidR="00A17568" w:rsidRPr="00471F7F" w:rsidRDefault="00A17568"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xmlns:arto="http://schemas.microsoft.com/office/word/2006/arto">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xmlns:arto="http://schemas.microsoft.com/office/word/2006/arto">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A17568" w:rsidRPr="00471F7F" w14:paraId="1E2FFD23" w14:textId="77777777" w:rsidTr="00EC4104">
      <w:tc>
        <w:tcPr>
          <w:tcW w:w="1361" w:type="dxa"/>
          <w:tcMar>
            <w:left w:w="0" w:type="dxa"/>
            <w:right w:w="0" w:type="dxa"/>
          </w:tcMar>
          <w:vAlign w:val="bottom"/>
        </w:tcPr>
        <w:p w14:paraId="2EA4DDD2" w14:textId="23599C01" w:rsidR="00A17568" w:rsidRPr="00471F7F" w:rsidRDefault="00A17568"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493626">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493626">
            <w:rPr>
              <w:rFonts w:ascii="Verdana" w:eastAsia="Verdana" w:hAnsi="Verdana"/>
              <w:b/>
              <w:noProof/>
              <w:color w:val="FF5200"/>
              <w:sz w:val="12"/>
              <w:szCs w:val="12"/>
            </w:rPr>
            <w:t>22</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A17568" w:rsidRPr="00471F7F" w:rsidRDefault="00A17568"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A17568" w:rsidRDefault="00A17568"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A17568" w:rsidRPr="00471F7F" w:rsidRDefault="00A17568"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A17568" w:rsidRPr="00471F7F" w:rsidRDefault="00A17568"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A17568" w:rsidRPr="00471F7F" w:rsidRDefault="00A17568"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A17568" w:rsidRPr="00471F7F" w:rsidRDefault="00A17568"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A17568" w:rsidRDefault="00A175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91C46" w14:textId="77777777" w:rsidR="00D92509" w:rsidRDefault="00D92509" w:rsidP="00533FFF">
      <w:pPr>
        <w:spacing w:after="0" w:line="240" w:lineRule="auto"/>
      </w:pPr>
      <w:r>
        <w:separator/>
      </w:r>
    </w:p>
  </w:footnote>
  <w:footnote w:type="continuationSeparator" w:id="0">
    <w:p w14:paraId="06F39D6E" w14:textId="77777777" w:rsidR="00D92509" w:rsidRDefault="00D92509" w:rsidP="00533FFF">
      <w:pPr>
        <w:spacing w:after="0" w:line="240" w:lineRule="auto"/>
      </w:pPr>
      <w:r>
        <w:continuationSeparator/>
      </w:r>
    </w:p>
  </w:footnote>
  <w:footnote w:type="continuationNotice" w:id="1">
    <w:p w14:paraId="3E31433B" w14:textId="77777777" w:rsidR="00D92509" w:rsidRDefault="00D92509">
      <w:pPr>
        <w:spacing w:after="0" w:line="240" w:lineRule="auto"/>
      </w:pPr>
    </w:p>
  </w:footnote>
  <w:footnote w:id="2">
    <w:p w14:paraId="7E7A6B22" w14:textId="64C1DF09" w:rsidR="004F10DC" w:rsidRDefault="004F10DC">
      <w:pPr>
        <w:pStyle w:val="Textpoznpodarou"/>
      </w:pPr>
      <w:r>
        <w:rPr>
          <w:rStyle w:val="Znakapoznpodarou"/>
        </w:rPr>
        <w:footnoteRef/>
      </w:r>
      <w:r>
        <w:t xml:space="preserve"> Jednotlivým porušením ve smyslu tohoto písmene se rozumí jeden kalendářní den, ve kterém došlo k nedodržení předmětné povinnosti.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1C589" w14:textId="77777777" w:rsidR="00A17568" w:rsidRDefault="00A1756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79616" w14:textId="77777777" w:rsidR="00A17568" w:rsidRDefault="00A1756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0A14" w14:textId="59A1F1F2" w:rsidR="00A17568" w:rsidRDefault="00A17568">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91FC18B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2382"/>
        </w:tabs>
        <w:ind w:left="2382"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7"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8"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1"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6"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19"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0"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1"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4"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6"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38"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9"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41"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3"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48"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49"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1"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1168397509">
    <w:abstractNumId w:val="5"/>
  </w:num>
  <w:num w:numId="2" w16cid:durableId="2071345731">
    <w:abstractNumId w:val="26"/>
  </w:num>
  <w:num w:numId="3" w16cid:durableId="1101685142">
    <w:abstractNumId w:val="28"/>
  </w:num>
  <w:num w:numId="4" w16cid:durableId="1147551899">
    <w:abstractNumId w:val="25"/>
  </w:num>
  <w:num w:numId="5" w16cid:durableId="2032998473">
    <w:abstractNumId w:val="46"/>
  </w:num>
  <w:num w:numId="6" w16cid:durableId="693044127">
    <w:abstractNumId w:val="38"/>
  </w:num>
  <w:num w:numId="7" w16cid:durableId="1429354447">
    <w:abstractNumId w:val="50"/>
  </w:num>
  <w:num w:numId="8" w16cid:durableId="1674524681">
    <w:abstractNumId w:val="41"/>
  </w:num>
  <w:num w:numId="9" w16cid:durableId="1065643367">
    <w:abstractNumId w:val="17"/>
  </w:num>
  <w:num w:numId="10" w16cid:durableId="1986012259">
    <w:abstractNumId w:val="24"/>
  </w:num>
  <w:num w:numId="11" w16cid:durableId="500777344">
    <w:abstractNumId w:val="51"/>
  </w:num>
  <w:num w:numId="12" w16cid:durableId="1655796409">
    <w:abstractNumId w:val="39"/>
  </w:num>
  <w:num w:numId="13" w16cid:durableId="27342140">
    <w:abstractNumId w:val="1"/>
  </w:num>
  <w:num w:numId="14" w16cid:durableId="1705209076">
    <w:abstractNumId w:val="29"/>
  </w:num>
  <w:num w:numId="15" w16cid:durableId="2029090554">
    <w:abstractNumId w:val="34"/>
  </w:num>
  <w:num w:numId="16" w16cid:durableId="1211765911">
    <w:abstractNumId w:val="20"/>
  </w:num>
  <w:num w:numId="17" w16cid:durableId="1347556727">
    <w:abstractNumId w:val="32"/>
  </w:num>
  <w:num w:numId="18" w16cid:durableId="672491835">
    <w:abstractNumId w:val="10"/>
  </w:num>
  <w:num w:numId="19" w16cid:durableId="1425691108">
    <w:abstractNumId w:val="27"/>
  </w:num>
  <w:num w:numId="20" w16cid:durableId="2032338289">
    <w:abstractNumId w:val="23"/>
  </w:num>
  <w:num w:numId="21" w16cid:durableId="1605921516">
    <w:abstractNumId w:val="14"/>
  </w:num>
  <w:num w:numId="22" w16cid:durableId="1107190700">
    <w:abstractNumId w:val="36"/>
  </w:num>
  <w:num w:numId="23" w16cid:durableId="94329824">
    <w:abstractNumId w:val="31"/>
  </w:num>
  <w:num w:numId="24" w16cid:durableId="1689259792">
    <w:abstractNumId w:val="9"/>
  </w:num>
  <w:num w:numId="25" w16cid:durableId="1116489268">
    <w:abstractNumId w:val="3"/>
  </w:num>
  <w:num w:numId="26" w16cid:durableId="363673709">
    <w:abstractNumId w:val="21"/>
  </w:num>
  <w:num w:numId="27" w16cid:durableId="1701275137">
    <w:abstractNumId w:val="33"/>
  </w:num>
  <w:num w:numId="28" w16cid:durableId="402335391">
    <w:abstractNumId w:val="19"/>
  </w:num>
  <w:num w:numId="29" w16cid:durableId="189614649">
    <w:abstractNumId w:val="12"/>
  </w:num>
  <w:num w:numId="30" w16cid:durableId="2108111436">
    <w:abstractNumId w:val="49"/>
  </w:num>
  <w:num w:numId="31" w16cid:durableId="1825126668">
    <w:abstractNumId w:val="42"/>
  </w:num>
  <w:num w:numId="32" w16cid:durableId="1679312810">
    <w:abstractNumId w:val="0"/>
  </w:num>
  <w:num w:numId="33" w16cid:durableId="921181467">
    <w:abstractNumId w:val="30"/>
  </w:num>
  <w:num w:numId="34" w16cid:durableId="824201141">
    <w:abstractNumId w:val="16"/>
  </w:num>
  <w:num w:numId="35" w16cid:durableId="1399204115">
    <w:abstractNumId w:val="4"/>
  </w:num>
  <w:num w:numId="36" w16cid:durableId="1543052701">
    <w:abstractNumId w:val="40"/>
  </w:num>
  <w:num w:numId="37" w16cid:durableId="1282572106">
    <w:abstractNumId w:val="11"/>
  </w:num>
  <w:num w:numId="38" w16cid:durableId="1972243295">
    <w:abstractNumId w:val="45"/>
  </w:num>
  <w:num w:numId="39" w16cid:durableId="1252199700">
    <w:abstractNumId w:val="35"/>
  </w:num>
  <w:num w:numId="40" w16cid:durableId="1410466650">
    <w:abstractNumId w:val="22"/>
  </w:num>
  <w:num w:numId="41" w16cid:durableId="29695327">
    <w:abstractNumId w:val="8"/>
  </w:num>
  <w:num w:numId="42" w16cid:durableId="1784224746">
    <w:abstractNumId w:val="6"/>
  </w:num>
  <w:num w:numId="43" w16cid:durableId="328103219">
    <w:abstractNumId w:val="7"/>
  </w:num>
  <w:num w:numId="44" w16cid:durableId="685524921">
    <w:abstractNumId w:val="43"/>
  </w:num>
  <w:num w:numId="45" w16cid:durableId="268583003">
    <w:abstractNumId w:val="47"/>
  </w:num>
  <w:num w:numId="46" w16cid:durableId="1563101666">
    <w:abstractNumId w:val="15"/>
  </w:num>
  <w:num w:numId="47" w16cid:durableId="543177876">
    <w:abstractNumId w:val="37"/>
  </w:num>
  <w:num w:numId="48" w16cid:durableId="148794659">
    <w:abstractNumId w:val="44"/>
  </w:num>
  <w:num w:numId="49" w16cid:durableId="1959676096">
    <w:abstractNumId w:val="18"/>
  </w:num>
  <w:num w:numId="50" w16cid:durableId="701172796">
    <w:abstractNumId w:val="5"/>
  </w:num>
  <w:num w:numId="51" w16cid:durableId="1359038474">
    <w:abstractNumId w:val="48"/>
  </w:num>
  <w:num w:numId="52" w16cid:durableId="969359753">
    <w:abstractNumId w:val="5"/>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04391435">
    <w:abstractNumId w:val="5"/>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48245741">
    <w:abstractNumId w:val="5"/>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80537075">
    <w:abstractNumId w:val="2"/>
  </w:num>
  <w:num w:numId="56" w16cid:durableId="907615531">
    <w:abstractNumId w:val="13"/>
  </w:num>
  <w:num w:numId="57" w16cid:durableId="674890406">
    <w:abstractNumId w:val="5"/>
  </w:num>
  <w:num w:numId="58" w16cid:durableId="556817656">
    <w:abstractNumId w:val="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4F91"/>
    <w:rsid w:val="000B581F"/>
    <w:rsid w:val="000B72C2"/>
    <w:rsid w:val="000B77DD"/>
    <w:rsid w:val="000B7F31"/>
    <w:rsid w:val="000C0233"/>
    <w:rsid w:val="000C0540"/>
    <w:rsid w:val="000C13AE"/>
    <w:rsid w:val="000C1756"/>
    <w:rsid w:val="000C3658"/>
    <w:rsid w:val="000C5E76"/>
    <w:rsid w:val="000C6F4C"/>
    <w:rsid w:val="000D04CA"/>
    <w:rsid w:val="000D415E"/>
    <w:rsid w:val="000D510D"/>
    <w:rsid w:val="000E000F"/>
    <w:rsid w:val="000E4AB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3423"/>
    <w:rsid w:val="00113447"/>
    <w:rsid w:val="0011457D"/>
    <w:rsid w:val="00116B89"/>
    <w:rsid w:val="0011755B"/>
    <w:rsid w:val="00121A67"/>
    <w:rsid w:val="0012308A"/>
    <w:rsid w:val="00123D4D"/>
    <w:rsid w:val="00124449"/>
    <w:rsid w:val="00126A25"/>
    <w:rsid w:val="00127E94"/>
    <w:rsid w:val="00127EE0"/>
    <w:rsid w:val="001304A1"/>
    <w:rsid w:val="00132C8A"/>
    <w:rsid w:val="00134FAF"/>
    <w:rsid w:val="00137AE3"/>
    <w:rsid w:val="001413EE"/>
    <w:rsid w:val="00141C0D"/>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6EB7"/>
    <w:rsid w:val="00177969"/>
    <w:rsid w:val="00177EF4"/>
    <w:rsid w:val="00182A60"/>
    <w:rsid w:val="001856D3"/>
    <w:rsid w:val="00190B9E"/>
    <w:rsid w:val="00191CE6"/>
    <w:rsid w:val="00193B37"/>
    <w:rsid w:val="00194292"/>
    <w:rsid w:val="00194BFE"/>
    <w:rsid w:val="00196FC7"/>
    <w:rsid w:val="00197141"/>
    <w:rsid w:val="001A3887"/>
    <w:rsid w:val="001A3B32"/>
    <w:rsid w:val="001A4073"/>
    <w:rsid w:val="001A5461"/>
    <w:rsid w:val="001A5CD8"/>
    <w:rsid w:val="001A5F82"/>
    <w:rsid w:val="001A6D05"/>
    <w:rsid w:val="001B096A"/>
    <w:rsid w:val="001B1F74"/>
    <w:rsid w:val="001B21C6"/>
    <w:rsid w:val="001B27B6"/>
    <w:rsid w:val="001B352F"/>
    <w:rsid w:val="001B4260"/>
    <w:rsid w:val="001B506C"/>
    <w:rsid w:val="001B6396"/>
    <w:rsid w:val="001B7336"/>
    <w:rsid w:val="001B77C2"/>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2F8"/>
    <w:rsid w:val="001F27DB"/>
    <w:rsid w:val="001F623C"/>
    <w:rsid w:val="001F6504"/>
    <w:rsid w:val="002012F1"/>
    <w:rsid w:val="00201BEC"/>
    <w:rsid w:val="00201F57"/>
    <w:rsid w:val="002034DF"/>
    <w:rsid w:val="00203A19"/>
    <w:rsid w:val="00204624"/>
    <w:rsid w:val="00205785"/>
    <w:rsid w:val="00205EDE"/>
    <w:rsid w:val="00205F5D"/>
    <w:rsid w:val="00207899"/>
    <w:rsid w:val="002078F3"/>
    <w:rsid w:val="002119DC"/>
    <w:rsid w:val="00214062"/>
    <w:rsid w:val="00215315"/>
    <w:rsid w:val="00215EEE"/>
    <w:rsid w:val="002160FF"/>
    <w:rsid w:val="002175BA"/>
    <w:rsid w:val="00220CE7"/>
    <w:rsid w:val="00222121"/>
    <w:rsid w:val="00222CDE"/>
    <w:rsid w:val="00224D59"/>
    <w:rsid w:val="00225F26"/>
    <w:rsid w:val="00226FF0"/>
    <w:rsid w:val="002279CB"/>
    <w:rsid w:val="00230F82"/>
    <w:rsid w:val="0023115C"/>
    <w:rsid w:val="0023235D"/>
    <w:rsid w:val="00233652"/>
    <w:rsid w:val="00235BF2"/>
    <w:rsid w:val="0024423E"/>
    <w:rsid w:val="00244DAE"/>
    <w:rsid w:val="00245563"/>
    <w:rsid w:val="00246C59"/>
    <w:rsid w:val="00253076"/>
    <w:rsid w:val="00253D54"/>
    <w:rsid w:val="00256D37"/>
    <w:rsid w:val="00261DFC"/>
    <w:rsid w:val="002623F9"/>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1F9D"/>
    <w:rsid w:val="002A2709"/>
    <w:rsid w:val="002A575A"/>
    <w:rsid w:val="002A5DEA"/>
    <w:rsid w:val="002B22F1"/>
    <w:rsid w:val="002B3148"/>
    <w:rsid w:val="002B37F7"/>
    <w:rsid w:val="002B4D63"/>
    <w:rsid w:val="002B7DBD"/>
    <w:rsid w:val="002C259F"/>
    <w:rsid w:val="002C2B59"/>
    <w:rsid w:val="002C4728"/>
    <w:rsid w:val="002C68C3"/>
    <w:rsid w:val="002C760E"/>
    <w:rsid w:val="002D0E1D"/>
    <w:rsid w:val="002D3B1C"/>
    <w:rsid w:val="002D4FC9"/>
    <w:rsid w:val="002D504C"/>
    <w:rsid w:val="002E0348"/>
    <w:rsid w:val="002E0A24"/>
    <w:rsid w:val="002E32E5"/>
    <w:rsid w:val="002E3C46"/>
    <w:rsid w:val="002E71C0"/>
    <w:rsid w:val="002F0D17"/>
    <w:rsid w:val="002F2F57"/>
    <w:rsid w:val="002F65A5"/>
    <w:rsid w:val="00300079"/>
    <w:rsid w:val="00304AE9"/>
    <w:rsid w:val="00307B70"/>
    <w:rsid w:val="003103B5"/>
    <w:rsid w:val="003114D9"/>
    <w:rsid w:val="003115E8"/>
    <w:rsid w:val="00312955"/>
    <w:rsid w:val="00312EE3"/>
    <w:rsid w:val="00313268"/>
    <w:rsid w:val="00313E55"/>
    <w:rsid w:val="00314EA4"/>
    <w:rsid w:val="0031544E"/>
    <w:rsid w:val="003158E5"/>
    <w:rsid w:val="00316E34"/>
    <w:rsid w:val="00321C8B"/>
    <w:rsid w:val="003224AD"/>
    <w:rsid w:val="003228BD"/>
    <w:rsid w:val="00322CF7"/>
    <w:rsid w:val="00322FD2"/>
    <w:rsid w:val="00323322"/>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3CE2"/>
    <w:rsid w:val="00364CD8"/>
    <w:rsid w:val="00365321"/>
    <w:rsid w:val="00371D29"/>
    <w:rsid w:val="00372865"/>
    <w:rsid w:val="003731DE"/>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6E7"/>
    <w:rsid w:val="003C08EA"/>
    <w:rsid w:val="003C6C36"/>
    <w:rsid w:val="003C6E08"/>
    <w:rsid w:val="003C7534"/>
    <w:rsid w:val="003D1F4A"/>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60AB"/>
    <w:rsid w:val="00407170"/>
    <w:rsid w:val="00411A8C"/>
    <w:rsid w:val="004124BA"/>
    <w:rsid w:val="00412AE4"/>
    <w:rsid w:val="00412F57"/>
    <w:rsid w:val="0041381C"/>
    <w:rsid w:val="00413A96"/>
    <w:rsid w:val="00413D66"/>
    <w:rsid w:val="00414B6C"/>
    <w:rsid w:val="00415C7C"/>
    <w:rsid w:val="00417208"/>
    <w:rsid w:val="00420BDB"/>
    <w:rsid w:val="00420D99"/>
    <w:rsid w:val="004215F2"/>
    <w:rsid w:val="00423298"/>
    <w:rsid w:val="00427A8A"/>
    <w:rsid w:val="00430990"/>
    <w:rsid w:val="004310AC"/>
    <w:rsid w:val="00431795"/>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626"/>
    <w:rsid w:val="00493B63"/>
    <w:rsid w:val="004941F5"/>
    <w:rsid w:val="00495B2A"/>
    <w:rsid w:val="00495E08"/>
    <w:rsid w:val="004A26AF"/>
    <w:rsid w:val="004B1B88"/>
    <w:rsid w:val="004B1D16"/>
    <w:rsid w:val="004B3538"/>
    <w:rsid w:val="004B5747"/>
    <w:rsid w:val="004B59EB"/>
    <w:rsid w:val="004B78B3"/>
    <w:rsid w:val="004B7B03"/>
    <w:rsid w:val="004C0100"/>
    <w:rsid w:val="004C27E2"/>
    <w:rsid w:val="004C6EEB"/>
    <w:rsid w:val="004C7607"/>
    <w:rsid w:val="004C7C7F"/>
    <w:rsid w:val="004D64D5"/>
    <w:rsid w:val="004D7E61"/>
    <w:rsid w:val="004E1890"/>
    <w:rsid w:val="004E2997"/>
    <w:rsid w:val="004E2E2F"/>
    <w:rsid w:val="004E4703"/>
    <w:rsid w:val="004E471B"/>
    <w:rsid w:val="004F10DC"/>
    <w:rsid w:val="004F1821"/>
    <w:rsid w:val="004F2C62"/>
    <w:rsid w:val="004F5604"/>
    <w:rsid w:val="00504B09"/>
    <w:rsid w:val="00506928"/>
    <w:rsid w:val="00506F04"/>
    <w:rsid w:val="00507EB6"/>
    <w:rsid w:val="0051019F"/>
    <w:rsid w:val="00512340"/>
    <w:rsid w:val="0051291B"/>
    <w:rsid w:val="005131A6"/>
    <w:rsid w:val="0051376A"/>
    <w:rsid w:val="00513A27"/>
    <w:rsid w:val="00513D36"/>
    <w:rsid w:val="00514A92"/>
    <w:rsid w:val="00515269"/>
    <w:rsid w:val="00517047"/>
    <w:rsid w:val="005171E0"/>
    <w:rsid w:val="0051789C"/>
    <w:rsid w:val="005202F6"/>
    <w:rsid w:val="005212EB"/>
    <w:rsid w:val="0052239A"/>
    <w:rsid w:val="00522538"/>
    <w:rsid w:val="005241AB"/>
    <w:rsid w:val="00524563"/>
    <w:rsid w:val="0052507F"/>
    <w:rsid w:val="005257F9"/>
    <w:rsid w:val="00526E72"/>
    <w:rsid w:val="005276BF"/>
    <w:rsid w:val="0053031B"/>
    <w:rsid w:val="0053065B"/>
    <w:rsid w:val="00530C0A"/>
    <w:rsid w:val="005314FE"/>
    <w:rsid w:val="00532F24"/>
    <w:rsid w:val="00533C8F"/>
    <w:rsid w:val="00533FFF"/>
    <w:rsid w:val="005425DC"/>
    <w:rsid w:val="005432F3"/>
    <w:rsid w:val="0054340F"/>
    <w:rsid w:val="00547EC9"/>
    <w:rsid w:val="005500F1"/>
    <w:rsid w:val="005527C2"/>
    <w:rsid w:val="005533C7"/>
    <w:rsid w:val="00553916"/>
    <w:rsid w:val="00555999"/>
    <w:rsid w:val="0055599D"/>
    <w:rsid w:val="00556136"/>
    <w:rsid w:val="0055737D"/>
    <w:rsid w:val="005613AC"/>
    <w:rsid w:val="00563952"/>
    <w:rsid w:val="00564DB8"/>
    <w:rsid w:val="00564F48"/>
    <w:rsid w:val="00565C11"/>
    <w:rsid w:val="0056642F"/>
    <w:rsid w:val="005679D4"/>
    <w:rsid w:val="005713A3"/>
    <w:rsid w:val="00571B3E"/>
    <w:rsid w:val="00572DB2"/>
    <w:rsid w:val="00572E33"/>
    <w:rsid w:val="005736F8"/>
    <w:rsid w:val="00573E2E"/>
    <w:rsid w:val="0057481A"/>
    <w:rsid w:val="00575460"/>
    <w:rsid w:val="005764F8"/>
    <w:rsid w:val="005766CA"/>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24C0"/>
    <w:rsid w:val="005E3055"/>
    <w:rsid w:val="005E46D8"/>
    <w:rsid w:val="005E5098"/>
    <w:rsid w:val="005E75C9"/>
    <w:rsid w:val="005E7963"/>
    <w:rsid w:val="005E7E06"/>
    <w:rsid w:val="005E7F3D"/>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2388"/>
    <w:rsid w:val="00605B5A"/>
    <w:rsid w:val="006061A9"/>
    <w:rsid w:val="006064CF"/>
    <w:rsid w:val="00606EB7"/>
    <w:rsid w:val="00607EB3"/>
    <w:rsid w:val="00615281"/>
    <w:rsid w:val="00615B94"/>
    <w:rsid w:val="00624239"/>
    <w:rsid w:val="0062446E"/>
    <w:rsid w:val="0062492A"/>
    <w:rsid w:val="00625919"/>
    <w:rsid w:val="00627DA8"/>
    <w:rsid w:val="0063010E"/>
    <w:rsid w:val="00631D55"/>
    <w:rsid w:val="00631FEB"/>
    <w:rsid w:val="0063382F"/>
    <w:rsid w:val="00633ABC"/>
    <w:rsid w:val="006343F5"/>
    <w:rsid w:val="00634CEF"/>
    <w:rsid w:val="00635FA5"/>
    <w:rsid w:val="00637287"/>
    <w:rsid w:val="006379A3"/>
    <w:rsid w:val="00637D64"/>
    <w:rsid w:val="00640013"/>
    <w:rsid w:val="0064060B"/>
    <w:rsid w:val="0064197E"/>
    <w:rsid w:val="00643428"/>
    <w:rsid w:val="006434ED"/>
    <w:rsid w:val="00644123"/>
    <w:rsid w:val="0064636B"/>
    <w:rsid w:val="00646853"/>
    <w:rsid w:val="00647040"/>
    <w:rsid w:val="00650071"/>
    <w:rsid w:val="00650E11"/>
    <w:rsid w:val="00651733"/>
    <w:rsid w:val="006525E5"/>
    <w:rsid w:val="0065312D"/>
    <w:rsid w:val="006531A5"/>
    <w:rsid w:val="006539E5"/>
    <w:rsid w:val="00653D76"/>
    <w:rsid w:val="00654698"/>
    <w:rsid w:val="0065484F"/>
    <w:rsid w:val="00654E13"/>
    <w:rsid w:val="0065607B"/>
    <w:rsid w:val="00656265"/>
    <w:rsid w:val="00663D04"/>
    <w:rsid w:val="00665B34"/>
    <w:rsid w:val="00666269"/>
    <w:rsid w:val="00666726"/>
    <w:rsid w:val="00670FD0"/>
    <w:rsid w:val="00671CE5"/>
    <w:rsid w:val="00672C96"/>
    <w:rsid w:val="006730E8"/>
    <w:rsid w:val="0067573A"/>
    <w:rsid w:val="006774AE"/>
    <w:rsid w:val="0068274C"/>
    <w:rsid w:val="0068391D"/>
    <w:rsid w:val="00683EE8"/>
    <w:rsid w:val="00684226"/>
    <w:rsid w:val="0068649E"/>
    <w:rsid w:val="00690E16"/>
    <w:rsid w:val="00694127"/>
    <w:rsid w:val="00695F5F"/>
    <w:rsid w:val="006964AD"/>
    <w:rsid w:val="006A0192"/>
    <w:rsid w:val="006A23E1"/>
    <w:rsid w:val="006A2A62"/>
    <w:rsid w:val="006A41AA"/>
    <w:rsid w:val="006A50C1"/>
    <w:rsid w:val="006A5562"/>
    <w:rsid w:val="006A7100"/>
    <w:rsid w:val="006B1799"/>
    <w:rsid w:val="006B1B23"/>
    <w:rsid w:val="006B3197"/>
    <w:rsid w:val="006B56DA"/>
    <w:rsid w:val="006B61FA"/>
    <w:rsid w:val="006B6B40"/>
    <w:rsid w:val="006B6F82"/>
    <w:rsid w:val="006C0592"/>
    <w:rsid w:val="006C22BE"/>
    <w:rsid w:val="006C2F64"/>
    <w:rsid w:val="006C4415"/>
    <w:rsid w:val="006C5651"/>
    <w:rsid w:val="006C6152"/>
    <w:rsid w:val="006C6FC4"/>
    <w:rsid w:val="006D01BE"/>
    <w:rsid w:val="006D066D"/>
    <w:rsid w:val="006D0670"/>
    <w:rsid w:val="006D0B05"/>
    <w:rsid w:val="006D0BD2"/>
    <w:rsid w:val="006D1304"/>
    <w:rsid w:val="006D135C"/>
    <w:rsid w:val="006D170E"/>
    <w:rsid w:val="006D171C"/>
    <w:rsid w:val="006D39AC"/>
    <w:rsid w:val="006D3A84"/>
    <w:rsid w:val="006D492A"/>
    <w:rsid w:val="006D69F2"/>
    <w:rsid w:val="006D6AD1"/>
    <w:rsid w:val="006D6CD0"/>
    <w:rsid w:val="006D70FF"/>
    <w:rsid w:val="006E2D72"/>
    <w:rsid w:val="006E4D31"/>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2952"/>
    <w:rsid w:val="007333C1"/>
    <w:rsid w:val="00734D4F"/>
    <w:rsid w:val="007358BD"/>
    <w:rsid w:val="007405D7"/>
    <w:rsid w:val="00740F85"/>
    <w:rsid w:val="00741434"/>
    <w:rsid w:val="007414F0"/>
    <w:rsid w:val="007456CF"/>
    <w:rsid w:val="00746D1D"/>
    <w:rsid w:val="00747B32"/>
    <w:rsid w:val="00751A06"/>
    <w:rsid w:val="007524E6"/>
    <w:rsid w:val="00754D6A"/>
    <w:rsid w:val="00755027"/>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0BDD"/>
    <w:rsid w:val="00771A8D"/>
    <w:rsid w:val="00772301"/>
    <w:rsid w:val="00776D2B"/>
    <w:rsid w:val="00780932"/>
    <w:rsid w:val="0078160E"/>
    <w:rsid w:val="007872A2"/>
    <w:rsid w:val="00787FF4"/>
    <w:rsid w:val="00790AA0"/>
    <w:rsid w:val="00790E39"/>
    <w:rsid w:val="00791242"/>
    <w:rsid w:val="0079352F"/>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001B"/>
    <w:rsid w:val="007B2296"/>
    <w:rsid w:val="007B2C67"/>
    <w:rsid w:val="007B2FB2"/>
    <w:rsid w:val="007B3B97"/>
    <w:rsid w:val="007B5347"/>
    <w:rsid w:val="007B5474"/>
    <w:rsid w:val="007B57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3D60"/>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1CBF"/>
    <w:rsid w:val="008266FE"/>
    <w:rsid w:val="00827242"/>
    <w:rsid w:val="008278E0"/>
    <w:rsid w:val="00830437"/>
    <w:rsid w:val="00830D00"/>
    <w:rsid w:val="008311F5"/>
    <w:rsid w:val="0083522C"/>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2EE"/>
    <w:rsid w:val="00865795"/>
    <w:rsid w:val="008657FD"/>
    <w:rsid w:val="00866E38"/>
    <w:rsid w:val="008712FE"/>
    <w:rsid w:val="00871319"/>
    <w:rsid w:val="00871368"/>
    <w:rsid w:val="00873369"/>
    <w:rsid w:val="0087403B"/>
    <w:rsid w:val="008748CF"/>
    <w:rsid w:val="008754B4"/>
    <w:rsid w:val="00875DD8"/>
    <w:rsid w:val="00875DDD"/>
    <w:rsid w:val="00876459"/>
    <w:rsid w:val="008764DD"/>
    <w:rsid w:val="0088364E"/>
    <w:rsid w:val="00884227"/>
    <w:rsid w:val="00884529"/>
    <w:rsid w:val="008849F0"/>
    <w:rsid w:val="008854DC"/>
    <w:rsid w:val="008860E5"/>
    <w:rsid w:val="00886F06"/>
    <w:rsid w:val="00890F17"/>
    <w:rsid w:val="0089117D"/>
    <w:rsid w:val="00892924"/>
    <w:rsid w:val="00892FA9"/>
    <w:rsid w:val="00895256"/>
    <w:rsid w:val="00895B9C"/>
    <w:rsid w:val="0089774C"/>
    <w:rsid w:val="008A16AF"/>
    <w:rsid w:val="008A16D1"/>
    <w:rsid w:val="008A2B64"/>
    <w:rsid w:val="008A34C9"/>
    <w:rsid w:val="008A356D"/>
    <w:rsid w:val="008A3E94"/>
    <w:rsid w:val="008A52C1"/>
    <w:rsid w:val="008A5AD4"/>
    <w:rsid w:val="008A67DC"/>
    <w:rsid w:val="008B0306"/>
    <w:rsid w:val="008B164E"/>
    <w:rsid w:val="008B1C16"/>
    <w:rsid w:val="008B1E3E"/>
    <w:rsid w:val="008B276B"/>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0C9"/>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2700"/>
    <w:rsid w:val="008F46D1"/>
    <w:rsid w:val="008F62B8"/>
    <w:rsid w:val="008F75C6"/>
    <w:rsid w:val="008F7879"/>
    <w:rsid w:val="008F7F0C"/>
    <w:rsid w:val="00900D7C"/>
    <w:rsid w:val="00901950"/>
    <w:rsid w:val="00901CA2"/>
    <w:rsid w:val="009032B7"/>
    <w:rsid w:val="0090591E"/>
    <w:rsid w:val="00905DB0"/>
    <w:rsid w:val="00910D38"/>
    <w:rsid w:val="00910F61"/>
    <w:rsid w:val="0091118B"/>
    <w:rsid w:val="009128A9"/>
    <w:rsid w:val="00913304"/>
    <w:rsid w:val="009138D6"/>
    <w:rsid w:val="00913EFC"/>
    <w:rsid w:val="00914469"/>
    <w:rsid w:val="009150B3"/>
    <w:rsid w:val="00915903"/>
    <w:rsid w:val="00916824"/>
    <w:rsid w:val="0092141C"/>
    <w:rsid w:val="009235FA"/>
    <w:rsid w:val="0092456F"/>
    <w:rsid w:val="0092463B"/>
    <w:rsid w:val="00924B84"/>
    <w:rsid w:val="00924D80"/>
    <w:rsid w:val="0092722D"/>
    <w:rsid w:val="00927D39"/>
    <w:rsid w:val="009304FD"/>
    <w:rsid w:val="009307A9"/>
    <w:rsid w:val="009308A3"/>
    <w:rsid w:val="00931607"/>
    <w:rsid w:val="0093266D"/>
    <w:rsid w:val="00933374"/>
    <w:rsid w:val="0093585E"/>
    <w:rsid w:val="00935D7D"/>
    <w:rsid w:val="009364A6"/>
    <w:rsid w:val="009424F4"/>
    <w:rsid w:val="0094254F"/>
    <w:rsid w:val="009427B6"/>
    <w:rsid w:val="009432BB"/>
    <w:rsid w:val="00943BC4"/>
    <w:rsid w:val="0094430E"/>
    <w:rsid w:val="0094445B"/>
    <w:rsid w:val="00944DCA"/>
    <w:rsid w:val="009466B9"/>
    <w:rsid w:val="009473AD"/>
    <w:rsid w:val="009503BC"/>
    <w:rsid w:val="00952676"/>
    <w:rsid w:val="00960399"/>
    <w:rsid w:val="0096099D"/>
    <w:rsid w:val="009619FD"/>
    <w:rsid w:val="00963D2C"/>
    <w:rsid w:val="009659B3"/>
    <w:rsid w:val="009712D4"/>
    <w:rsid w:val="00972460"/>
    <w:rsid w:val="00972610"/>
    <w:rsid w:val="0097363C"/>
    <w:rsid w:val="009753B9"/>
    <w:rsid w:val="00975704"/>
    <w:rsid w:val="009801C6"/>
    <w:rsid w:val="00980791"/>
    <w:rsid w:val="0098163C"/>
    <w:rsid w:val="0098218D"/>
    <w:rsid w:val="00982805"/>
    <w:rsid w:val="00982B0F"/>
    <w:rsid w:val="009841B2"/>
    <w:rsid w:val="00985D4F"/>
    <w:rsid w:val="009877F6"/>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4807"/>
    <w:rsid w:val="009C5EBF"/>
    <w:rsid w:val="009C65B9"/>
    <w:rsid w:val="009C79F3"/>
    <w:rsid w:val="009D1C60"/>
    <w:rsid w:val="009D366F"/>
    <w:rsid w:val="009D37C7"/>
    <w:rsid w:val="009D461E"/>
    <w:rsid w:val="009D5E36"/>
    <w:rsid w:val="009D628F"/>
    <w:rsid w:val="009D6476"/>
    <w:rsid w:val="009D6F91"/>
    <w:rsid w:val="009D7EBD"/>
    <w:rsid w:val="009E06F7"/>
    <w:rsid w:val="009E29FE"/>
    <w:rsid w:val="009E4621"/>
    <w:rsid w:val="009E587D"/>
    <w:rsid w:val="009E5A18"/>
    <w:rsid w:val="009E6796"/>
    <w:rsid w:val="009E7083"/>
    <w:rsid w:val="009F03F8"/>
    <w:rsid w:val="009F2A40"/>
    <w:rsid w:val="009F2FA3"/>
    <w:rsid w:val="009F3E5C"/>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7568"/>
    <w:rsid w:val="00A20148"/>
    <w:rsid w:val="00A20BA1"/>
    <w:rsid w:val="00A20FA8"/>
    <w:rsid w:val="00A2569D"/>
    <w:rsid w:val="00A276B7"/>
    <w:rsid w:val="00A307DC"/>
    <w:rsid w:val="00A30A9B"/>
    <w:rsid w:val="00A31979"/>
    <w:rsid w:val="00A36805"/>
    <w:rsid w:val="00A37069"/>
    <w:rsid w:val="00A37173"/>
    <w:rsid w:val="00A41BEA"/>
    <w:rsid w:val="00A4235F"/>
    <w:rsid w:val="00A4293D"/>
    <w:rsid w:val="00A4610E"/>
    <w:rsid w:val="00A46199"/>
    <w:rsid w:val="00A46532"/>
    <w:rsid w:val="00A4737E"/>
    <w:rsid w:val="00A50EBE"/>
    <w:rsid w:val="00A51ABC"/>
    <w:rsid w:val="00A52669"/>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87EAD"/>
    <w:rsid w:val="00A91FA2"/>
    <w:rsid w:val="00A937F2"/>
    <w:rsid w:val="00A95374"/>
    <w:rsid w:val="00A96896"/>
    <w:rsid w:val="00A96A0C"/>
    <w:rsid w:val="00A97680"/>
    <w:rsid w:val="00A97923"/>
    <w:rsid w:val="00AA00A3"/>
    <w:rsid w:val="00AA171D"/>
    <w:rsid w:val="00AA331E"/>
    <w:rsid w:val="00AA4320"/>
    <w:rsid w:val="00AA590A"/>
    <w:rsid w:val="00AA7081"/>
    <w:rsid w:val="00AA7B99"/>
    <w:rsid w:val="00AB0CBB"/>
    <w:rsid w:val="00AB1DE5"/>
    <w:rsid w:val="00AB1E08"/>
    <w:rsid w:val="00AB3E48"/>
    <w:rsid w:val="00AB46E2"/>
    <w:rsid w:val="00AB4C58"/>
    <w:rsid w:val="00AB5950"/>
    <w:rsid w:val="00AB63F5"/>
    <w:rsid w:val="00AB75F1"/>
    <w:rsid w:val="00AC055D"/>
    <w:rsid w:val="00AC1052"/>
    <w:rsid w:val="00AC205B"/>
    <w:rsid w:val="00AC2C4A"/>
    <w:rsid w:val="00AC5836"/>
    <w:rsid w:val="00AC6256"/>
    <w:rsid w:val="00AD12AE"/>
    <w:rsid w:val="00AD1ECC"/>
    <w:rsid w:val="00AD50FB"/>
    <w:rsid w:val="00AD6A8A"/>
    <w:rsid w:val="00AD6A94"/>
    <w:rsid w:val="00AD71B9"/>
    <w:rsid w:val="00AD757A"/>
    <w:rsid w:val="00AE0D52"/>
    <w:rsid w:val="00AE1792"/>
    <w:rsid w:val="00AE281E"/>
    <w:rsid w:val="00AE52E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5A7"/>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1DDA"/>
    <w:rsid w:val="00BD1E9A"/>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6F"/>
    <w:rsid w:val="00BF4F3C"/>
    <w:rsid w:val="00BF675B"/>
    <w:rsid w:val="00C0204F"/>
    <w:rsid w:val="00C06183"/>
    <w:rsid w:val="00C07E9E"/>
    <w:rsid w:val="00C11046"/>
    <w:rsid w:val="00C1136D"/>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29C1"/>
    <w:rsid w:val="00C7388A"/>
    <w:rsid w:val="00C744A3"/>
    <w:rsid w:val="00C74969"/>
    <w:rsid w:val="00C750F9"/>
    <w:rsid w:val="00C81257"/>
    <w:rsid w:val="00C81F4C"/>
    <w:rsid w:val="00C82CB3"/>
    <w:rsid w:val="00C83394"/>
    <w:rsid w:val="00C834DE"/>
    <w:rsid w:val="00C84EE5"/>
    <w:rsid w:val="00C86819"/>
    <w:rsid w:val="00C86DB6"/>
    <w:rsid w:val="00C939D1"/>
    <w:rsid w:val="00C93A41"/>
    <w:rsid w:val="00C97BD0"/>
    <w:rsid w:val="00CA01B6"/>
    <w:rsid w:val="00CA1506"/>
    <w:rsid w:val="00CA360B"/>
    <w:rsid w:val="00CA47ED"/>
    <w:rsid w:val="00CA5510"/>
    <w:rsid w:val="00CA5A77"/>
    <w:rsid w:val="00CA5B5F"/>
    <w:rsid w:val="00CA6B40"/>
    <w:rsid w:val="00CA72F9"/>
    <w:rsid w:val="00CB2532"/>
    <w:rsid w:val="00CB468D"/>
    <w:rsid w:val="00CC2AA0"/>
    <w:rsid w:val="00CC3262"/>
    <w:rsid w:val="00CC3A5F"/>
    <w:rsid w:val="00CC4680"/>
    <w:rsid w:val="00CC527C"/>
    <w:rsid w:val="00CC6EEC"/>
    <w:rsid w:val="00CD1798"/>
    <w:rsid w:val="00CD2C19"/>
    <w:rsid w:val="00CD4FC6"/>
    <w:rsid w:val="00CD55F1"/>
    <w:rsid w:val="00CD5EB8"/>
    <w:rsid w:val="00CD62EE"/>
    <w:rsid w:val="00CE32F8"/>
    <w:rsid w:val="00CE5B19"/>
    <w:rsid w:val="00CE639B"/>
    <w:rsid w:val="00CF0087"/>
    <w:rsid w:val="00CF0E16"/>
    <w:rsid w:val="00CF1F28"/>
    <w:rsid w:val="00CF252A"/>
    <w:rsid w:val="00CF4670"/>
    <w:rsid w:val="00CF57B1"/>
    <w:rsid w:val="00CF5BC3"/>
    <w:rsid w:val="00CF5C2A"/>
    <w:rsid w:val="00CF5C55"/>
    <w:rsid w:val="00CF5DBD"/>
    <w:rsid w:val="00CF6B6C"/>
    <w:rsid w:val="00CF6E47"/>
    <w:rsid w:val="00D0485B"/>
    <w:rsid w:val="00D04CF6"/>
    <w:rsid w:val="00D07CD1"/>
    <w:rsid w:val="00D112A3"/>
    <w:rsid w:val="00D17218"/>
    <w:rsid w:val="00D17442"/>
    <w:rsid w:val="00D201DA"/>
    <w:rsid w:val="00D203C0"/>
    <w:rsid w:val="00D22DCD"/>
    <w:rsid w:val="00D25411"/>
    <w:rsid w:val="00D26F0F"/>
    <w:rsid w:val="00D2702F"/>
    <w:rsid w:val="00D30705"/>
    <w:rsid w:val="00D30BE3"/>
    <w:rsid w:val="00D315E9"/>
    <w:rsid w:val="00D3172A"/>
    <w:rsid w:val="00D31834"/>
    <w:rsid w:val="00D331EF"/>
    <w:rsid w:val="00D339B2"/>
    <w:rsid w:val="00D33EE4"/>
    <w:rsid w:val="00D34523"/>
    <w:rsid w:val="00D3477C"/>
    <w:rsid w:val="00D4015C"/>
    <w:rsid w:val="00D40168"/>
    <w:rsid w:val="00D40B71"/>
    <w:rsid w:val="00D410B7"/>
    <w:rsid w:val="00D4254D"/>
    <w:rsid w:val="00D42B4A"/>
    <w:rsid w:val="00D437AD"/>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2509"/>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5D7D"/>
    <w:rsid w:val="00DB6208"/>
    <w:rsid w:val="00DB763A"/>
    <w:rsid w:val="00DB7AA9"/>
    <w:rsid w:val="00DC0CC5"/>
    <w:rsid w:val="00DC2C4A"/>
    <w:rsid w:val="00DC440D"/>
    <w:rsid w:val="00DC4661"/>
    <w:rsid w:val="00DC5D2C"/>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5F3"/>
    <w:rsid w:val="00E01619"/>
    <w:rsid w:val="00E01734"/>
    <w:rsid w:val="00E01D90"/>
    <w:rsid w:val="00E01DFB"/>
    <w:rsid w:val="00E03188"/>
    <w:rsid w:val="00E03343"/>
    <w:rsid w:val="00E034FD"/>
    <w:rsid w:val="00E055AF"/>
    <w:rsid w:val="00E05B59"/>
    <w:rsid w:val="00E0795D"/>
    <w:rsid w:val="00E1152D"/>
    <w:rsid w:val="00E11ADE"/>
    <w:rsid w:val="00E11DCE"/>
    <w:rsid w:val="00E13532"/>
    <w:rsid w:val="00E154B4"/>
    <w:rsid w:val="00E2168F"/>
    <w:rsid w:val="00E22F22"/>
    <w:rsid w:val="00E260CA"/>
    <w:rsid w:val="00E26EEC"/>
    <w:rsid w:val="00E31B19"/>
    <w:rsid w:val="00E32E1D"/>
    <w:rsid w:val="00E33226"/>
    <w:rsid w:val="00E338FF"/>
    <w:rsid w:val="00E35582"/>
    <w:rsid w:val="00E37A3E"/>
    <w:rsid w:val="00E41149"/>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3D8"/>
    <w:rsid w:val="00E77F17"/>
    <w:rsid w:val="00E81355"/>
    <w:rsid w:val="00E81FA9"/>
    <w:rsid w:val="00E82657"/>
    <w:rsid w:val="00E82C63"/>
    <w:rsid w:val="00E82F6C"/>
    <w:rsid w:val="00E831AB"/>
    <w:rsid w:val="00E83958"/>
    <w:rsid w:val="00E842BA"/>
    <w:rsid w:val="00E84709"/>
    <w:rsid w:val="00E86F13"/>
    <w:rsid w:val="00E9086F"/>
    <w:rsid w:val="00E90F7B"/>
    <w:rsid w:val="00E91DCD"/>
    <w:rsid w:val="00E94320"/>
    <w:rsid w:val="00E95FBF"/>
    <w:rsid w:val="00E97A4A"/>
    <w:rsid w:val="00EA3EAB"/>
    <w:rsid w:val="00EA3FEF"/>
    <w:rsid w:val="00EA44DC"/>
    <w:rsid w:val="00EA4502"/>
    <w:rsid w:val="00EA5FC9"/>
    <w:rsid w:val="00EA65D4"/>
    <w:rsid w:val="00EB01A0"/>
    <w:rsid w:val="00EB4E1C"/>
    <w:rsid w:val="00EB5037"/>
    <w:rsid w:val="00EB6178"/>
    <w:rsid w:val="00EC2006"/>
    <w:rsid w:val="00EC4104"/>
    <w:rsid w:val="00EC58C2"/>
    <w:rsid w:val="00EC5DDE"/>
    <w:rsid w:val="00ED373F"/>
    <w:rsid w:val="00ED54A8"/>
    <w:rsid w:val="00ED6198"/>
    <w:rsid w:val="00ED61F0"/>
    <w:rsid w:val="00ED6713"/>
    <w:rsid w:val="00ED74D1"/>
    <w:rsid w:val="00ED7544"/>
    <w:rsid w:val="00EE0D66"/>
    <w:rsid w:val="00EE16DC"/>
    <w:rsid w:val="00EE1EC2"/>
    <w:rsid w:val="00EE2C23"/>
    <w:rsid w:val="00EE2CE4"/>
    <w:rsid w:val="00EE3860"/>
    <w:rsid w:val="00EE4767"/>
    <w:rsid w:val="00EE502B"/>
    <w:rsid w:val="00EE52CB"/>
    <w:rsid w:val="00EE5784"/>
    <w:rsid w:val="00EE7134"/>
    <w:rsid w:val="00EF0A55"/>
    <w:rsid w:val="00EF3692"/>
    <w:rsid w:val="00EF39D2"/>
    <w:rsid w:val="00EF4636"/>
    <w:rsid w:val="00EF4E9A"/>
    <w:rsid w:val="00EF76AB"/>
    <w:rsid w:val="00F001B2"/>
    <w:rsid w:val="00F039B0"/>
    <w:rsid w:val="00F0445F"/>
    <w:rsid w:val="00F04872"/>
    <w:rsid w:val="00F05382"/>
    <w:rsid w:val="00F063AA"/>
    <w:rsid w:val="00F069A7"/>
    <w:rsid w:val="00F07A3F"/>
    <w:rsid w:val="00F146D8"/>
    <w:rsid w:val="00F14F2A"/>
    <w:rsid w:val="00F14FA8"/>
    <w:rsid w:val="00F1509A"/>
    <w:rsid w:val="00F1604E"/>
    <w:rsid w:val="00F179F9"/>
    <w:rsid w:val="00F22481"/>
    <w:rsid w:val="00F2538C"/>
    <w:rsid w:val="00F25DB0"/>
    <w:rsid w:val="00F25DFD"/>
    <w:rsid w:val="00F27210"/>
    <w:rsid w:val="00F35360"/>
    <w:rsid w:val="00F35567"/>
    <w:rsid w:val="00F3609F"/>
    <w:rsid w:val="00F375E8"/>
    <w:rsid w:val="00F4047D"/>
    <w:rsid w:val="00F40881"/>
    <w:rsid w:val="00F44329"/>
    <w:rsid w:val="00F455B5"/>
    <w:rsid w:val="00F45A74"/>
    <w:rsid w:val="00F473D9"/>
    <w:rsid w:val="00F50129"/>
    <w:rsid w:val="00F51A04"/>
    <w:rsid w:val="00F52786"/>
    <w:rsid w:val="00F52B62"/>
    <w:rsid w:val="00F56D62"/>
    <w:rsid w:val="00F57765"/>
    <w:rsid w:val="00F57FE1"/>
    <w:rsid w:val="00F60AE0"/>
    <w:rsid w:val="00F61060"/>
    <w:rsid w:val="00F63415"/>
    <w:rsid w:val="00F6647E"/>
    <w:rsid w:val="00F714FD"/>
    <w:rsid w:val="00F75A5B"/>
    <w:rsid w:val="00F770C4"/>
    <w:rsid w:val="00F77D36"/>
    <w:rsid w:val="00F804D6"/>
    <w:rsid w:val="00F8118A"/>
    <w:rsid w:val="00F832E7"/>
    <w:rsid w:val="00F83AE1"/>
    <w:rsid w:val="00F8502B"/>
    <w:rsid w:val="00F85700"/>
    <w:rsid w:val="00F86583"/>
    <w:rsid w:val="00F92569"/>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28D"/>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15:docId w15:val="{F64A17E6-F249-4AAB-9123-72C1426B4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D40168"/>
    <w:pPr>
      <w:keepNext/>
      <w:numPr>
        <w:ilvl w:val="1"/>
        <w:numId w:val="50"/>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0"/>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D40168"/>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7E3D60"/>
    <w:pPr>
      <w:tabs>
        <w:tab w:val="left" w:pos="993"/>
        <w:tab w:val="right" w:leader="dot" w:pos="9498"/>
      </w:tabs>
      <w:spacing w:after="120" w:line="240" w:lineRule="auto"/>
      <w:ind w:left="992" w:right="1474" w:hanging="567"/>
    </w:pPr>
    <w:rPr>
      <w:rFonts w:ascii="Verdana" w:hAnsi="Verdana"/>
      <w:noProof/>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0"/>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0"/>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5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 w:type="paragraph" w:styleId="Titulek">
    <w:name w:val="caption"/>
    <w:basedOn w:val="Normln"/>
    <w:next w:val="Normln"/>
    <w:uiPriority w:val="35"/>
    <w:qFormat/>
    <w:rsid w:val="00F45A74"/>
    <w:pPr>
      <w:keepNext/>
      <w:spacing w:after="0" w:line="240" w:lineRule="auto"/>
      <w:contextualSpacing/>
    </w:pPr>
    <w:rPr>
      <w:rFonts w:ascii="Verdana" w:eastAsiaTheme="minorHAnsi" w:hAnsi="Verdana" w:cstheme="minorBid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72B789F-E969-4067-BC6B-1D5F461C73FC}">
  <ds:schemaRefs>
    <ds:schemaRef ds:uri="http://schemas.openxmlformats.org/officeDocument/2006/bibliography"/>
  </ds:schemaRefs>
</ds:datastoreItem>
</file>

<file path=customXml/itemProps3.xml><?xml version="1.0" encoding="utf-8"?>
<ds:datastoreItem xmlns:ds="http://schemas.openxmlformats.org/officeDocument/2006/customXml" ds:itemID="{ACE53019-DC22-4217-B596-C35C266D88A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22</Pages>
  <Words>12054</Words>
  <Characters>71122</Characters>
  <Application>Microsoft Office Word</Application>
  <DocSecurity>0</DocSecurity>
  <Lines>592</Lines>
  <Paragraphs>166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Zajíčková Veronika, Mgr.</dc:creator>
  <cp:keywords/>
  <cp:lastModifiedBy>Zajíčková Veronika, Mgr.</cp:lastModifiedBy>
  <cp:revision>8</cp:revision>
  <dcterms:created xsi:type="dcterms:W3CDTF">2025-01-22T05:42:00Z</dcterms:created>
  <dcterms:modified xsi:type="dcterms:W3CDTF">2025-01-23T13:19:00Z</dcterms:modified>
</cp:coreProperties>
</file>