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41A2B" w14:textId="587B1085" w:rsidR="0069410B" w:rsidRPr="0038769E" w:rsidRDefault="0069410B" w:rsidP="004878A6">
      <w:pPr>
        <w:widowControl w:val="0"/>
        <w:spacing w:line="276" w:lineRule="auto"/>
        <w:rPr>
          <w:rFonts w:asciiTheme="majorHAnsi" w:hAnsiTheme="majorHAnsi"/>
          <w:noProof/>
        </w:rPr>
      </w:pPr>
      <w:r w:rsidRPr="00790E0A">
        <w:rPr>
          <w:rFonts w:asciiTheme="majorHAnsi" w:hAnsiTheme="majorHAnsi"/>
          <w:noProof/>
        </w:rPr>
        <w:t xml:space="preserve">Příloha č. </w:t>
      </w:r>
      <w:r w:rsidR="008640AA" w:rsidRPr="00790E0A">
        <w:rPr>
          <w:rFonts w:asciiTheme="majorHAnsi" w:hAnsiTheme="majorHAnsi"/>
          <w:noProof/>
        </w:rPr>
        <w:t xml:space="preserve">6a </w:t>
      </w:r>
      <w:r w:rsidRPr="00790E0A">
        <w:rPr>
          <w:rFonts w:asciiTheme="majorHAnsi" w:hAnsiTheme="majorHAnsi"/>
          <w:noProof/>
        </w:rPr>
        <w:t>Zadávací dokumentace</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3DE3C06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w:t>
      </w:r>
      <w:r w:rsidR="00296FBB">
        <w:rPr>
          <w:rFonts w:eastAsia="Times New Roman" w:cs="Times New Roman"/>
          <w:b/>
          <w:highlight w:val="yellow"/>
          <w:lang w:eastAsia="cs-CZ"/>
        </w:rPr>
        <w:t>:</w:t>
      </w:r>
      <w:r>
        <w:rPr>
          <w:rFonts w:eastAsia="Times New Roman" w:cs="Times New Roman"/>
          <w:b/>
          <w:highlight w:val="yellow"/>
          <w:lang w:eastAsia="cs-CZ"/>
        </w:rPr>
        <w:t xml:space="preserve"> ………………</w:t>
      </w:r>
    </w:p>
    <w:p w14:paraId="6926452C" w14:textId="7C6A8DA2"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w:t>
      </w:r>
      <w:r w:rsidR="00296FBB">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7479DE8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8640AA">
        <w:rPr>
          <w:rFonts w:eastAsia="Times New Roman" w:cs="Times New Roman"/>
          <w:lang w:eastAsia="cs-CZ"/>
        </w:rPr>
        <w:t xml:space="preserve">zastoupená </w:t>
      </w:r>
      <w:r w:rsidR="008640AA" w:rsidRPr="008640AA">
        <w:rPr>
          <w:rFonts w:eastAsia="Times New Roman" w:cs="Times New Roman"/>
          <w:lang w:eastAsia="cs-CZ"/>
        </w:rPr>
        <w:t>Bc. Jiřím</w:t>
      </w:r>
      <w:r w:rsidR="008640AA">
        <w:rPr>
          <w:rFonts w:eastAsia="Times New Roman" w:cs="Times New Roman"/>
          <w:lang w:eastAsia="cs-CZ"/>
        </w:rPr>
        <w:t xml:space="preserve">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4D9E0DBC" w:rsidR="009629C2" w:rsidRDefault="009629C2" w:rsidP="004878A6">
      <w:pPr>
        <w:widowControl w:val="0"/>
        <w:rPr>
          <w:rFonts w:asciiTheme="majorHAnsi" w:hAnsiTheme="majorHAnsi"/>
          <w:noProof/>
        </w:rPr>
      </w:pPr>
      <w:r>
        <w:rPr>
          <w:lang w:eastAsia="cs-CZ"/>
        </w:rPr>
        <w:t xml:space="preserve">Tato smlouva je uzavřena na základě výsledků </w:t>
      </w:r>
      <w:r w:rsidRPr="008640AA">
        <w:rPr>
          <w:lang w:eastAsia="cs-CZ"/>
        </w:rPr>
        <w:t>zadávacího</w:t>
      </w:r>
      <w:r>
        <w:rPr>
          <w:lang w:eastAsia="cs-CZ"/>
        </w:rPr>
        <w:t xml:space="preserve"> řízení veřejné zakázky  </w:t>
      </w:r>
      <w:r w:rsidR="00F5300C">
        <w:rPr>
          <w:lang w:eastAsia="cs-CZ"/>
        </w:rPr>
        <w:t>„</w:t>
      </w:r>
      <w:r w:rsidR="00F5300C" w:rsidRPr="00F5300C">
        <w:rPr>
          <w:b/>
          <w:lang w:eastAsia="cs-CZ"/>
        </w:rPr>
        <w:t>Re-implementace systému SAP ECC 6.0 na SAP S/4HANA</w:t>
      </w:r>
      <w:r w:rsidR="008640AA" w:rsidRPr="008640AA">
        <w:rPr>
          <w:lang w:eastAsia="cs-CZ"/>
        </w:rPr>
        <w:t>“</w:t>
      </w:r>
      <w:r>
        <w:rPr>
          <w:highlight w:val="yellow"/>
          <w:lang w:eastAsia="cs-CZ"/>
        </w:rPr>
        <w:t xml:space="preserve">, ev. č. veřejné zakázky ve věstníku veřejných zakázek: ……………………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6"/>
        </w:numPr>
        <w:ind w:left="425" w:hanging="425"/>
        <w:rPr>
          <w:noProof/>
        </w:rPr>
      </w:pPr>
      <w:r w:rsidRPr="469D0E0B">
        <w:rPr>
          <w:noProof/>
        </w:rPr>
        <w:t xml:space="preserve">Předmět </w:t>
      </w:r>
      <w:r w:rsidR="001D3E16" w:rsidRPr="469D0E0B">
        <w:rPr>
          <w:noProof/>
        </w:rPr>
        <w:t>Smlouvy</w:t>
      </w:r>
    </w:p>
    <w:p w14:paraId="5268ADDC" w14:textId="71C1AE08" w:rsidR="002D5F2B" w:rsidRPr="0051066F" w:rsidRDefault="00C811AE" w:rsidP="00BC03FD">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47784F">
        <w:t xml:space="preserve">v Příloze č. 1 </w:t>
      </w:r>
      <w:r w:rsidRPr="00BE6A7D">
        <w:rPr>
          <w:i/>
        </w:rPr>
        <w:t xml:space="preserve">Specifikace </w:t>
      </w:r>
      <w:r w:rsidR="00C6288E" w:rsidRPr="00BE6A7D">
        <w:rPr>
          <w:i/>
        </w:rPr>
        <w:t>Plnění</w:t>
      </w:r>
      <w:r w:rsidR="000648CB" w:rsidRPr="0047784F">
        <w:t xml:space="preserve"> a provedení či dodání dalších Plnění</w:t>
      </w:r>
      <w:r w:rsidRPr="0047784F">
        <w:t xml:space="preserve">, které jsou výslovně uvedeny v Příloze č. 1 </w:t>
      </w:r>
      <w:r w:rsidRPr="002255DD">
        <w:rPr>
          <w:i/>
        </w:rPr>
        <w:t>Specifikace</w:t>
      </w:r>
      <w:r w:rsidR="00C6288E" w:rsidRPr="002255DD">
        <w:rPr>
          <w:i/>
        </w:rPr>
        <w:t xml:space="preserve"> Plnění</w:t>
      </w:r>
      <w:r w:rsidRPr="0051066F">
        <w:t xml:space="preserve"> („Dílo“)</w:t>
      </w:r>
      <w:r w:rsidR="00F75906" w:rsidRPr="0051066F">
        <w:t xml:space="preserve">. </w:t>
      </w:r>
    </w:p>
    <w:p w14:paraId="13DAE9AE" w14:textId="150DEDCE" w:rsidR="00433C4F" w:rsidRPr="0051066F" w:rsidRDefault="00433C4F" w:rsidP="00BC03FD">
      <w:pPr>
        <w:pStyle w:val="Clanek11"/>
      </w:pPr>
      <w:r w:rsidRPr="0051066F">
        <w:t>V rámci provádění Díla je Zhotovitel povinen zejména, nikoliv však výlučně:</w:t>
      </w:r>
    </w:p>
    <w:p w14:paraId="1C1050E6" w14:textId="1323599F"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vytvořit a dodat </w:t>
      </w:r>
      <w:r w:rsidR="00C6288E" w:rsidRPr="00D6023E">
        <w:rPr>
          <w:rFonts w:asciiTheme="majorHAnsi" w:hAnsiTheme="majorHAnsi"/>
          <w:sz w:val="18"/>
          <w:szCs w:val="18"/>
        </w:rPr>
        <w:t>Software</w:t>
      </w:r>
      <w:r w:rsidRPr="00D6023E">
        <w:rPr>
          <w:rFonts w:asciiTheme="majorHAnsi" w:hAnsiTheme="majorHAnsi"/>
          <w:sz w:val="18"/>
          <w:szCs w:val="18"/>
        </w:rPr>
        <w:t>;</w:t>
      </w:r>
    </w:p>
    <w:p w14:paraId="38FC405A" w14:textId="1FF0CBC8"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poskytnout oprávnění k</w:t>
      </w:r>
      <w:r w:rsidR="00C6288E" w:rsidRPr="00D6023E">
        <w:rPr>
          <w:rFonts w:asciiTheme="majorHAnsi" w:hAnsiTheme="majorHAnsi"/>
          <w:sz w:val="18"/>
          <w:szCs w:val="18"/>
        </w:rPr>
        <w:t> výkonu autorských majetkových práv k</w:t>
      </w:r>
      <w:r w:rsidRPr="00D6023E">
        <w:rPr>
          <w:rFonts w:asciiTheme="majorHAnsi" w:hAnsiTheme="majorHAnsi"/>
          <w:sz w:val="18"/>
          <w:szCs w:val="18"/>
        </w:rPr>
        <w:t xml:space="preserve"> Dílu; </w:t>
      </w:r>
    </w:p>
    <w:p w14:paraId="403D8A65" w14:textId="6AB817DB"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Instalaci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3F32C65" w14:textId="2376F0BB"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Implementaci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bjednatele;</w:t>
      </w:r>
    </w:p>
    <w:p w14:paraId="72FAE126" w14:textId="3EAAB364"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lastRenderedPageBreak/>
        <w:t>provést Integraci S</w:t>
      </w:r>
      <w:r w:rsidR="0053123F" w:rsidRPr="00D6023E">
        <w:rPr>
          <w:rFonts w:asciiTheme="majorHAnsi" w:hAnsiTheme="majorHAnsi"/>
          <w:sz w:val="18"/>
          <w:szCs w:val="18"/>
        </w:rPr>
        <w:t>oftware</w:t>
      </w:r>
      <w:r w:rsidRPr="00D6023E">
        <w:rPr>
          <w:rFonts w:asciiTheme="majorHAnsi" w:hAnsiTheme="majorHAnsi"/>
          <w:sz w:val="18"/>
          <w:szCs w:val="18"/>
        </w:rPr>
        <w:t xml:space="preserve"> s IT prostředím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D9C736E" w14:textId="77777777"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vytvořit Dokumentaci;</w:t>
      </w:r>
    </w:p>
    <w:p w14:paraId="160509EC" w14:textId="56595199"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Školení uživatelů S</w:t>
      </w:r>
      <w:r w:rsidR="0053123F" w:rsidRPr="00D6023E">
        <w:rPr>
          <w:rFonts w:asciiTheme="majorHAnsi" w:hAnsiTheme="majorHAnsi"/>
          <w:sz w:val="18"/>
          <w:szCs w:val="18"/>
        </w:rPr>
        <w:t xml:space="preserve">oftware </w:t>
      </w:r>
      <w:r w:rsidRPr="00D6023E">
        <w:rPr>
          <w:rFonts w:asciiTheme="majorHAnsi" w:hAnsiTheme="majorHAnsi"/>
          <w:sz w:val="18"/>
          <w:szCs w:val="18"/>
        </w:rPr>
        <w:t>a jeho administrátorů;</w:t>
      </w:r>
    </w:p>
    <w:p w14:paraId="5A5A56BC" w14:textId="77777777"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připravit a provést migraci dat; </w:t>
      </w:r>
    </w:p>
    <w:p w14:paraId="56BE4662" w14:textId="053B0EBA"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provést či provádět další činnosti, které jsou výslovně uvedeny v </w:t>
      </w:r>
      <w:r w:rsidRPr="00D6023E">
        <w:rPr>
          <w:rFonts w:asciiTheme="majorHAnsi" w:hAnsiTheme="majorHAnsi"/>
          <w:bCs/>
          <w:sz w:val="18"/>
          <w:szCs w:val="18"/>
        </w:rPr>
        <w:t>Příloze č. 1</w:t>
      </w:r>
      <w:r w:rsidRPr="00D6023E">
        <w:rPr>
          <w:rFonts w:asciiTheme="majorHAnsi" w:hAnsiTheme="majorHAnsi"/>
          <w:sz w:val="18"/>
          <w:szCs w:val="18"/>
        </w:rPr>
        <w:t xml:space="preserve"> </w:t>
      </w:r>
      <w:r w:rsidRPr="00D6023E">
        <w:rPr>
          <w:rFonts w:asciiTheme="majorHAnsi" w:hAnsiTheme="majorHAnsi"/>
          <w:i/>
          <w:sz w:val="18"/>
          <w:szCs w:val="18"/>
        </w:rPr>
        <w:t>Specifikace</w:t>
      </w:r>
      <w:r w:rsidR="0053123F" w:rsidRPr="00D6023E">
        <w:rPr>
          <w:rFonts w:asciiTheme="majorHAnsi" w:hAnsiTheme="majorHAnsi"/>
          <w:i/>
          <w:sz w:val="18"/>
          <w:szCs w:val="18"/>
        </w:rPr>
        <w:t xml:space="preserve"> Plnění</w:t>
      </w:r>
      <w:r w:rsidRPr="00D6023E">
        <w:rPr>
          <w:rFonts w:asciiTheme="majorHAnsi" w:hAnsiTheme="majorHAnsi"/>
          <w:sz w:val="18"/>
          <w:szCs w:val="18"/>
        </w:rPr>
        <w:t>.</w:t>
      </w:r>
    </w:p>
    <w:p w14:paraId="10428F55" w14:textId="62B94EB7" w:rsidR="00F75906" w:rsidRPr="0051066F" w:rsidRDefault="00D31CA8" w:rsidP="00BC03FD">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47784F">
        <w:t xml:space="preserve">stanoví Příloha č. </w:t>
      </w:r>
      <w:r w:rsidRPr="0047784F">
        <w:rPr>
          <w:i/>
        </w:rPr>
        <w:t>1 Specifikace</w:t>
      </w:r>
      <w:r w:rsidRPr="00C23458">
        <w:rPr>
          <w:i/>
        </w:rPr>
        <w:t xml:space="preserve"> Plnění</w:t>
      </w:r>
      <w:r w:rsidRPr="0051066F">
        <w:t>.</w:t>
      </w:r>
    </w:p>
    <w:p w14:paraId="01A143FF" w14:textId="4788FA72" w:rsidR="00C6288E" w:rsidRPr="0051066F" w:rsidRDefault="00F75906" w:rsidP="00BC03FD">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6"/>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BC03FD">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BC03FD">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BDC3E59"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BC03FD">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BC03FD">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BC03FD">
      <w:pPr>
        <w:pStyle w:val="Clanek11"/>
      </w:pPr>
      <w:r w:rsidRPr="00177AF7">
        <w:t xml:space="preserve">Rozhodne-li se Objednatel vrátit části předmětu Díla, musí je vrátit bez zbytečného odkladu. </w:t>
      </w:r>
    </w:p>
    <w:p w14:paraId="2C43D290" w14:textId="4EB946E7" w:rsidR="00697A73" w:rsidRPr="00177AF7" w:rsidRDefault="00697A73" w:rsidP="00BC03FD">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BC03FD">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w:t>
      </w:r>
      <w:r w:rsidRPr="00177AF7">
        <w:lastRenderedPageBreak/>
        <w:t>zaplacení dílčích částí Ceny za provedení příslušných částí Díla ve výši pro ně sjednané.</w:t>
      </w:r>
    </w:p>
    <w:p w14:paraId="13A2C84F" w14:textId="4E5CB8C8" w:rsidR="00697A73" w:rsidRPr="00177AF7" w:rsidRDefault="00697A73" w:rsidP="00BC03FD">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BDC5B06" w:rsidR="00697A73" w:rsidRPr="00177AF7" w:rsidRDefault="00697A73" w:rsidP="00BC03FD">
      <w:pPr>
        <w:pStyle w:val="Clanek11"/>
      </w:pPr>
      <w:bookmarkStart w:id="8" w:name="_Ref532375448"/>
      <w:r w:rsidRPr="00177AF7">
        <w:t xml:space="preserve">Zhotovitel se zavazuje nejpozději </w:t>
      </w:r>
      <w:r w:rsidRPr="00D6023E">
        <w:t xml:space="preserve">do </w:t>
      </w:r>
      <w:r w:rsidR="00D6023E" w:rsidRPr="00D6023E">
        <w:t>dvaceti</w:t>
      </w:r>
      <w:r w:rsidRPr="00D6023E">
        <w:t xml:space="preserve"> </w:t>
      </w:r>
      <w:r w:rsidR="00D6023E" w:rsidRPr="00D6023E">
        <w:t>(20</w:t>
      </w:r>
      <w:r w:rsidRPr="00D6023E">
        <w:t>)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6"/>
        </w:numPr>
        <w:spacing w:before="0"/>
        <w:ind w:left="2126" w:hanging="567"/>
        <w:jc w:val="left"/>
        <w:rPr>
          <w:rFonts w:asciiTheme="majorHAnsi" w:hAnsiTheme="majorHAnsi"/>
          <w:sz w:val="18"/>
          <w:szCs w:val="18"/>
        </w:rPr>
      </w:pPr>
      <w:r w:rsidRPr="00177AF7">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74E27039"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aktuální a úplnou verzi Configuration management database;</w:t>
      </w:r>
    </w:p>
    <w:p w14:paraId="336B8209"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disaster recovery plány;</w:t>
      </w:r>
    </w:p>
    <w:p w14:paraId="3E6854FB" w14:textId="54CAFE33"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popis high level architektury včetně popisu aplikační vrstvy;</w:t>
      </w:r>
    </w:p>
    <w:p w14:paraId="3B8C5BDB"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64C9625C" w:rsidR="00697A73" w:rsidRDefault="00697A73" w:rsidP="00BC03FD">
      <w:pPr>
        <w:pStyle w:val="Clanek11"/>
      </w:pPr>
      <w:r w:rsidRPr="00177AF7">
        <w:lastRenderedPageBreak/>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CCF6127" w14:textId="2833E6AE" w:rsidR="00514378" w:rsidRPr="00BB059B" w:rsidRDefault="00514378" w:rsidP="00BC03FD">
      <w:pPr>
        <w:pStyle w:val="Clanek11"/>
      </w:pPr>
      <w:r>
        <w:t xml:space="preserve">Zhotovitel je povinen po celou dobu plnění být partnerem </w:t>
      </w:r>
      <w:bookmarkStart w:id="25" w:name="_Hlk180148992"/>
      <w:r>
        <w:t>SAP s působností pro Českou republiku</w:t>
      </w:r>
      <w:bookmarkEnd w:id="25"/>
      <w:r>
        <w:t>.</w:t>
      </w:r>
    </w:p>
    <w:p w14:paraId="76ACBA7D" w14:textId="77777777" w:rsidR="00C6288E" w:rsidRPr="00177AF7" w:rsidRDefault="00C6288E" w:rsidP="004878A6">
      <w:pPr>
        <w:pStyle w:val="Nadpis4"/>
        <w:numPr>
          <w:ilvl w:val="0"/>
          <w:numId w:val="6"/>
        </w:numPr>
        <w:ind w:left="425" w:hanging="425"/>
        <w:rPr>
          <w:noProof/>
        </w:rPr>
      </w:pPr>
      <w:r w:rsidRPr="00177AF7">
        <w:rPr>
          <w:noProof/>
        </w:rPr>
        <w:t>Doba a místo plnění</w:t>
      </w:r>
    </w:p>
    <w:p w14:paraId="5B7B400D" w14:textId="49E8FCD5" w:rsidR="00C6288E" w:rsidRPr="00D6023E" w:rsidRDefault="00C6288E" w:rsidP="00BC03FD">
      <w:pPr>
        <w:pStyle w:val="Clanek11"/>
        <w:rPr>
          <w:noProof/>
        </w:rPr>
      </w:pPr>
      <w:r>
        <w:t xml:space="preserve">Provádění </w:t>
      </w:r>
      <w:r w:rsidR="00394FAC">
        <w:t xml:space="preserve">Díla </w:t>
      </w:r>
      <w:r>
        <w:t>bude zahájeno ode dne nabytí účinnosti této Smlouvy</w:t>
      </w:r>
      <w:r w:rsidR="008640AA">
        <w:t>.</w:t>
      </w:r>
    </w:p>
    <w:p w14:paraId="39977DCD" w14:textId="4276AE39" w:rsidR="00C23458" w:rsidRPr="00177AF7" w:rsidRDefault="00394FAC" w:rsidP="00BC03FD">
      <w:pPr>
        <w:pStyle w:val="Clanek11"/>
        <w:rPr>
          <w:noProof/>
        </w:rPr>
      </w:pPr>
      <w:r>
        <w:t xml:space="preserve">Dílo </w:t>
      </w:r>
      <w:r w:rsidR="00C23458">
        <w:t xml:space="preserve">musí být dokončeno nejpozději do </w:t>
      </w:r>
      <w:r w:rsidR="001F34A2">
        <w:t>31. 3. 202</w:t>
      </w:r>
      <w:r w:rsidR="0055760A">
        <w:t>8</w:t>
      </w:r>
      <w:r w:rsidR="00D6023E">
        <w:t>.</w:t>
      </w:r>
    </w:p>
    <w:p w14:paraId="335147AD" w14:textId="5A6FC5B9" w:rsidR="00C6288E" w:rsidRPr="00177AF7" w:rsidRDefault="00C6288E" w:rsidP="00BC03FD">
      <w:pPr>
        <w:pStyle w:val="Clanek11"/>
        <w:rPr>
          <w:noProof/>
        </w:rPr>
      </w:pPr>
      <w:r w:rsidRPr="00177AF7">
        <w:rPr>
          <w:noProof/>
        </w:rPr>
        <w:t xml:space="preserve">Místem plnění jsou místa umístění IT prostředí </w:t>
      </w:r>
      <w:r w:rsidR="0070654E">
        <w:rPr>
          <w:noProof/>
        </w:rPr>
        <w:t>o</w:t>
      </w:r>
      <w:r w:rsidRPr="00177AF7">
        <w:rPr>
          <w:noProof/>
        </w:rPr>
        <w:t>bjednatele, které je popsáno v</w:t>
      </w:r>
      <w:r w:rsidR="0063111E">
        <w:rPr>
          <w:noProof/>
        </w:rPr>
        <w:t> </w:t>
      </w:r>
      <w:r w:rsidR="0063111E" w:rsidRPr="0047784F">
        <w:rPr>
          <w:noProof/>
        </w:rPr>
        <w:t xml:space="preserve">Příloze č. </w:t>
      </w:r>
      <w:r w:rsidR="0047784F" w:rsidRPr="0047784F">
        <w:rPr>
          <w:noProof/>
        </w:rPr>
        <w:t>4</w:t>
      </w:r>
      <w:r w:rsidR="00F75906" w:rsidRPr="0047784F">
        <w:rPr>
          <w:noProof/>
        </w:rPr>
        <w:t xml:space="preserve"> </w:t>
      </w:r>
      <w:r w:rsidRPr="0047784F">
        <w:rPr>
          <w:noProof/>
        </w:rPr>
        <w:t>Smlouvy</w:t>
      </w:r>
      <w:r w:rsidRPr="00177AF7">
        <w:rPr>
          <w:noProof/>
        </w:rPr>
        <w:t xml:space="preserve"> </w:t>
      </w:r>
      <w:r w:rsidRPr="00177AF7">
        <w:rPr>
          <w:i/>
          <w:noProof/>
        </w:rPr>
        <w:t xml:space="preserve">Platforma </w:t>
      </w:r>
      <w:r w:rsidR="00D93D54">
        <w:rPr>
          <w:i/>
          <w:noProof/>
        </w:rPr>
        <w:t>Správy železnic</w:t>
      </w:r>
      <w:r w:rsidRPr="00177AF7">
        <w:rPr>
          <w:noProof/>
        </w:rPr>
        <w:t>.</w:t>
      </w:r>
    </w:p>
    <w:p w14:paraId="37B24A21" w14:textId="1ABD666B" w:rsidR="0053123F" w:rsidRDefault="0053123F" w:rsidP="00BC03FD">
      <w:pPr>
        <w:pStyle w:val="Clanek11"/>
        <w:rPr>
          <w:noProof/>
        </w:rPr>
      </w:pPr>
      <w:bookmarkStart w:id="26" w:name="_Ref515469105"/>
      <w:r w:rsidRPr="0047784F">
        <w:t>Dílo bude Zhotovitel provádět v termínech sjednaných v </w:t>
      </w:r>
      <w:r w:rsidR="0063111E" w:rsidRPr="0047784F">
        <w:t xml:space="preserve">Příloze č. </w:t>
      </w:r>
      <w:r w:rsidR="0047784F" w:rsidRPr="0047784F">
        <w:t>2</w:t>
      </w:r>
      <w:r w:rsidRPr="0047784F">
        <w:t xml:space="preserve"> </w:t>
      </w:r>
      <w:r w:rsidR="00F75906" w:rsidRPr="0047784F">
        <w:rPr>
          <w:i/>
        </w:rPr>
        <w:t>H</w:t>
      </w:r>
      <w:r w:rsidRPr="0047784F">
        <w:rPr>
          <w:i/>
        </w:rPr>
        <w:t>armonogram</w:t>
      </w:r>
      <w:bookmarkEnd w:id="26"/>
      <w:r w:rsidR="00F75906" w:rsidRPr="0047784F">
        <w:t>.</w:t>
      </w:r>
    </w:p>
    <w:p w14:paraId="4DD2AEBA" w14:textId="7A27A4D9" w:rsidR="0053123F" w:rsidRPr="009001BA" w:rsidRDefault="0053123F" w:rsidP="00BC03FD">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w:t>
      </w:r>
      <w:r w:rsidRPr="009001BA">
        <w:t xml:space="preserve">v souladu s touto Smlouvou a za podmínek ZZVZ. </w:t>
      </w:r>
    </w:p>
    <w:p w14:paraId="7B0D8303" w14:textId="4C494AB3" w:rsidR="0053123F" w:rsidRPr="009001BA" w:rsidRDefault="0053123F" w:rsidP="00BC03FD">
      <w:pPr>
        <w:pStyle w:val="Clanek11"/>
      </w:pPr>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End w:id="27"/>
      <w:bookmarkEnd w:id="28"/>
      <w:bookmarkEnd w:id="29"/>
      <w:bookmarkEnd w:id="30"/>
      <w:bookmarkEnd w:id="31"/>
      <w:bookmarkEnd w:id="32"/>
      <w:bookmarkEnd w:id="33"/>
      <w:r w:rsidRPr="009001BA">
        <w:t>Školení se bude konat v místě a v den zvolený Objednatelem, přičemž termín Školení může být změněn dohodou Stran</w:t>
      </w:r>
      <w:r w:rsidR="00D93D54" w:rsidRPr="009001BA">
        <w:t>.</w:t>
      </w:r>
    </w:p>
    <w:p w14:paraId="7D39317D" w14:textId="1A3BEA7C" w:rsidR="00C6288E" w:rsidRPr="007C4CD7" w:rsidRDefault="75760FEB" w:rsidP="00BC03FD">
      <w:pPr>
        <w:pStyle w:val="Clanek11"/>
      </w:pPr>
      <w:r>
        <w:t xml:space="preserve">Zhotovitel bude provádět Dílo </w:t>
      </w:r>
      <w:r w:rsidR="509FCCC3">
        <w:t>na místě (</w:t>
      </w:r>
      <w:r w:rsidR="509FCCC3" w:rsidRPr="2DB90B83">
        <w:rPr>
          <w:i/>
        </w:rPr>
        <w:t>on-site</w:t>
      </w:r>
      <w:r w:rsidR="509FCCC3">
        <w:t>)</w:t>
      </w:r>
      <w:r>
        <w:t xml:space="preserve">, a pokud to povaha plnění </w:t>
      </w:r>
      <w:r w:rsidR="2E5A23D1">
        <w:t xml:space="preserve">dle </w:t>
      </w:r>
      <w:r>
        <w:t xml:space="preserve">této Smlouvy umožňuje a není to v rozporu s požadavky Objednatele, tak také </w:t>
      </w:r>
      <w:r w:rsidR="6FF2A3D4">
        <w:t>vzdáleným přístupem (</w:t>
      </w:r>
      <w:r w:rsidR="6FF2A3D4" w:rsidRPr="2DB90B83">
        <w:rPr>
          <w:i/>
        </w:rPr>
        <w:t>off-site</w:t>
      </w:r>
      <w:r w:rsidR="005C00C8">
        <w:t>)</w:t>
      </w:r>
      <w:r>
        <w:t xml:space="preserve">; Objednatel poskytne Zhotoviteli potřebnou součinnost a přihlašovací údaje pro provádění Díla vzdáleným přístupem. </w:t>
      </w:r>
    </w:p>
    <w:p w14:paraId="38539166" w14:textId="506C32DD" w:rsidR="00514378" w:rsidRDefault="00514378" w:rsidP="004878A6">
      <w:pPr>
        <w:pStyle w:val="Nadpis4"/>
        <w:numPr>
          <w:ilvl w:val="0"/>
          <w:numId w:val="6"/>
        </w:numPr>
        <w:ind w:left="567" w:hanging="425"/>
      </w:pPr>
      <w:r>
        <w:t>Vyhrazené změny závazku</w:t>
      </w:r>
      <w:r w:rsidR="009A68EB">
        <w:t xml:space="preserve"> dle § 100 odst. 2 ZZVZ</w:t>
      </w:r>
    </w:p>
    <w:p w14:paraId="24786129" w14:textId="2C48C98B" w:rsidR="00514378" w:rsidRPr="00D2185E" w:rsidRDefault="00F7552F" w:rsidP="00BC03FD">
      <w:pPr>
        <w:pStyle w:val="Clanek11"/>
      </w:pPr>
      <w:r>
        <w:t>Objedn</w:t>
      </w:r>
      <w:r w:rsidR="00514378">
        <w:t xml:space="preserve">atel si v souladu s § 100 odst. 2 ZZVZ vyhrazuje změnu </w:t>
      </w:r>
      <w:r w:rsidR="009A68EB">
        <w:t>Zhotovitele</w:t>
      </w:r>
      <w:r w:rsidR="00514378">
        <w:t xml:space="preserve"> v průběhu plnění veřejné zakázky, a to v případě, kdy uzavřená smlouva (respektive smlouvy) s vybraným dodavatelem bude ukončena jinak než splněním závazku, a to následovně:</w:t>
      </w:r>
    </w:p>
    <w:p w14:paraId="393425A1" w14:textId="70192CEE" w:rsidR="00514378" w:rsidRPr="00D2185E" w:rsidRDefault="00514378" w:rsidP="00514378">
      <w:pPr>
        <w:pStyle w:val="Odstbez"/>
        <w:numPr>
          <w:ilvl w:val="0"/>
          <w:numId w:val="38"/>
        </w:numPr>
      </w:pPr>
      <w:r>
        <w:t xml:space="preserve">jednostranným právním jednáním </w:t>
      </w:r>
      <w:r w:rsidR="009A68EB">
        <w:t>Objednatele</w:t>
      </w:r>
      <w:r>
        <w:t xml:space="preserve"> vůči </w:t>
      </w:r>
      <w:r w:rsidR="009A68EB">
        <w:t>Zhotovitel</w:t>
      </w:r>
      <w:r>
        <w:t>i (odstoupení, výpověď nebo jinak pojmenované právní jednání s obdobnými právními účinky);</w:t>
      </w:r>
    </w:p>
    <w:p w14:paraId="2094731F" w14:textId="1E22499E" w:rsidR="00514378" w:rsidRPr="00D2185E" w:rsidRDefault="00514378" w:rsidP="00514378">
      <w:pPr>
        <w:pStyle w:val="Odstbez"/>
        <w:numPr>
          <w:ilvl w:val="0"/>
          <w:numId w:val="38"/>
        </w:numPr>
      </w:pPr>
      <w:r>
        <w:t xml:space="preserve">jednostranným právním jednáním </w:t>
      </w:r>
      <w:r w:rsidR="009A68EB">
        <w:t>Zhotovitel</w:t>
      </w:r>
      <w:r>
        <w:t xml:space="preserve">e vůči </w:t>
      </w:r>
      <w:r w:rsidR="009A68EB">
        <w:t>Objednateli</w:t>
      </w:r>
      <w:r>
        <w:t xml:space="preserve"> (odstoupení, výpověď nebo jinak pojmenované právní jednání s obdobnými právními účinky);</w:t>
      </w:r>
    </w:p>
    <w:p w14:paraId="7A1139BC" w14:textId="4E362B62" w:rsidR="00514378" w:rsidRDefault="00514378" w:rsidP="00514378">
      <w:pPr>
        <w:pStyle w:val="Odstbez"/>
        <w:numPr>
          <w:ilvl w:val="0"/>
          <w:numId w:val="38"/>
        </w:numPr>
      </w:pPr>
      <w:r>
        <w:t xml:space="preserve">nezávisle na vůli smluvních stran nebo jiným způsobem, se kterým právní předpisy spojují zánik účasti </w:t>
      </w:r>
      <w:r w:rsidR="009A68EB">
        <w:t>Zhotovitel</w:t>
      </w:r>
      <w:r>
        <w:t>e na smlouvě;</w:t>
      </w:r>
    </w:p>
    <w:p w14:paraId="01E0DA76" w14:textId="77777777" w:rsidR="00514378" w:rsidRPr="00D2185E" w:rsidRDefault="00514378" w:rsidP="00514378">
      <w:pPr>
        <w:pStyle w:val="Odstbez"/>
        <w:numPr>
          <w:ilvl w:val="0"/>
          <w:numId w:val="38"/>
        </w:numPr>
      </w:pPr>
      <w:r>
        <w:t>dohodou smluvních stran o ukončení smlouvy.</w:t>
      </w:r>
    </w:p>
    <w:p w14:paraId="2A298968" w14:textId="0387B235" w:rsidR="00514378" w:rsidRPr="00D2185E" w:rsidRDefault="00514378" w:rsidP="00BC03FD">
      <w:pPr>
        <w:pStyle w:val="Clanek11"/>
      </w:pPr>
      <w:r>
        <w:t xml:space="preserve">Nastane-li některý z případů ukončení smlouvy popsaných výše, je </w:t>
      </w:r>
      <w:r w:rsidR="009A68EB">
        <w:t>Objednatel</w:t>
      </w:r>
      <w: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w:t>
      </w:r>
    </w:p>
    <w:p w14:paraId="16891887" w14:textId="07CC3B41" w:rsidR="00514378" w:rsidRPr="00D2185E" w:rsidRDefault="00514378" w:rsidP="00BC03FD">
      <w:pPr>
        <w:pStyle w:val="Clanek11"/>
      </w:pPr>
      <w:r>
        <w:t xml:space="preserve">S novým dodavatelem bude uzavřena smlouva na příslušnou část veřejné zakázky za podmínek dle jeho nabídky předložené v zadávacím řízení upravených v souladu s tímto článkem. Předmět plnění bude shodný s plněním vymezeným v zadávacím </w:t>
      </w:r>
      <w:r>
        <w:lastRenderedPageBreak/>
        <w:t>řízení. V případě již provedené části plnění původním dodavatelem za předpokladu, že toto plnění bude využitelné pro plnění s novým dodavatelem, bude upravena cena a doba plnění tak, aby plnění novým dodavatelem plynule navázalo na plnění původního dodavatele a nový dodavatel měl k provedení plnění stejnou dobu plnění, jaká byla sjednána s původním dodavatelem.</w:t>
      </w:r>
    </w:p>
    <w:p w14:paraId="073AF0B0" w14:textId="1A0CB117" w:rsidR="00514378" w:rsidRPr="00514378" w:rsidRDefault="00514378" w:rsidP="00BC03FD">
      <w:pPr>
        <w:pStyle w:val="Clanek11"/>
      </w:pPr>
      <w:r>
        <w:t xml:space="preserve">V případě ukončení smlouvy s původním dodavatelem z důvodů uvedených výše, je </w:t>
      </w:r>
      <w:r w:rsidR="009A68EB">
        <w:t>Objednatel</w:t>
      </w:r>
      <w:r>
        <w:t xml:space="preserve"> oprávněn vyzvat k uzavření smlouvy dalšího účastníka v pořadí dle hodnocení nabídek v tomto zadávacím řízení. </w:t>
      </w:r>
      <w:r w:rsidR="009A68EB">
        <w:t>Objednatel</w:t>
      </w:r>
      <w:r>
        <w:t xml:space="preserve"> nebude provádět nové hodnocení nabídek, ale bude vycházet z pořadí nabídek v původním zadávacím řízení. </w:t>
      </w:r>
      <w:r w:rsidR="009A68EB">
        <w:t>Objednatel</w:t>
      </w:r>
      <w:r>
        <w:t xml:space="preserve">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 </w:t>
      </w:r>
      <w:r w:rsidR="009A68EB">
        <w:t>Objednatel</w:t>
      </w:r>
      <w:r>
        <w:t xml:space="preserve"> oslovit dodavatele, který se umístil jako další v pořadí. Účastník, s nímž má být uzavřena smlouva, je povinen též splnit podmínky uzavření smlouvy dle § 122 ZZVZ. </w:t>
      </w:r>
      <w:r w:rsidR="009A68EB">
        <w:t>Objednatel</w:t>
      </w:r>
      <w:r>
        <w:t xml:space="preserve"> je oprávněn tento postup aplikovat opakovaně</w:t>
      </w:r>
    </w:p>
    <w:p w14:paraId="21DC5284" w14:textId="14D047BD" w:rsidR="009A68EB" w:rsidRDefault="009A68EB" w:rsidP="004878A6">
      <w:pPr>
        <w:pStyle w:val="Nadpis4"/>
        <w:numPr>
          <w:ilvl w:val="0"/>
          <w:numId w:val="6"/>
        </w:numPr>
        <w:ind w:left="567" w:hanging="425"/>
      </w:pPr>
      <w:r>
        <w:t>Vyhrazená změna závazku dle § 100 odst. 3 ZZVZ</w:t>
      </w:r>
    </w:p>
    <w:p w14:paraId="2642CCB5" w14:textId="39350D78" w:rsidR="005827E3" w:rsidRDefault="005827E3" w:rsidP="00BC03FD">
      <w:pPr>
        <w:pStyle w:val="Clanek11"/>
      </w:pPr>
      <w:r>
        <w:t>Objednatel si v souladu s § 100 odst. 3 ZZVZ vyhrazuje možnost užití jednacího řízení bez uveřejnění ve smyslu § 66 ZZVZ, a to pro dodatečné služby spočívající v implementačních a programových prací v případě nově vzniklých požadavků v průběhu realizace Díla včetně možných dodatečných konzultačních služeb, a to při dodržení následujících podmínek:</w:t>
      </w:r>
    </w:p>
    <w:p w14:paraId="6BB3F43F" w14:textId="44127CD0" w:rsidR="005827E3" w:rsidRDefault="00D909C9" w:rsidP="005827E3">
      <w:pPr>
        <w:pStyle w:val="111odst"/>
        <w:numPr>
          <w:ilvl w:val="0"/>
          <w:numId w:val="42"/>
        </w:numPr>
      </w:pPr>
      <w:r>
        <w:t>Objednatel</w:t>
      </w:r>
      <w:r w:rsidR="005827E3">
        <w:t xml:space="preserve"> bude realizovat jednací řízení bez uveřejnění s vybraným dodavatelem;</w:t>
      </w:r>
    </w:p>
    <w:p w14:paraId="71AE1370" w14:textId="77777777" w:rsidR="005827E3" w:rsidRDefault="005827E3" w:rsidP="005827E3">
      <w:pPr>
        <w:pStyle w:val="111odst"/>
        <w:numPr>
          <w:ilvl w:val="0"/>
          <w:numId w:val="42"/>
        </w:numPr>
      </w:pPr>
      <w:r>
        <w:t>hodnota dodatečných služeb nepřesáhne v součtu 16 000 000 Kč bez DPH;</w:t>
      </w:r>
    </w:p>
    <w:p w14:paraId="155CDACE" w14:textId="61A700F9" w:rsidR="005827E3" w:rsidRDefault="005827E3" w:rsidP="005827E3">
      <w:pPr>
        <w:pStyle w:val="111odst"/>
        <w:numPr>
          <w:ilvl w:val="0"/>
          <w:numId w:val="42"/>
        </w:numPr>
      </w:pPr>
      <w:r>
        <w:t xml:space="preserve">jednací řízení bez uveřejnění bude zahájeno nejpozději do 3 let od uzavření </w:t>
      </w:r>
      <w:r w:rsidR="00D909C9">
        <w:t>této Smlouvy</w:t>
      </w:r>
    </w:p>
    <w:p w14:paraId="705C281E" w14:textId="605D261A" w:rsidR="005827E3" w:rsidRDefault="005827E3" w:rsidP="005827E3">
      <w:pPr>
        <w:pStyle w:val="111odst"/>
        <w:numPr>
          <w:ilvl w:val="0"/>
          <w:numId w:val="42"/>
        </w:numPr>
      </w:pPr>
      <w:r>
        <w:t xml:space="preserve">dalších podmínek stanovených </w:t>
      </w:r>
      <w:r w:rsidR="00D909C9">
        <w:t>ZZVZ</w:t>
      </w:r>
    </w:p>
    <w:p w14:paraId="36FCEB2F" w14:textId="188C3A43" w:rsidR="005827E3" w:rsidRDefault="005827E3" w:rsidP="00BC03FD">
      <w:pPr>
        <w:pStyle w:val="Clanek11"/>
      </w:pPr>
      <w:r>
        <w:t>Objednatel je oprávněn postup dle čl. 5.1 této Smlouvy opakovat, veškerá plnění však nesmí překročit limit stanovený v čl. 5.1 písm. b).</w:t>
      </w:r>
    </w:p>
    <w:p w14:paraId="56A3ED30" w14:textId="6F7CBF0F" w:rsidR="005827E3" w:rsidRPr="005827E3" w:rsidRDefault="005827E3" w:rsidP="00BC03FD">
      <w:pPr>
        <w:pStyle w:val="Clanek11"/>
      </w:pPr>
      <w:r>
        <w:t>Objednatel si vyhrazuje právo dle tohoto článku zejména z důvodu dynamického vývoje požadavků na plnění v čase, a to i vzhledem k rozsahu a komplexitě Díla.</w:t>
      </w:r>
    </w:p>
    <w:p w14:paraId="439ED682" w14:textId="61E824E5" w:rsidR="00C6288E" w:rsidRPr="007C4CD7" w:rsidRDefault="00C6288E" w:rsidP="004878A6">
      <w:pPr>
        <w:pStyle w:val="Nadpis4"/>
        <w:numPr>
          <w:ilvl w:val="0"/>
          <w:numId w:val="6"/>
        </w:numPr>
        <w:ind w:left="567" w:hanging="425"/>
      </w:pPr>
      <w:r w:rsidRPr="00177AF7">
        <w:t>Kontaktní osoby</w:t>
      </w:r>
    </w:p>
    <w:p w14:paraId="3F981B62" w14:textId="1CD01602" w:rsidR="00C6288E" w:rsidRPr="00177AF7" w:rsidRDefault="00C6288E" w:rsidP="00BC03FD">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BC03FD">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BC03FD">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4878A6">
      <w:pPr>
        <w:pStyle w:val="Nadpis4"/>
        <w:numPr>
          <w:ilvl w:val="0"/>
          <w:numId w:val="6"/>
        </w:numPr>
        <w:ind w:left="567" w:hanging="425"/>
      </w:pPr>
      <w:r w:rsidRPr="00177AF7">
        <w:t>Cena a platební podmínky</w:t>
      </w:r>
    </w:p>
    <w:p w14:paraId="13AD809D" w14:textId="7BD7155A" w:rsidR="00A2381D" w:rsidRPr="00177AF7" w:rsidRDefault="00C6288E" w:rsidP="00BC03FD">
      <w:pPr>
        <w:pStyle w:val="Clanek11"/>
      </w:pPr>
      <w:r w:rsidRPr="00177AF7">
        <w:t xml:space="preserve">Cena za předmět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p>
    <w:p w14:paraId="5FC6DF04" w14:textId="525E18C2" w:rsidR="00A2381D" w:rsidRPr="007F586E" w:rsidRDefault="00491FA6" w:rsidP="00BC03FD">
      <w:pPr>
        <w:pStyle w:val="Clanek11"/>
      </w:pPr>
      <w:r w:rsidRPr="00FF1E47">
        <w:lastRenderedPageBreak/>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rsidRPr="00FF1E47">
        <w:t xml:space="preserve"> Výše DPH </w:t>
      </w:r>
      <w:r w:rsidRPr="007F586E">
        <w:t>může být uplatněna v rozdílné výši, než je uvedeno v závislosti na platných právních předpisech ke dni zdanitelného plnění, v takovém případě není zapotřebí uzavírat dodatek k této Smlouvě</w:t>
      </w:r>
      <w:r w:rsidR="0053123F" w:rsidRPr="007F586E">
        <w:rPr>
          <w:noProof/>
        </w:rPr>
        <w:t xml:space="preserve">. Objednatel se zavazuje Cenu platit po částech po provedení jednotlivých částí Díla, a to ve výši sjednané v Příloze č. </w:t>
      </w:r>
      <w:r w:rsidR="0047784F" w:rsidRPr="007F586E">
        <w:rPr>
          <w:noProof/>
        </w:rPr>
        <w:t>3</w:t>
      </w:r>
      <w:r w:rsidR="00E60107" w:rsidRPr="007F586E">
        <w:rPr>
          <w:noProof/>
        </w:rPr>
        <w:t xml:space="preserve"> </w:t>
      </w:r>
      <w:r w:rsidR="0053123F" w:rsidRPr="007F586E">
        <w:rPr>
          <w:i/>
          <w:noProof/>
        </w:rPr>
        <w:t>Cena</w:t>
      </w:r>
      <w:r w:rsidR="00E60107" w:rsidRPr="007F586E">
        <w:rPr>
          <w:i/>
          <w:noProof/>
        </w:rPr>
        <w:t xml:space="preserve"> Plnění</w:t>
      </w:r>
      <w:r w:rsidR="0053123F" w:rsidRPr="007F586E">
        <w:rPr>
          <w:noProof/>
        </w:rPr>
        <w:t xml:space="preserve">. </w:t>
      </w:r>
    </w:p>
    <w:p w14:paraId="56EB1DF0" w14:textId="1755DCCE" w:rsidR="00E1702E" w:rsidRPr="007F586E" w:rsidRDefault="00E1702E" w:rsidP="00BC03FD">
      <w:pPr>
        <w:pStyle w:val="Clanek11"/>
      </w:pPr>
      <w:r>
        <w:t>Platební milníky:</w:t>
      </w:r>
    </w:p>
    <w:p w14:paraId="3CCCE05B" w14:textId="4C867CA8" w:rsidR="025BCD17" w:rsidRPr="000D6E2A" w:rsidRDefault="000D6E2A" w:rsidP="000D6E2A">
      <w:pPr>
        <w:pStyle w:val="Clanek11"/>
        <w:numPr>
          <w:ilvl w:val="0"/>
          <w:numId w:val="0"/>
        </w:numPr>
        <w:ind w:firstLine="567"/>
        <w:rPr>
          <w:rFonts w:ascii="Verdana" w:eastAsia="Verdana" w:hAnsi="Verdana" w:cs="Verdana"/>
          <w:bCs w:val="0"/>
          <w:iCs w:val="0"/>
          <w:szCs w:val="18"/>
        </w:rPr>
      </w:pPr>
      <w:r w:rsidRPr="000D6E2A">
        <w:rPr>
          <w:rFonts w:ascii="Verdana" w:eastAsia="Verdana" w:hAnsi="Verdana" w:cs="Verdana"/>
          <w:bCs w:val="0"/>
          <w:iCs w:val="0"/>
          <w:szCs w:val="18"/>
        </w:rPr>
        <w:t>Akceptace</w:t>
      </w:r>
      <w:r w:rsidR="025BCD17" w:rsidRPr="000D6E2A">
        <w:t xml:space="preserve"> bez výhrad kumulativně:</w:t>
      </w:r>
    </w:p>
    <w:p w14:paraId="2978B71A" w14:textId="7F1C224E" w:rsidR="025BCD17" w:rsidRPr="000D6E2A" w:rsidRDefault="025BCD17" w:rsidP="00DF0BF6">
      <w:pPr>
        <w:pStyle w:val="Clanek11"/>
        <w:numPr>
          <w:ilvl w:val="2"/>
          <w:numId w:val="6"/>
        </w:numPr>
      </w:pPr>
      <w:r w:rsidRPr="000D6E2A">
        <w:rPr>
          <w:rFonts w:ascii="Verdana" w:eastAsia="Verdana" w:hAnsi="Verdana" w:cs="Verdana"/>
          <w:bCs w:val="0"/>
          <w:iCs w:val="0"/>
          <w:szCs w:val="18"/>
        </w:rPr>
        <w:t>Návrhy architektury řešení problémů a potřeb hlavních oblastí (kap. 2.1.1. přílohy Specifikace Plnění)</w:t>
      </w:r>
    </w:p>
    <w:p w14:paraId="529F8BA9" w14:textId="18453DDB" w:rsidR="025BCD17" w:rsidRPr="000D6E2A" w:rsidRDefault="025BCD17" w:rsidP="00DF0BF6">
      <w:pPr>
        <w:pStyle w:val="Clanek11"/>
        <w:numPr>
          <w:ilvl w:val="2"/>
          <w:numId w:val="6"/>
        </w:numPr>
      </w:pPr>
      <w:r w:rsidRPr="000D6E2A">
        <w:rPr>
          <w:rFonts w:ascii="Verdana" w:eastAsia="Verdana" w:hAnsi="Verdana" w:cs="Verdana"/>
          <w:bCs w:val="0"/>
          <w:iCs w:val="0"/>
          <w:szCs w:val="18"/>
        </w:rPr>
        <w:t>Ukázky standardního řešení budoucích procesů v prostředí SAP S/4HAN</w:t>
      </w:r>
      <w:r w:rsidR="000D6E2A">
        <w:rPr>
          <w:rFonts w:ascii="Verdana" w:eastAsia="Verdana" w:hAnsi="Verdana" w:cs="Verdana"/>
          <w:bCs w:val="0"/>
          <w:iCs w:val="0"/>
          <w:szCs w:val="18"/>
        </w:rPr>
        <w:t>A</w:t>
      </w:r>
    </w:p>
    <w:p w14:paraId="2B6D980C" w14:textId="6DCB8EDD" w:rsidR="025BCD17" w:rsidRPr="000D6E2A" w:rsidRDefault="025BCD17" w:rsidP="000D6E2A">
      <w:pPr>
        <w:pStyle w:val="Clanek11"/>
        <w:numPr>
          <w:ilvl w:val="0"/>
          <w:numId w:val="0"/>
        </w:numPr>
        <w:ind w:left="567"/>
      </w:pPr>
      <w:r w:rsidRPr="000D6E2A">
        <w:t>(10 % z ceny díla dle čl. 7.2)</w:t>
      </w:r>
    </w:p>
    <w:p w14:paraId="76756A07" w14:textId="66CB54E8"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00B46A1E" w:rsidRPr="000D6E2A">
        <w:t xml:space="preserve">bez výhrad </w:t>
      </w:r>
      <w:r w:rsidRPr="000D6E2A">
        <w:rPr>
          <w:rFonts w:ascii="Verdana" w:eastAsia="Verdana" w:hAnsi="Verdana" w:cs="Verdana"/>
          <w:bCs w:val="0"/>
          <w:iCs w:val="0"/>
          <w:szCs w:val="18"/>
        </w:rPr>
        <w:t>cílov</w:t>
      </w:r>
      <w:r w:rsidR="003D3819" w:rsidRPr="000D6E2A">
        <w:rPr>
          <w:rFonts w:ascii="Verdana" w:eastAsia="Verdana" w:hAnsi="Verdana" w:cs="Verdana"/>
          <w:bCs w:val="0"/>
          <w:iCs w:val="0"/>
          <w:szCs w:val="18"/>
        </w:rPr>
        <w:t>ých</w:t>
      </w:r>
      <w:r w:rsidRPr="000D6E2A">
        <w:t xml:space="preserve"> koncept</w:t>
      </w:r>
      <w:r w:rsidR="003D3819" w:rsidRPr="000D6E2A">
        <w:t>ů</w:t>
      </w:r>
      <w:r w:rsidRPr="000D6E2A">
        <w:t xml:space="preserve"> (</w:t>
      </w:r>
      <w:r w:rsidR="7FF6990B" w:rsidRPr="000D6E2A">
        <w:t>35</w:t>
      </w:r>
      <w:r w:rsidRPr="000D6E2A">
        <w:t xml:space="preserve"> % z ceny díla</w:t>
      </w:r>
      <w:r w:rsidR="0034215A" w:rsidRPr="000D6E2A">
        <w:t xml:space="preserve"> dle čl. </w:t>
      </w:r>
      <w:r w:rsidR="00C82A85" w:rsidRPr="000D6E2A">
        <w:t>7</w:t>
      </w:r>
      <w:r w:rsidR="0034215A" w:rsidRPr="000D6E2A">
        <w:t>.2</w:t>
      </w:r>
      <w:r w:rsidRPr="000D6E2A">
        <w:t>)</w:t>
      </w:r>
    </w:p>
    <w:p w14:paraId="31E65B60" w14:textId="69147B0D"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Pr="000D6E2A">
        <w:rPr>
          <w:rFonts w:ascii="Verdana" w:eastAsia="Verdana" w:hAnsi="Verdana" w:cs="Verdana"/>
          <w:bCs w:val="0"/>
          <w:iCs w:val="0"/>
          <w:szCs w:val="18"/>
        </w:rPr>
        <w:t>bez</w:t>
      </w:r>
      <w:r w:rsidRPr="000D6E2A">
        <w:t xml:space="preserve"> výhrad Go-Live (</w:t>
      </w:r>
      <w:r w:rsidR="01198E80" w:rsidRPr="000D6E2A">
        <w:t>35</w:t>
      </w:r>
      <w:r w:rsidRPr="000D6E2A">
        <w:t>% z ceny díla dle čl. 7.2)</w:t>
      </w:r>
    </w:p>
    <w:p w14:paraId="10E0D445" w14:textId="78EE70F9"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00E519E6" w:rsidRPr="000D6E2A">
        <w:rPr>
          <w:rFonts w:ascii="Verdana" w:eastAsia="Verdana" w:hAnsi="Verdana" w:cs="Verdana"/>
          <w:bCs w:val="0"/>
          <w:iCs w:val="0"/>
          <w:szCs w:val="18"/>
        </w:rPr>
        <w:t>projektu</w:t>
      </w:r>
      <w:r w:rsidR="00B46A1E" w:rsidRPr="000D6E2A">
        <w:t xml:space="preserve"> bez výhrad</w:t>
      </w:r>
      <w:r w:rsidRPr="000D6E2A">
        <w:t xml:space="preserve"> (</w:t>
      </w:r>
      <w:r w:rsidR="00B514E3" w:rsidRPr="000D6E2A">
        <w:t>2</w:t>
      </w:r>
      <w:r w:rsidRPr="000D6E2A">
        <w:t>0% z ceny díla</w:t>
      </w:r>
      <w:r w:rsidR="0034215A" w:rsidRPr="000D6E2A">
        <w:t xml:space="preserve"> dle čl. </w:t>
      </w:r>
      <w:r w:rsidR="00C82A85" w:rsidRPr="000D6E2A">
        <w:t>7</w:t>
      </w:r>
      <w:r w:rsidR="0034215A" w:rsidRPr="000D6E2A">
        <w:t>.2</w:t>
      </w:r>
      <w:r w:rsidRPr="000D6E2A">
        <w:t>)</w:t>
      </w:r>
    </w:p>
    <w:p w14:paraId="40CD1D7F" w14:textId="1ECD3174" w:rsidR="0053123F" w:rsidRPr="007F586E" w:rsidRDefault="0053123F" w:rsidP="00BC03FD">
      <w:pPr>
        <w:pStyle w:val="Clanek11"/>
      </w:pPr>
      <w:r w:rsidRPr="007F586E">
        <w:rPr>
          <w:noProof/>
        </w:rPr>
        <w:t xml:space="preserve">Strany tímto sjednávají, že Cena zahrnuje odměnu za veškeré dodávky, poskytnutí </w:t>
      </w:r>
      <w:r w:rsidR="00A2381D" w:rsidRPr="007F586E">
        <w:rPr>
          <w:noProof/>
        </w:rPr>
        <w:t>u</w:t>
      </w:r>
      <w:r w:rsidRPr="007F586E">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7F586E" w:rsidRDefault="00C6288E" w:rsidP="00BC03FD">
      <w:pPr>
        <w:pStyle w:val="Clanek11"/>
      </w:pPr>
      <w:r w:rsidRPr="007F586E">
        <w:t>DPH bude uplatněna ve výši dle platných právních předpisů ke dni zdanitelného plnění.</w:t>
      </w:r>
    </w:p>
    <w:p w14:paraId="7CF5BDAC" w14:textId="3D614B9C" w:rsidR="00C6288E" w:rsidRPr="007F586E" w:rsidRDefault="00C6288E" w:rsidP="00BC03FD">
      <w:pPr>
        <w:pStyle w:val="Clanek11"/>
      </w:pPr>
      <w:r w:rsidRPr="007F586E">
        <w:t xml:space="preserve">Podrobný rozpis Ceny dle jednotlivých částí Plnění je uveden v Příloze č. </w:t>
      </w:r>
      <w:r w:rsidR="007F586E" w:rsidRPr="007F586E">
        <w:t>3</w:t>
      </w:r>
      <w:r w:rsidRPr="007F586E">
        <w:t xml:space="preserve"> </w:t>
      </w:r>
      <w:r w:rsidRPr="007F586E">
        <w:rPr>
          <w:i/>
        </w:rPr>
        <w:t>Cena Plnění.</w:t>
      </w:r>
    </w:p>
    <w:p w14:paraId="492ACD2B" w14:textId="541DFC76" w:rsidR="00A2381D" w:rsidRPr="00177AF7" w:rsidRDefault="00C6288E" w:rsidP="00BC03FD">
      <w:pPr>
        <w:pStyle w:val="Clanek11"/>
      </w:pPr>
      <w:bookmarkStart w:id="34" w:name="_Hlk27391226"/>
      <w:r w:rsidRPr="00177AF7">
        <w:t>Cena je výslovně sjednávána jako nejvyšší možná a nepřekročitelná.</w:t>
      </w:r>
      <w:bookmarkEnd w:id="34"/>
    </w:p>
    <w:p w14:paraId="764E24CE" w14:textId="41541226" w:rsidR="00A2381D" w:rsidRDefault="00A2381D" w:rsidP="00BC03FD">
      <w:pPr>
        <w:pStyle w:val="Clanek11"/>
      </w:pPr>
      <w:r w:rsidRPr="1E3C171A">
        <w:rPr>
          <w:noProof/>
        </w:rPr>
        <w:t xml:space="preserve">Právo na zaplacení příslušné části Ceny Zhotoviteli vzniká (okamžikem, ke kterému je Zhotovitel oprávněn vystavit fakturu) dokončením příslušné části Díla ve smyslu Přílohy č. </w:t>
      </w:r>
      <w:r w:rsidR="007F586E" w:rsidRPr="1E3C171A">
        <w:rPr>
          <w:noProof/>
        </w:rPr>
        <w:t>3</w:t>
      </w:r>
      <w:r w:rsidRPr="1E3C171A">
        <w:rPr>
          <w:noProof/>
        </w:rPr>
        <w:t xml:space="preserve"> </w:t>
      </w:r>
      <w:r w:rsidRPr="1E3C171A">
        <w:rPr>
          <w:i/>
          <w:noProof/>
        </w:rPr>
        <w:t>Cena</w:t>
      </w:r>
      <w:r w:rsidR="000648CB" w:rsidRPr="1E3C171A">
        <w:rPr>
          <w:i/>
          <w:noProof/>
        </w:rPr>
        <w:t xml:space="preserve"> Plnění</w:t>
      </w:r>
      <w:r w:rsidRPr="1E3C171A">
        <w:rPr>
          <w:noProof/>
        </w:rPr>
        <w:t xml:space="preserve"> a vyznačením v Akceptačním protokolu „Akceptováno“ u posledního výstupu příslušné části provádění Díla. </w:t>
      </w:r>
      <w:r w:rsidR="00E60107" w:rsidRPr="1E3C171A">
        <w:rPr>
          <w:noProof/>
        </w:rPr>
        <w:t xml:space="preserve">Pokud je v Akceptačním protokolu vyznačeno „Akceptováno s výhradou“, vzniká Zhotoviteli právo na zaplacení </w:t>
      </w:r>
      <w:r w:rsidR="001F7F7E">
        <w:rPr>
          <w:noProof/>
        </w:rPr>
        <w:t xml:space="preserve">v souladu s čl. </w:t>
      </w:r>
      <w:r w:rsidR="007A5026">
        <w:rPr>
          <w:noProof/>
        </w:rPr>
        <w:t xml:space="preserve">8.1.11 </w:t>
      </w:r>
      <w:r w:rsidR="007A5026" w:rsidRPr="00BE6A7D">
        <w:rPr>
          <w:noProof/>
        </w:rPr>
        <w:t xml:space="preserve">Přílohy č. 6 </w:t>
      </w:r>
      <w:r w:rsidR="007A5026" w:rsidRPr="00BE6A7D">
        <w:rPr>
          <w:i/>
          <w:noProof/>
        </w:rPr>
        <w:t>Zvláštní</w:t>
      </w:r>
      <w:r w:rsidR="007A5026" w:rsidRPr="00D35F37">
        <w:rPr>
          <w:i/>
          <w:noProof/>
        </w:rPr>
        <w:t xml:space="preserve"> obchodní podmínky</w:t>
      </w:r>
      <w:r w:rsidR="00E60107" w:rsidRPr="1E3C171A">
        <w:rPr>
          <w:noProof/>
        </w:rPr>
        <w:t>.</w:t>
      </w:r>
    </w:p>
    <w:p w14:paraId="54B2C5AD" w14:textId="580A9A4E" w:rsidR="000D6E2A" w:rsidRDefault="000D6E2A" w:rsidP="00BC03FD">
      <w:pPr>
        <w:pStyle w:val="Clanek11"/>
      </w:pPr>
      <w:r>
        <w:rPr>
          <w:noProof/>
        </w:rPr>
        <w:t>Splatnost daňového dokladu je 60 dnů po dni jeho doručení Objednateli.</w:t>
      </w:r>
    </w:p>
    <w:p w14:paraId="2AFD0B22" w14:textId="256C6E3A" w:rsidR="00C6288E" w:rsidRPr="007C4CD7" w:rsidRDefault="00C6288E" w:rsidP="004878A6">
      <w:pPr>
        <w:pStyle w:val="Nadpis4"/>
        <w:numPr>
          <w:ilvl w:val="0"/>
          <w:numId w:val="6"/>
        </w:numPr>
        <w:ind w:left="567" w:hanging="425"/>
      </w:pPr>
      <w:r w:rsidRPr="00177AF7">
        <w:t>Práva duševního vlastnictví</w:t>
      </w:r>
    </w:p>
    <w:p w14:paraId="534F74B0" w14:textId="249951AC" w:rsidR="005205DD" w:rsidRPr="007C4CD7" w:rsidRDefault="00C6288E" w:rsidP="00BC03FD">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BE6A7D">
        <w:rPr>
          <w:noProof/>
        </w:rPr>
        <w:t>1.</w:t>
      </w:r>
      <w:r w:rsidR="0063111E" w:rsidRPr="00BE6A7D">
        <w:rPr>
          <w:noProof/>
        </w:rPr>
        <w:t xml:space="preserve"> </w:t>
      </w:r>
      <w:r w:rsidR="007F586E" w:rsidRPr="00BE6A7D">
        <w:rPr>
          <w:noProof/>
        </w:rPr>
        <w:t>Přílohy č. 6</w:t>
      </w:r>
      <w:r w:rsidRPr="00BE6A7D">
        <w:rPr>
          <w:noProof/>
        </w:rPr>
        <w:t xml:space="preserve"> </w:t>
      </w:r>
      <w:r w:rsidRPr="00BE6A7D">
        <w:rPr>
          <w:i/>
          <w:noProof/>
        </w:rPr>
        <w:t>Zvláštní</w:t>
      </w:r>
      <w:r w:rsidRPr="00D35F37">
        <w:rPr>
          <w:i/>
          <w:noProof/>
        </w:rPr>
        <w:t xml:space="preserve"> obchodní podmín</w:t>
      </w:r>
      <w:r w:rsidR="000648CB" w:rsidRPr="00D35F37">
        <w:rPr>
          <w:i/>
          <w:noProof/>
        </w:rPr>
        <w:t>ky</w:t>
      </w:r>
      <w:r w:rsidRPr="005205DD">
        <w:rPr>
          <w:noProof/>
        </w:rPr>
        <w:t>.</w:t>
      </w:r>
    </w:p>
    <w:p w14:paraId="2B677C2D" w14:textId="77777777" w:rsidR="00C6288E" w:rsidRPr="009001BA" w:rsidRDefault="00C6288E" w:rsidP="004878A6">
      <w:pPr>
        <w:pStyle w:val="Nadpis4"/>
        <w:numPr>
          <w:ilvl w:val="0"/>
          <w:numId w:val="6"/>
        </w:numPr>
        <w:ind w:left="567" w:hanging="425"/>
        <w:rPr>
          <w:noProof/>
        </w:rPr>
      </w:pPr>
      <w:r w:rsidRPr="009001BA">
        <w:rPr>
          <w:noProof/>
        </w:rPr>
        <w:t>Kybernetická bezpečnost</w:t>
      </w:r>
    </w:p>
    <w:p w14:paraId="3C1390B5" w14:textId="7EACC334" w:rsidR="00C6288E" w:rsidRPr="009001BA" w:rsidRDefault="00A1211D" w:rsidP="00BC03FD">
      <w:pPr>
        <w:pStyle w:val="Clanek11"/>
      </w:pPr>
      <w:r>
        <w:t>Zhotovitel</w:t>
      </w:r>
      <w:r w:rsidR="00C6288E">
        <w:t xml:space="preserve"> je povinen dodržovat ustanovení týkající se kybernetické bezpečnosti ve smyslu článku 20. </w:t>
      </w:r>
      <w:r w:rsidR="007F586E">
        <w:t>Přílohy č. 6</w:t>
      </w:r>
      <w:r w:rsidR="000648CB">
        <w:t xml:space="preserve"> </w:t>
      </w:r>
      <w:r w:rsidR="000648CB" w:rsidRPr="1E3C171A">
        <w:rPr>
          <w:i/>
        </w:rPr>
        <w:t>Zvláštní obchodní podmínky</w:t>
      </w:r>
      <w:r w:rsidR="000B1CCA">
        <w:t xml:space="preserve"> a přílohy</w:t>
      </w:r>
      <w:r w:rsidR="00BE6A7D">
        <w:t xml:space="preserve"> č. 1 </w:t>
      </w:r>
      <w:r w:rsidR="00BE6A7D" w:rsidRPr="1E3C171A">
        <w:rPr>
          <w:i/>
        </w:rPr>
        <w:t>Specifikace Plnění</w:t>
      </w:r>
      <w:r w:rsidR="411E7E4E" w:rsidRPr="1E3C171A">
        <w:rPr>
          <w:i/>
        </w:rPr>
        <w:t>.</w:t>
      </w:r>
    </w:p>
    <w:p w14:paraId="14E37BD2" w14:textId="77777777" w:rsidR="00C6288E" w:rsidRPr="009001BA" w:rsidRDefault="00C6288E" w:rsidP="004878A6">
      <w:pPr>
        <w:pStyle w:val="Nadpis4"/>
        <w:numPr>
          <w:ilvl w:val="0"/>
          <w:numId w:val="6"/>
        </w:numPr>
        <w:ind w:left="567" w:hanging="425"/>
        <w:rPr>
          <w:noProof/>
        </w:rPr>
      </w:pPr>
      <w:r w:rsidRPr="009001BA">
        <w:rPr>
          <w:noProof/>
        </w:rPr>
        <w:t>Ochrana osobních údajů</w:t>
      </w:r>
    </w:p>
    <w:p w14:paraId="4BD0F6F5" w14:textId="3DC68B2B" w:rsidR="00C6288E" w:rsidRPr="007C4CD7" w:rsidRDefault="00C6288E" w:rsidP="00BC03FD">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Pr="00177AF7">
        <w:t xml:space="preserve">. </w:t>
      </w:r>
      <w:r w:rsidR="0063111E" w:rsidRPr="0047784F">
        <w:rPr>
          <w:noProof/>
        </w:rPr>
        <w:t xml:space="preserve">Přílohy č. </w:t>
      </w:r>
      <w:r w:rsidR="0047784F" w:rsidRPr="0047784F">
        <w:rPr>
          <w:noProof/>
        </w:rPr>
        <w:t>6</w:t>
      </w:r>
      <w:r w:rsidR="000648CB" w:rsidRPr="005205DD">
        <w:rPr>
          <w:noProof/>
        </w:rPr>
        <w:t xml:space="preserve"> </w:t>
      </w:r>
      <w:r w:rsidR="000648CB" w:rsidRPr="0086660B">
        <w:rPr>
          <w:i/>
          <w:noProof/>
        </w:rPr>
        <w:t>Zvláštní obchodní podmínky</w:t>
      </w:r>
      <w:r w:rsidR="000648CB" w:rsidRPr="005205DD">
        <w:rPr>
          <w:noProof/>
        </w:rPr>
        <w:t>.</w:t>
      </w:r>
    </w:p>
    <w:p w14:paraId="3B104111" w14:textId="77777777" w:rsidR="00B46A1E" w:rsidRDefault="00B46A1E" w:rsidP="4A7DC6F7">
      <w:pPr>
        <w:pStyle w:val="Nadpis4"/>
        <w:numPr>
          <w:ilvl w:val="0"/>
          <w:numId w:val="6"/>
        </w:numPr>
        <w:ind w:left="567" w:hanging="425"/>
        <w:rPr>
          <w:noProof/>
        </w:rPr>
      </w:pPr>
      <w:r w:rsidRPr="4A7DC6F7">
        <w:rPr>
          <w:noProof/>
        </w:rPr>
        <w:lastRenderedPageBreak/>
        <w:t>Akceptační řízení</w:t>
      </w:r>
    </w:p>
    <w:p w14:paraId="799D0B54" w14:textId="321967CB" w:rsidR="00B46A1E" w:rsidRDefault="00B46A1E" w:rsidP="00BC03FD">
      <w:pPr>
        <w:pStyle w:val="Clanek11"/>
        <w:rPr>
          <w:noProof/>
        </w:rPr>
      </w:pPr>
      <w:r w:rsidRPr="4A7DC6F7">
        <w:rPr>
          <w:noProof/>
        </w:rPr>
        <w:t>Akceptačnímu řízení dle části 8 ZOP a tohoto článku Smlouvy podléhají milníky uvedené v harmonogramu plnění.</w:t>
      </w:r>
    </w:p>
    <w:p w14:paraId="18C893C6" w14:textId="22E2D0F3" w:rsidR="00B46A1E" w:rsidRDefault="00B46A1E" w:rsidP="00BC03FD">
      <w:pPr>
        <w:pStyle w:val="Clanek11"/>
        <w:rPr>
          <w:noProof/>
        </w:rPr>
      </w:pPr>
      <w:r w:rsidRPr="4A7DC6F7">
        <w:rPr>
          <w:noProof/>
        </w:rPr>
        <w:t xml:space="preserve">Každý milník plnění podléhá samostatnému Akceptačnímu řízení a považuje se za ukončený akceptací (bez výhrad) posledního dílčího plnění. Akceptační kritéria pro každou dílčí </w:t>
      </w:r>
      <w:r>
        <w:t>část</w:t>
      </w:r>
      <w:r w:rsidRPr="4A7DC6F7">
        <w:rPr>
          <w:noProof/>
        </w:rPr>
        <w:t xml:space="preserve"> z Přílohy č. 1 této Smlouvy, kde jsou zde uvedeny vždy požadované výstupy.</w:t>
      </w:r>
    </w:p>
    <w:p w14:paraId="61D9C8F4" w14:textId="4C5C44A2" w:rsidR="00B46A1E" w:rsidRDefault="00B46A1E" w:rsidP="00BC03FD">
      <w:pPr>
        <w:pStyle w:val="Clanek11"/>
        <w:rPr>
          <w:noProof/>
        </w:rPr>
      </w:pPr>
      <w:r w:rsidRPr="4A7DC6F7">
        <w:rPr>
          <w:noProof/>
        </w:rPr>
        <w:t xml:space="preserve">Zhotovitel bere na vědomí, že v rámci Předmětu díla může dojít k upřesnění Akceptačních kritérií. Vzhledem ke </w:t>
      </w:r>
      <w:r>
        <w:t>skutečnosti</w:t>
      </w:r>
      <w:r w:rsidRPr="4A7DC6F7">
        <w:rPr>
          <w:noProof/>
        </w:rPr>
        <w:t xml:space="preserve"> uvedené v předchozí větě nemohou být veškerá Akceptační kritéria vymezena zcela vyčerpávajícím způsobem. Zhotovitel proto bere na vědomí skutečnosti uvedené v tomto odstavci a zavazuje se v tomto ohledu postupovat v souladu s principy „best practice“ a zohledňovat veškeré připomínky Objednatele, které lze s ohledem na účel Smlouvy považovat za oprávněné. Zhotovitel dále bere na vědomí, že vzhledem ke skutečnostem uvedeným v tomto odstavci mohou být v rámci Akceptačního řízení vzneseny Objednatelem výhrady, jejichž povaha bude bránit akceptaci a jejichž důsledkem tak může být prodloužení doby Akceptačního řízení. Objednatel se zavazuje poskytnout Zhotoviteli součinnost při projednání připomínek k Předmětu díla i ve fázích přípravy. </w:t>
      </w:r>
    </w:p>
    <w:p w14:paraId="1389C974" w14:textId="263E2CD1" w:rsidR="00B46A1E" w:rsidRDefault="00B46A1E" w:rsidP="00BC03FD">
      <w:pPr>
        <w:pStyle w:val="Clanek11"/>
        <w:rPr>
          <w:noProof/>
        </w:rPr>
      </w:pPr>
      <w:r w:rsidRPr="4A7DC6F7">
        <w:rPr>
          <w:noProof/>
        </w:rPr>
        <w:t>Posuzování jakýchkoliv Akceptačních kritérií je nutno provádět s ohledem na účel Smlouvy</w:t>
      </w:r>
    </w:p>
    <w:p w14:paraId="15B82EE6" w14:textId="157062C5" w:rsidR="00B46A1E" w:rsidRDefault="00B46A1E" w:rsidP="4A7DC6F7">
      <w:pPr>
        <w:pStyle w:val="Nadpis4"/>
        <w:numPr>
          <w:ilvl w:val="0"/>
          <w:numId w:val="6"/>
        </w:numPr>
        <w:ind w:left="567" w:hanging="425"/>
        <w:rPr>
          <w:noProof/>
        </w:rPr>
      </w:pPr>
      <w:r w:rsidRPr="4A7DC6F7">
        <w:rPr>
          <w:noProof/>
        </w:rPr>
        <w:t>Účast poddodavatelů a realizační tým</w:t>
      </w:r>
    </w:p>
    <w:p w14:paraId="55EBF449" w14:textId="309310E3" w:rsidR="00B46A1E" w:rsidRDefault="00B46A1E" w:rsidP="00BC03FD">
      <w:pPr>
        <w:pStyle w:val="Clanek11"/>
        <w:rPr>
          <w:noProof/>
        </w:rPr>
      </w:pPr>
      <w:r w:rsidRPr="1E3C171A">
        <w:rPr>
          <w:noProof/>
        </w:rPr>
        <w:t xml:space="preserve">Zhotovitel je oprávněn plnit tuto Smlouvu výlučně prostřednictvím Poddodavatelů </w:t>
      </w:r>
      <w:r>
        <w:t>uvedených</w:t>
      </w:r>
      <w:r w:rsidRPr="1E3C171A">
        <w:rPr>
          <w:noProof/>
        </w:rPr>
        <w:t xml:space="preserve"> v příloze č. </w:t>
      </w:r>
      <w:r w:rsidR="00EB77F7" w:rsidRPr="1E3C171A">
        <w:rPr>
          <w:noProof/>
        </w:rPr>
        <w:t>5</w:t>
      </w:r>
      <w:r w:rsidRPr="1E3C171A">
        <w:rPr>
          <w:noProof/>
        </w:rPr>
        <w:t xml:space="preserve"> této Smlouvy.</w:t>
      </w:r>
    </w:p>
    <w:p w14:paraId="58078057" w14:textId="77777777" w:rsidR="00B46A1E" w:rsidRPr="00EB77F7" w:rsidRDefault="00B46A1E" w:rsidP="00BC03FD">
      <w:pPr>
        <w:pStyle w:val="Clanek11"/>
        <w:rPr>
          <w:noProof/>
        </w:rPr>
      </w:pPr>
      <w:r w:rsidRPr="4A7DC6F7">
        <w:rPr>
          <w:noProof/>
        </w:rPr>
        <w:t xml:space="preserve">Před zapojením nového Poddodavatele do plnění Smlouvy musí být Objednateli předložen nový seznam poddodavatelů, a tento seznam musí být Objednatelem písemně </w:t>
      </w:r>
      <w:r>
        <w:t>schválen</w:t>
      </w:r>
      <w:r w:rsidRPr="4A7DC6F7">
        <w:rPr>
          <w:noProof/>
        </w:rPr>
        <w:t xml:space="preserve">. Tím nejsou dotčeny dodatečné podmínky pro změnu Poddodavatele, jehož prostřednictvím Zhotovitel prokazoval kvalifikaci ve </w:t>
      </w:r>
      <w:r w:rsidRPr="00EB77F7">
        <w:rPr>
          <w:noProof/>
        </w:rPr>
        <w:t>Veřejné zakázce, uvedené v části 13 ZOP.</w:t>
      </w:r>
    </w:p>
    <w:p w14:paraId="3A45B8C6" w14:textId="77777777" w:rsidR="00DF0A5F" w:rsidRDefault="00B46A1E" w:rsidP="00BC03FD">
      <w:pPr>
        <w:pStyle w:val="Clanek11"/>
        <w:rPr>
          <w:noProof/>
        </w:rPr>
      </w:pPr>
      <w:r w:rsidRPr="00EB77F7">
        <w:rPr>
          <w:noProof/>
        </w:rPr>
        <w:t xml:space="preserve">Pravidla pro </w:t>
      </w:r>
      <w:r w:rsidRPr="00EB77F7">
        <w:t>realizační</w:t>
      </w:r>
      <w:r w:rsidRPr="00EB77F7">
        <w:rPr>
          <w:noProof/>
        </w:rPr>
        <w:t xml:space="preserve"> tým se řídí čl. 14 ZOP. Seznam členů realizačního týmu tvoří Přílohu č. </w:t>
      </w:r>
      <w:r w:rsidR="00EB77F7" w:rsidRPr="00EB77F7">
        <w:rPr>
          <w:noProof/>
        </w:rPr>
        <w:t>7</w:t>
      </w:r>
      <w:r w:rsidRPr="00EB77F7">
        <w:rPr>
          <w:noProof/>
        </w:rPr>
        <w:t xml:space="preserve"> této Smlouvy</w:t>
      </w:r>
    </w:p>
    <w:p w14:paraId="4770FD50" w14:textId="3C8631AB" w:rsidR="00B46A1E" w:rsidRPr="00EB77F7" w:rsidRDefault="00DF0A5F" w:rsidP="00BC03FD">
      <w:pPr>
        <w:pStyle w:val="Clanek11"/>
        <w:rPr>
          <w:noProof/>
        </w:rPr>
      </w:pPr>
      <w:r>
        <w:rPr>
          <w:noProof/>
        </w:rPr>
        <w:t xml:space="preserve">Zhotovitel je povinen po celou dobu trvání smlouvy mít k dispozici konzultanta </w:t>
      </w:r>
      <w:r w:rsidRPr="00DF0A5F">
        <w:rPr>
          <w:noProof/>
        </w:rPr>
        <w:t>s detailní znalost vyhlášky č. 500/2002 Sb., kterou se provádějí některá ustanovení zákona č. 563/1991 Sb., o účetnictví, ve znění pozdějších předpisů, pro účetní jednotky, které jsou podnikateli účtujícími v soustavě podvojného účetnictví a rovněž vyhlášky č. 410/2009 Sb., kterou se provádějí některá ustanovení zákona č. 563/1991 Sb., o účetnictví, ve znění pozdějších předpisů, pro některé vybrané účetní jednotky</w:t>
      </w:r>
      <w:r>
        <w:rPr>
          <w:noProof/>
        </w:rPr>
        <w:t>, přípdadně dalších přepdisů v případě jejich novelizace či nahrazení</w:t>
      </w:r>
      <w:r w:rsidR="00B46A1E" w:rsidRPr="00EB77F7">
        <w:rPr>
          <w:noProof/>
        </w:rPr>
        <w:t>.</w:t>
      </w:r>
      <w:r>
        <w:rPr>
          <w:noProof/>
        </w:rPr>
        <w:t xml:space="preserve"> </w:t>
      </w:r>
      <w:r w:rsidR="00DE5C88">
        <w:rPr>
          <w:noProof/>
        </w:rPr>
        <w:t xml:space="preserve">Tato osoba nemusí být členem realizačního týmu. </w:t>
      </w:r>
      <w:r>
        <w:rPr>
          <w:noProof/>
        </w:rPr>
        <w:t>Zhotovitel prohlašuje, že disponuje takovými znalostmi výše uvedených předpisů, které mu nebudou bránit v řádném plnění Smlouvy. Objednatel je oprávněn v průběhu trvání Smlouvy si vyžádat od Zhotovitele inf</w:t>
      </w:r>
      <w:r w:rsidR="00DD58B7">
        <w:rPr>
          <w:noProof/>
        </w:rPr>
        <w:t>or</w:t>
      </w:r>
      <w:r>
        <w:rPr>
          <w:noProof/>
        </w:rPr>
        <w:t>mace, jakým způsobem je odborná znalost pro výše uvedené zajištěna. V případě, že by nedostatečná znalost</w:t>
      </w:r>
      <w:r w:rsidR="00DE5C88">
        <w:rPr>
          <w:noProof/>
        </w:rPr>
        <w:t xml:space="preserve"> vedla k nedostatkům v plnění Smlouvy, jedná se o podstatné porušení Smlouvy.</w:t>
      </w:r>
    </w:p>
    <w:p w14:paraId="3B466BFD" w14:textId="03EA1D41" w:rsidR="00C56C36" w:rsidRDefault="00C56C36" w:rsidP="004878A6">
      <w:pPr>
        <w:pStyle w:val="Nadpis4"/>
        <w:numPr>
          <w:ilvl w:val="0"/>
          <w:numId w:val="6"/>
        </w:numPr>
        <w:ind w:left="567" w:hanging="425"/>
        <w:rPr>
          <w:noProof/>
        </w:rPr>
      </w:pPr>
      <w:r>
        <w:rPr>
          <w:noProof/>
        </w:rPr>
        <w:t>Střet zájmů, povinnosti Zhotovitele v souvislosti s konfliktem na Ukrajině</w:t>
      </w:r>
    </w:p>
    <w:p w14:paraId="0BD3D38C" w14:textId="471AADC2" w:rsidR="00C56C36" w:rsidRPr="00C56C36" w:rsidRDefault="00C56C36" w:rsidP="00BC03FD">
      <w:pPr>
        <w:pStyle w:val="Clanek11"/>
      </w:pPr>
      <w:bookmarkStart w:id="35" w:name="_Ref179268346"/>
      <w:r>
        <w:t xml:space="preserve">Zhotovitel prohlašuje, </w:t>
      </w:r>
      <w:r w:rsidR="00C07393">
        <w:t>že není obchodní společností, ve které veřejný funkcionář uvedený v ust. § 2 odst. 1 písm. c) zákona č. 159/2006 Sb., o střetu zájmů, ve znění pozdějších předpisů (dále jen „</w:t>
      </w:r>
      <w:r w:rsidR="00C07393" w:rsidRPr="29E1CA00">
        <w:rPr>
          <w:rStyle w:val="Kurzvatun"/>
        </w:rPr>
        <w:t>Zákon o střetu zájmů</w:t>
      </w:r>
      <w:r w:rsidR="00C07393">
        <w:t xml:space="preserve">“) nebo jím ovládaná osoba vlastní podíl představující alespoň 25 % účasti společníka v obchodní společnosti, a že </w:t>
      </w:r>
      <w:r w:rsidR="00C07393">
        <w:lastRenderedPageBreak/>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w:t>
      </w:r>
      <w:r>
        <w:t>i.</w:t>
      </w:r>
      <w:bookmarkEnd w:id="35"/>
    </w:p>
    <w:p w14:paraId="58674E97" w14:textId="50DD4B44" w:rsidR="00C56C36" w:rsidRPr="00C56C36" w:rsidRDefault="00C56C36" w:rsidP="00BC03FD">
      <w:pPr>
        <w:pStyle w:val="Clanek11"/>
      </w:pPr>
      <w:bookmarkStart w:id="36" w:name="_Ref179268368"/>
      <w:r>
        <w:t>Zhotovitel prohlašuje, že:</w:t>
      </w:r>
      <w:bookmarkEnd w:id="36"/>
    </w:p>
    <w:p w14:paraId="0E3EE18F" w14:textId="71842B97" w:rsidR="00C56C36" w:rsidRPr="00C56C36" w:rsidRDefault="00C07393" w:rsidP="4A7DC6F7">
      <w:pPr>
        <w:numPr>
          <w:ilvl w:val="0"/>
          <w:numId w:val="24"/>
        </w:numPr>
        <w:rPr>
          <w:b/>
          <w:bCs/>
        </w:rPr>
      </w:pPr>
      <w:r>
        <w:t>on, ani žádný z jeho poddodavatelů, nejsou osobami, na něž se vztahuje zákaz zadání veřejné zakázky ve smyslu § 48a zákona č. 134/2016 Sb., o zadávání veřejných zakázek, ve znění pozdějších předpisů</w:t>
      </w:r>
      <w:r w:rsidR="00C56C36">
        <w:t xml:space="preserve">, </w:t>
      </w:r>
    </w:p>
    <w:p w14:paraId="1D5FD13D" w14:textId="5E069F0A" w:rsidR="00C56C36" w:rsidRDefault="00A96293" w:rsidP="00C56C36">
      <w:pPr>
        <w:numPr>
          <w:ilvl w:val="0"/>
          <w:numId w:val="24"/>
        </w:numPr>
      </w:pPr>
      <w:r>
        <w:t>o</w:t>
      </w:r>
      <w:r w:rsidR="00C07393">
        <w:t xml:space="preserve">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7A3495" w14:textId="39C465A2" w:rsidR="00C07393" w:rsidRPr="00C56C36" w:rsidRDefault="00C07393" w:rsidP="00C56C36">
      <w:pPr>
        <w:numPr>
          <w:ilvl w:val="0"/>
          <w:numId w:val="24"/>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C03FD">
        <w:t xml:space="preserve">13.5 </w:t>
      </w:r>
      <w:r>
        <w:t>této Smlouvy (dále jen „</w:t>
      </w:r>
      <w:r w:rsidRPr="4A7DC6F7">
        <w:rPr>
          <w:rStyle w:val="Kurzvatun"/>
        </w:rPr>
        <w:t>Sankční seznamy</w:t>
      </w:r>
      <w:r>
        <w:t>“).</w:t>
      </w:r>
    </w:p>
    <w:p w14:paraId="7FEAE407" w14:textId="755DF6CD" w:rsidR="00C56C36" w:rsidRPr="009001BA" w:rsidRDefault="00C56C36" w:rsidP="00BC03FD">
      <w:pPr>
        <w:pStyle w:val="Clanek11"/>
      </w:pPr>
      <w:r>
        <w:t xml:space="preserve">Je-li Zhotovitelem sdružení více osob, platí podmínky dle odstavce </w:t>
      </w:r>
      <w:r>
        <w:fldChar w:fldCharType="begin"/>
      </w:r>
      <w:r>
        <w:instrText xml:space="preserve"> REF _Ref179268346 \r \h </w:instrText>
      </w:r>
      <w:r>
        <w:fldChar w:fldCharType="separate"/>
      </w:r>
      <w:r w:rsidR="00BC03FD">
        <w:t>13.1</w:t>
      </w:r>
      <w:r>
        <w:fldChar w:fldCharType="end"/>
      </w:r>
      <w:r w:rsidR="001F34A2">
        <w:t xml:space="preserve"> </w:t>
      </w:r>
      <w:r>
        <w:t xml:space="preserve">a </w:t>
      </w:r>
      <w:r>
        <w:fldChar w:fldCharType="begin"/>
      </w:r>
      <w:r>
        <w:instrText xml:space="preserve"> REF _Ref179268368 \r \h </w:instrText>
      </w:r>
      <w:r>
        <w:fldChar w:fldCharType="separate"/>
      </w:r>
      <w:r w:rsidR="00BC03FD">
        <w:t>13.2</w:t>
      </w:r>
      <w:r>
        <w:fldChar w:fldCharType="end"/>
      </w:r>
      <w:r w:rsidR="001F34A2">
        <w:t xml:space="preserve"> </w:t>
      </w:r>
      <w:r>
        <w:t>této Smlouvy také jednotlivě pro všechny osoby v rámci Zhotovitele sdružené a to bez ohledu na právní formu tohoto sdružení.</w:t>
      </w:r>
    </w:p>
    <w:p w14:paraId="713ADCB2" w14:textId="5BF1A823" w:rsidR="00C56C36" w:rsidRPr="00C56C36" w:rsidRDefault="00C56C36" w:rsidP="00BC03FD">
      <w:pPr>
        <w:pStyle w:val="Clanek11"/>
      </w:pPr>
      <w:bookmarkStart w:id="37" w:name="_Ref179268411"/>
      <w:r w:rsidRPr="009001BA">
        <w:t>Přestane-li Zhotovitel nebo některý z jeho poddodavatelů nebo jiných osob</w:t>
      </w:r>
      <w:r w:rsidRPr="00C56C36">
        <w:t>,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bookmarkEnd w:id="37"/>
    </w:p>
    <w:p w14:paraId="7A31981D" w14:textId="405E1D0E" w:rsidR="00C56C36" w:rsidRPr="00C56C36" w:rsidRDefault="00C56C36" w:rsidP="00BC03FD">
      <w:pPr>
        <w:pStyle w:val="Clanek11"/>
      </w:pPr>
      <w:bookmarkStart w:id="38" w:name="_Ref179268425"/>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38"/>
    </w:p>
    <w:p w14:paraId="5BA58FB0" w14:textId="304C899C" w:rsidR="00C56C36" w:rsidRPr="00C56C36" w:rsidRDefault="00C56C36" w:rsidP="00BC03FD">
      <w:pPr>
        <w:pStyle w:val="Clanek11"/>
      </w:pPr>
      <w:bookmarkStart w:id="39" w:name="_Ref179268437"/>
      <w:r w:rsidRPr="00C56C3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9"/>
    </w:p>
    <w:p w14:paraId="2DB882C7" w14:textId="2B2E4EA9" w:rsidR="00C56C36" w:rsidRDefault="00C56C36" w:rsidP="00BC03FD">
      <w:pPr>
        <w:pStyle w:val="Clanek11"/>
      </w:pPr>
      <w:r>
        <w:lastRenderedPageBreak/>
        <w:t xml:space="preserve">Ukáží-li se prohlášení Zhotovitele dle odstavce </w:t>
      </w:r>
      <w:r>
        <w:fldChar w:fldCharType="begin"/>
      </w:r>
      <w:r>
        <w:instrText xml:space="preserve"> REF _Ref179268346 \r \h </w:instrText>
      </w:r>
      <w:r>
        <w:fldChar w:fldCharType="separate"/>
      </w:r>
      <w:r w:rsidR="00BC03FD">
        <w:t>13.1</w:t>
      </w:r>
      <w:r>
        <w:fldChar w:fldCharType="end"/>
      </w:r>
      <w:r>
        <w:t xml:space="preserve"> a </w:t>
      </w:r>
      <w:r>
        <w:fldChar w:fldCharType="begin"/>
      </w:r>
      <w:r>
        <w:instrText xml:space="preserve"> REF _Ref179268368 \r \h </w:instrText>
      </w:r>
      <w:r>
        <w:fldChar w:fldCharType="separate"/>
      </w:r>
      <w:r w:rsidR="00BC03FD">
        <w:t>13.2</w:t>
      </w:r>
      <w:r>
        <w:fldChar w:fldCharType="end"/>
      </w:r>
      <w:r w:rsidR="001F34A2">
        <w:t xml:space="preserve"> </w:t>
      </w:r>
      <w:r>
        <w:t xml:space="preserve">této Smlouvy jako nepravdivá nebo poruší-li Zhotovitel svou oznamovací povinnost dle odstavce </w:t>
      </w:r>
      <w:r>
        <w:fldChar w:fldCharType="begin"/>
      </w:r>
      <w:r>
        <w:instrText xml:space="preserve"> REF _Ref179268411 \r \h </w:instrText>
      </w:r>
      <w:r>
        <w:fldChar w:fldCharType="separate"/>
      </w:r>
      <w:r w:rsidR="00BC03FD">
        <w:t>13.4</w:t>
      </w:r>
      <w:r>
        <w:fldChar w:fldCharType="end"/>
      </w:r>
      <w:r w:rsidR="001F34A2">
        <w:t xml:space="preserve"> </w:t>
      </w:r>
      <w:r>
        <w:t xml:space="preserve">nebo povinnosti dle odstavců </w:t>
      </w:r>
      <w:r>
        <w:fldChar w:fldCharType="begin"/>
      </w:r>
      <w:r>
        <w:instrText xml:space="preserve"> REF _Ref179268425 \r \h </w:instrText>
      </w:r>
      <w:r>
        <w:fldChar w:fldCharType="separate"/>
      </w:r>
      <w:r w:rsidR="00BC03FD">
        <w:t>13.5</w:t>
      </w:r>
      <w:r>
        <w:fldChar w:fldCharType="end"/>
      </w:r>
      <w:r w:rsidR="001F34A2">
        <w:t xml:space="preserve"> </w:t>
      </w:r>
      <w:r>
        <w:t xml:space="preserve">nebo </w:t>
      </w:r>
      <w:r>
        <w:fldChar w:fldCharType="begin"/>
      </w:r>
      <w:r>
        <w:instrText xml:space="preserve"> REF _Ref179268437 \r \h </w:instrText>
      </w:r>
      <w:r>
        <w:fldChar w:fldCharType="separate"/>
      </w:r>
      <w:r w:rsidR="00BC03FD">
        <w:t>13.6</w:t>
      </w:r>
      <w:r>
        <w:fldChar w:fldCharType="end"/>
      </w:r>
      <w:r w:rsidR="001F34A2">
        <w:t xml:space="preserve"> </w:t>
      </w:r>
      <w:r>
        <w:t>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511F5390" w14:textId="229142EC" w:rsidR="00C07393" w:rsidRDefault="00C07393" w:rsidP="4A7DC6F7">
      <w:pPr>
        <w:pStyle w:val="Nadpis4"/>
        <w:numPr>
          <w:ilvl w:val="0"/>
          <w:numId w:val="6"/>
        </w:numPr>
        <w:ind w:left="567" w:hanging="425"/>
        <w:rPr>
          <w:noProof/>
        </w:rPr>
      </w:pPr>
      <w:r w:rsidRPr="4A7DC6F7">
        <w:rPr>
          <w:noProof/>
        </w:rPr>
        <w:t>Compliance</w:t>
      </w:r>
    </w:p>
    <w:p w14:paraId="26EC17D3" w14:textId="77777777" w:rsidR="00C07393" w:rsidRDefault="00C07393" w:rsidP="00C07393">
      <w:pPr>
        <w:pStyle w:val="11odst"/>
        <w:numPr>
          <w:ilvl w:val="1"/>
          <w:numId w:val="6"/>
        </w:numPr>
        <w:ind w:left="567" w:hanging="567"/>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4A5ABA9D" w14:textId="2A8C66C3" w:rsidR="00C07393" w:rsidRDefault="00C07393" w:rsidP="00C07393">
      <w:pPr>
        <w:pStyle w:val="11odst"/>
        <w:numPr>
          <w:ilvl w:val="1"/>
          <w:numId w:val="6"/>
        </w:numPr>
        <w:ind w:left="567" w:hanging="567"/>
      </w:pPr>
      <w:r>
        <w:t xml:space="preserve">Správa železnic, státní organizace, má výše uvedené dokumenty k dispozici na webových stránkách: </w:t>
      </w:r>
      <w:hyperlink r:id="rId11" w:history="1">
        <w:r w:rsidRPr="4A7DC6F7">
          <w:rPr>
            <w:rStyle w:val="Hypertextovodkaz"/>
          </w:rPr>
          <w:t>https://www.spravazeleznic.cz/o-nas/nezadouci-jednani-a-boj-s-korupci</w:t>
        </w:r>
      </w:hyperlink>
      <w:r>
        <w:t>.</w:t>
      </w:r>
    </w:p>
    <w:p w14:paraId="39C111F4" w14:textId="6049B488" w:rsidR="00C07393" w:rsidRPr="00E406BB" w:rsidRDefault="00C07393" w:rsidP="00BC03FD">
      <w:pPr>
        <w:pStyle w:val="Clanek11"/>
      </w:pPr>
      <w:bookmarkStart w:id="40" w:name="_Ref179268469"/>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bod </w:t>
      </w:r>
      <w:r w:rsidRPr="4A7DC6F7">
        <w:rPr>
          <w:highlight w:val="green"/>
        </w:rPr>
        <w:fldChar w:fldCharType="begin"/>
      </w:r>
      <w:r w:rsidRPr="4A7DC6F7">
        <w:rPr>
          <w:highlight w:val="green"/>
        </w:rPr>
        <w:instrText xml:space="preserve"> REF _Ref179268469 \r \h </w:instrText>
      </w:r>
      <w:r w:rsidRPr="4A7DC6F7">
        <w:rPr>
          <w:highlight w:val="green"/>
        </w:rPr>
      </w:r>
      <w:r w:rsidRPr="4A7DC6F7">
        <w:rPr>
          <w:highlight w:val="green"/>
        </w:rPr>
        <w:fldChar w:fldCharType="separate"/>
      </w:r>
      <w:r w:rsidR="00BC03FD">
        <w:rPr>
          <w:highlight w:val="green"/>
        </w:rPr>
        <w:t>14.3</w:t>
      </w:r>
      <w:r w:rsidRPr="4A7DC6F7">
        <w:rPr>
          <w:highlight w:val="green"/>
        </w:rPr>
        <w:fldChar w:fldCharType="end"/>
      </w:r>
      <w:r w:rsidRPr="00BD4E80">
        <w:rPr>
          <w:highlight w:val="green"/>
        </w:rPr>
        <w:t xml:space="preserve"> odstraní]</w:t>
      </w:r>
      <w:r>
        <w:t>.</w:t>
      </w:r>
      <w:bookmarkEnd w:id="40"/>
    </w:p>
    <w:p w14:paraId="2A9EF4EA" w14:textId="6A3CD864" w:rsidR="00C6288E" w:rsidRPr="00177AF7" w:rsidRDefault="00C6288E" w:rsidP="004878A6">
      <w:pPr>
        <w:pStyle w:val="Nadpis4"/>
        <w:numPr>
          <w:ilvl w:val="0"/>
          <w:numId w:val="6"/>
        </w:numPr>
        <w:ind w:left="567" w:hanging="425"/>
        <w:rPr>
          <w:noProof/>
        </w:rPr>
      </w:pPr>
      <w:r w:rsidRPr="00177AF7">
        <w:rPr>
          <w:noProof/>
        </w:rPr>
        <w:t>Závěrečná ustanovaní</w:t>
      </w:r>
    </w:p>
    <w:p w14:paraId="1AC8E938" w14:textId="77777777" w:rsidR="003574DA" w:rsidRPr="003574DA" w:rsidRDefault="003574DA" w:rsidP="00BC03FD">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BC03FD">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BC03FD">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BC03FD">
      <w:pPr>
        <w:pStyle w:val="Clanek11"/>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3574DA">
        <w:lastRenderedPageBreak/>
        <w:t>Objednateli skutečnost, že takto označené informace přestaly naplňovat znaky obchodního tajemství.</w:t>
      </w:r>
    </w:p>
    <w:p w14:paraId="401A0BFF" w14:textId="3938C002" w:rsidR="003574DA" w:rsidRDefault="003574DA" w:rsidP="00BC03FD">
      <w:pPr>
        <w:pStyle w:val="Clanek11"/>
      </w:pPr>
      <w:r>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BC03FD">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BC03FD">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BC03FD">
      <w:pPr>
        <w:pStyle w:val="Clanek11"/>
      </w:pPr>
      <w:r>
        <w:t>Tuto Smlouvu lze měnit pouze písemnými dodatky.</w:t>
      </w:r>
    </w:p>
    <w:p w14:paraId="42D255EB" w14:textId="77777777" w:rsidR="003574DA" w:rsidRPr="003574DA" w:rsidRDefault="003574DA" w:rsidP="00BC03FD">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BC03FD">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BC03FD">
      <w:pPr>
        <w:pStyle w:val="Clanek11"/>
      </w:pPr>
      <w:r w:rsidRPr="003574DA">
        <w:t>Nedílnou součástí této Smlouvy jsou její přílohy:</w:t>
      </w:r>
    </w:p>
    <w:p w14:paraId="7E125A00" w14:textId="00AD8A6F" w:rsidR="00C6288E" w:rsidRPr="0047784F" w:rsidRDefault="00C6288E" w:rsidP="4A7DC6F7">
      <w:pPr>
        <w:spacing w:after="0" w:line="276" w:lineRule="auto"/>
        <w:rPr>
          <w:rFonts w:asciiTheme="majorHAnsi" w:hAnsiTheme="majorHAnsi"/>
        </w:rPr>
      </w:pPr>
      <w:r w:rsidRPr="4A7DC6F7">
        <w:rPr>
          <w:rFonts w:asciiTheme="majorHAnsi" w:hAnsiTheme="majorHAnsi"/>
        </w:rPr>
        <w:t xml:space="preserve">Příloha č. </w:t>
      </w:r>
      <w:r w:rsidR="0047784F" w:rsidRPr="4A7DC6F7">
        <w:rPr>
          <w:rFonts w:asciiTheme="majorHAnsi" w:hAnsiTheme="majorHAnsi"/>
        </w:rPr>
        <w:t>1</w:t>
      </w:r>
      <w:r w:rsidRPr="4A7DC6F7">
        <w:rPr>
          <w:rFonts w:asciiTheme="majorHAnsi" w:hAnsiTheme="majorHAnsi"/>
        </w:rPr>
        <w:t xml:space="preserve"> – Specifikace Plnění</w:t>
      </w:r>
    </w:p>
    <w:p w14:paraId="27081FE3" w14:textId="6972C93A" w:rsidR="00A1211D" w:rsidRPr="0047784F" w:rsidRDefault="00A1211D" w:rsidP="004878A6">
      <w:pPr>
        <w:spacing w:after="0" w:line="276" w:lineRule="auto"/>
        <w:rPr>
          <w:rFonts w:asciiTheme="majorHAnsi" w:hAnsiTheme="majorHAnsi"/>
        </w:rPr>
      </w:pPr>
      <w:r w:rsidRPr="0047784F">
        <w:rPr>
          <w:rFonts w:asciiTheme="majorHAnsi" w:hAnsiTheme="majorHAnsi"/>
        </w:rPr>
        <w:t xml:space="preserve">Příloha </w:t>
      </w:r>
      <w:r w:rsidRPr="0047784F" w:rsidDel="00DE7424">
        <w:rPr>
          <w:rFonts w:asciiTheme="majorHAnsi" w:hAnsiTheme="majorHAnsi"/>
        </w:rPr>
        <w:t xml:space="preserve">č. </w:t>
      </w:r>
      <w:r w:rsidR="0047784F" w:rsidRPr="0047784F">
        <w:rPr>
          <w:rFonts w:asciiTheme="majorHAnsi" w:hAnsiTheme="majorHAnsi"/>
        </w:rPr>
        <w:t>2</w:t>
      </w:r>
      <w:r w:rsidRPr="0047784F">
        <w:rPr>
          <w:rFonts w:asciiTheme="majorHAnsi" w:hAnsiTheme="majorHAnsi"/>
        </w:rPr>
        <w:t xml:space="preserve"> –</w:t>
      </w:r>
      <w:r w:rsidRPr="0047784F" w:rsidDel="00DE7424">
        <w:rPr>
          <w:rFonts w:asciiTheme="majorHAnsi" w:hAnsiTheme="majorHAnsi"/>
        </w:rPr>
        <w:t xml:space="preserve"> </w:t>
      </w:r>
      <w:r w:rsidR="00E60107" w:rsidRPr="0047784F">
        <w:rPr>
          <w:rFonts w:asciiTheme="majorHAnsi" w:hAnsiTheme="majorHAnsi"/>
        </w:rPr>
        <w:t>Harmonogram</w:t>
      </w:r>
    </w:p>
    <w:p w14:paraId="2113BE45" w14:textId="26808E25"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3</w:t>
      </w:r>
      <w:r w:rsidRPr="0047784F">
        <w:rPr>
          <w:rFonts w:asciiTheme="majorHAnsi" w:hAnsiTheme="majorHAnsi"/>
        </w:rPr>
        <w:t xml:space="preserve"> – Cena </w:t>
      </w:r>
      <w:r w:rsidR="00697A73" w:rsidRPr="0047784F">
        <w:rPr>
          <w:rFonts w:asciiTheme="majorHAnsi" w:hAnsiTheme="majorHAnsi"/>
        </w:rPr>
        <w:t>P</w:t>
      </w:r>
      <w:r w:rsidRPr="0047784F">
        <w:rPr>
          <w:rFonts w:asciiTheme="majorHAnsi" w:hAnsiTheme="majorHAnsi"/>
        </w:rPr>
        <w:t>lnění</w:t>
      </w:r>
    </w:p>
    <w:p w14:paraId="0D7711BF" w14:textId="3F9B6113"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4</w:t>
      </w:r>
      <w:r w:rsidRPr="0047784F">
        <w:rPr>
          <w:rFonts w:asciiTheme="majorHAnsi" w:hAnsiTheme="majorHAnsi"/>
        </w:rPr>
        <w:t xml:space="preserve"> – Platforma S</w:t>
      </w:r>
      <w:r w:rsidR="00D93D54" w:rsidRPr="0047784F">
        <w:rPr>
          <w:rFonts w:asciiTheme="majorHAnsi" w:hAnsiTheme="majorHAnsi"/>
        </w:rPr>
        <w:t>právy železnic</w:t>
      </w:r>
    </w:p>
    <w:p w14:paraId="6AA7B06B" w14:textId="47D18121" w:rsidR="007C4CD7"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5</w:t>
      </w:r>
      <w:r w:rsidR="007C4CD7" w:rsidRPr="0047784F">
        <w:rPr>
          <w:rFonts w:asciiTheme="majorHAnsi" w:hAnsiTheme="majorHAnsi"/>
        </w:rPr>
        <w:t xml:space="preserve"> – Poddodavatelé</w:t>
      </w:r>
    </w:p>
    <w:p w14:paraId="7C494195" w14:textId="65ED82C0" w:rsidR="000648CB"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6</w:t>
      </w:r>
      <w:r w:rsidR="000648CB" w:rsidRPr="0047784F">
        <w:rPr>
          <w:rFonts w:asciiTheme="majorHAnsi" w:hAnsiTheme="majorHAnsi"/>
        </w:rPr>
        <w:t xml:space="preserve"> – Zvláštní obchodní podmínky</w:t>
      </w:r>
    </w:p>
    <w:p w14:paraId="79C3298E" w14:textId="2D031B33" w:rsidR="00C6288E"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BE6A7D">
        <w:rPr>
          <w:rFonts w:asciiTheme="majorHAnsi" w:hAnsiTheme="majorHAnsi"/>
        </w:rPr>
        <w:t>7</w:t>
      </w:r>
      <w:r w:rsidR="00A1211D" w:rsidRPr="0047784F">
        <w:rPr>
          <w:rFonts w:asciiTheme="majorHAnsi" w:hAnsiTheme="majorHAnsi"/>
        </w:rPr>
        <w:t xml:space="preserve"> </w:t>
      </w:r>
      <w:r w:rsidRPr="0047784F">
        <w:rPr>
          <w:rFonts w:asciiTheme="majorHAnsi" w:hAnsiTheme="majorHAnsi"/>
        </w:rPr>
        <w:t>– Realizační tým</w:t>
      </w:r>
    </w:p>
    <w:p w14:paraId="6B374CD7" w14:textId="19136A4D" w:rsidR="00307BDB" w:rsidRPr="0047784F" w:rsidRDefault="00307BDB" w:rsidP="004878A6">
      <w:pPr>
        <w:spacing w:after="0" w:line="276" w:lineRule="auto"/>
        <w:rPr>
          <w:rFonts w:asciiTheme="majorHAnsi" w:hAnsiTheme="majorHAnsi"/>
        </w:rPr>
      </w:pPr>
      <w:r>
        <w:rPr>
          <w:rFonts w:asciiTheme="majorHAnsi" w:hAnsiTheme="majorHAnsi"/>
        </w:rPr>
        <w:t xml:space="preserve">Příloha č. 8 – Obchodní podmínky ke smlouvě o </w:t>
      </w:r>
      <w:r w:rsidR="001E7D81">
        <w:rPr>
          <w:rFonts w:asciiTheme="majorHAnsi" w:hAnsiTheme="majorHAnsi"/>
        </w:rPr>
        <w:t>dílo</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2D4EF281"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231B294A" w:rsidR="003574DA" w:rsidRDefault="0047784F" w:rsidP="003574DA">
      <w:pPr>
        <w:spacing w:after="0" w:line="276" w:lineRule="auto"/>
        <w:rPr>
          <w:rFonts w:asciiTheme="majorHAnsi" w:hAnsiTheme="majorHAnsi" w:cs="Times New Roman"/>
          <w:color w:val="000000" w:themeColor="text1"/>
        </w:rPr>
      </w:pPr>
      <w:r w:rsidRPr="0047784F">
        <w:rPr>
          <w:rFonts w:asciiTheme="majorHAnsi" w:hAnsiTheme="majorHAnsi" w:cs="Times New Roman"/>
          <w:b/>
          <w:bCs/>
          <w:color w:val="000000" w:themeColor="text1"/>
        </w:rPr>
        <w:t>Bc. Jiří Svoboda, MBA</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640BB520" w14:textId="433D9A22" w:rsidR="0047784F" w:rsidRPr="000E5CAE" w:rsidRDefault="0047784F" w:rsidP="003574DA">
      <w:pPr>
        <w:spacing w:after="0" w:line="276" w:lineRule="auto"/>
        <w:rPr>
          <w:rFonts w:asciiTheme="majorHAnsi" w:hAnsiTheme="majorHAnsi"/>
        </w:rPr>
      </w:pPr>
      <w:r>
        <w:rPr>
          <w:rFonts w:asciiTheme="majorHAnsi" w:hAnsiTheme="majorHAnsi" w:cs="Times New Roman"/>
          <w:color w:val="000000" w:themeColor="text1"/>
        </w:rPr>
        <w:t>generální ředitel</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41" w:name="_Hlk29049208"/>
      <w:bookmarkEnd w:id="41"/>
    </w:p>
    <w:sectPr w:rsidR="00674C8A" w:rsidRPr="00A406DC"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F3B1E" w14:textId="77777777" w:rsidR="00B3150F" w:rsidRDefault="00B3150F" w:rsidP="00962258">
      <w:pPr>
        <w:spacing w:after="0" w:line="240" w:lineRule="auto"/>
      </w:pPr>
      <w:r>
        <w:separator/>
      </w:r>
    </w:p>
  </w:endnote>
  <w:endnote w:type="continuationSeparator" w:id="0">
    <w:p w14:paraId="411A2F04" w14:textId="77777777" w:rsidR="00B3150F" w:rsidRDefault="00B3150F" w:rsidP="00962258">
      <w:pPr>
        <w:spacing w:after="0" w:line="240" w:lineRule="auto"/>
      </w:pPr>
      <w:r>
        <w:continuationSeparator/>
      </w:r>
    </w:p>
  </w:endnote>
  <w:endnote w:type="continuationNotice" w:id="1">
    <w:p w14:paraId="071D945D" w14:textId="77777777" w:rsidR="00687ED2" w:rsidRDefault="00687E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930377">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7B5A1712"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645402ED">
            <v:line id="Straight Connector 3"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3112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5A1EBF8C">
            <v:line id="Straight Connector 2"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50CC55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AF52DDD"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63660831">
            <v:line id="Straight Connector 7"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94C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4EA59FAB">
            <v:line id="Straight Connector 10"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EBF6B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64877" w14:textId="77777777" w:rsidR="00B3150F" w:rsidRDefault="00B3150F" w:rsidP="00962258">
      <w:pPr>
        <w:spacing w:after="0" w:line="240" w:lineRule="auto"/>
      </w:pPr>
      <w:r>
        <w:separator/>
      </w:r>
    </w:p>
  </w:footnote>
  <w:footnote w:type="continuationSeparator" w:id="0">
    <w:p w14:paraId="1C2DD927" w14:textId="77777777" w:rsidR="00B3150F" w:rsidRDefault="00B3150F" w:rsidP="00962258">
      <w:pPr>
        <w:spacing w:after="0" w:line="240" w:lineRule="auto"/>
      </w:pPr>
      <w:r>
        <w:continuationSeparator/>
      </w:r>
    </w:p>
  </w:footnote>
  <w:footnote w:type="continuationNotice" w:id="1">
    <w:p w14:paraId="099EB599" w14:textId="77777777" w:rsidR="00687ED2" w:rsidRDefault="00687E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4BA46C53" w:rsidR="009C5AB2" w:rsidRDefault="004F0D09" w:rsidP="004F0D09">
    <w:pPr>
      <w:pStyle w:val="Zhlav"/>
      <w:ind w:left="-1134"/>
      <w:jc w:val="right"/>
      <w:rPr>
        <w:sz w:val="2"/>
        <w:szCs w:val="2"/>
      </w:rPr>
    </w:pPr>
    <w:r>
      <w:rPr>
        <w:noProof/>
        <w:lang w:eastAsia="cs-CZ"/>
      </w:rPr>
      <w:drawing>
        <wp:anchor distT="0" distB="0" distL="114300" distR="114300" simplePos="0" relativeHeight="251660292" behindDoc="0" locked="1" layoutInCell="1" allowOverlap="1" wp14:anchorId="7DDC8C3F" wp14:editId="10FD3830">
          <wp:simplePos x="0" y="0"/>
          <wp:positionH relativeFrom="page">
            <wp:posOffset>1260475</wp:posOffset>
          </wp:positionH>
          <wp:positionV relativeFrom="page">
            <wp:posOffset>547370</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2C5BEE75" wp14:editId="5B9B4EE0">
          <wp:extent cx="1572895" cy="890270"/>
          <wp:effectExtent l="0" t="0" r="825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A42452"/>
    <w:multiLevelType w:val="hybridMultilevel"/>
    <w:tmpl w:val="3C3C3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4" w15:restartNumberingAfterBreak="0">
    <w:nsid w:val="38B64F42"/>
    <w:multiLevelType w:val="multilevel"/>
    <w:tmpl w:val="29A2A89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BC109F7"/>
    <w:multiLevelType w:val="multilevel"/>
    <w:tmpl w:val="3F4E207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822" w:hanging="680"/>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559797E"/>
    <w:multiLevelType w:val="hybridMultilevel"/>
    <w:tmpl w:val="70340CD0"/>
    <w:lvl w:ilvl="0" w:tplc="E46E022C">
      <w:start w:val="1"/>
      <w:numFmt w:val="upperLetter"/>
      <w:lvlText w:val="%1)"/>
      <w:lvlJc w:val="left"/>
      <w:pPr>
        <w:ind w:left="1152" w:hanging="360"/>
      </w:pPr>
    </w:lvl>
    <w:lvl w:ilvl="1" w:tplc="B2D4DDE2">
      <w:start w:val="1"/>
      <w:numFmt w:val="lowerLetter"/>
      <w:lvlText w:val="%2."/>
      <w:lvlJc w:val="left"/>
      <w:pPr>
        <w:ind w:left="1872" w:hanging="360"/>
      </w:pPr>
    </w:lvl>
    <w:lvl w:ilvl="2" w:tplc="B69CFCD6">
      <w:start w:val="1"/>
      <w:numFmt w:val="lowerRoman"/>
      <w:lvlText w:val="%3."/>
      <w:lvlJc w:val="right"/>
      <w:pPr>
        <w:ind w:left="2592" w:hanging="180"/>
      </w:pPr>
    </w:lvl>
    <w:lvl w:ilvl="3" w:tplc="266A1A5C">
      <w:start w:val="1"/>
      <w:numFmt w:val="decimal"/>
      <w:lvlText w:val="%4."/>
      <w:lvlJc w:val="left"/>
      <w:pPr>
        <w:ind w:left="3312" w:hanging="360"/>
      </w:pPr>
    </w:lvl>
    <w:lvl w:ilvl="4" w:tplc="9A2AA97C">
      <w:start w:val="1"/>
      <w:numFmt w:val="lowerLetter"/>
      <w:lvlText w:val="%5."/>
      <w:lvlJc w:val="left"/>
      <w:pPr>
        <w:ind w:left="4032" w:hanging="360"/>
      </w:pPr>
    </w:lvl>
    <w:lvl w:ilvl="5" w:tplc="9AFAFFE4">
      <w:start w:val="1"/>
      <w:numFmt w:val="lowerRoman"/>
      <w:lvlText w:val="%6."/>
      <w:lvlJc w:val="right"/>
      <w:pPr>
        <w:ind w:left="4752" w:hanging="180"/>
      </w:pPr>
    </w:lvl>
    <w:lvl w:ilvl="6" w:tplc="7A908710">
      <w:start w:val="1"/>
      <w:numFmt w:val="decimal"/>
      <w:lvlText w:val="%7."/>
      <w:lvlJc w:val="left"/>
      <w:pPr>
        <w:ind w:left="5472" w:hanging="360"/>
      </w:pPr>
    </w:lvl>
    <w:lvl w:ilvl="7" w:tplc="FB5453FA">
      <w:start w:val="1"/>
      <w:numFmt w:val="lowerLetter"/>
      <w:lvlText w:val="%8."/>
      <w:lvlJc w:val="left"/>
      <w:pPr>
        <w:ind w:left="6192" w:hanging="360"/>
      </w:pPr>
    </w:lvl>
    <w:lvl w:ilvl="8" w:tplc="16B8086C">
      <w:start w:val="1"/>
      <w:numFmt w:val="lowerRoman"/>
      <w:lvlText w:val="%9."/>
      <w:lvlJc w:val="right"/>
      <w:pPr>
        <w:ind w:left="6912" w:hanging="180"/>
      </w:p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185411209">
    <w:abstractNumId w:val="18"/>
  </w:num>
  <w:num w:numId="2" w16cid:durableId="969942209">
    <w:abstractNumId w:val="5"/>
  </w:num>
  <w:num w:numId="3" w16cid:durableId="195778183">
    <w:abstractNumId w:val="2"/>
  </w:num>
  <w:num w:numId="4" w16cid:durableId="154493552">
    <w:abstractNumId w:val="8"/>
  </w:num>
  <w:num w:numId="5" w16cid:durableId="355205309">
    <w:abstractNumId w:val="22"/>
  </w:num>
  <w:num w:numId="6" w16cid:durableId="1302273785">
    <w:abstractNumId w:val="14"/>
  </w:num>
  <w:num w:numId="7" w16cid:durableId="954559372">
    <w:abstractNumId w:val="19"/>
  </w:num>
  <w:num w:numId="8" w16cid:durableId="1338077843">
    <w:abstractNumId w:val="0"/>
  </w:num>
  <w:num w:numId="9" w16cid:durableId="902373675">
    <w:abstractNumId w:val="10"/>
  </w:num>
  <w:num w:numId="10" w16cid:durableId="984161303">
    <w:abstractNumId w:val="20"/>
  </w:num>
  <w:num w:numId="11" w16cid:durableId="30034999">
    <w:abstractNumId w:val="9"/>
  </w:num>
  <w:num w:numId="12" w16cid:durableId="2077169157">
    <w:abstractNumId w:val="17"/>
  </w:num>
  <w:num w:numId="13" w16cid:durableId="38630298">
    <w:abstractNumId w:val="13"/>
  </w:num>
  <w:num w:numId="14" w16cid:durableId="1893694999">
    <w:abstractNumId w:val="12"/>
  </w:num>
  <w:num w:numId="15" w16cid:durableId="2022776702">
    <w:abstractNumId w:val="6"/>
  </w:num>
  <w:num w:numId="16" w16cid:durableId="14290373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9895306">
    <w:abstractNumId w:val="1"/>
  </w:num>
  <w:num w:numId="18" w16cid:durableId="711416465">
    <w:abstractNumId w:val="15"/>
  </w:num>
  <w:num w:numId="19" w16cid:durableId="1850832514">
    <w:abstractNumId w:val="11"/>
  </w:num>
  <w:num w:numId="20" w16cid:durableId="289285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0530005">
    <w:abstractNumId w:val="14"/>
  </w:num>
  <w:num w:numId="22" w16cid:durableId="52118334">
    <w:abstractNumId w:val="14"/>
  </w:num>
  <w:num w:numId="23" w16cid:durableId="1478916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1669942">
    <w:abstractNumId w:val="4"/>
  </w:num>
  <w:num w:numId="25" w16cid:durableId="1792280449">
    <w:abstractNumId w:val="14"/>
  </w:num>
  <w:num w:numId="26" w16cid:durableId="2103640669">
    <w:abstractNumId w:val="14"/>
  </w:num>
  <w:num w:numId="27" w16cid:durableId="1538348312">
    <w:abstractNumId w:val="14"/>
  </w:num>
  <w:num w:numId="28" w16cid:durableId="328405121">
    <w:abstractNumId w:val="14"/>
  </w:num>
  <w:num w:numId="29" w16cid:durableId="1374189707">
    <w:abstractNumId w:val="14"/>
  </w:num>
  <w:num w:numId="30" w16cid:durableId="2006274199">
    <w:abstractNumId w:val="14"/>
  </w:num>
  <w:num w:numId="31" w16cid:durableId="449514240">
    <w:abstractNumId w:val="14"/>
  </w:num>
  <w:num w:numId="32" w16cid:durableId="1134449966">
    <w:abstractNumId w:val="14"/>
  </w:num>
  <w:num w:numId="33" w16cid:durableId="1115564652">
    <w:abstractNumId w:val="14"/>
  </w:num>
  <w:num w:numId="34" w16cid:durableId="1930382250">
    <w:abstractNumId w:val="14"/>
  </w:num>
  <w:num w:numId="35" w16cid:durableId="1106120611">
    <w:abstractNumId w:val="14"/>
  </w:num>
  <w:num w:numId="36" w16cid:durableId="595018707">
    <w:abstractNumId w:val="14"/>
  </w:num>
  <w:num w:numId="37" w16cid:durableId="272057667">
    <w:abstractNumId w:val="16"/>
  </w:num>
  <w:num w:numId="38" w16cid:durableId="1055273954">
    <w:abstractNumId w:val="23"/>
  </w:num>
  <w:num w:numId="39" w16cid:durableId="1297220448">
    <w:abstractNumId w:val="14"/>
  </w:num>
  <w:num w:numId="40" w16cid:durableId="860359061">
    <w:abstractNumId w:val="14"/>
  </w:num>
  <w:num w:numId="41" w16cid:durableId="1120539127">
    <w:abstractNumId w:val="14"/>
  </w:num>
  <w:num w:numId="42" w16cid:durableId="1197041034">
    <w:abstractNumId w:val="3"/>
  </w:num>
  <w:num w:numId="43" w16cid:durableId="2071075430">
    <w:abstractNumId w:val="14"/>
  </w:num>
  <w:num w:numId="44" w16cid:durableId="116558909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249C4"/>
    <w:rsid w:val="000261A8"/>
    <w:rsid w:val="000271F9"/>
    <w:rsid w:val="0003186D"/>
    <w:rsid w:val="000345F8"/>
    <w:rsid w:val="00034D4F"/>
    <w:rsid w:val="000359CC"/>
    <w:rsid w:val="00043B35"/>
    <w:rsid w:val="00047260"/>
    <w:rsid w:val="000562B0"/>
    <w:rsid w:val="00060241"/>
    <w:rsid w:val="00060914"/>
    <w:rsid w:val="000648CB"/>
    <w:rsid w:val="00072C1E"/>
    <w:rsid w:val="0007414E"/>
    <w:rsid w:val="00075972"/>
    <w:rsid w:val="0007761E"/>
    <w:rsid w:val="00086EC7"/>
    <w:rsid w:val="00097F37"/>
    <w:rsid w:val="000A02B6"/>
    <w:rsid w:val="000A1BD4"/>
    <w:rsid w:val="000A5E17"/>
    <w:rsid w:val="000B1CCA"/>
    <w:rsid w:val="000B4381"/>
    <w:rsid w:val="000C11DA"/>
    <w:rsid w:val="000C5D65"/>
    <w:rsid w:val="000D38BA"/>
    <w:rsid w:val="000D3ADE"/>
    <w:rsid w:val="000D41EF"/>
    <w:rsid w:val="000D6E2A"/>
    <w:rsid w:val="000E23A7"/>
    <w:rsid w:val="000E2E68"/>
    <w:rsid w:val="000F4412"/>
    <w:rsid w:val="0010693F"/>
    <w:rsid w:val="00114472"/>
    <w:rsid w:val="001254B6"/>
    <w:rsid w:val="001371EA"/>
    <w:rsid w:val="00142628"/>
    <w:rsid w:val="00144094"/>
    <w:rsid w:val="0014565C"/>
    <w:rsid w:val="00153B54"/>
    <w:rsid w:val="001550BC"/>
    <w:rsid w:val="001605B9"/>
    <w:rsid w:val="001659E9"/>
    <w:rsid w:val="00170EC5"/>
    <w:rsid w:val="00172EEF"/>
    <w:rsid w:val="001747C1"/>
    <w:rsid w:val="00175A09"/>
    <w:rsid w:val="00177AF7"/>
    <w:rsid w:val="00184743"/>
    <w:rsid w:val="001975F5"/>
    <w:rsid w:val="001B21CB"/>
    <w:rsid w:val="001B7F48"/>
    <w:rsid w:val="001D124E"/>
    <w:rsid w:val="001D3E16"/>
    <w:rsid w:val="001D500E"/>
    <w:rsid w:val="001E7681"/>
    <w:rsid w:val="001E7D81"/>
    <w:rsid w:val="001F0FAC"/>
    <w:rsid w:val="001F34A2"/>
    <w:rsid w:val="001F763F"/>
    <w:rsid w:val="001F7F7E"/>
    <w:rsid w:val="0020372C"/>
    <w:rsid w:val="00206D6B"/>
    <w:rsid w:val="00207DF5"/>
    <w:rsid w:val="002255DD"/>
    <w:rsid w:val="00252F2B"/>
    <w:rsid w:val="0025345D"/>
    <w:rsid w:val="0025503B"/>
    <w:rsid w:val="00274597"/>
    <w:rsid w:val="00280E07"/>
    <w:rsid w:val="00281ADE"/>
    <w:rsid w:val="00281E75"/>
    <w:rsid w:val="00282724"/>
    <w:rsid w:val="00287B70"/>
    <w:rsid w:val="00291202"/>
    <w:rsid w:val="00291B07"/>
    <w:rsid w:val="00296FBB"/>
    <w:rsid w:val="002A38C6"/>
    <w:rsid w:val="002A6692"/>
    <w:rsid w:val="002B0B85"/>
    <w:rsid w:val="002B3673"/>
    <w:rsid w:val="002B3E61"/>
    <w:rsid w:val="002B72B2"/>
    <w:rsid w:val="002C1378"/>
    <w:rsid w:val="002C20B2"/>
    <w:rsid w:val="002C31BF"/>
    <w:rsid w:val="002D08B1"/>
    <w:rsid w:val="002D39F9"/>
    <w:rsid w:val="002D5F2B"/>
    <w:rsid w:val="002E0CD7"/>
    <w:rsid w:val="002E6AC5"/>
    <w:rsid w:val="002F04A7"/>
    <w:rsid w:val="002F08A4"/>
    <w:rsid w:val="002F3A9E"/>
    <w:rsid w:val="002F663F"/>
    <w:rsid w:val="00302C61"/>
    <w:rsid w:val="00307708"/>
    <w:rsid w:val="00307BDB"/>
    <w:rsid w:val="00315EE3"/>
    <w:rsid w:val="003262F5"/>
    <w:rsid w:val="0033269E"/>
    <w:rsid w:val="00333B86"/>
    <w:rsid w:val="00333EB3"/>
    <w:rsid w:val="00334579"/>
    <w:rsid w:val="0034033F"/>
    <w:rsid w:val="00341DCF"/>
    <w:rsid w:val="0034215A"/>
    <w:rsid w:val="0034498F"/>
    <w:rsid w:val="003457A4"/>
    <w:rsid w:val="003574DA"/>
    <w:rsid w:val="00357BC6"/>
    <w:rsid w:val="003601D4"/>
    <w:rsid w:val="00362E35"/>
    <w:rsid w:val="003656E8"/>
    <w:rsid w:val="003703A2"/>
    <w:rsid w:val="00382D2B"/>
    <w:rsid w:val="003909C0"/>
    <w:rsid w:val="00394FAC"/>
    <w:rsid w:val="003956C6"/>
    <w:rsid w:val="003C5769"/>
    <w:rsid w:val="003D3819"/>
    <w:rsid w:val="003D395E"/>
    <w:rsid w:val="003F300A"/>
    <w:rsid w:val="003F7A33"/>
    <w:rsid w:val="004227CC"/>
    <w:rsid w:val="00425499"/>
    <w:rsid w:val="00433C4F"/>
    <w:rsid w:val="00440423"/>
    <w:rsid w:val="00441430"/>
    <w:rsid w:val="00445CFA"/>
    <w:rsid w:val="00450F07"/>
    <w:rsid w:val="00453CD3"/>
    <w:rsid w:val="0045440D"/>
    <w:rsid w:val="004579CE"/>
    <w:rsid w:val="00460660"/>
    <w:rsid w:val="00464CC8"/>
    <w:rsid w:val="00465134"/>
    <w:rsid w:val="00474A4E"/>
    <w:rsid w:val="0047784F"/>
    <w:rsid w:val="00484A1F"/>
    <w:rsid w:val="00486107"/>
    <w:rsid w:val="004878A6"/>
    <w:rsid w:val="00491827"/>
    <w:rsid w:val="00491FA6"/>
    <w:rsid w:val="00494C7E"/>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0D09"/>
    <w:rsid w:val="004F4B9B"/>
    <w:rsid w:val="0051066F"/>
    <w:rsid w:val="00511AB9"/>
    <w:rsid w:val="00514378"/>
    <w:rsid w:val="00516247"/>
    <w:rsid w:val="0051671B"/>
    <w:rsid w:val="005202F2"/>
    <w:rsid w:val="005205DD"/>
    <w:rsid w:val="00523EA7"/>
    <w:rsid w:val="0053123F"/>
    <w:rsid w:val="00553375"/>
    <w:rsid w:val="0055606A"/>
    <w:rsid w:val="0055760A"/>
    <w:rsid w:val="00567BCB"/>
    <w:rsid w:val="00570DF5"/>
    <w:rsid w:val="005736B7"/>
    <w:rsid w:val="00575E5A"/>
    <w:rsid w:val="005827E3"/>
    <w:rsid w:val="0059384C"/>
    <w:rsid w:val="00595F71"/>
    <w:rsid w:val="005A3662"/>
    <w:rsid w:val="005C00C8"/>
    <w:rsid w:val="005E0CC9"/>
    <w:rsid w:val="005E16D9"/>
    <w:rsid w:val="005E2084"/>
    <w:rsid w:val="005E5512"/>
    <w:rsid w:val="005F1404"/>
    <w:rsid w:val="005F339B"/>
    <w:rsid w:val="0061068E"/>
    <w:rsid w:val="00614C7A"/>
    <w:rsid w:val="00615789"/>
    <w:rsid w:val="00617F63"/>
    <w:rsid w:val="00624971"/>
    <w:rsid w:val="0063111E"/>
    <w:rsid w:val="00631373"/>
    <w:rsid w:val="0063371F"/>
    <w:rsid w:val="006413B7"/>
    <w:rsid w:val="0064774B"/>
    <w:rsid w:val="00660AD3"/>
    <w:rsid w:val="00674C8A"/>
    <w:rsid w:val="00675279"/>
    <w:rsid w:val="00677B7F"/>
    <w:rsid w:val="00677FEA"/>
    <w:rsid w:val="006862DF"/>
    <w:rsid w:val="00687ED2"/>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2303D"/>
    <w:rsid w:val="00723ED1"/>
    <w:rsid w:val="00743525"/>
    <w:rsid w:val="00745D74"/>
    <w:rsid w:val="00747B4E"/>
    <w:rsid w:val="007569F7"/>
    <w:rsid w:val="0076286B"/>
    <w:rsid w:val="00766846"/>
    <w:rsid w:val="0077363D"/>
    <w:rsid w:val="0077673A"/>
    <w:rsid w:val="00781522"/>
    <w:rsid w:val="0078218D"/>
    <w:rsid w:val="007846E1"/>
    <w:rsid w:val="00790E0A"/>
    <w:rsid w:val="007A3A05"/>
    <w:rsid w:val="007A5026"/>
    <w:rsid w:val="007B570C"/>
    <w:rsid w:val="007C4CD7"/>
    <w:rsid w:val="007C589B"/>
    <w:rsid w:val="007C5C98"/>
    <w:rsid w:val="007C5D3A"/>
    <w:rsid w:val="007E4A6E"/>
    <w:rsid w:val="007E4F7E"/>
    <w:rsid w:val="007F56A7"/>
    <w:rsid w:val="007F586E"/>
    <w:rsid w:val="008053D0"/>
    <w:rsid w:val="00807DD0"/>
    <w:rsid w:val="0081569A"/>
    <w:rsid w:val="00817F90"/>
    <w:rsid w:val="00841FDD"/>
    <w:rsid w:val="00855B02"/>
    <w:rsid w:val="00857B7F"/>
    <w:rsid w:val="00860FB6"/>
    <w:rsid w:val="008640AA"/>
    <w:rsid w:val="00864244"/>
    <w:rsid w:val="008659F3"/>
    <w:rsid w:val="0087228E"/>
    <w:rsid w:val="00874601"/>
    <w:rsid w:val="008819F6"/>
    <w:rsid w:val="008821CD"/>
    <w:rsid w:val="00886D4B"/>
    <w:rsid w:val="008937EE"/>
    <w:rsid w:val="00895406"/>
    <w:rsid w:val="00897149"/>
    <w:rsid w:val="008A3568"/>
    <w:rsid w:val="008A368D"/>
    <w:rsid w:val="008B52D9"/>
    <w:rsid w:val="008B61D0"/>
    <w:rsid w:val="008C4072"/>
    <w:rsid w:val="008C415D"/>
    <w:rsid w:val="008C541C"/>
    <w:rsid w:val="008D03B9"/>
    <w:rsid w:val="008D04DD"/>
    <w:rsid w:val="008D19EE"/>
    <w:rsid w:val="008E234A"/>
    <w:rsid w:val="008F18D6"/>
    <w:rsid w:val="008F5190"/>
    <w:rsid w:val="008F5E52"/>
    <w:rsid w:val="009001BA"/>
    <w:rsid w:val="00904780"/>
    <w:rsid w:val="00922385"/>
    <w:rsid w:val="009223DF"/>
    <w:rsid w:val="00927EFA"/>
    <w:rsid w:val="00930377"/>
    <w:rsid w:val="00931567"/>
    <w:rsid w:val="0093175F"/>
    <w:rsid w:val="00936091"/>
    <w:rsid w:val="00940CE8"/>
    <w:rsid w:val="00940D8A"/>
    <w:rsid w:val="00962258"/>
    <w:rsid w:val="009629C2"/>
    <w:rsid w:val="0096782B"/>
    <w:rsid w:val="009678B7"/>
    <w:rsid w:val="0097495F"/>
    <w:rsid w:val="009833E1"/>
    <w:rsid w:val="00992D9C"/>
    <w:rsid w:val="00996CB8"/>
    <w:rsid w:val="009A5D23"/>
    <w:rsid w:val="009A68EB"/>
    <w:rsid w:val="009A7A90"/>
    <w:rsid w:val="009B14A9"/>
    <w:rsid w:val="009B2E97"/>
    <w:rsid w:val="009B5F56"/>
    <w:rsid w:val="009C0A64"/>
    <w:rsid w:val="009C5AB2"/>
    <w:rsid w:val="009D1BA2"/>
    <w:rsid w:val="009D50D4"/>
    <w:rsid w:val="009E07F4"/>
    <w:rsid w:val="009F0688"/>
    <w:rsid w:val="009F0C82"/>
    <w:rsid w:val="009F392E"/>
    <w:rsid w:val="00A037C2"/>
    <w:rsid w:val="00A06158"/>
    <w:rsid w:val="00A1211D"/>
    <w:rsid w:val="00A161E7"/>
    <w:rsid w:val="00A16B5F"/>
    <w:rsid w:val="00A2381D"/>
    <w:rsid w:val="00A25931"/>
    <w:rsid w:val="00A328C1"/>
    <w:rsid w:val="00A334A0"/>
    <w:rsid w:val="00A37B7A"/>
    <w:rsid w:val="00A404A5"/>
    <w:rsid w:val="00A406DC"/>
    <w:rsid w:val="00A54ECA"/>
    <w:rsid w:val="00A6177B"/>
    <w:rsid w:val="00A6419D"/>
    <w:rsid w:val="00A66136"/>
    <w:rsid w:val="00A674FE"/>
    <w:rsid w:val="00A90199"/>
    <w:rsid w:val="00A91226"/>
    <w:rsid w:val="00A93896"/>
    <w:rsid w:val="00A96293"/>
    <w:rsid w:val="00AA4CBB"/>
    <w:rsid w:val="00AA65FA"/>
    <w:rsid w:val="00AA7351"/>
    <w:rsid w:val="00AB1712"/>
    <w:rsid w:val="00AC3262"/>
    <w:rsid w:val="00AC46F2"/>
    <w:rsid w:val="00AC7C53"/>
    <w:rsid w:val="00AD056F"/>
    <w:rsid w:val="00AD6731"/>
    <w:rsid w:val="00AE0382"/>
    <w:rsid w:val="00AE0C3D"/>
    <w:rsid w:val="00AE4D08"/>
    <w:rsid w:val="00B0291C"/>
    <w:rsid w:val="00B04508"/>
    <w:rsid w:val="00B103DB"/>
    <w:rsid w:val="00B15D0D"/>
    <w:rsid w:val="00B23BB9"/>
    <w:rsid w:val="00B24ACC"/>
    <w:rsid w:val="00B3150F"/>
    <w:rsid w:val="00B46A1E"/>
    <w:rsid w:val="00B514E3"/>
    <w:rsid w:val="00B551AC"/>
    <w:rsid w:val="00B57A80"/>
    <w:rsid w:val="00B612C0"/>
    <w:rsid w:val="00B63F79"/>
    <w:rsid w:val="00B65A51"/>
    <w:rsid w:val="00B721FE"/>
    <w:rsid w:val="00B75EE1"/>
    <w:rsid w:val="00B77481"/>
    <w:rsid w:val="00B83111"/>
    <w:rsid w:val="00B8518B"/>
    <w:rsid w:val="00B91E11"/>
    <w:rsid w:val="00BB059B"/>
    <w:rsid w:val="00BC03FD"/>
    <w:rsid w:val="00BC42FA"/>
    <w:rsid w:val="00BC4CE4"/>
    <w:rsid w:val="00BD076E"/>
    <w:rsid w:val="00BD4BF5"/>
    <w:rsid w:val="00BD554B"/>
    <w:rsid w:val="00BD7E91"/>
    <w:rsid w:val="00BE6A7D"/>
    <w:rsid w:val="00BE7D13"/>
    <w:rsid w:val="00C01109"/>
    <w:rsid w:val="00C02D0A"/>
    <w:rsid w:val="00C0318D"/>
    <w:rsid w:val="00C03A6E"/>
    <w:rsid w:val="00C04FC1"/>
    <w:rsid w:val="00C07393"/>
    <w:rsid w:val="00C10E4D"/>
    <w:rsid w:val="00C11C50"/>
    <w:rsid w:val="00C23458"/>
    <w:rsid w:val="00C24989"/>
    <w:rsid w:val="00C42E82"/>
    <w:rsid w:val="00C44806"/>
    <w:rsid w:val="00C44F6A"/>
    <w:rsid w:val="00C4676F"/>
    <w:rsid w:val="00C47AE3"/>
    <w:rsid w:val="00C53CD3"/>
    <w:rsid w:val="00C55A7C"/>
    <w:rsid w:val="00C56C36"/>
    <w:rsid w:val="00C6288E"/>
    <w:rsid w:val="00C631B3"/>
    <w:rsid w:val="00C70843"/>
    <w:rsid w:val="00C7646D"/>
    <w:rsid w:val="00C811AE"/>
    <w:rsid w:val="00C82A85"/>
    <w:rsid w:val="00C8609C"/>
    <w:rsid w:val="00CA4847"/>
    <w:rsid w:val="00CB44E6"/>
    <w:rsid w:val="00CC2C09"/>
    <w:rsid w:val="00CD0918"/>
    <w:rsid w:val="00CD1FC4"/>
    <w:rsid w:val="00CE56F8"/>
    <w:rsid w:val="00CF17BE"/>
    <w:rsid w:val="00CF32E8"/>
    <w:rsid w:val="00CF7FDA"/>
    <w:rsid w:val="00D020B8"/>
    <w:rsid w:val="00D120BA"/>
    <w:rsid w:val="00D15C3B"/>
    <w:rsid w:val="00D17D8F"/>
    <w:rsid w:val="00D21061"/>
    <w:rsid w:val="00D2450A"/>
    <w:rsid w:val="00D31CA8"/>
    <w:rsid w:val="00D31E61"/>
    <w:rsid w:val="00D35F37"/>
    <w:rsid w:val="00D40022"/>
    <w:rsid w:val="00D4108E"/>
    <w:rsid w:val="00D6023E"/>
    <w:rsid w:val="00D6163D"/>
    <w:rsid w:val="00D73934"/>
    <w:rsid w:val="00D76306"/>
    <w:rsid w:val="00D815DC"/>
    <w:rsid w:val="00D8243C"/>
    <w:rsid w:val="00D831A3"/>
    <w:rsid w:val="00D86668"/>
    <w:rsid w:val="00D90583"/>
    <w:rsid w:val="00D909C9"/>
    <w:rsid w:val="00D92FF5"/>
    <w:rsid w:val="00D93D54"/>
    <w:rsid w:val="00DA3997"/>
    <w:rsid w:val="00DA4E3C"/>
    <w:rsid w:val="00DB0771"/>
    <w:rsid w:val="00DB2B0F"/>
    <w:rsid w:val="00DB5F97"/>
    <w:rsid w:val="00DC3026"/>
    <w:rsid w:val="00DC380C"/>
    <w:rsid w:val="00DC75F3"/>
    <w:rsid w:val="00DD46F3"/>
    <w:rsid w:val="00DD58B7"/>
    <w:rsid w:val="00DD6B14"/>
    <w:rsid w:val="00DE56F2"/>
    <w:rsid w:val="00DE5C88"/>
    <w:rsid w:val="00DF0A5F"/>
    <w:rsid w:val="00DF0BF6"/>
    <w:rsid w:val="00DF116D"/>
    <w:rsid w:val="00DF4738"/>
    <w:rsid w:val="00E1702E"/>
    <w:rsid w:val="00E22DA5"/>
    <w:rsid w:val="00E255CB"/>
    <w:rsid w:val="00E27340"/>
    <w:rsid w:val="00E40685"/>
    <w:rsid w:val="00E406BB"/>
    <w:rsid w:val="00E44EA7"/>
    <w:rsid w:val="00E466A9"/>
    <w:rsid w:val="00E519E6"/>
    <w:rsid w:val="00E57670"/>
    <w:rsid w:val="00E60107"/>
    <w:rsid w:val="00E719EE"/>
    <w:rsid w:val="00E86F16"/>
    <w:rsid w:val="00E90396"/>
    <w:rsid w:val="00E90C16"/>
    <w:rsid w:val="00E93DAC"/>
    <w:rsid w:val="00EA12F2"/>
    <w:rsid w:val="00EA57B9"/>
    <w:rsid w:val="00EB104F"/>
    <w:rsid w:val="00EB37FB"/>
    <w:rsid w:val="00EB77F7"/>
    <w:rsid w:val="00ED14BD"/>
    <w:rsid w:val="00ED3B80"/>
    <w:rsid w:val="00EE11E4"/>
    <w:rsid w:val="00EF0701"/>
    <w:rsid w:val="00F0533E"/>
    <w:rsid w:val="00F1048D"/>
    <w:rsid w:val="00F12DEC"/>
    <w:rsid w:val="00F1715C"/>
    <w:rsid w:val="00F243E2"/>
    <w:rsid w:val="00F310F8"/>
    <w:rsid w:val="00F34B3C"/>
    <w:rsid w:val="00F35939"/>
    <w:rsid w:val="00F45607"/>
    <w:rsid w:val="00F5070F"/>
    <w:rsid w:val="00F5300C"/>
    <w:rsid w:val="00F555E0"/>
    <w:rsid w:val="00F61DE3"/>
    <w:rsid w:val="00F659EB"/>
    <w:rsid w:val="00F668BA"/>
    <w:rsid w:val="00F7552F"/>
    <w:rsid w:val="00F75906"/>
    <w:rsid w:val="00F83981"/>
    <w:rsid w:val="00F86BA6"/>
    <w:rsid w:val="00F95EC3"/>
    <w:rsid w:val="00F976B1"/>
    <w:rsid w:val="00FA6D2C"/>
    <w:rsid w:val="00FB018F"/>
    <w:rsid w:val="00FB1A75"/>
    <w:rsid w:val="00FC6389"/>
    <w:rsid w:val="00FE50F9"/>
    <w:rsid w:val="01198E80"/>
    <w:rsid w:val="025BCD17"/>
    <w:rsid w:val="08225565"/>
    <w:rsid w:val="0B2595B1"/>
    <w:rsid w:val="1E3C171A"/>
    <w:rsid w:val="293448E9"/>
    <w:rsid w:val="29E1CA00"/>
    <w:rsid w:val="2DB90B83"/>
    <w:rsid w:val="2E5A23D1"/>
    <w:rsid w:val="36AE21E3"/>
    <w:rsid w:val="3C897C0C"/>
    <w:rsid w:val="411E7E4E"/>
    <w:rsid w:val="432D7AB8"/>
    <w:rsid w:val="469D0E0B"/>
    <w:rsid w:val="4A7DC6F7"/>
    <w:rsid w:val="503D21B2"/>
    <w:rsid w:val="509FCCC3"/>
    <w:rsid w:val="54E78DED"/>
    <w:rsid w:val="5618ACE1"/>
    <w:rsid w:val="6FF2A3D4"/>
    <w:rsid w:val="7030FC9D"/>
    <w:rsid w:val="75760FEB"/>
    <w:rsid w:val="7FF699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97E50548-3695-47C4-8C1B-9D60904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2"/>
      </w:numPr>
    </w:pPr>
  </w:style>
  <w:style w:type="numbering" w:customStyle="1" w:styleId="ListBulletmultilevel">
    <w:name w:val="List Bullet (multilevel)"/>
    <w:uiPriority w:val="99"/>
    <w:rsid w:val="00895406"/>
    <w:pPr>
      <w:numPr>
        <w:numId w:val="3"/>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BC03FD"/>
    <w:pPr>
      <w:keepNext w:val="0"/>
      <w:keepLines w:val="0"/>
      <w:numPr>
        <w:ilvl w:val="1"/>
        <w:numId w:val="6"/>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BC03FD"/>
    <w:rPr>
      <w:rFonts w:eastAsia="Times New Roman" w:cs="Arial"/>
      <w:bCs/>
      <w:iCs/>
      <w:szCs w:val="28"/>
    </w:rPr>
  </w:style>
  <w:style w:type="paragraph" w:customStyle="1" w:styleId="RLTextlnkuslovan">
    <w:name w:val="RL Text článku číslovaný"/>
    <w:basedOn w:val="Normln"/>
    <w:qFormat/>
    <w:rsid w:val="00433C4F"/>
    <w:pPr>
      <w:numPr>
        <w:ilvl w:val="1"/>
        <w:numId w:val="7"/>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8"/>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8"/>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10"/>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10"/>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10"/>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10"/>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10"/>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10"/>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10"/>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10"/>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1"/>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D38BA"/>
    <w:pPr>
      <w:spacing w:after="0" w:line="240" w:lineRule="auto"/>
    </w:pPr>
  </w:style>
  <w:style w:type="character" w:customStyle="1" w:styleId="Kurzvatun">
    <w:name w:val="Kurzíva tučně"/>
    <w:basedOn w:val="Standardnpsmoodstavce"/>
    <w:uiPriority w:val="1"/>
    <w:qFormat/>
    <w:rsid w:val="00C07393"/>
    <w:rPr>
      <w:rFonts w:asciiTheme="minorHAnsi" w:hAnsiTheme="minorHAnsi"/>
      <w:b/>
      <w:bCs/>
      <w:i/>
      <w:noProof/>
      <w:sz w:val="18"/>
    </w:rPr>
  </w:style>
  <w:style w:type="paragraph" w:customStyle="1" w:styleId="11odst">
    <w:name w:val="1.1. odst."/>
    <w:basedOn w:val="Normln"/>
    <w:link w:val="11odstChar"/>
    <w:autoRedefine/>
    <w:qFormat/>
    <w:rsid w:val="00C07393"/>
    <w:pPr>
      <w:widowControl w:val="0"/>
      <w:spacing w:before="120" w:after="120"/>
      <w:ind w:left="567" w:hanging="567"/>
      <w:jc w:val="both"/>
      <w:outlineLvl w:val="3"/>
    </w:pPr>
    <w:rPr>
      <w:rFonts w:eastAsia="Times New Roman" w:cs="Arial"/>
      <w:bCs/>
      <w:iCs/>
      <w:szCs w:val="28"/>
    </w:rPr>
  </w:style>
  <w:style w:type="paragraph" w:customStyle="1" w:styleId="aodst">
    <w:name w:val="a. odst."/>
    <w:basedOn w:val="Normln"/>
    <w:qFormat/>
    <w:rsid w:val="00C07393"/>
    <w:pPr>
      <w:keepLines/>
      <w:widowControl w:val="0"/>
      <w:spacing w:before="120" w:after="120"/>
      <w:ind w:left="1134" w:hanging="567"/>
      <w:jc w:val="both"/>
    </w:pPr>
    <w:rPr>
      <w:rFonts w:eastAsia="Times New Roman" w:cs="Times New Roman"/>
      <w:szCs w:val="24"/>
    </w:rPr>
  </w:style>
  <w:style w:type="character" w:customStyle="1" w:styleId="11odstChar">
    <w:name w:val="1.1. odst. Char"/>
    <w:link w:val="11odst"/>
    <w:locked/>
    <w:rsid w:val="00C07393"/>
    <w:rPr>
      <w:rFonts w:eastAsia="Times New Roman" w:cs="Arial"/>
      <w:bCs/>
      <w:iCs/>
      <w:szCs w:val="28"/>
    </w:rPr>
  </w:style>
  <w:style w:type="paragraph" w:customStyle="1" w:styleId="1lnek">
    <w:name w:val="1. článek"/>
    <w:basedOn w:val="Nadpis4"/>
    <w:qFormat/>
    <w:rsid w:val="00C07393"/>
    <w:pPr>
      <w:keepNext w:val="0"/>
      <w:keepLines w:val="0"/>
      <w:widowControl w:val="0"/>
      <w:spacing w:before="120" w:after="120"/>
      <w:ind w:left="567" w:hanging="567"/>
      <w:jc w:val="both"/>
    </w:pPr>
    <w:rPr>
      <w:rFonts w:asciiTheme="minorHAnsi" w:hAnsiTheme="minorHAnsi"/>
      <w:noProof/>
      <w:u w:val="none"/>
    </w:rPr>
  </w:style>
  <w:style w:type="paragraph" w:customStyle="1" w:styleId="iodst">
    <w:name w:val="i. odst."/>
    <w:basedOn w:val="Normln"/>
    <w:qFormat/>
    <w:rsid w:val="00C07393"/>
    <w:pPr>
      <w:widowControl w:val="0"/>
      <w:spacing w:before="120" w:after="120"/>
      <w:ind w:left="1728" w:hanging="648"/>
      <w:jc w:val="both"/>
    </w:pPr>
  </w:style>
  <w:style w:type="paragraph" w:customStyle="1" w:styleId="odrka">
    <w:name w:val="odrážka"/>
    <w:basedOn w:val="Normln"/>
    <w:qFormat/>
    <w:rsid w:val="00C07393"/>
    <w:pPr>
      <w:widowControl w:val="0"/>
      <w:spacing w:before="120" w:after="120"/>
      <w:ind w:left="2268" w:hanging="567"/>
      <w:jc w:val="both"/>
    </w:pPr>
  </w:style>
  <w:style w:type="character" w:customStyle="1" w:styleId="Kurzva">
    <w:name w:val="Kurzíva"/>
    <w:basedOn w:val="Standardnpsmoodstavce"/>
    <w:uiPriority w:val="1"/>
    <w:qFormat/>
    <w:rsid w:val="00C07393"/>
    <w:rPr>
      <w:rFonts w:asciiTheme="minorHAnsi" w:hAnsiTheme="minorHAnsi"/>
      <w:i/>
      <w:sz w:val="18"/>
    </w:rPr>
  </w:style>
  <w:style w:type="paragraph" w:customStyle="1" w:styleId="1lnek0">
    <w:name w:val="1.článek"/>
    <w:basedOn w:val="Normln"/>
    <w:qFormat/>
    <w:rsid w:val="00514378"/>
    <w:pPr>
      <w:keepNext/>
      <w:spacing w:before="240" w:after="120"/>
      <w:ind w:left="680" w:hanging="680"/>
      <w:jc w:val="both"/>
      <w:outlineLvl w:val="0"/>
    </w:pPr>
    <w:rPr>
      <w:rFonts w:ascii="Verdana" w:eastAsia="Times New Roman" w:hAnsi="Verdana" w:cs="Times New Roman"/>
      <w:b/>
      <w:bCs/>
      <w:iCs/>
    </w:rPr>
  </w:style>
  <w:style w:type="paragraph" w:customStyle="1" w:styleId="Odstbez">
    <w:name w:val="Odst. bez č."/>
    <w:basedOn w:val="Normln"/>
    <w:link w:val="OdstbezChar"/>
    <w:qFormat/>
    <w:rsid w:val="00514378"/>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514378"/>
    <w:rPr>
      <w:rFonts w:ascii="Verdana" w:hAnsi="Verdana"/>
      <w:szCs w:val="22"/>
    </w:rPr>
  </w:style>
  <w:style w:type="paragraph" w:customStyle="1" w:styleId="111odst">
    <w:name w:val="1.1.1. odst."/>
    <w:basedOn w:val="Normln"/>
    <w:link w:val="111odstChar"/>
    <w:qFormat/>
    <w:rsid w:val="00514378"/>
    <w:pPr>
      <w:widowControl w:val="0"/>
      <w:spacing w:before="120" w:after="120"/>
      <w:ind w:left="680" w:hanging="680"/>
      <w:jc w:val="both"/>
    </w:pPr>
    <w:rPr>
      <w:rFonts w:ascii="Verdana" w:hAnsi="Verdana"/>
      <w:szCs w:val="22"/>
    </w:rPr>
  </w:style>
  <w:style w:type="paragraph" w:customStyle="1" w:styleId="111odst0">
    <w:name w:val="1.1.1 odst."/>
    <w:basedOn w:val="Normln"/>
    <w:link w:val="111odstChar0"/>
    <w:qFormat/>
    <w:rsid w:val="00514378"/>
    <w:pPr>
      <w:widowControl w:val="0"/>
      <w:spacing w:before="120" w:after="120"/>
      <w:ind w:left="680" w:hanging="680"/>
      <w:jc w:val="both"/>
    </w:pPr>
    <w:rPr>
      <w:rFonts w:ascii="Verdana" w:hAnsi="Verdana"/>
      <w:szCs w:val="22"/>
    </w:rPr>
  </w:style>
  <w:style w:type="character" w:customStyle="1" w:styleId="111odstChar0">
    <w:name w:val="1.1.1 odst. Char"/>
    <w:basedOn w:val="Standardnpsmoodstavce"/>
    <w:link w:val="111odst0"/>
    <w:rsid w:val="00514378"/>
    <w:rPr>
      <w:rFonts w:ascii="Verdana" w:hAnsi="Verdana"/>
      <w:szCs w:val="22"/>
    </w:rPr>
  </w:style>
  <w:style w:type="character" w:customStyle="1" w:styleId="111odstChar">
    <w:name w:val="1.1.1. odst. Char"/>
    <w:basedOn w:val="Standardnpsmoodstavce"/>
    <w:link w:val="111odst"/>
    <w:rsid w:val="005827E3"/>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26E212-25C2-49F9-A7CE-2088A9AE7D1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e4115400-38fb-4741-b78d-c4a5fb37c6d6"/>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AEF54E33-CA40-4B9C-9695-1D8C6ABF7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4090</Words>
  <Characters>24131</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Zajíčková Veronika, Mgr.</cp:lastModifiedBy>
  <cp:revision>15</cp:revision>
  <cp:lastPrinted>2019-02-25T13:30:00Z</cp:lastPrinted>
  <dcterms:created xsi:type="dcterms:W3CDTF">2024-10-24T12:03:00Z</dcterms:created>
  <dcterms:modified xsi:type="dcterms:W3CDTF">2025-01-20T09:05:00Z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y fmtid="{D5CDD505-2E9C-101B-9397-08002B2CF9AE}" pid="4" name="MediaServiceImageTags">
    <vt:lpwstr/>
  </property>
</Properties>
</file>