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4FADFB17"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FA04B3">
        <w:rPr>
          <w:b w:val="0"/>
          <w:sz w:val="18"/>
          <w:szCs w:val="18"/>
        </w:rPr>
        <w:t>8</w:t>
      </w:r>
      <w:bookmarkStart w:id="0" w:name="_GoBack"/>
      <w:bookmarkEnd w:id="0"/>
      <w:r w:rsidRPr="00E70D27">
        <w:rPr>
          <w:b w:val="0"/>
          <w:sz w:val="18"/>
          <w:szCs w:val="18"/>
        </w:rPr>
        <w:t xml:space="preserve"> Smlouvy </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FA04B3">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lastRenderedPageBreak/>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lastRenderedPageBreak/>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TPText-1slovan"/>
        <w:rPr>
          <w:rStyle w:val="Siln"/>
        </w:rPr>
      </w:pPr>
      <w:r w:rsidRPr="00E70D27">
        <w:rPr>
          <w:rStyle w:val="Siln"/>
        </w:rPr>
        <w:t>MD</w:t>
      </w:r>
      <w:r>
        <w:rPr>
          <w:rStyle w:val="Siln"/>
        </w:rPr>
        <w:t xml:space="preserve"> </w:t>
      </w:r>
      <w:r>
        <w:rPr>
          <w:rStyle w:val="Siln"/>
          <w:b w:val="0"/>
          <w:bCs w:val="0"/>
        </w:rPr>
        <w:t>znamená manday/člověkoden. Nestanoví-li Smlouva jinak, odpovídá jeden MD 8 MH.</w:t>
      </w:r>
    </w:p>
    <w:p w14:paraId="63668B6E" w14:textId="20CA26B4" w:rsidR="009575D7" w:rsidRPr="00E70D27" w:rsidRDefault="009575D7" w:rsidP="00664159">
      <w:pPr>
        <w:pStyle w:val="TPText-1slovan"/>
        <w:rPr>
          <w:rStyle w:val="Siln"/>
        </w:rPr>
      </w:pPr>
      <w:r w:rsidRPr="00E70D27">
        <w:rPr>
          <w:rStyle w:val="Siln"/>
        </w:rPr>
        <w:t>MH</w:t>
      </w:r>
      <w:r>
        <w:rPr>
          <w:rStyle w:val="Siln"/>
        </w:rPr>
        <w:t xml:space="preserve"> </w:t>
      </w:r>
      <w:r>
        <w:rPr>
          <w:rStyle w:val="Siln"/>
          <w:b w:val="0"/>
          <w:bCs w:val="0"/>
        </w:rPr>
        <w:t>znamená manhour/člověkohodinu.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lastRenderedPageBreak/>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lastRenderedPageBreak/>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lastRenderedPageBreak/>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lastRenderedPageBreak/>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w:t>
      </w:r>
      <w:r w:rsidR="001574ED" w:rsidRPr="0076070A">
        <w:lastRenderedPageBreak/>
        <w:t>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lastRenderedPageBreak/>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w:t>
      </w:r>
      <w:r w:rsidRPr="00CB0896">
        <w:lastRenderedPageBreak/>
        <w:t>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 xml:space="preserve">dotčené </w:t>
      </w:r>
      <w:r w:rsidR="007A29AC" w:rsidRPr="00335BA4">
        <w:lastRenderedPageBreak/>
        <w:t>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lastRenderedPageBreak/>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lastRenderedPageBreak/>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w:t>
      </w:r>
      <w:r w:rsidRPr="00ED6198">
        <w:lastRenderedPageBreak/>
        <w:t xml:space="preserve">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lastRenderedPageBreak/>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w:t>
      </w:r>
      <w:r w:rsidRPr="00ED6198">
        <w:lastRenderedPageBreak/>
        <w:t>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lastRenderedPageBreak/>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lastRenderedPageBreak/>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lastRenderedPageBreak/>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TPText-1slovan"/>
      </w:pPr>
      <w:bookmarkStart w:id="95"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bookmarkStart w:id="96" w:name="_Ref157591650"/>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bookmarkEnd w:id="96"/>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28220C62"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7" w:name="_Ref118362256"/>
      <w:r w:rsidRPr="00335BA4">
        <w:t>Nestanoví-li Smlouva jinak, bude Dostupnost Software měřena na základě následujícího vzorce:</w:t>
      </w:r>
      <w:bookmarkEnd w:id="97"/>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8"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8"/>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9"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9"/>
    </w:p>
    <w:p w14:paraId="418B2427" w14:textId="4DD84A23" w:rsidR="001500AE" w:rsidRPr="00ED6198" w:rsidRDefault="001500AE" w:rsidP="00F07A3F">
      <w:pPr>
        <w:pStyle w:val="TPNADPIS-1slovan"/>
        <w:jc w:val="both"/>
      </w:pPr>
      <w:bookmarkStart w:id="100" w:name="_Toc119490223"/>
      <w:r w:rsidRPr="00ED6198">
        <w:t>Účast poddodavatelů</w:t>
      </w:r>
      <w:bookmarkEnd w:id="100"/>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1"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1"/>
      <w:r w:rsidRPr="00ED6198">
        <w:t xml:space="preserve">  </w:t>
      </w:r>
    </w:p>
    <w:p w14:paraId="00F49220" w14:textId="513C1D73" w:rsidR="00A0266C" w:rsidRPr="00335BA4" w:rsidRDefault="00A0266C" w:rsidP="00664159">
      <w:pPr>
        <w:pStyle w:val="TPText-1slovan"/>
      </w:pPr>
      <w:bookmarkStart w:id="102"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w:t>
      </w:r>
      <w:r w:rsidRPr="00335BA4">
        <w:lastRenderedPageBreak/>
        <w:t xml:space="preserve">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2"/>
    </w:p>
    <w:p w14:paraId="52E042F1" w14:textId="770B3195" w:rsidR="005F2A37" w:rsidRPr="00ED6198" w:rsidRDefault="005F2A37" w:rsidP="00F07A3F">
      <w:pPr>
        <w:pStyle w:val="TPNADPIS-1slovan"/>
        <w:jc w:val="both"/>
      </w:pPr>
      <w:bookmarkStart w:id="103" w:name="_Toc119490224"/>
      <w:r w:rsidRPr="00ED6198">
        <w:t>Realizační tým</w:t>
      </w:r>
      <w:bookmarkEnd w:id="103"/>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4" w:name="_Toc27420364"/>
      <w:bookmarkStart w:id="105" w:name="_Toc28452716"/>
      <w:bookmarkStart w:id="106" w:name="_Toc119490225"/>
      <w:bookmarkEnd w:id="104"/>
      <w:bookmarkEnd w:id="105"/>
      <w:r w:rsidRPr="00ED6198">
        <w:t>K</w:t>
      </w:r>
      <w:r w:rsidR="00B50D4F" w:rsidRPr="00ED6198">
        <w:t>omunikace stran</w:t>
      </w:r>
      <w:bookmarkEnd w:id="106"/>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7" w:name="_Toc26368471"/>
      <w:bookmarkStart w:id="108" w:name="_Toc119490226"/>
      <w:bookmarkEnd w:id="107"/>
      <w:r w:rsidRPr="00ED6198">
        <w:lastRenderedPageBreak/>
        <w:t>Smluvní pokuty</w:t>
      </w:r>
      <w:bookmarkEnd w:id="108"/>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9" w:name="_Ref26890919"/>
      <w:r w:rsidRPr="00335BA4">
        <w:t xml:space="preserve">Objednateli vzniká vůči </w:t>
      </w:r>
      <w:r w:rsidR="001F6504" w:rsidRPr="00335BA4">
        <w:t xml:space="preserve">Dodavateli </w:t>
      </w:r>
      <w:r w:rsidRPr="00335BA4">
        <w:t>právo na zaplacení smluvní pokuty:</w:t>
      </w:r>
      <w:bookmarkEnd w:id="109"/>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10"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10"/>
    </w:p>
    <w:p w14:paraId="15900F57" w14:textId="34A3DBE8" w:rsidR="00331774" w:rsidRPr="00335BA4" w:rsidRDefault="00331774" w:rsidP="00F07A3F">
      <w:pPr>
        <w:pStyle w:val="TPText-1slovan"/>
        <w:numPr>
          <w:ilvl w:val="0"/>
          <w:numId w:val="26"/>
        </w:numPr>
        <w:ind w:left="1701" w:hanging="425"/>
        <w:jc w:val="both"/>
      </w:pPr>
      <w:bookmarkStart w:id="111" w:name="_Ref118179580"/>
      <w:bookmarkStart w:id="112"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3"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3"/>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1"/>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2"/>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4" w:name="_Ref118365998"/>
      <w:r w:rsidRPr="00335BA4">
        <w:t>poruší-li Dodavatel svoji</w:t>
      </w:r>
      <w:r w:rsidRPr="00ED6198">
        <w:t xml:space="preserve"> povinnost dodržet sjednanou Dobu vyřešení Incidentu, ve </w:t>
      </w:r>
      <w:r w:rsidRPr="00335BA4">
        <w:t>výši:</w:t>
      </w:r>
      <w:bookmarkEnd w:id="114"/>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5" w:name="_Ref118366017"/>
      <w:r w:rsidRPr="00335BA4">
        <w:t>v případě prodlení nad rámec sjednané lhůty pro odstranění vad v Produkčním prostředí:</w:t>
      </w:r>
      <w:bookmarkEnd w:id="115"/>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lastRenderedPageBreak/>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6" w:name="_Toc119490227"/>
      <w:r w:rsidRPr="00ED6198">
        <w:t xml:space="preserve">Záruka </w:t>
      </w:r>
      <w:r w:rsidR="00F75A5B" w:rsidRPr="00ED6198">
        <w:t xml:space="preserve">za jakost </w:t>
      </w:r>
      <w:r w:rsidR="0041381C" w:rsidRPr="00ED6198">
        <w:t xml:space="preserve">a práva </w:t>
      </w:r>
      <w:r w:rsidRPr="00ED6198">
        <w:t>z vadného plnění</w:t>
      </w:r>
      <w:bookmarkEnd w:id="116"/>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lastRenderedPageBreak/>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7"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7"/>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lastRenderedPageBreak/>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8" w:name="_Toc119490228"/>
      <w:r w:rsidRPr="00ED6198">
        <w:t>Ukončení smluvního vztahu</w:t>
      </w:r>
      <w:bookmarkEnd w:id="118"/>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9" w:name="_Ref115692306"/>
      <w:r w:rsidRPr="00ED6198">
        <w:t>Objednatel je oprávněn odstoupit od Smlouvy, v případě, že:</w:t>
      </w:r>
      <w:bookmarkEnd w:id="119"/>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lastRenderedPageBreak/>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20" w:name="_Toc119490229"/>
      <w:r w:rsidRPr="00ED6198">
        <w:t>Změny smlouvy a změnové řízení</w:t>
      </w:r>
      <w:bookmarkEnd w:id="120"/>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w:t>
      </w:r>
      <w:r w:rsidRPr="00ED6198">
        <w:lastRenderedPageBreak/>
        <w:t xml:space="preserve">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1" w:name="_Ref115447290"/>
      <w:bookmarkStart w:id="122" w:name="_Ref115681601"/>
      <w:bookmarkStart w:id="123" w:name="_Ref115682240"/>
      <w:bookmarkStart w:id="124" w:name="_Ref115685219"/>
      <w:bookmarkStart w:id="125" w:name="_Ref115692359"/>
      <w:bookmarkStart w:id="126" w:name="_Ref115692399"/>
      <w:bookmarkStart w:id="127" w:name="_Ref116909220"/>
      <w:bookmarkStart w:id="128" w:name="_Ref117498800"/>
      <w:bookmarkStart w:id="129" w:name="_Ref117498912"/>
      <w:bookmarkStart w:id="130" w:name="_Ref117514943"/>
      <w:bookmarkStart w:id="131" w:name="_Ref117518066"/>
      <w:bookmarkStart w:id="132" w:name="_Ref117521145"/>
      <w:bookmarkStart w:id="133" w:name="_Ref117697862"/>
      <w:bookmarkStart w:id="134" w:name="_Ref117698211"/>
      <w:bookmarkStart w:id="135" w:name="_Toc119490230"/>
      <w:r w:rsidRPr="00ED6198">
        <w:t>Kybernetická bezpečnost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08DD274E" w14:textId="5D22A8C6" w:rsidR="00AD6A94" w:rsidRPr="00332EAF" w:rsidRDefault="001C63B2" w:rsidP="00664159">
      <w:pPr>
        <w:pStyle w:val="TPText-1slovan"/>
      </w:pPr>
      <w:bookmarkStart w:id="136"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6"/>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7" w:name="_Ref115606269"/>
      <w:bookmarkStart w:id="138"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7"/>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8"/>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9" w:name="_Toc117704193"/>
      <w:bookmarkStart w:id="140" w:name="_Toc118366962"/>
      <w:bookmarkStart w:id="141" w:name="_Toc119490036"/>
      <w:bookmarkStart w:id="142" w:name="_Toc119490076"/>
      <w:bookmarkStart w:id="143" w:name="_Toc119490113"/>
      <w:bookmarkStart w:id="144" w:name="_Toc119490231"/>
      <w:bookmarkEnd w:id="139"/>
      <w:bookmarkEnd w:id="140"/>
      <w:bookmarkEnd w:id="141"/>
      <w:bookmarkEnd w:id="142"/>
      <w:bookmarkEnd w:id="143"/>
      <w:bookmarkEnd w:id="144"/>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 xml:space="preserve">Dodavatel dále povinen průběžně </w:t>
      </w:r>
      <w:r w:rsidR="0000496A" w:rsidRPr="00664159">
        <w:lastRenderedPageBreak/>
        <w:t>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 xml:space="preserve">Dodavatel se zavazuje poskytnout Objednateli veškerou součinnost nezbytnou k tomu, aby Objednatel řádně naplňoval právní povinnosti stanovené </w:t>
      </w:r>
      <w:r w:rsidRPr="00335BA4">
        <w:lastRenderedPageBreak/>
        <w:t>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w:t>
      </w:r>
      <w:r w:rsidR="00E842BA" w:rsidRPr="00335BA4">
        <w:lastRenderedPageBreak/>
        <w:t>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5"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6" w:name="_Toc117704195"/>
      <w:bookmarkStart w:id="147" w:name="_Toc118366964"/>
      <w:bookmarkStart w:id="148" w:name="_Toc119490038"/>
      <w:bookmarkStart w:id="149" w:name="_Toc119490078"/>
      <w:bookmarkStart w:id="150" w:name="_Toc119490115"/>
      <w:bookmarkStart w:id="151" w:name="_Toc119490233"/>
      <w:bookmarkEnd w:id="145"/>
      <w:bookmarkEnd w:id="146"/>
      <w:bookmarkEnd w:id="147"/>
      <w:bookmarkEnd w:id="148"/>
      <w:bookmarkEnd w:id="149"/>
      <w:bookmarkEnd w:id="150"/>
      <w:bookmarkEnd w:id="151"/>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2" w:name="_Toc117704197"/>
      <w:bookmarkStart w:id="153" w:name="_Toc118366966"/>
      <w:bookmarkStart w:id="154" w:name="_Toc119490040"/>
      <w:bookmarkStart w:id="155" w:name="_Toc119490080"/>
      <w:bookmarkStart w:id="156" w:name="_Toc119490117"/>
      <w:bookmarkStart w:id="157" w:name="_Toc119490235"/>
      <w:bookmarkEnd w:id="152"/>
      <w:bookmarkEnd w:id="153"/>
      <w:bookmarkEnd w:id="154"/>
      <w:bookmarkEnd w:id="155"/>
      <w:bookmarkEnd w:id="156"/>
      <w:bookmarkEnd w:id="157"/>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lastRenderedPageBreak/>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8" w:name="_Ref117498661"/>
      <w:bookmarkStart w:id="159" w:name="_Toc119490236"/>
      <w:r w:rsidRPr="00ED6198">
        <w:t>Ochrana osobních údajů</w:t>
      </w:r>
      <w:bookmarkEnd w:id="158"/>
      <w:bookmarkEnd w:id="159"/>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w:t>
      </w:r>
      <w:r w:rsidRPr="00ED6198">
        <w:lastRenderedPageBreak/>
        <w:t>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 xml:space="preserve">ařízení obsahující Osobní údaje, pokud je to </w:t>
      </w:r>
      <w:r w:rsidRPr="00ED6198">
        <w:lastRenderedPageBreak/>
        <w:t>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60" w:name="_Ref115696518"/>
      <w:bookmarkStart w:id="161" w:name="_Toc119490237"/>
      <w:r w:rsidRPr="00ED6198">
        <w:t>ochrana důvěrných informací</w:t>
      </w:r>
      <w:bookmarkEnd w:id="160"/>
      <w:bookmarkEnd w:id="161"/>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2"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2"/>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lastRenderedPageBreak/>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142EB448"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A04B3">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A04B3">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FF3E881"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04B7022"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6CA99FE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FA04B3">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FA04B3">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2335"/>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3604"/>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575D7"/>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C739E"/>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65CB"/>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0D27"/>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04B3"/>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21221-F370-40B6-9E09-7D7112ECB25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69D42BD1-1285-4BBB-B091-7ABE7AE2C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FD3713-8DDE-4D2E-A1AF-F3EC4DDF3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14812</Words>
  <Characters>87392</Characters>
  <Application>Microsoft Office Word</Application>
  <DocSecurity>4</DocSecurity>
  <Lines>728</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2024-10-14T07:59:00Z</dcterms:created>
  <dcterms:modified xsi:type="dcterms:W3CDTF">2024-10-14T07:59:00Z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