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4F0E3B67"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CB3541">
        <w:rPr>
          <w:b w:val="0"/>
          <w:sz w:val="18"/>
          <w:szCs w:val="18"/>
        </w:rPr>
        <w:t>6</w:t>
      </w:r>
      <w:r w:rsidRPr="00E70D27">
        <w:rPr>
          <w:b w:val="0"/>
          <w:sz w:val="18"/>
          <w:szCs w:val="18"/>
        </w:rPr>
        <w:t xml:space="preserve"> Smlouvy </w:t>
      </w:r>
      <w:r w:rsidR="00CB3541">
        <w:rPr>
          <w:b w:val="0"/>
          <w:sz w:val="18"/>
          <w:szCs w:val="18"/>
        </w:rPr>
        <w:t>o dílo na vytvoření software</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pPr>
        <w:pStyle w:val="TPNADPIS-1neslovn"/>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2" w:history="1">
        <w:r w:rsidRPr="00980D84">
          <w:rPr>
            <w:rStyle w:val="Hypertextovodkaz"/>
            <w:rFonts w:ascii="Verdana" w:hAnsi="Verdana"/>
            <w:noProof/>
            <w:sz w:val="18"/>
            <w:szCs w:val="18"/>
          </w:rPr>
          <w:t>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Doba a místo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3A42CCBC" w14:textId="1FD255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3" w:history="1">
        <w:r w:rsidRPr="00980D84">
          <w:rPr>
            <w:rStyle w:val="Hypertextovodkaz"/>
            <w:rFonts w:ascii="Verdana" w:hAnsi="Verdana"/>
            <w:noProof/>
            <w:sz w:val="18"/>
            <w:szCs w:val="18"/>
          </w:rPr>
          <w:t>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Práva a povinnosti obou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2FB523DC" w14:textId="64B893F5"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4" w:history="1">
        <w:r w:rsidRPr="00980D84">
          <w:rPr>
            <w:rStyle w:val="Hypertextovodkaz"/>
            <w:rFonts w:ascii="Verdana" w:hAnsi="Verdana"/>
            <w:noProof/>
            <w:sz w:val="18"/>
            <w:szCs w:val="18"/>
          </w:rPr>
          <w:t>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Dodavatele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532D8769" w14:textId="638CEB40"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5" w:history="1">
        <w:r w:rsidRPr="00980D84">
          <w:rPr>
            <w:rStyle w:val="Hypertextovodkaz"/>
            <w:rFonts w:ascii="Verdana" w:hAnsi="Verdana"/>
            <w:noProof/>
            <w:sz w:val="18"/>
            <w:szCs w:val="18"/>
          </w:rPr>
          <w:t>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objednatele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14B0B4D8" w14:textId="546D96F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6" w:history="1">
        <w:r w:rsidRPr="00980D84">
          <w:rPr>
            <w:rStyle w:val="Hypertextovodkaz"/>
            <w:rFonts w:ascii="Verdana" w:hAnsi="Verdana"/>
            <w:noProof/>
            <w:sz w:val="18"/>
            <w:szCs w:val="18"/>
          </w:rPr>
          <w:t>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Licenční ujednání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Pr="00980D84">
          <w:rPr>
            <w:rFonts w:ascii="Verdana" w:hAnsi="Verdana"/>
            <w:noProof/>
            <w:webHidden/>
            <w:sz w:val="18"/>
            <w:szCs w:val="18"/>
          </w:rPr>
          <w:fldChar w:fldCharType="end"/>
        </w:r>
      </w:hyperlink>
    </w:p>
    <w:p w14:paraId="5A1672F2" w14:textId="1D3923C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7" w:history="1">
        <w:r w:rsidRPr="00980D84">
          <w:rPr>
            <w:rStyle w:val="Hypertextovodkaz"/>
            <w:rFonts w:ascii="Verdana" w:hAnsi="Verdana"/>
            <w:noProof/>
            <w:sz w:val="18"/>
            <w:szCs w:val="18"/>
          </w:rPr>
          <w:t>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Zdrojový kód a dokumentace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Pr="00980D84">
          <w:rPr>
            <w:rFonts w:ascii="Verdana" w:hAnsi="Verdana"/>
            <w:noProof/>
            <w:webHidden/>
            <w:sz w:val="18"/>
            <w:szCs w:val="18"/>
          </w:rPr>
          <w:fldChar w:fldCharType="end"/>
        </w:r>
      </w:hyperlink>
    </w:p>
    <w:p w14:paraId="2A449BC3" w14:textId="6C0FDA23"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8" w:history="1">
        <w:r w:rsidRPr="00980D84">
          <w:rPr>
            <w:rStyle w:val="Hypertextovodkaz"/>
            <w:rFonts w:ascii="Verdana" w:hAnsi="Verdana"/>
            <w:noProof/>
            <w:sz w:val="18"/>
            <w:szCs w:val="18"/>
          </w:rPr>
          <w:t>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Akceptační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Pr="00980D84">
          <w:rPr>
            <w:rFonts w:ascii="Verdana" w:hAnsi="Verdana"/>
            <w:noProof/>
            <w:webHidden/>
            <w:sz w:val="18"/>
            <w:szCs w:val="18"/>
          </w:rPr>
          <w:fldChar w:fldCharType="end"/>
        </w:r>
      </w:hyperlink>
    </w:p>
    <w:p w14:paraId="25184642" w14:textId="53FC2C1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9" w:history="1">
        <w:r w:rsidRPr="00980D84">
          <w:rPr>
            <w:rStyle w:val="Hypertextovodkaz"/>
            <w:rFonts w:ascii="Verdana" w:hAnsi="Verdana"/>
            <w:noProof/>
            <w:sz w:val="18"/>
            <w:szCs w:val="18"/>
          </w:rPr>
          <w:t>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Školení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Pr="00980D84">
          <w:rPr>
            <w:rFonts w:ascii="Verdana" w:hAnsi="Verdana"/>
            <w:noProof/>
            <w:webHidden/>
            <w:sz w:val="18"/>
            <w:szCs w:val="18"/>
          </w:rPr>
          <w:fldChar w:fldCharType="end"/>
        </w:r>
      </w:hyperlink>
    </w:p>
    <w:p w14:paraId="2F4C1138" w14:textId="32DB023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0" w:history="1">
        <w:r w:rsidRPr="00980D84">
          <w:rPr>
            <w:rStyle w:val="Hypertextovodkaz"/>
            <w:rFonts w:ascii="Verdana" w:hAnsi="Verdana"/>
            <w:noProof/>
            <w:sz w:val="18"/>
            <w:szCs w:val="18"/>
          </w:rPr>
          <w:t>10.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HELPdesk</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Pr="00980D84">
          <w:rPr>
            <w:rFonts w:ascii="Verdana" w:hAnsi="Verdana"/>
            <w:noProof/>
            <w:webHidden/>
            <w:sz w:val="18"/>
            <w:szCs w:val="18"/>
          </w:rPr>
          <w:fldChar w:fldCharType="end"/>
        </w:r>
      </w:hyperlink>
    </w:p>
    <w:p w14:paraId="143D5083" w14:textId="0C18F0C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1" w:history="1">
        <w:r w:rsidRPr="00980D84">
          <w:rPr>
            <w:rStyle w:val="Hypertextovodkaz"/>
            <w:rFonts w:ascii="Verdana" w:hAnsi="Verdana"/>
            <w:noProof/>
            <w:sz w:val="18"/>
            <w:szCs w:val="18"/>
          </w:rPr>
          <w:t>11.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nahlášení incidentu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_Toc119490221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0F4669CA" w14:textId="6136922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2" w:history="1">
        <w:r w:rsidRPr="00980D84">
          <w:rPr>
            <w:rStyle w:val="Hypertextovodkaz"/>
            <w:rFonts w:ascii="Verdana" w:hAnsi="Verdana"/>
            <w:noProof/>
            <w:sz w:val="18"/>
            <w:szCs w:val="18"/>
          </w:rPr>
          <w:t>12.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SERVISNí modely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1B5526B4" w14:textId="293E31E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3" w:history="1">
        <w:r w:rsidRPr="00980D84">
          <w:rPr>
            <w:rStyle w:val="Hypertextovodkaz"/>
            <w:rFonts w:ascii="Verdana" w:hAnsi="Verdana"/>
            <w:noProof/>
            <w:sz w:val="18"/>
            <w:szCs w:val="18"/>
          </w:rPr>
          <w:t>13.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Účast poddodavatelů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2CBA8356" w14:textId="6A65985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4" w:history="1">
        <w:r w:rsidRPr="00980D84">
          <w:rPr>
            <w:rStyle w:val="Hypertextovodkaz"/>
            <w:rFonts w:ascii="Verdana" w:hAnsi="Verdana"/>
            <w:noProof/>
            <w:sz w:val="18"/>
            <w:szCs w:val="18"/>
          </w:rPr>
          <w:t>14.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Realizační tým</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0A4D39B6" w14:textId="1DF149A4"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5" w:history="1">
        <w:r w:rsidRPr="00980D84">
          <w:rPr>
            <w:rStyle w:val="Hypertextovodkaz"/>
            <w:rFonts w:ascii="Verdana" w:hAnsi="Verdana"/>
            <w:noProof/>
            <w:sz w:val="18"/>
            <w:szCs w:val="18"/>
          </w:rPr>
          <w:t>15.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Komunikace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4FABA8D3" w14:textId="1FFEBE48"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6" w:history="1">
        <w:r w:rsidRPr="00980D84">
          <w:rPr>
            <w:rStyle w:val="Hypertextovodkaz"/>
            <w:rFonts w:ascii="Verdana" w:hAnsi="Verdana"/>
            <w:noProof/>
            <w:sz w:val="18"/>
            <w:szCs w:val="18"/>
          </w:rPr>
          <w:t>16.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Smluvní pokuty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Pr="00980D84">
          <w:rPr>
            <w:rFonts w:ascii="Verdana" w:hAnsi="Verdana"/>
            <w:noProof/>
            <w:webHidden/>
            <w:sz w:val="18"/>
            <w:szCs w:val="18"/>
          </w:rPr>
          <w:fldChar w:fldCharType="end"/>
        </w:r>
      </w:hyperlink>
    </w:p>
    <w:p w14:paraId="077878DA" w14:textId="649E3756"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7" w:history="1">
        <w:r w:rsidRPr="00980D84">
          <w:rPr>
            <w:rStyle w:val="Hypertextovodkaz"/>
            <w:rFonts w:ascii="Verdana" w:hAnsi="Verdana"/>
            <w:noProof/>
            <w:sz w:val="18"/>
            <w:szCs w:val="18"/>
          </w:rPr>
          <w:t>17.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Záruka za jakost a práva z vadného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Pr="00980D84">
          <w:rPr>
            <w:rFonts w:ascii="Verdana" w:hAnsi="Verdana"/>
            <w:noProof/>
            <w:webHidden/>
            <w:sz w:val="18"/>
            <w:szCs w:val="18"/>
          </w:rPr>
          <w:fldChar w:fldCharType="end"/>
        </w:r>
      </w:hyperlink>
    </w:p>
    <w:p w14:paraId="33C100A3" w14:textId="2278F3A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8" w:history="1">
        <w:r w:rsidRPr="00980D84">
          <w:rPr>
            <w:rStyle w:val="Hypertextovodkaz"/>
            <w:rFonts w:ascii="Verdana" w:hAnsi="Verdana"/>
            <w:noProof/>
            <w:sz w:val="18"/>
            <w:szCs w:val="18"/>
          </w:rPr>
          <w:t>18.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Ukončení smluvního vztahu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Pr="00980D84">
          <w:rPr>
            <w:rFonts w:ascii="Verdana" w:hAnsi="Verdana"/>
            <w:noProof/>
            <w:webHidden/>
            <w:sz w:val="18"/>
            <w:szCs w:val="18"/>
          </w:rPr>
          <w:fldChar w:fldCharType="end"/>
        </w:r>
      </w:hyperlink>
    </w:p>
    <w:p w14:paraId="0E4244F6" w14:textId="6B6DA97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9" w:history="1">
        <w:r w:rsidRPr="00980D84">
          <w:rPr>
            <w:rStyle w:val="Hypertextovodkaz"/>
            <w:rFonts w:ascii="Verdana" w:hAnsi="Verdana"/>
            <w:noProof/>
            <w:sz w:val="18"/>
            <w:szCs w:val="18"/>
          </w:rPr>
          <w:t>19.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Změny smlouvy a změnové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1F5C3962" w14:textId="079B485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0" w:history="1">
        <w:r w:rsidRPr="00980D84">
          <w:rPr>
            <w:rStyle w:val="Hypertextovodkaz"/>
            <w:rFonts w:ascii="Verdana" w:hAnsi="Verdana"/>
            <w:noProof/>
            <w:sz w:val="18"/>
            <w:szCs w:val="18"/>
          </w:rPr>
          <w:t>20.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Kybernetická bezpečnost</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301217EE" w14:textId="7C0927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6" w:history="1">
        <w:r w:rsidRPr="00980D84">
          <w:rPr>
            <w:rStyle w:val="Hypertextovodkaz"/>
            <w:rFonts w:ascii="Verdana" w:hAnsi="Verdana"/>
            <w:noProof/>
            <w:sz w:val="18"/>
            <w:szCs w:val="18"/>
          </w:rPr>
          <w:t>21.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osobních údajů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Pr="00980D84">
          <w:rPr>
            <w:rFonts w:ascii="Verdana" w:hAnsi="Verdana"/>
            <w:noProof/>
            <w:webHidden/>
            <w:sz w:val="18"/>
            <w:szCs w:val="18"/>
          </w:rPr>
          <w:fldChar w:fldCharType="end"/>
        </w:r>
      </w:hyperlink>
    </w:p>
    <w:p w14:paraId="412CC932" w14:textId="7C86C60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7" w:history="1">
        <w:r w:rsidRPr="00980D84">
          <w:rPr>
            <w:rStyle w:val="Hypertextovodkaz"/>
            <w:rFonts w:ascii="Verdana" w:hAnsi="Verdana"/>
            <w:noProof/>
            <w:sz w:val="18"/>
            <w:szCs w:val="18"/>
          </w:rPr>
          <w:t>22.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důvěrných informací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B87F99">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B87F9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B87F9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B87F99">
      <w:pPr>
        <w:pStyle w:val="aodst"/>
      </w:pPr>
      <w:r>
        <w:t>S</w:t>
      </w:r>
      <w:r w:rsidR="00AD6A8A" w:rsidRPr="00ED6198">
        <w:t xml:space="preserve">pecifikaci provedeného Plnění; </w:t>
      </w:r>
    </w:p>
    <w:p w14:paraId="35233CA4" w14:textId="00969E54" w:rsidR="006D171C" w:rsidRPr="00ED6198" w:rsidRDefault="00AD6A8A" w:rsidP="00B87F99">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B87F99">
      <w:pPr>
        <w:pStyle w:val="aodst"/>
      </w:pPr>
      <w:r w:rsidRPr="00ED6198">
        <w:t xml:space="preserve">informace o průběhu Testů, jsou-li prováděny; </w:t>
      </w:r>
    </w:p>
    <w:p w14:paraId="316756CA" w14:textId="12A44A85" w:rsidR="003E784C" w:rsidRPr="00ED6198" w:rsidRDefault="00AD6A8A" w:rsidP="00B87F99">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B87F9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B87F9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B87F9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B87F9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081EED95" w14:textId="61154F58" w:rsidR="008B3613" w:rsidRPr="008B3613" w:rsidRDefault="008B3613" w:rsidP="00B91B45">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181021">
        <w:t>Cen</w:t>
      </w:r>
      <w:r w:rsidR="00D3662D">
        <w:t>ou</w:t>
      </w:r>
      <w:r w:rsidR="00181021">
        <w:t xml:space="preserve"> se rozumí cena uvedená v čl. 7.2 Smlouvy, není-li stanoveno </w:t>
      </w:r>
      <w:proofErr w:type="gramStart"/>
      <w:r w:rsidR="00181021">
        <w:t>jinak.</w:t>
      </w:r>
      <w:r w:rsidR="00764561">
        <w:t>.</w:t>
      </w:r>
      <w:proofErr w:type="gramEnd"/>
    </w:p>
    <w:p w14:paraId="3302ED47" w14:textId="48D07F0A" w:rsidR="003E784C" w:rsidRPr="00ED6198" w:rsidRDefault="003E784C" w:rsidP="00B87F9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B87F9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B87F9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B87F99">
      <w:pPr>
        <w:pStyle w:val="11odst"/>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837418" w:rsidRPr="00B87F99">
        <w:t xml:space="preserve"> </w:t>
      </w:r>
      <w:r w:rsidR="00837418">
        <w:t>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B87F99">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B87F99">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B87F99">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112EAA65" w14:textId="6BE72AE5" w:rsidR="00837418" w:rsidRPr="00B87F99" w:rsidRDefault="00837418" w:rsidP="00B87F99">
      <w:pPr>
        <w:pStyle w:val="11odst"/>
        <w:rPr>
          <w:b/>
        </w:rPr>
      </w:pPr>
      <w:r w:rsidRPr="00D062BB">
        <w:rPr>
          <w:b/>
          <w:bCs/>
        </w:rPr>
        <w:t>Doba zpracování</w:t>
      </w:r>
      <w:r w:rsidR="0094193D">
        <w:rPr>
          <w:b/>
          <w:bCs/>
        </w:rPr>
        <w:t xml:space="preserve"> </w:t>
      </w:r>
      <w:r w:rsidR="002B1D75">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B87F99">
      <w:pPr>
        <w:pStyle w:val="11odst"/>
      </w:pPr>
      <w:r w:rsidRPr="00ED6198">
        <w:rPr>
          <w:b/>
          <w:bCs/>
        </w:rPr>
        <w:lastRenderedPageBreak/>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B87F9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B19D65" w:rsidR="000350E8" w:rsidRPr="00335BA4" w:rsidRDefault="3F50E5A5" w:rsidP="00B87F99">
      <w:pPr>
        <w:pStyle w:val="11odst"/>
      </w:pPr>
      <w:bookmarkStart w:id="40" w:name="_Hlk27941180"/>
      <w:r w:rsidRPr="00335BA4">
        <w:rPr>
          <w:b/>
          <w:bCs/>
        </w:rPr>
        <w:t>Dostupnost</w:t>
      </w:r>
      <w:r w:rsidRPr="00335BA4">
        <w:t xml:space="preserve"> znamená stav </w:t>
      </w:r>
      <w:r w:rsidR="001C73F5" w:rsidRPr="00335BA4">
        <w:t>Softwar</w:t>
      </w:r>
      <w:r w:rsidR="001C73F5">
        <w:t>e či Hardware</w:t>
      </w:r>
      <w:r w:rsidRPr="00335BA4">
        <w:t xml:space="preserve">, v </w:t>
      </w:r>
      <w:proofErr w:type="gramStart"/>
      <w:r w:rsidRPr="00335BA4">
        <w:t>průběhu</w:t>
      </w:r>
      <w:proofErr w:type="gramEnd"/>
      <w:r w:rsidRPr="00335BA4">
        <w:t xml:space="preserve"> kterého je, anebo by v případě poskytování řádné a včasné součinnosti ze strany Objednatele za podmínek dle Smlouvy byl</w:t>
      </w:r>
      <w:r w:rsidR="00D83D17">
        <w:t>,</w:t>
      </w:r>
      <w:r w:rsidRPr="00335BA4">
        <w:t xml:space="preserve"> možný řádný provoz Softwar</w:t>
      </w:r>
      <w:r w:rsidR="00E2030D">
        <w:t>u</w:t>
      </w:r>
      <w:r w:rsidR="00F35570">
        <w:t xml:space="preserve"> či Hardware</w:t>
      </w:r>
      <w:r w:rsidRPr="00335BA4">
        <w:t xml:space="preserve"> v celém jeho rozsahu,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00D60252">
        <w:t xml:space="preserve"> ve sjednaném rozsahu dle příslušného </w:t>
      </w:r>
      <w:r w:rsidR="00FC4379">
        <w:t>S</w:t>
      </w:r>
      <w:r w:rsidR="00D60252">
        <w:t>ervi</w:t>
      </w:r>
      <w:r w:rsidR="00462A74">
        <w:t>sního modelu dle ZOP</w:t>
      </w:r>
      <w:r w:rsidR="1C3A95F1" w:rsidRPr="00335BA4">
        <w:t>.</w:t>
      </w:r>
      <w:r w:rsidR="000120D6">
        <w:t xml:space="preserve"> </w:t>
      </w:r>
    </w:p>
    <w:bookmarkEnd w:id="40"/>
    <w:p w14:paraId="37550F20" w14:textId="7F43800D" w:rsidR="007B5A18" w:rsidRPr="00ED6198" w:rsidRDefault="007B5A18" w:rsidP="00B87F9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B87F9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B87F9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B87F9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proofErr w:type="spellStart"/>
      <w:r w:rsidRPr="002E3C0F">
        <w:rPr>
          <w:b/>
          <w:bCs/>
        </w:rPr>
        <w:t>Hands</w:t>
      </w:r>
      <w:proofErr w:type="spellEnd"/>
      <w:r w:rsidRPr="002E3C0F">
        <w:rPr>
          <w:b/>
          <w:bCs/>
        </w:rPr>
        <w:t>-on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B87F9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B87F9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B87F99">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B87F99">
      <w:pPr>
        <w:pStyle w:val="11odst"/>
        <w:numPr>
          <w:ilvl w:val="0"/>
          <w:numId w:val="0"/>
        </w:numPr>
        <w:ind w:left="1106"/>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B87F99">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B87F99">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B87F99">
      <w:pPr>
        <w:pStyle w:val="11odst"/>
        <w:numPr>
          <w:ilvl w:val="0"/>
          <w:numId w:val="0"/>
        </w:numPr>
        <w:ind w:left="1106"/>
      </w:pPr>
      <w:r w:rsidRPr="00ED6198">
        <w:t>C)</w:t>
      </w:r>
      <w:r w:rsidRPr="00ED6198">
        <w:tab/>
        <w:t>Nízká – standardní řešení v efektivním režimu</w:t>
      </w:r>
    </w:p>
    <w:bookmarkEnd w:id="41"/>
    <w:p w14:paraId="7CFDC14C" w14:textId="5A6A02E2" w:rsidR="00841C27" w:rsidRPr="00ED6198" w:rsidRDefault="00841C27" w:rsidP="00B87F9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B87F9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B87F99">
      <w:pPr>
        <w:pStyle w:val="11odst"/>
      </w:pPr>
      <w:r w:rsidRPr="00ED6198">
        <w:rPr>
          <w:b/>
          <w:bCs/>
        </w:rPr>
        <w:lastRenderedPageBreak/>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B87F9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B87F9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B87F9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B87F9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B87F9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B87F99">
      <w:pPr>
        <w:pStyle w:val="11odst"/>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B87F99">
      <w:pPr>
        <w:pStyle w:val="11odst"/>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B87F9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B87F9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B87F99">
      <w:pPr>
        <w:pStyle w:val="11odst"/>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B87F9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B87F99">
      <w:pPr>
        <w:pStyle w:val="11odst"/>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84B4412" w14:textId="6F731083" w:rsidR="00AD12AE" w:rsidRPr="00ED6198" w:rsidRDefault="00841C27" w:rsidP="00B87F99">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rsidRPr="00ED6198">
        <w:t xml:space="preserve">uživatel Předmětu </w:t>
      </w:r>
      <w:r w:rsidR="00DA337F" w:rsidRPr="00ED6198">
        <w:t>Smlouvy</w:t>
      </w:r>
      <w:r w:rsidR="00036411" w:rsidRPr="00ED6198">
        <w:t>.</w:t>
      </w:r>
    </w:p>
    <w:bookmarkEnd w:id="42"/>
    <w:p w14:paraId="1892D8BC" w14:textId="16F95682" w:rsidR="00841C27" w:rsidRPr="00ED6198" w:rsidRDefault="00841C27" w:rsidP="00B87F9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B87F9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B87F9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7D13585" w14:textId="60E7ADC1" w:rsidR="004350C6" w:rsidRPr="00ED6198" w:rsidRDefault="00841C27" w:rsidP="00B87F9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B87F99">
      <w:pPr>
        <w:pStyle w:val="11odst"/>
      </w:pPr>
      <w:r w:rsidRPr="00ED6198">
        <w:rPr>
          <w:b/>
          <w:bCs/>
        </w:rPr>
        <w:lastRenderedPageBreak/>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B87F9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B87F99">
      <w:pPr>
        <w:pStyle w:val="11odst"/>
        <w:numPr>
          <w:ilvl w:val="0"/>
          <w:numId w:val="0"/>
        </w:numPr>
        <w:ind w:left="1106"/>
      </w:pPr>
      <w:r w:rsidRPr="00ED6198">
        <w:t>Kategorizace Požadavků dle důležitosti:</w:t>
      </w:r>
    </w:p>
    <w:p w14:paraId="6DC56511" w14:textId="3FA9669B" w:rsidR="00B46F93" w:rsidRPr="00ED6198" w:rsidRDefault="00B46F93" w:rsidP="00B87F99">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B87F99">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B87F99">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B87F9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B87F9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B87F9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B87F9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B87F9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B87F9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B87F9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B87F9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B87F99">
      <w:pPr>
        <w:pStyle w:val="11odst"/>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B87F99">
      <w:pPr>
        <w:pStyle w:val="11odst"/>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5B239906" w:rsidR="00A80735" w:rsidRPr="00ED6198" w:rsidRDefault="009F646D" w:rsidP="00B87F99">
      <w:pPr>
        <w:pStyle w:val="11odst"/>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w:t>
      </w:r>
      <w:r w:rsidR="00A52D16">
        <w:t>Incidentů a P</w:t>
      </w:r>
      <w:r w:rsidR="00A52D16" w:rsidRPr="00ED6198">
        <w:t>ožadavků</w:t>
      </w:r>
      <w:r w:rsidR="002F0D17" w:rsidRPr="00ED6198">
        <w:t xml:space="preserve">, </w:t>
      </w:r>
      <w:r w:rsidR="0028597C">
        <w:t xml:space="preserve">vznášení </w:t>
      </w:r>
      <w:r w:rsidR="00397F8E">
        <w:t xml:space="preserve">dotazů </w:t>
      </w:r>
      <w:r w:rsidR="0028597C">
        <w:t>k Plnění</w:t>
      </w:r>
      <w:r w:rsidR="002F0D17" w:rsidRPr="00ED6198">
        <w:t xml:space="preserve">, </w:t>
      </w:r>
      <w:r w:rsidR="0028597C">
        <w:t xml:space="preserve">získávání </w:t>
      </w:r>
      <w:r w:rsidR="002F0D17" w:rsidRPr="00ED6198">
        <w:t xml:space="preserve">odpovědí </w:t>
      </w:r>
      <w:r w:rsidR="0028597C">
        <w:t xml:space="preserve">ve vztahu k Plnění </w:t>
      </w:r>
      <w:r w:rsidR="002F0D17" w:rsidRPr="00ED6198">
        <w:t xml:space="preserve">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B87F99">
      <w:pPr>
        <w:pStyle w:val="11odst"/>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B87F9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77777777" w:rsidR="007C5437" w:rsidRPr="00CB5685" w:rsidRDefault="002E5973" w:rsidP="007C5437">
      <w:pPr>
        <w:pStyle w:val="11odst"/>
        <w:rPr>
          <w:b/>
          <w:bCs/>
        </w:rPr>
      </w:pPr>
      <w:r>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B87F99">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49465601" w:rsidR="005E0D14" w:rsidRPr="00ED6198" w:rsidRDefault="005E0D14" w:rsidP="00B87F99">
      <w:pPr>
        <w:pStyle w:val="11odst"/>
      </w:pPr>
      <w:bookmarkStart w:id="43" w:name="_Ref183179968"/>
      <w:r w:rsidRPr="00ED6198">
        <w:rPr>
          <w:b/>
          <w:bCs/>
        </w:rPr>
        <w:lastRenderedPageBreak/>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3"/>
    </w:p>
    <w:p w14:paraId="701C7643" w14:textId="0A75A9A3" w:rsidR="005E0D14" w:rsidRPr="00ED6198" w:rsidRDefault="005E0D14" w:rsidP="00B87F99">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B87F99">
      <w:pPr>
        <w:pStyle w:val="aodst"/>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B87F99">
      <w:pPr>
        <w:pStyle w:val="aodst"/>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B87F99">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B87F9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B87F9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B87F9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B87F9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B87F9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B87F99">
      <w:pPr>
        <w:pStyle w:val="11odst"/>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B87F9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B87F9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B87F9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B87F9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B87F99">
      <w:pPr>
        <w:pStyle w:val="11odst"/>
      </w:pPr>
      <w:r w:rsidRPr="00ED6198">
        <w:rPr>
          <w:b/>
          <w:bCs/>
        </w:rPr>
        <w:lastRenderedPageBreak/>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B87F9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B87F9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B87F99">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B87F99">
      <w:pPr>
        <w:pStyle w:val="aodst"/>
      </w:pPr>
      <w:r w:rsidRPr="00335BA4">
        <w:t>změny autentizačních mechanismů,</w:t>
      </w:r>
    </w:p>
    <w:p w14:paraId="55BEE66C" w14:textId="29B37317" w:rsidR="009364A6" w:rsidRPr="00335BA4" w:rsidRDefault="009364A6" w:rsidP="00B87F99">
      <w:pPr>
        <w:pStyle w:val="aodst"/>
      </w:pPr>
      <w:r w:rsidRPr="00335BA4">
        <w:t>přidání, změna nebo odebrání služeb, informačních systémů/aplikací nebo ochranných systémů,</w:t>
      </w:r>
    </w:p>
    <w:p w14:paraId="64530063" w14:textId="4F9208A5" w:rsidR="009364A6" w:rsidRPr="00335BA4" w:rsidRDefault="009364A6" w:rsidP="00B87F99">
      <w:pPr>
        <w:pStyle w:val="aodst"/>
      </w:pPr>
      <w:r w:rsidRPr="00335BA4">
        <w:t>změny, které umožňují sdílení informací, služeb nebo zdrojů mimo provozní prostředí,</w:t>
      </w:r>
    </w:p>
    <w:p w14:paraId="30628260" w14:textId="02864424" w:rsidR="009364A6" w:rsidRPr="00335BA4" w:rsidRDefault="009364A6" w:rsidP="00B87F99">
      <w:pPr>
        <w:pStyle w:val="aodst"/>
      </w:pPr>
      <w:r w:rsidRPr="00335BA4">
        <w:t>změny opatření pro zajištění bezpečnosti vzdáleného přístupu,</w:t>
      </w:r>
    </w:p>
    <w:p w14:paraId="79471B95" w14:textId="7421660E" w:rsidR="009364A6" w:rsidRPr="00335BA4" w:rsidRDefault="009364A6" w:rsidP="00B87F99">
      <w:pPr>
        <w:pStyle w:val="aodst"/>
      </w:pPr>
      <w:r w:rsidRPr="00335BA4">
        <w:t>zavedení skriptů pro automatické přihlášení,</w:t>
      </w:r>
    </w:p>
    <w:p w14:paraId="4055147B" w14:textId="04AE2FD8" w:rsidR="009364A6" w:rsidRPr="00335BA4" w:rsidRDefault="009364A6" w:rsidP="00B87F99">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B87F9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B87F9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B87F9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B87F99">
      <w:pPr>
        <w:pStyle w:val="11odst"/>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B87F9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B87F9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B87F9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B87F9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01908806" w:rsidR="00674222" w:rsidRPr="00ED6198" w:rsidRDefault="00674222" w:rsidP="00664159">
      <w:pPr>
        <w:pStyle w:val="11odst"/>
      </w:pPr>
      <w:r>
        <w:t xml:space="preserve">Dodavatel je povinen se </w:t>
      </w:r>
      <w:proofErr w:type="spellStart"/>
      <w:r>
        <w:t>seznámi</w:t>
      </w:r>
      <w:proofErr w:type="spellEnd"/>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rsidP="00B87F99">
      <w:pPr>
        <w:pStyle w:val="Nadpissl"/>
      </w:pPr>
      <w:bookmarkStart w:id="44" w:name="_Toc119490212"/>
      <w:r w:rsidRPr="00ED6198">
        <w:lastRenderedPageBreak/>
        <w:t>Doba a místo plnění</w:t>
      </w:r>
      <w:bookmarkEnd w:id="44"/>
    </w:p>
    <w:p w14:paraId="5803989B" w14:textId="468A5BD4" w:rsidR="006B3197" w:rsidRPr="00ED6198" w:rsidRDefault="000B7F31" w:rsidP="00B87F9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B87F9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B87F9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B87F9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B87F99">
      <w:pPr>
        <w:pStyle w:val="11odst"/>
      </w:pPr>
      <w:r w:rsidRPr="00335BA4">
        <w:t>Dodavatel bere na vědomí, že přístup k IT prostředí Objednatele:</w:t>
      </w:r>
    </w:p>
    <w:p w14:paraId="3899E616" w14:textId="074BED26" w:rsidR="00CF1F28" w:rsidRPr="00335BA4" w:rsidRDefault="00CF1F28" w:rsidP="00B87F99">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B87F99">
      <w:pPr>
        <w:pStyle w:val="aodst"/>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B87F99">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B87F99">
      <w:pPr>
        <w:pStyle w:val="Nadpissl"/>
      </w:pPr>
      <w:bookmarkStart w:id="45" w:name="_Toc119490213"/>
      <w:r w:rsidRPr="00ED6198">
        <w:t>P</w:t>
      </w:r>
      <w:r w:rsidR="000301CA" w:rsidRPr="00ED6198">
        <w:t>ráva a povinnosti obou stran</w:t>
      </w:r>
      <w:bookmarkEnd w:id="45"/>
    </w:p>
    <w:p w14:paraId="7F5006C1" w14:textId="53772240" w:rsidR="000F4091" w:rsidRPr="00ED6198" w:rsidRDefault="00EA4502" w:rsidP="00B87F9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B87F99">
      <w:pPr>
        <w:pStyle w:val="11odst"/>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B87F99">
      <w:pPr>
        <w:pStyle w:val="Nadpissl"/>
      </w:pPr>
      <w:bookmarkStart w:id="46" w:name="_Toc119490214"/>
      <w:r w:rsidRPr="00ED6198">
        <w:t xml:space="preserve">Povinnosti </w:t>
      </w:r>
      <w:r w:rsidR="00197141" w:rsidRPr="00ED6198">
        <w:t>Dodavatele</w:t>
      </w:r>
      <w:bookmarkEnd w:id="46"/>
    </w:p>
    <w:p w14:paraId="1269C5B2" w14:textId="50556BE5" w:rsidR="000301CA" w:rsidRPr="00ED6198" w:rsidRDefault="00197141" w:rsidP="00B87F9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B87F99">
      <w:pPr>
        <w:pStyle w:val="11odst"/>
      </w:pPr>
      <w:bookmarkStart w:id="47"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47"/>
    </w:p>
    <w:p w14:paraId="7ED1EB24" w14:textId="00D52134" w:rsidR="000301CA" w:rsidRPr="00ED6198" w:rsidRDefault="00197141" w:rsidP="00B87F99">
      <w:pPr>
        <w:pStyle w:val="11odst"/>
      </w:pPr>
      <w:r w:rsidRPr="00ED6198">
        <w:lastRenderedPageBreak/>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B87F99">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5CA8613" w:rsidR="001A4073" w:rsidRPr="00ED6198" w:rsidRDefault="000301CA" w:rsidP="00B87F99">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B87F99">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B87F99">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B87F99">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B87F99">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B87F99">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B87F99">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B87F99">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B87F99">
      <w:pPr>
        <w:pStyle w:val="Nadpissl"/>
      </w:pPr>
      <w:bookmarkStart w:id="48" w:name="_Toc28452702"/>
      <w:bookmarkStart w:id="49" w:name="_Toc119490215"/>
      <w:bookmarkEnd w:id="48"/>
      <w:r w:rsidRPr="00ED6198">
        <w:t>Povinnosti objednatele</w:t>
      </w:r>
      <w:bookmarkEnd w:id="49"/>
    </w:p>
    <w:p w14:paraId="5297DEE9" w14:textId="653D9E13" w:rsidR="000301CA" w:rsidRPr="00CB0896" w:rsidRDefault="000301CA" w:rsidP="00B87F9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B87F99">
      <w:pPr>
        <w:pStyle w:val="Nadpissl"/>
      </w:pPr>
      <w:bookmarkStart w:id="50" w:name="_Ref115695706"/>
      <w:bookmarkStart w:id="51" w:name="_Toc119490216"/>
      <w:r w:rsidRPr="00ED6198">
        <w:lastRenderedPageBreak/>
        <w:t>L</w:t>
      </w:r>
      <w:r w:rsidR="00A11B07" w:rsidRPr="00ED6198">
        <w:t>icenční ujednání</w:t>
      </w:r>
      <w:bookmarkEnd w:id="50"/>
      <w:bookmarkEnd w:id="51"/>
    </w:p>
    <w:p w14:paraId="176EAED8" w14:textId="2F519DAF" w:rsidR="00541136" w:rsidRDefault="00B142B4" w:rsidP="00664159">
      <w:pPr>
        <w:pStyle w:val="11odst"/>
      </w:pPr>
      <w:bookmarkStart w:id="52" w:name="_Ref118295046"/>
      <w:bookmarkStart w:id="53" w:name="_Ref118361583"/>
      <w:bookmarkStart w:id="54" w:name="_Ref118361692"/>
      <w:bookmarkStart w:id="55"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4424C">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4424C">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4424C">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4424C">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B87F99" w:rsidRDefault="00A065EC" w:rsidP="00B87F99">
      <w:pPr>
        <w:pStyle w:val="11odst"/>
        <w:rPr>
          <w:b/>
        </w:rPr>
      </w:pPr>
      <w:bookmarkStart w:id="56" w:name="_Ref182566975"/>
      <w:bookmarkEnd w:id="52"/>
      <w:bookmarkEnd w:id="53"/>
      <w:bookmarkEnd w:id="54"/>
      <w:bookmarkEnd w:id="55"/>
      <w:r w:rsidRPr="00CB5685">
        <w:rPr>
          <w:b/>
          <w:bCs/>
        </w:rPr>
        <w:t>Postoupení výkonu autorských majetkových práv</w:t>
      </w:r>
      <w:r w:rsidR="004907FD">
        <w:rPr>
          <w:b/>
          <w:bCs/>
        </w:rPr>
        <w:t xml:space="preserve"> k </w:t>
      </w:r>
      <w:r w:rsidR="004907FD" w:rsidRPr="00B87F99">
        <w:rPr>
          <w:b/>
        </w:rPr>
        <w:t>Software</w:t>
      </w:r>
      <w:bookmarkEnd w:id="56"/>
    </w:p>
    <w:p w14:paraId="5712844C" w14:textId="2C6BDE00" w:rsidR="00283BA7" w:rsidRPr="00335BA4" w:rsidRDefault="0075610B" w:rsidP="00B87F99">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6402CEE0" w:rsidR="00283BA7" w:rsidRPr="00335BA4" w:rsidRDefault="007F3E06" w:rsidP="00B87F99">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A667CE">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r w:rsidR="00AE3255">
        <w:rPr>
          <w:noProof/>
        </w:rPr>
        <w:t>=</w:t>
      </w:r>
    </w:p>
    <w:p w14:paraId="5C8CBEBA" w14:textId="29A7B1E9" w:rsidR="0075610B" w:rsidRPr="00335BA4" w:rsidRDefault="0075610B" w:rsidP="00B87F99">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06619F">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9128CB">
        <w:t>7</w:t>
      </w:r>
      <w:r w:rsidR="009128CB">
        <w:fldChar w:fldCharType="end"/>
      </w:r>
      <w:r w:rsidR="0048153E" w:rsidRPr="00335BA4">
        <w:t xml:space="preserve"> ZOP</w:t>
      </w:r>
      <w:r w:rsidR="005E0D14" w:rsidRPr="00335BA4">
        <w:t>.</w:t>
      </w:r>
    </w:p>
    <w:p w14:paraId="716B450C" w14:textId="7B308E51" w:rsidR="00DF138D" w:rsidRPr="00335BA4" w:rsidRDefault="007A2C04" w:rsidP="00B87F99">
      <w:pPr>
        <w:pStyle w:val="111odst"/>
      </w:pPr>
      <w:r w:rsidRPr="00335BA4">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05869140" w:rsidR="007311BD" w:rsidRPr="00335BA4" w:rsidRDefault="007A2C04" w:rsidP="00B87F99">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167F0391" w:rsidR="00A64DFE" w:rsidRPr="00335BA4" w:rsidRDefault="00A64DFE" w:rsidP="00B87F99">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385D2F6B" w:rsidR="00A64DFE" w:rsidRPr="00335BA4" w:rsidRDefault="00A64DFE" w:rsidP="00B87F99">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D31871">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D31871">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D31871">
        <w:t>6.6</w:t>
      </w:r>
      <w:r w:rsidR="00CF75CD">
        <w:fldChar w:fldCharType="end"/>
      </w:r>
      <w:r w:rsidRPr="00335BA4">
        <w:t xml:space="preserve"> </w:t>
      </w:r>
      <w:r w:rsidR="00AD757A" w:rsidRPr="00335BA4">
        <w:t>ZOP</w:t>
      </w:r>
      <w:r w:rsidRPr="00335BA4">
        <w:t xml:space="preserve"> tímto nejsou dotčena.</w:t>
      </w:r>
    </w:p>
    <w:p w14:paraId="14C64D71" w14:textId="5B799F83" w:rsidR="004A0FE4" w:rsidRDefault="00E47F1D" w:rsidP="00B87F99">
      <w:pPr>
        <w:pStyle w:val="111odst"/>
      </w:pPr>
      <w:bookmarkStart w:id="57"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2A05539B" w:rsidR="003A4554" w:rsidRPr="00CB5685" w:rsidRDefault="00A065EC" w:rsidP="00E44840">
      <w:pPr>
        <w:pStyle w:val="11odst"/>
        <w:rPr>
          <w:b/>
          <w:bCs/>
        </w:rPr>
      </w:pPr>
      <w:bookmarkStart w:id="58" w:name="_Ref182570958"/>
      <w:bookmarkStart w:id="59" w:name="_Ref516734271"/>
      <w:bookmarkStart w:id="60" w:name="_Ref516153256"/>
      <w:bookmarkEnd w:id="57"/>
      <w:r w:rsidRPr="00CB5685">
        <w:rPr>
          <w:b/>
          <w:bCs/>
        </w:rPr>
        <w:t>Nevýhradní licence</w:t>
      </w:r>
      <w:r w:rsidR="00037057" w:rsidRPr="00CB5685">
        <w:rPr>
          <w:b/>
          <w:bCs/>
        </w:rPr>
        <w:t xml:space="preserve"> </w:t>
      </w:r>
      <w:r w:rsidR="004907FD" w:rsidRPr="00CB5685">
        <w:rPr>
          <w:b/>
          <w:bCs/>
        </w:rPr>
        <w:t>k Software</w:t>
      </w:r>
      <w:bookmarkEnd w:id="58"/>
    </w:p>
    <w:p w14:paraId="1F9DF28B" w14:textId="2294FD44" w:rsidR="00711932" w:rsidRDefault="002833C9" w:rsidP="00E44840">
      <w:pPr>
        <w:pStyle w:val="111odst"/>
      </w:pPr>
      <w:bookmarkStart w:id="61" w:name="_Ref181037867"/>
      <w:bookmarkStart w:id="62" w:name="_Ref181038574"/>
      <w:bookmarkStart w:id="63" w:name="_Ref118290286"/>
      <w:bookmarkStart w:id="64"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2496B">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4146A2">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1"/>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2"/>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4146A2" w:rsidRPr="00E44840">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3FAABEFB" w:rsidR="0016603A" w:rsidRDefault="0039126B" w:rsidP="00C218D5">
      <w:pPr>
        <w:pStyle w:val="111odst"/>
      </w:pPr>
      <w:r w:rsidRPr="0039126B">
        <w:lastRenderedPageBreak/>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5D12E9C2"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65"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 xml:space="preserve">takto </w:t>
      </w:r>
      <w:proofErr w:type="spellStart"/>
      <w:r w:rsidR="009541DF">
        <w:t>upraven</w:t>
      </w:r>
      <w:r w:rsidR="00AA3890">
        <w:t>ný</w:t>
      </w:r>
      <w:proofErr w:type="spellEnd"/>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65"/>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2AF5F966"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71B7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736F3E0E"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66" w:name="_Ref182566999"/>
      <w:r w:rsidRPr="00E44840">
        <w:rPr>
          <w:b/>
          <w:bCs/>
        </w:rPr>
        <w:t>Licence ve vztahu ke Standardnímu Software</w:t>
      </w:r>
      <w:bookmarkEnd w:id="66"/>
    </w:p>
    <w:p w14:paraId="70DE0705" w14:textId="396D9233"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71B7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5213E0">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0DAC93C1"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30ACFF8C" w:rsidR="00171D64" w:rsidRDefault="00171D64" w:rsidP="00B87F99">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4DF3A2EA" w:rsidR="00644A28" w:rsidRDefault="00DC0E5C" w:rsidP="00B87F99">
      <w:pPr>
        <w:pStyle w:val="111odst"/>
      </w:pPr>
      <w:r>
        <w:t>Dodavatel</w:t>
      </w:r>
      <w:r w:rsidR="00644A28">
        <w:t xml:space="preserve"> je v rámci Licence k Standardnímu Software povinen zajistit poskytnutí podpory (</w:t>
      </w:r>
      <w:proofErr w:type="spellStart"/>
      <w:r w:rsidR="00644A28">
        <w:t>subscription</w:t>
      </w:r>
      <w:proofErr w:type="spellEnd"/>
      <w:r w:rsidR="00644A28">
        <w:t>/</w:t>
      </w:r>
      <w:proofErr w:type="spellStart"/>
      <w:r w:rsidR="00644A28">
        <w:t>license</w:t>
      </w:r>
      <w:proofErr w:type="spellEnd"/>
      <w:r w:rsidR="00644A28">
        <w:t xml:space="preserve"> </w:t>
      </w:r>
      <w:proofErr w:type="spellStart"/>
      <w:r w:rsidR="00644A28">
        <w:t>maintenance</w:t>
      </w:r>
      <w:proofErr w:type="spellEnd"/>
      <w:r w:rsidR="00644A28">
        <w:t>)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59"/>
    <w:bookmarkEnd w:id="60"/>
    <w:p w14:paraId="5130776E" w14:textId="4F8EDD2D"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5044050D" w:rsidR="00D87BD4" w:rsidRDefault="00D87BD4" w:rsidP="00B87F99">
      <w:pPr>
        <w:pStyle w:val="111odst"/>
      </w:pPr>
      <w:r>
        <w:t>Licence k Standardnímu Software se vztahuje ve stejné míře jako k Standardnímu Software taktéž na:</w:t>
      </w:r>
    </w:p>
    <w:p w14:paraId="3D533756" w14:textId="1C9669F8" w:rsidR="00D87BD4" w:rsidRDefault="00D87BD4" w:rsidP="00B87F99">
      <w:pPr>
        <w:pStyle w:val="aodst"/>
      </w:pPr>
      <w:r>
        <w:t xml:space="preserve">Aktualizaci, Modernizaci a Zásadní modernizaci Standardního Software, který je součástí </w:t>
      </w:r>
      <w:r w:rsidR="00D615FD">
        <w:t>Plnění</w:t>
      </w:r>
      <w:r>
        <w:t>;</w:t>
      </w:r>
    </w:p>
    <w:p w14:paraId="3C7EBA41" w14:textId="1C22551F" w:rsidR="00D87BD4" w:rsidRDefault="00D87BD4" w:rsidP="00B87F99">
      <w:pPr>
        <w:pStyle w:val="aodst"/>
      </w:pPr>
      <w:r>
        <w:lastRenderedPageBreak/>
        <w:t>Dokumentaci k Standardnímu Software specifikovanou v</w:t>
      </w:r>
      <w:r w:rsidR="00D615FD">
        <w:t>e Smlouvě nebo jejích přílohách</w:t>
      </w:r>
      <w:r>
        <w:t>;</w:t>
      </w:r>
    </w:p>
    <w:p w14:paraId="64BC2B8C" w14:textId="6C284D11" w:rsidR="00D87BD4" w:rsidRDefault="00D87BD4" w:rsidP="00B87F99">
      <w:pPr>
        <w:pStyle w:val="aodst"/>
      </w:pPr>
      <w:r>
        <w:t xml:space="preserve">Dokumentaci nad rámec Dokumentace k Standardnímu Software dle předchozího </w:t>
      </w:r>
      <w:r w:rsidR="00A52486">
        <w:t>písm.</w:t>
      </w:r>
      <w:r>
        <w:t>;</w:t>
      </w:r>
    </w:p>
    <w:p w14:paraId="21DF9532" w14:textId="189F8A34" w:rsidR="00D87BD4" w:rsidRDefault="00D87BD4" w:rsidP="00B87F99">
      <w:pPr>
        <w:pStyle w:val="aodst"/>
      </w:pPr>
      <w:r>
        <w:t xml:space="preserve">právo zužitkovat a vytěžovat Databáze obsažené ve Standardním Software, který je součástí </w:t>
      </w:r>
      <w:r w:rsidR="00E93676">
        <w:t>Plnění</w:t>
      </w:r>
      <w:r>
        <w:t>;</w:t>
      </w:r>
    </w:p>
    <w:p w14:paraId="68454DBA" w14:textId="69AC663D" w:rsidR="00D87BD4" w:rsidRDefault="00D87BD4" w:rsidP="00B87F99">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48501076"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07134BAB" w:rsidR="00720E31" w:rsidRDefault="00720E31" w:rsidP="00E44840">
      <w:pPr>
        <w:pStyle w:val="111odst"/>
      </w:pPr>
      <w:bookmarkStart w:id="67"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w:t>
      </w:r>
      <w:proofErr w:type="spellStart"/>
      <w:r>
        <w:t>lock</w:t>
      </w:r>
      <w:proofErr w:type="spellEnd"/>
      <w:r>
        <w:t xml:space="preserve">-in)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344251">
        <w:t>1.63</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67"/>
    </w:p>
    <w:p w14:paraId="0698E436" w14:textId="207BA841" w:rsidR="00720E31" w:rsidRDefault="00720E31" w:rsidP="00E44840">
      <w:pPr>
        <w:pStyle w:val="111odst"/>
      </w:pPr>
      <w:bookmarkStart w:id="68"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304DEA">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68"/>
    </w:p>
    <w:p w14:paraId="32778F6F" w14:textId="2299F0EA"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EF544A">
        <w:t>6.4</w:t>
      </w:r>
      <w:r w:rsidR="00EF544A">
        <w:fldChar w:fldCharType="end"/>
      </w:r>
      <w:r>
        <w:t xml:space="preserve"> </w:t>
      </w:r>
      <w:r w:rsidR="0068455A">
        <w:t>ZOP</w:t>
      </w:r>
      <w:r>
        <w:t>; nebo</w:t>
      </w:r>
    </w:p>
    <w:p w14:paraId="2FC6686C" w14:textId="1BBB18F8" w:rsidR="00720E31" w:rsidRDefault="00720E31" w:rsidP="00E44840">
      <w:pPr>
        <w:pStyle w:val="aodst"/>
      </w:pPr>
      <w:r>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D170E">
        <w:t>6.5.7</w:t>
      </w:r>
      <w:r w:rsidR="00FD170E">
        <w:fldChar w:fldCharType="end"/>
      </w:r>
      <w:r w:rsidR="00FD170E">
        <w:t xml:space="preserve"> </w:t>
      </w:r>
      <w:proofErr w:type="gramStart"/>
      <w:r w:rsidR="00FD170E">
        <w:t>ZOP</w:t>
      </w:r>
      <w:r w:rsidR="00FD170E" w:rsidDel="00FD170E">
        <w:t xml:space="preserve"> </w:t>
      </w:r>
      <w:r>
        <w:t>,</w:t>
      </w:r>
      <w:proofErr w:type="gramEnd"/>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3554F2">
        <w:t>6.5</w:t>
      </w:r>
      <w:r w:rsidR="003554F2">
        <w:fldChar w:fldCharType="end"/>
      </w:r>
      <w:r w:rsidR="003554F2">
        <w:t xml:space="preserve"> ZOP</w:t>
      </w:r>
      <w:r>
        <w:t>; nebo</w:t>
      </w:r>
    </w:p>
    <w:p w14:paraId="69A0BB91" w14:textId="57F10C55"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rsidR="002B49BE">
        <w:fldChar w:fldCharType="begin"/>
      </w:r>
      <w:r w:rsidR="002B49BE">
        <w:instrText xml:space="preserve"> REF _Ref182570958 \r \h </w:instrText>
      </w:r>
      <w:r w:rsidR="002B49BE">
        <w:fldChar w:fldCharType="separate"/>
      </w:r>
      <w:r w:rsidR="002B49BE">
        <w:t>6.4</w:t>
      </w:r>
      <w:r w:rsidR="002B49BE">
        <w:fldChar w:fldCharType="end"/>
      </w:r>
      <w:r w:rsidR="002B49BE">
        <w:t xml:space="preserve"> </w:t>
      </w:r>
      <w:proofErr w:type="gramStart"/>
      <w:r w:rsidR="002B49BE">
        <w:t>ZOP</w:t>
      </w:r>
      <w:r w:rsidR="002B49BE" w:rsidDel="002B49BE">
        <w:t xml:space="preserve"> </w:t>
      </w:r>
      <w:r>
        <w:t>,</w:t>
      </w:r>
      <w:proofErr w:type="gramEnd"/>
      <w:r>
        <w:t xml:space="preserve"> a to včetně Zdrojového kódu.</w:t>
      </w:r>
    </w:p>
    <w:p w14:paraId="56489CB1" w14:textId="067575C0"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52102B">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16283E">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287EEDE8"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7D791A">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C70218">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81315">
        <w:t>6.5.8</w:t>
      </w:r>
      <w:r w:rsidR="00F81315">
        <w:fldChar w:fldCharType="end"/>
      </w:r>
      <w:r w:rsidR="00F81315">
        <w:t xml:space="preserve"> ZOP</w:t>
      </w:r>
      <w:r>
        <w:t>.</w:t>
      </w:r>
      <w:r w:rsidR="00F81315">
        <w:t xml:space="preserve"> Objednatel není v takovém případě v prodlení.</w:t>
      </w:r>
    </w:p>
    <w:p w14:paraId="7F17CE37" w14:textId="3F3E30F6" w:rsidR="00650E11" w:rsidRPr="00E4337D" w:rsidRDefault="004D2521" w:rsidP="00B87F99">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C20D7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E81614">
        <w:t>6.6</w:t>
      </w:r>
      <w:r w:rsidR="00E81614">
        <w:fldChar w:fldCharType="end"/>
      </w:r>
      <w:r w:rsidRPr="00E4337D">
        <w:t xml:space="preserve"> ZOP se pro Standardní Software nepoužijí.</w:t>
      </w:r>
      <w:bookmarkEnd w:id="63"/>
      <w:bookmarkEnd w:id="64"/>
    </w:p>
    <w:p w14:paraId="7116C1AF" w14:textId="3D755ABB" w:rsidR="007036B7" w:rsidRPr="00B87F99" w:rsidRDefault="007036B7" w:rsidP="00B87F99">
      <w:pPr>
        <w:pStyle w:val="11odst"/>
        <w:rPr>
          <w:b/>
        </w:rPr>
      </w:pPr>
      <w:bookmarkStart w:id="69" w:name="_Toc26368452"/>
      <w:bookmarkStart w:id="70" w:name="_Ref182567042"/>
      <w:bookmarkEnd w:id="69"/>
      <w:r w:rsidRPr="00B87F99">
        <w:rPr>
          <w:b/>
        </w:rPr>
        <w:t xml:space="preserve">Software vztahující se k </w:t>
      </w:r>
      <w:r w:rsidR="005F5289" w:rsidRPr="00223FFA">
        <w:rPr>
          <w:b/>
          <w:bCs/>
        </w:rPr>
        <w:t>Hardwar</w:t>
      </w:r>
      <w:r w:rsidR="005C4CBD" w:rsidRPr="00223FFA">
        <w:rPr>
          <w:b/>
          <w:bCs/>
        </w:rPr>
        <w:t>e</w:t>
      </w:r>
      <w:bookmarkEnd w:id="70"/>
    </w:p>
    <w:p w14:paraId="65A31E87" w14:textId="6B99E05D" w:rsidR="004943CE" w:rsidRPr="001867B1" w:rsidRDefault="00E01D90" w:rsidP="00B87F99">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7C5AB432" w:rsidR="00FA6454" w:rsidRDefault="00FA6454" w:rsidP="00B87F99">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A6114">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A6114">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1" w:name="_Ref182566886"/>
      <w:r w:rsidRPr="00223FFA">
        <w:rPr>
          <w:b/>
          <w:bCs/>
        </w:rPr>
        <w:t>Společná ustanovení</w:t>
      </w:r>
      <w:bookmarkEnd w:id="71"/>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 xml:space="preserve">Dodavatel při </w:t>
      </w:r>
      <w:r w:rsidR="0089653F" w:rsidRPr="0089653F">
        <w:lastRenderedPageBreak/>
        <w:t>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22797329"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575338">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33EE383E" w:rsidR="00456641" w:rsidRDefault="002C2247" w:rsidP="00456641">
      <w:pPr>
        <w:pStyle w:val="111odst"/>
      </w:pPr>
      <w:r>
        <w:t>Dodavatel</w:t>
      </w:r>
      <w:r w:rsidRPr="00010902">
        <w:t xml:space="preserve"> prohlašuje, že je oprávněn udělit Objednateli veškerá oprávnění v souladu s tímto článkem </w:t>
      </w:r>
      <w:r>
        <w:t>ZOP</w:t>
      </w:r>
      <w:r w:rsidR="00E466C5">
        <w:t>,</w:t>
      </w:r>
      <w:r w:rsidRPr="00010902">
        <w:t xml:space="preserve"> má k takovému udělení veškeré potřebné souhlasy a </w:t>
      </w:r>
      <w:r>
        <w:t xml:space="preserve">jejich </w:t>
      </w:r>
      <w:r w:rsidRPr="00010902">
        <w:t xml:space="preserve">udělením Objednateli ani užíváním </w:t>
      </w:r>
      <w:r w:rsidR="000D0AE8">
        <w:t>Plnění</w:t>
      </w:r>
      <w:r w:rsidRPr="00010902">
        <w:t xml:space="preserve"> Objednatelem či uživateli Objednatele nebudou porušena práva duševního vlastnictví třetí osoby.</w:t>
      </w:r>
      <w:r w:rsidRPr="004F3790">
        <w:rPr>
          <w:noProof/>
        </w:rPr>
        <w:t xml:space="preserve"> </w:t>
      </w:r>
      <w:r>
        <w:rPr>
          <w:noProof/>
        </w:rPr>
        <w:t xml:space="preserve">Dodavatel odpovídá Objednateli za zajištění všech nezbytných oprávnění a souhlasů autora či autorů Software či Standardního Software k oprávněním udělovaným Objednateli dle tohoto </w:t>
      </w:r>
      <w:r w:rsidR="007A1FD9">
        <w:rPr>
          <w:noProof/>
        </w:rPr>
        <w:t>článku ZOP.</w:t>
      </w:r>
      <w:r w:rsidR="00456641" w:rsidRPr="00456641">
        <w:t xml:space="preserve"> </w:t>
      </w:r>
      <w:r w:rsidR="00456641">
        <w:t xml:space="preserve">Dodavatel se zavazuje poskytnout Objednateli o zajištění oprávnění a veškerých souhlasů dle </w:t>
      </w:r>
      <w:r w:rsidR="00EB592B">
        <w:t xml:space="preserve">tohoto článku ZOP </w:t>
      </w:r>
      <w:r w:rsidR="00456641">
        <w:t>písemné prohlášení a na výzvu Objednatele t</w:t>
      </w:r>
      <w:r w:rsidR="0069020B">
        <w:t>yto</w:t>
      </w:r>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2"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2"/>
    </w:p>
    <w:p w14:paraId="1465BFAE" w14:textId="71EEE65D"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A17F4D">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B87F99">
      <w:pPr>
        <w:pStyle w:val="Nadpissl"/>
      </w:pPr>
      <w:bookmarkStart w:id="73" w:name="_Toc119490217"/>
      <w:bookmarkStart w:id="74" w:name="_Ref182819536"/>
      <w:bookmarkStart w:id="75" w:name="_Ref183180023"/>
      <w:bookmarkStart w:id="76" w:name="_Ref183180095"/>
      <w:bookmarkStart w:id="77" w:name="_Ref183180124"/>
      <w:bookmarkStart w:id="78" w:name="_Ref183180383"/>
      <w:r w:rsidRPr="00ED6198">
        <w:t>Zdrojový kód</w:t>
      </w:r>
      <w:r w:rsidR="005F5289" w:rsidRPr="00ED6198">
        <w:t xml:space="preserve"> a dokumentace</w:t>
      </w:r>
      <w:bookmarkEnd w:id="73"/>
      <w:bookmarkEnd w:id="74"/>
      <w:bookmarkEnd w:id="75"/>
      <w:bookmarkEnd w:id="76"/>
      <w:bookmarkEnd w:id="77"/>
      <w:bookmarkEnd w:id="78"/>
    </w:p>
    <w:p w14:paraId="02A41F5D" w14:textId="67BD439F" w:rsidR="0065484F" w:rsidRPr="00ED6198" w:rsidRDefault="00A11B07" w:rsidP="00B87F9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B87F9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B87F9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B87F99">
      <w:pPr>
        <w:pStyle w:val="11odst"/>
      </w:pPr>
      <w:r w:rsidRPr="00ED6198">
        <w:lastRenderedPageBreak/>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B87F9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B87F99">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B87F99">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B87F99">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B87F99">
      <w:pPr>
        <w:pStyle w:val="aodst"/>
        <w:rPr>
          <w:szCs w:val="20"/>
        </w:rPr>
      </w:pPr>
      <w:r w:rsidRPr="00ED6198">
        <w:t>Technickou dokumentaci systému, pakliže se jedná o vícevrstvou architekturu, popis každé vrstvy zvlášť:</w:t>
      </w:r>
    </w:p>
    <w:p w14:paraId="2074F8F1" w14:textId="77777777" w:rsidR="0055737D" w:rsidRPr="0014427D" w:rsidRDefault="0055737D" w:rsidP="00B87F99">
      <w:pPr>
        <w:pStyle w:val="Odstavecseseznamem"/>
      </w:pPr>
      <w:r w:rsidRPr="0014427D">
        <w:t xml:space="preserve">Datová vrstva – popis datové </w:t>
      </w:r>
      <w:proofErr w:type="gramStart"/>
      <w:r w:rsidRPr="0014427D">
        <w:t>vrstvy,</w:t>
      </w:r>
      <w:proofErr w:type="gramEnd"/>
      <w:r w:rsidRPr="0014427D">
        <w:t xml:space="preserve"> čili tabulek v databázi včetně vazeb mezi tabulkami a včetně E-R schémat.</w:t>
      </w:r>
    </w:p>
    <w:p w14:paraId="427EFE02" w14:textId="77777777" w:rsidR="0055737D" w:rsidRPr="0014427D" w:rsidRDefault="0055737D" w:rsidP="00B87F99">
      <w:pPr>
        <w:pStyle w:val="Odstavecseseznamem"/>
      </w:pPr>
      <w:r w:rsidRPr="0014427D">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B87F99" w:rsidRDefault="0055737D" w:rsidP="00B87F99">
      <w:pPr>
        <w:pStyle w:val="Odstavecseseznamem"/>
      </w:pPr>
      <w:r w:rsidRPr="0014427D">
        <w:t xml:space="preserve">Prezentační vrstva </w:t>
      </w:r>
      <w:r w:rsidR="00427A8A" w:rsidRPr="0014427D">
        <w:t>–</w:t>
      </w:r>
      <w:r w:rsidRPr="0014427D">
        <w:t xml:space="preserve"> Dokumentace systému musí obsahovat drátové modely všech obrazovek uživatelského rozhraní včetně popisu funkcí prvků každé obrazovky</w:t>
      </w:r>
      <w:r w:rsidRPr="00B87F99">
        <w:t>.</w:t>
      </w:r>
    </w:p>
    <w:p w14:paraId="48F1F983" w14:textId="4EDD5C2E" w:rsidR="0055737D" w:rsidRPr="00ED6198" w:rsidRDefault="0055737D" w:rsidP="00B87F99">
      <w:pPr>
        <w:pStyle w:val="aodst"/>
      </w:pPr>
      <w:r w:rsidRPr="00ED6198">
        <w:t>Popis konfigurace provozního prostředí systému (serverová strana i klientská strana)</w:t>
      </w:r>
      <w:r w:rsidR="00615CEF">
        <w:t>.</w:t>
      </w:r>
    </w:p>
    <w:p w14:paraId="7CA4E2A0" w14:textId="77072313" w:rsidR="00ED6713" w:rsidRPr="00ED6198" w:rsidRDefault="0055737D" w:rsidP="00B87F99">
      <w:pPr>
        <w:pStyle w:val="aodst"/>
      </w:pPr>
      <w:r w:rsidRPr="00ED6198">
        <w:t>Dokumentace musí obsahovat soupis všech požadavků na nastavení hardwarových a softwarových komponent běhového prostředí jako jsou:</w:t>
      </w:r>
    </w:p>
    <w:p w14:paraId="79960249" w14:textId="68ECB0B5" w:rsidR="0055737D" w:rsidRPr="0014427D" w:rsidRDefault="0055737D" w:rsidP="00B87F99">
      <w:pPr>
        <w:pStyle w:val="Odstavecseseznamem"/>
      </w:pPr>
      <w:r w:rsidRPr="0014427D">
        <w:t>mapování souborových systémů</w:t>
      </w:r>
      <w:r w:rsidR="0048000E" w:rsidRPr="0014427D">
        <w:t>;</w:t>
      </w:r>
    </w:p>
    <w:p w14:paraId="6439BFFD" w14:textId="5B43F5BB" w:rsidR="00D3172A" w:rsidRPr="0014427D" w:rsidRDefault="0055737D" w:rsidP="00B87F99">
      <w:pPr>
        <w:pStyle w:val="Odstavecseseznamem"/>
      </w:pPr>
      <w:r w:rsidRPr="0014427D">
        <w:t>požadavky na operační paměť a procesory</w:t>
      </w:r>
      <w:r w:rsidR="0048000E" w:rsidRPr="0014427D">
        <w:t>;</w:t>
      </w:r>
    </w:p>
    <w:p w14:paraId="32C96FC4" w14:textId="1D26205D" w:rsidR="00E61F72" w:rsidRPr="0014427D" w:rsidRDefault="00D3172A" w:rsidP="00B87F99">
      <w:pPr>
        <w:pStyle w:val="Odstavecseseznamem"/>
      </w:pPr>
      <w:r w:rsidRPr="0014427D">
        <w:t xml:space="preserve">konfigurační parametry jednotlivých podpůrných </w:t>
      </w:r>
      <w:r w:rsidR="00980791" w:rsidRPr="0014427D">
        <w:t>Softwarových</w:t>
      </w:r>
      <w:r w:rsidRPr="0014427D">
        <w:t xml:space="preserve"> prostředků (např. specifika pro nastavení databáze, aplikačního serveru, webového serveru apod.)</w:t>
      </w:r>
      <w:r w:rsidR="0048000E" w:rsidRPr="0014427D">
        <w:t>.</w:t>
      </w:r>
    </w:p>
    <w:p w14:paraId="454883B9" w14:textId="7096976A" w:rsidR="00A50EBE" w:rsidRPr="00ED6198" w:rsidRDefault="00D3172A" w:rsidP="00B87F99">
      <w:pPr>
        <w:pStyle w:val="aodst"/>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B87F99">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B87F9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B87F99">
      <w:pPr>
        <w:pStyle w:val="Nadpissl"/>
      </w:pPr>
      <w:bookmarkStart w:id="79" w:name="_Toc522718164"/>
      <w:bookmarkStart w:id="80" w:name="_Toc522718166"/>
      <w:bookmarkStart w:id="81" w:name="_Toc522718168"/>
      <w:bookmarkStart w:id="82" w:name="_Toc522718169"/>
      <w:bookmarkStart w:id="83" w:name="_Toc522718172"/>
      <w:bookmarkStart w:id="84" w:name="_Toc522718174"/>
      <w:bookmarkStart w:id="85" w:name="_Toc522718184"/>
      <w:bookmarkStart w:id="86" w:name="_Toc119490218"/>
      <w:bookmarkStart w:id="87" w:name="_Ref182819643"/>
      <w:bookmarkStart w:id="88" w:name="_Ref182837520"/>
      <w:bookmarkStart w:id="89" w:name="_Ref183180044"/>
      <w:bookmarkEnd w:id="79"/>
      <w:bookmarkEnd w:id="80"/>
      <w:bookmarkEnd w:id="81"/>
      <w:bookmarkEnd w:id="82"/>
      <w:bookmarkEnd w:id="83"/>
      <w:bookmarkEnd w:id="84"/>
      <w:bookmarkEnd w:id="85"/>
      <w:r w:rsidRPr="00ED6198">
        <w:t>A</w:t>
      </w:r>
      <w:r w:rsidR="00442655" w:rsidRPr="00ED6198">
        <w:t>k</w:t>
      </w:r>
      <w:r w:rsidRPr="00ED6198">
        <w:t>ceptační řízení</w:t>
      </w:r>
      <w:bookmarkEnd w:id="86"/>
      <w:bookmarkEnd w:id="87"/>
      <w:bookmarkEnd w:id="88"/>
      <w:bookmarkEnd w:id="89"/>
    </w:p>
    <w:p w14:paraId="0928C3BB" w14:textId="4EAF0947" w:rsidR="00D60A29" w:rsidRPr="008154F1" w:rsidRDefault="00D60A29" w:rsidP="00664159">
      <w:pPr>
        <w:pStyle w:val="11odst"/>
        <w:rPr>
          <w:b/>
          <w:bCs/>
        </w:rPr>
      </w:pPr>
      <w:bookmarkStart w:id="90" w:name="_Ref182925243"/>
      <w:bookmarkStart w:id="91" w:name="_Toc374550723"/>
      <w:bookmarkStart w:id="92" w:name="_Toc397429859"/>
      <w:r w:rsidRPr="008154F1">
        <w:rPr>
          <w:b/>
          <w:bCs/>
        </w:rPr>
        <w:t>Akceptační řízení Předmětu Smlouvy</w:t>
      </w:r>
      <w:bookmarkEnd w:id="90"/>
    </w:p>
    <w:p w14:paraId="782B0556" w14:textId="7756170A" w:rsidR="003E784C" w:rsidRPr="00ED6198" w:rsidRDefault="000923C9" w:rsidP="00B87F99">
      <w:pPr>
        <w:pStyle w:val="111odst"/>
      </w:pPr>
      <w:r w:rsidRPr="00ED6198">
        <w:t xml:space="preserve">Předání a </w:t>
      </w:r>
      <w:proofErr w:type="gramStart"/>
      <w:r w:rsidRPr="00ED6198">
        <w:t xml:space="preserve">převzetí  </w:t>
      </w:r>
      <w:r w:rsidR="005A1708" w:rsidRPr="00ED6198">
        <w:t>Předmětu</w:t>
      </w:r>
      <w:proofErr w:type="gramEnd"/>
      <w:r w:rsidR="005A1708" w:rsidRPr="00ED6198">
        <w:t xml:space="preserve">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 xml:space="preserve">Služby nebo </w:t>
      </w:r>
      <w:r w:rsidR="00FF546F">
        <w:lastRenderedPageBreak/>
        <w:t>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0B3C4C">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112CDE">
        <w:t>8.3</w:t>
      </w:r>
      <w:r w:rsidR="00112CDE">
        <w:fldChar w:fldCharType="end"/>
      </w:r>
      <w:r w:rsidR="009A6F40">
        <w:t xml:space="preserve"> ZOP.</w:t>
      </w:r>
    </w:p>
    <w:p w14:paraId="758DA57E" w14:textId="6149788F" w:rsidR="000923C9" w:rsidRDefault="000923C9" w:rsidP="008154F1">
      <w:pPr>
        <w:pStyle w:val="111odst"/>
      </w:pPr>
      <w:bookmarkStart w:id="93"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93"/>
      <w:r w:rsidRPr="00ED6198">
        <w:t xml:space="preserve"> </w:t>
      </w:r>
    </w:p>
    <w:p w14:paraId="3352A78C" w14:textId="73691F3A" w:rsidR="001B7E7B" w:rsidRDefault="00EE4AA9" w:rsidP="008154F1">
      <w:pPr>
        <w:pStyle w:val="111odst"/>
      </w:pPr>
      <w:bookmarkStart w:id="94" w:name="_Ref182925421"/>
      <w:r>
        <w:t>Nestanoví-li Smlouva či její přílohy Akceptační kritéria, rozumí se jimi</w:t>
      </w:r>
      <w:r w:rsidR="00A363B7">
        <w:t>:</w:t>
      </w:r>
      <w:bookmarkEnd w:id="94"/>
    </w:p>
    <w:p w14:paraId="56421CDF" w14:textId="16CBB143" w:rsidR="00A363B7" w:rsidRDefault="00953575" w:rsidP="00B87F99">
      <w:pPr>
        <w:pStyle w:val="aodst"/>
      </w:pPr>
      <w:r>
        <w:t>v</w:t>
      </w:r>
      <w:r w:rsidR="00A363B7">
        <w:t>lastnosti a funkcionality uvedené ve specifikaci plnění</w:t>
      </w:r>
      <w:r w:rsidR="00134BFA">
        <w:t xml:space="preserve"> Objednatele</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001F1893">
        <w:t xml:space="preserve"> (je-li taková)</w:t>
      </w:r>
      <w:r w:rsidR="00F34F6B">
        <w:t xml:space="preserve">, </w:t>
      </w:r>
      <w:r w:rsidR="00F06EB0">
        <w:t xml:space="preserve">která je součástí Smlouvy, </w:t>
      </w:r>
      <w:r w:rsidR="00F34F6B">
        <w:t>a</w:t>
      </w:r>
    </w:p>
    <w:p w14:paraId="7F89B441" w14:textId="38A5F809"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71B77">
        <w:t>7</w:t>
      </w:r>
      <w:r w:rsidR="00671B77">
        <w:fldChar w:fldCharType="end"/>
      </w:r>
      <w:r>
        <w:t xml:space="preserve"> ZOP</w:t>
      </w:r>
      <w:r w:rsidR="00F06EB0">
        <w:t>.</w:t>
      </w:r>
    </w:p>
    <w:p w14:paraId="7DE8622F" w14:textId="4E8159B4" w:rsidR="00106487" w:rsidRDefault="00B3249C" w:rsidP="00B87F99">
      <w:pPr>
        <w:pStyle w:val="111odst"/>
      </w:pPr>
      <w:r>
        <w:t xml:space="preserve">Dodavatel </w:t>
      </w:r>
      <w:r w:rsidRPr="00B3249C">
        <w:t xml:space="preserve">je povinen písemně informovat Objednatele nejméně čtrnáct (14) dní předem o termínu předání </w:t>
      </w:r>
      <w:r>
        <w:t>Předmětu Smlouvy</w:t>
      </w:r>
      <w:r w:rsidR="0E16C530">
        <w:t xml:space="preserve"> či její části</w:t>
      </w:r>
      <w:r>
        <w:t>.</w:t>
      </w:r>
    </w:p>
    <w:p w14:paraId="21451058" w14:textId="7C6B4E6C" w:rsidR="001F1FCE" w:rsidRDefault="00D12A26" w:rsidP="00B87F99">
      <w:pPr>
        <w:pStyle w:val="111odst"/>
      </w:pPr>
      <w:bookmarkStart w:id="95"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proofErr w:type="spellStart"/>
      <w:r w:rsidR="00DF2317">
        <w:t>Dodavatem</w:t>
      </w:r>
      <w:proofErr w:type="spellEnd"/>
      <w:r w:rsidRPr="00D12A26">
        <w:t xml:space="preserve"> skutečně předán Objednateli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95"/>
    </w:p>
    <w:p w14:paraId="6E0DD37F" w14:textId="78094BCC" w:rsidR="000B588B" w:rsidRDefault="000B588B" w:rsidP="00B87F99">
      <w:pPr>
        <w:pStyle w:val="111odst"/>
      </w:pPr>
      <w:bookmarkStart w:id="96" w:name="_Ref182921754"/>
      <w:r>
        <w:t>Předmět Smlouvy je způsobilý k akceptaci Objednatelem, pokud:</w:t>
      </w:r>
      <w:bookmarkEnd w:id="96"/>
    </w:p>
    <w:p w14:paraId="3D95E633" w14:textId="0146C732" w:rsidR="00E9045B" w:rsidRDefault="00E9045B" w:rsidP="00B87F99">
      <w:pPr>
        <w:pStyle w:val="aodst"/>
      </w:pPr>
      <w:r>
        <w:t xml:space="preserve">splňuje Akceptační kritéria a současně nevykazuje žádnou Vadu kategorie A, B a C či jiné vady (zejména vady, pro které není vhodné dělení Vad dle </w:t>
      </w:r>
      <w:r w:rsidR="00352B4B">
        <w:t>ZOP</w:t>
      </w:r>
      <w:r>
        <w:t xml:space="preserve"> -&gt; např. některý HW měly-li být dle Návrhu řešení provedeny)</w:t>
      </w:r>
      <w:r w:rsidR="00524ED2">
        <w:t>,</w:t>
      </w:r>
      <w:r>
        <w:t xml:space="preserve"> pak Objednatel vyznačí na Akceptačním protokolu „</w:t>
      </w:r>
      <w:r w:rsidRPr="00B87F99">
        <w:rPr>
          <w:b/>
        </w:rPr>
        <w:t>Akceptováno</w:t>
      </w:r>
      <w:r>
        <w:t>“; nebo</w:t>
      </w:r>
    </w:p>
    <w:p w14:paraId="3AACF92F" w14:textId="79C2586D" w:rsidR="00E9045B" w:rsidRDefault="00E9045B" w:rsidP="00E9045B">
      <w:pPr>
        <w:pStyle w:val="aodst"/>
      </w:pPr>
      <w:bookmarkStart w:id="97" w:name="_Ref183017516"/>
      <w:r>
        <w:t>splňuje Akceptační kritéria a současně nevykazuje žádnou Vadu kategorie A, B a současně nemá více než:</w:t>
      </w:r>
      <w:bookmarkEnd w:id="97"/>
    </w:p>
    <w:p w14:paraId="18E064EE" w14:textId="484EFA44" w:rsidR="00E9045B" w:rsidRDefault="00BC32D5" w:rsidP="008154F1">
      <w:pPr>
        <w:pStyle w:val="Odstavecseseznamem"/>
      </w:pPr>
      <w:bookmarkStart w:id="98" w:name="_Ref183017455"/>
      <w:r>
        <w:t xml:space="preserve">30 </w:t>
      </w:r>
      <w:r w:rsidR="00E9045B">
        <w:t xml:space="preserve">Vad kategorie C nebo drobných vad, jež nebrání řádnému užívání </w:t>
      </w:r>
      <w:r w:rsidR="00A77666">
        <w:t>Předmětu Smlouvy</w:t>
      </w:r>
      <w:r w:rsidR="00E9045B">
        <w:t>,</w:t>
      </w:r>
      <w:r>
        <w:t xml:space="preserve"> </w:t>
      </w:r>
      <w:proofErr w:type="gramStart"/>
      <w:r>
        <w:t xml:space="preserve">je </w:t>
      </w:r>
      <w:proofErr w:type="spellStart"/>
      <w:r>
        <w:t>li</w:t>
      </w:r>
      <w:proofErr w:type="spellEnd"/>
      <w:proofErr w:type="gramEnd"/>
      <w:r>
        <w:t xml:space="preserve"> předmětem akceptace vytvoření Software či Dokumentace</w:t>
      </w:r>
      <w:bookmarkEnd w:id="98"/>
      <w:r>
        <w:t xml:space="preserve"> či vytvoření části Software či Dokumentace</w:t>
      </w:r>
    </w:p>
    <w:p w14:paraId="02AB5FBC" w14:textId="687572D1"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t>8.1.6</w:t>
      </w:r>
      <w:r>
        <w:fldChar w:fldCharType="end"/>
      </w:r>
      <w:r>
        <w:t xml:space="preserve"> </w:t>
      </w:r>
      <w:proofErr w:type="spellStart"/>
      <w:r>
        <w:t>písm</w:t>
      </w:r>
      <w:proofErr w:type="spellEnd"/>
      <w:r>
        <w:t xml:space="preserve"> </w:t>
      </w:r>
      <w:r>
        <w:fldChar w:fldCharType="begin"/>
      </w:r>
      <w:r>
        <w:instrText xml:space="preserve"> REF _Ref183017516 \r \h </w:instrText>
      </w:r>
      <w:r>
        <w:fldChar w:fldCharType="separate"/>
      </w:r>
      <w:r>
        <w:t>b</w:t>
      </w:r>
      <w:r>
        <w:fldChar w:fldCharType="end"/>
      </w:r>
      <w:r>
        <w:t xml:space="preserve">. </w:t>
      </w:r>
      <w:r>
        <w:fldChar w:fldCharType="begin"/>
      </w:r>
      <w:r>
        <w:instrText xml:space="preserve"> REF _Ref183017455 \r \h </w:instrText>
      </w:r>
      <w:r>
        <w:fldChar w:fldCharType="separate"/>
      </w:r>
      <w:r>
        <w:t>i</w:t>
      </w:r>
      <w:r>
        <w:fldChar w:fldCharType="end"/>
      </w:r>
      <w:r>
        <w:t>.</w:t>
      </w:r>
    </w:p>
    <w:p w14:paraId="738CC4AA" w14:textId="2FC73B25" w:rsidR="00E9045B" w:rsidRDefault="00E9045B" w:rsidP="00B87F99">
      <w:pPr>
        <w:ind w:left="1361"/>
      </w:pPr>
      <w:r>
        <w:t>pak Objednatel vyznačí na Akceptačním protokolu „</w:t>
      </w:r>
      <w:r w:rsidRPr="00B87F99">
        <w:rPr>
          <w:b/>
        </w:rPr>
        <w:t>Akceptováno s</w:t>
      </w:r>
      <w:r w:rsidRPr="008154F1">
        <w:rPr>
          <w:b/>
          <w:bCs/>
        </w:rPr>
        <w:t xml:space="preserve"> </w:t>
      </w:r>
      <w:r w:rsidRPr="00B87F99">
        <w:rPr>
          <w:b/>
        </w:rPr>
        <w:t>výhradou</w:t>
      </w:r>
      <w:r>
        <w:t>“.</w:t>
      </w:r>
    </w:p>
    <w:p w14:paraId="1D693C20" w14:textId="1BF134F8" w:rsidR="00676C44" w:rsidRDefault="00676C44" w:rsidP="00B87F99">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584278">
        <w:t>8.1.5</w:t>
      </w:r>
      <w:r w:rsidR="00584278">
        <w:fldChar w:fldCharType="end"/>
      </w:r>
      <w:r>
        <w:t xml:space="preserve"> </w:t>
      </w:r>
      <w:r w:rsidR="00584278">
        <w:t xml:space="preserve">ZOP </w:t>
      </w:r>
      <w:r>
        <w:t>vyznačí Objednatel na Akceptačním protokolu „</w:t>
      </w:r>
      <w:r w:rsidRPr="00B87F99">
        <w:rPr>
          <w:b/>
        </w:rPr>
        <w:t>Neakceptováno</w:t>
      </w:r>
      <w:r>
        <w:t>“.</w:t>
      </w:r>
    </w:p>
    <w:p w14:paraId="693463AD" w14:textId="515E8D5E"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7777777" w:rsidR="00676C44" w:rsidRPr="00B422A2" w:rsidRDefault="00676C44" w:rsidP="008154F1">
      <w:pPr>
        <w:pStyle w:val="aodst"/>
      </w:pPr>
      <w:r w:rsidRPr="00B422A2">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6A61BED8" w:rsidR="00676C44" w:rsidRDefault="00676C44" w:rsidP="00676C44">
      <w:pPr>
        <w:pStyle w:val="111odst"/>
        <w:widowControl w:val="0"/>
        <w:ind w:left="737" w:hanging="737"/>
        <w:outlineLvl w:val="3"/>
      </w:pPr>
      <w:r w:rsidRPr="001C2D9F">
        <w:t xml:space="preserve">Objednatel je povinen </w:t>
      </w:r>
      <w:r>
        <w:t xml:space="preserve">do třiceti (30) kalendářních dnů ode dne zahájení Akceptačního řízení posoudit </w:t>
      </w:r>
      <w:r w:rsidR="006665C6">
        <w:t>Předmět Smlouvy</w:t>
      </w:r>
      <w:r>
        <w:t xml:space="preserve"> postupem dle odst. </w:t>
      </w:r>
      <w:r w:rsidR="00C41CB1">
        <w:fldChar w:fldCharType="begin"/>
      </w:r>
      <w:r w:rsidR="00C41CB1">
        <w:instrText xml:space="preserve"> REF _Ref182922251 \r \h </w:instrText>
      </w:r>
      <w:r w:rsidR="00C41CB1">
        <w:fldChar w:fldCharType="separate"/>
      </w:r>
      <w:r w:rsidR="00C41CB1">
        <w:t>8.1.1</w:t>
      </w:r>
      <w:r w:rsidR="00C41CB1">
        <w:fldChar w:fldCharType="end"/>
      </w:r>
      <w:r w:rsidR="00C41CB1">
        <w:t xml:space="preserve"> ZOP</w:t>
      </w:r>
      <w:r>
        <w:t xml:space="preserve"> a v případě dle odst. </w:t>
      </w:r>
      <w:r w:rsidR="000D6E57">
        <w:fldChar w:fldCharType="begin"/>
      </w:r>
      <w:r w:rsidR="000D6E57">
        <w:instrText xml:space="preserve"> REF _Ref182921754 \r \h </w:instrText>
      </w:r>
      <w:r w:rsidR="000D6E57">
        <w:fldChar w:fldCharType="separate"/>
      </w:r>
      <w:r w:rsidR="000D6E57">
        <w:t>8.1.5</w:t>
      </w:r>
      <w:r w:rsidR="000D6E57">
        <w:fldChar w:fldCharType="end"/>
      </w:r>
      <w:r>
        <w:t xml:space="preserve"> </w:t>
      </w:r>
      <w:r w:rsidR="000D6E57">
        <w:t>ZOP</w:t>
      </w:r>
      <w:r>
        <w:t xml:space="preserve"> podepsat Akceptační protokol a vyznačit na něm „</w:t>
      </w:r>
      <w:r w:rsidRPr="008154F1">
        <w:rPr>
          <w:b/>
          <w:iCs/>
        </w:rPr>
        <w:t>Akceptováno</w:t>
      </w:r>
      <w:r w:rsidRPr="002D4678">
        <w:t>“</w:t>
      </w:r>
      <w:r>
        <w:t>, nebo „</w:t>
      </w:r>
      <w:r w:rsidRPr="008154F1">
        <w:rPr>
          <w:b/>
          <w:iCs/>
        </w:rPr>
        <w:t>Akceptováno s výhradou</w:t>
      </w:r>
      <w:r>
        <w:t>“ včetně vyznačení Vad/y či vad/y. V opačném případě je Objednatel povinen ve výše uvedené lhůtě podepsat Akceptační protokol společně s vyznačením „</w:t>
      </w:r>
      <w:r w:rsidRPr="008154F1">
        <w:rPr>
          <w:b/>
          <w:iCs/>
        </w:rPr>
        <w:t>Neakceptováno</w:t>
      </w:r>
      <w:r>
        <w:t xml:space="preserve">“ včetně </w:t>
      </w:r>
      <w:r>
        <w:lastRenderedPageBreak/>
        <w:t>vyznačení nesplněných Akceptačních kritérií nebo vyznačení Vad/y a jejich/její kategorizace (A, B nebo C) nebo vyznačení dalších vad.</w:t>
      </w:r>
    </w:p>
    <w:p w14:paraId="0CE93140" w14:textId="25E80B32"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 xml:space="preserve">Předmět </w:t>
      </w:r>
      <w:proofErr w:type="spellStart"/>
      <w:r w:rsidR="00736265">
        <w:t>Smloouvy</w:t>
      </w:r>
      <w:proofErr w:type="spellEnd"/>
      <w:r>
        <w:t xml:space="preserve"> proveden. </w:t>
      </w:r>
    </w:p>
    <w:p w14:paraId="3B8A397F" w14:textId="07A0DCCE" w:rsidR="006D55FB" w:rsidRDefault="00676C44" w:rsidP="00676C44">
      <w:pPr>
        <w:pStyle w:val="111odst"/>
        <w:widowControl w:val="0"/>
        <w:ind w:left="737" w:hanging="737"/>
        <w:outlineLvl w:val="3"/>
      </w:pPr>
      <w:bookmarkStart w:id="99" w:name="_Ref183001204"/>
      <w:r>
        <w:t>Podpis Akceptačního protokolu s vyznačením „</w:t>
      </w:r>
      <w:r w:rsidRPr="008154F1">
        <w:rPr>
          <w:b/>
          <w:i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BB3024">
        <w:t xml:space="preserve"> od podpisu Akceptačního protokolu s</w:t>
      </w:r>
      <w:r w:rsidR="00EC6964">
        <w:t> </w:t>
      </w:r>
      <w:r w:rsidR="00BB3024">
        <w:t>v</w:t>
      </w:r>
      <w:r w:rsidR="00EC6964">
        <w:t>yznačením „</w:t>
      </w:r>
      <w:r w:rsidR="00EC6964" w:rsidRPr="008154F1">
        <w:rPr>
          <w:b/>
          <w:iCs/>
        </w:rPr>
        <w:t>Akceptováno s výhradou</w:t>
      </w:r>
      <w:r w:rsidR="00EC6964">
        <w:rPr>
          <w:bCs/>
          <w:iCs/>
        </w:rPr>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 xml:space="preserve">vyznačených Vad či vad dle tohoto odstavce není Objednatel povinen </w:t>
      </w:r>
      <w:r w:rsidR="00E31379">
        <w:t xml:space="preserve">zaplatit 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99"/>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208F84DC"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B87F99">
        <w:rPr>
          <w:b/>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47886">
        <w:t>8.1.4</w:t>
      </w:r>
      <w:r w:rsidR="00F47886">
        <w:fldChar w:fldCharType="end"/>
      </w:r>
      <w:r w:rsidR="00F47886">
        <w:t xml:space="preserve"> ZOP.</w:t>
      </w:r>
    </w:p>
    <w:p w14:paraId="0C1CFB0A" w14:textId="7483AFE3" w:rsidR="006730E8" w:rsidRDefault="00124E0D" w:rsidP="00664159">
      <w:pPr>
        <w:pStyle w:val="11odst"/>
      </w:pPr>
      <w:bookmarkStart w:id="100" w:name="_Ref182924336"/>
      <w:r w:rsidRPr="008154F1">
        <w:rPr>
          <w:b/>
          <w:bCs/>
        </w:rPr>
        <w:t xml:space="preserve">Akceptační </w:t>
      </w:r>
      <w:r w:rsidR="00D60A29" w:rsidRPr="008154F1">
        <w:rPr>
          <w:b/>
          <w:bCs/>
        </w:rPr>
        <w:t>řízení ve vztahu ke Službám</w:t>
      </w:r>
      <w:bookmarkEnd w:id="100"/>
      <w:r w:rsidR="006A50C1" w:rsidRPr="00ED6198">
        <w:t xml:space="preserve"> </w:t>
      </w:r>
    </w:p>
    <w:p w14:paraId="23647652" w14:textId="2E0BBD57"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A31D1">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BE4695">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4241D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rsidRPr="006006A0">
        <w:t xml:space="preserve">vlastnosti a funkcionality uvedené ve specifikaci plnění Objednatele, která je součástí </w:t>
      </w:r>
      <w:r w:rsidR="00354863">
        <w:t xml:space="preserve">dílčí smlouvy uzavřené na základě </w:t>
      </w:r>
      <w:r w:rsidR="00C24741">
        <w:t>Smlouvy</w:t>
      </w:r>
      <w:r w:rsidRPr="006006A0">
        <w:t>, a dále vlastnosti a funkcionality uvedené ve specifikaci plnění Dodavatele</w:t>
      </w:r>
      <w:r w:rsidR="00DA7917">
        <w:t xml:space="preserve"> (je-li taková)</w:t>
      </w:r>
      <w:r w:rsidRPr="006006A0">
        <w:t xml:space="preserve">, která je </w:t>
      </w:r>
      <w:r w:rsidR="00C24741">
        <w:t>součástí dílčí smlouvy</w:t>
      </w:r>
      <w:r w:rsidR="002D7031">
        <w:t>, a</w:t>
      </w:r>
    </w:p>
    <w:p w14:paraId="2B692DAF" w14:textId="52294ACF"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71B77">
        <w:t>7</w:t>
      </w:r>
      <w:r w:rsidR="00671B77">
        <w:fldChar w:fldCharType="end"/>
      </w:r>
      <w:r>
        <w:t xml:space="preserve"> ZOP.</w:t>
      </w:r>
    </w:p>
    <w:p w14:paraId="3F478B3F" w14:textId="1E9EE439" w:rsidR="00AC4DD4" w:rsidRDefault="00AC4DD4" w:rsidP="00B87F99">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CE89D4D" w:rsidR="00DA3139" w:rsidRDefault="00AC4DD4" w:rsidP="00B87F99">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p>
    <w:p w14:paraId="45CB9609" w14:textId="42E76159" w:rsidR="00D60A29" w:rsidRPr="00B87F99" w:rsidRDefault="000B3C4C" w:rsidP="00B87F99">
      <w:pPr>
        <w:pStyle w:val="11odst"/>
        <w:rPr>
          <w:b/>
        </w:rPr>
      </w:pPr>
      <w:bookmarkStart w:id="101" w:name="_Ref182924705"/>
      <w:r w:rsidRPr="00B87F99">
        <w:rPr>
          <w:b/>
        </w:rPr>
        <w:t xml:space="preserve">Akceptační řízení </w:t>
      </w:r>
      <w:r w:rsidRPr="008154F1">
        <w:rPr>
          <w:b/>
          <w:bCs/>
        </w:rPr>
        <w:t xml:space="preserve">ve vztahu </w:t>
      </w:r>
      <w:r w:rsidR="006C6CA8" w:rsidRPr="008154F1">
        <w:rPr>
          <w:b/>
          <w:bCs/>
        </w:rPr>
        <w:t>k Paušálním službám</w:t>
      </w:r>
      <w:bookmarkEnd w:id="101"/>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w:t>
      </w:r>
      <w:r>
        <w:lastRenderedPageBreak/>
        <w:t xml:space="preserve">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34A8964"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376788E9" w:rsidR="00722EAD" w:rsidRDefault="00722EAD" w:rsidP="008154F1">
      <w:pPr>
        <w:pStyle w:val="111odst"/>
      </w:pPr>
      <w:r>
        <w:t xml:space="preserve">V případě, že předmětem školení je </w:t>
      </w:r>
      <w:proofErr w:type="spellStart"/>
      <w:r>
        <w:t>hands</w:t>
      </w:r>
      <w:proofErr w:type="spellEnd"/>
      <w:r w:rsidR="00BC32D5">
        <w:t>-on školení</w:t>
      </w:r>
      <w:r w:rsidR="00530640">
        <w:t>,</w:t>
      </w:r>
      <w:r w:rsidR="00BC32D5">
        <w:t xml:space="preserve"> je školení řádn</w:t>
      </w:r>
      <w:r w:rsidR="13F230B2">
        <w:t>ě</w:t>
      </w:r>
      <w:r w:rsidR="00BC32D5">
        <w:t xml:space="preserve"> provedeno akceptací výstupu, který byl předmětem </w:t>
      </w:r>
      <w:proofErr w:type="spellStart"/>
      <w:r w:rsidR="00BC32D5">
        <w:t>hands</w:t>
      </w:r>
      <w:proofErr w:type="spellEnd"/>
      <w:r w:rsidR="00BC32D5">
        <w:t xml:space="preserve">-on školení dle odst. </w:t>
      </w:r>
      <w:r>
        <w:fldChar w:fldCharType="begin"/>
      </w:r>
      <w:r>
        <w:instrText xml:space="preserve"> REF _Ref182925243 \r \h </w:instrText>
      </w:r>
      <w:r>
        <w:fldChar w:fldCharType="separate"/>
      </w:r>
      <w:r w:rsidR="00BC32D5">
        <w:t>8.1</w:t>
      </w:r>
      <w:r>
        <w:fldChar w:fldCharType="end"/>
      </w:r>
      <w:r w:rsidR="00BC32D5">
        <w:t xml:space="preserve"> ZOP.</w:t>
      </w:r>
    </w:p>
    <w:p w14:paraId="65B18FD9" w14:textId="2257ECC5" w:rsidR="00DF267C" w:rsidRDefault="00DF267C" w:rsidP="004053CD">
      <w:pPr>
        <w:pStyle w:val="11odst"/>
        <w:rPr>
          <w:b/>
          <w:bCs/>
        </w:rPr>
      </w:pPr>
      <w:bookmarkStart w:id="102" w:name="_Ref183162797"/>
      <w:r w:rsidRPr="002E3C0F">
        <w:rPr>
          <w:b/>
          <w:bCs/>
        </w:rPr>
        <w:t>Akceptace ve vztahu k</w:t>
      </w:r>
      <w:r>
        <w:rPr>
          <w:b/>
          <w:bCs/>
        </w:rPr>
        <w:t> </w:t>
      </w:r>
      <w:r w:rsidRPr="002E3C0F">
        <w:rPr>
          <w:b/>
          <w:bCs/>
        </w:rPr>
        <w:t>Hardware</w:t>
      </w:r>
      <w:bookmarkEnd w:id="102"/>
    </w:p>
    <w:p w14:paraId="1EB4DE81" w14:textId="7A801715" w:rsidR="002E3C0F" w:rsidRDefault="002E3C0F" w:rsidP="00DF267C">
      <w:pPr>
        <w:pStyle w:val="111odst"/>
      </w:pPr>
      <w:r>
        <w:t xml:space="preserve">Je-li </w:t>
      </w:r>
      <w:r w:rsidR="008E255F">
        <w:t>P</w:t>
      </w:r>
      <w:r>
        <w:t>ředmětem Smlouvy či dílčí části, jež je určena k</w:t>
      </w:r>
      <w:r w:rsidR="00F15177">
        <w:t> </w:t>
      </w:r>
      <w:r>
        <w:t>akceptaci</w:t>
      </w:r>
      <w:r w:rsidR="00F15177">
        <w:t>,</w:t>
      </w:r>
      <w:r w:rsidR="6A88ED79">
        <w:t xml:space="preserve"> </w:t>
      </w:r>
      <w:r>
        <w:t xml:space="preserve">pouze dodání Hardware, použije se pro akceptaci odstavec </w:t>
      </w:r>
      <w:r>
        <w:fldChar w:fldCharType="begin"/>
      </w:r>
      <w:r>
        <w:instrText xml:space="preserve"> REF _Ref183162797 \r \h </w:instrText>
      </w:r>
      <w:r>
        <w:fldChar w:fldCharType="separate"/>
      </w:r>
      <w:r>
        <w:t>8.5</w:t>
      </w:r>
      <w:r>
        <w:fldChar w:fldCharType="end"/>
      </w:r>
      <w:r w:rsidR="0044339E">
        <w:t xml:space="preserve"> ZOP</w:t>
      </w:r>
      <w:r>
        <w:t>.</w:t>
      </w:r>
    </w:p>
    <w:p w14:paraId="5961864F" w14:textId="25081802" w:rsidR="00DF267C" w:rsidRDefault="00DF267C" w:rsidP="00DF267C">
      <w:pPr>
        <w:pStyle w:val="111odst"/>
      </w:pPr>
      <w:r w:rsidRPr="002E3C0F">
        <w:t>Řádné dodání</w:t>
      </w:r>
      <w:r>
        <w:t xml:space="preserve"> </w:t>
      </w:r>
      <w:r w:rsidRPr="002E3C0F">
        <w:t>H</w:t>
      </w:r>
      <w:r>
        <w:t>a</w:t>
      </w:r>
      <w:r w:rsidRPr="002E3C0F">
        <w:t>rdware</w:t>
      </w:r>
      <w:r>
        <w:t xml:space="preserve"> </w:t>
      </w:r>
      <w:r w:rsidR="008E255F">
        <w:t xml:space="preserve">bude potvrzeno </w:t>
      </w:r>
      <w:r>
        <w:t>předávací</w:t>
      </w:r>
      <w:r w:rsidR="00F15177">
        <w:t>m</w:t>
      </w:r>
      <w:r>
        <w:t xml:space="preserve"> protokol</w:t>
      </w:r>
      <w:r w:rsidR="00F15177">
        <w:t>em</w:t>
      </w:r>
      <w:r>
        <w:t xml:space="preserve"> podepsan</w:t>
      </w:r>
      <w:r w:rsidR="00F15177">
        <w:t>ým</w:t>
      </w:r>
      <w:r>
        <w:t xml:space="preserve"> odpovědnými </w:t>
      </w:r>
      <w:r w:rsidR="002E3C0F">
        <w:t>zástupci smluvních stran</w:t>
      </w:r>
      <w:r>
        <w:t xml:space="preserve">. </w:t>
      </w:r>
    </w:p>
    <w:p w14:paraId="41968B3F" w14:textId="19FC2298" w:rsidR="00DF267C" w:rsidRDefault="00DF267C" w:rsidP="00DF267C">
      <w:pPr>
        <w:pStyle w:val="111odst"/>
      </w:pPr>
      <w:r>
        <w:t>Nestanoví-li Smlouva či její přílohy jinak, Objedn</w:t>
      </w:r>
      <w:r w:rsidR="0704834C">
        <w:t>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B87F99">
      <w:pPr>
        <w:pStyle w:val="Nadpissl"/>
      </w:pPr>
      <w:bookmarkStart w:id="103" w:name="_Toc26368456"/>
      <w:bookmarkStart w:id="104" w:name="_Toc26368457"/>
      <w:bookmarkStart w:id="105" w:name="_Toc26368458"/>
      <w:bookmarkStart w:id="106" w:name="_Toc26368459"/>
      <w:bookmarkStart w:id="107" w:name="_Toc26368460"/>
      <w:bookmarkStart w:id="108" w:name="_Toc26368461"/>
      <w:bookmarkStart w:id="109" w:name="_Toc26368462"/>
      <w:bookmarkStart w:id="110" w:name="_Toc26368463"/>
      <w:bookmarkStart w:id="111" w:name="_Toc26368464"/>
      <w:bookmarkStart w:id="112" w:name="_Toc119490219"/>
      <w:bookmarkEnd w:id="91"/>
      <w:bookmarkEnd w:id="92"/>
      <w:bookmarkEnd w:id="103"/>
      <w:bookmarkEnd w:id="104"/>
      <w:bookmarkEnd w:id="105"/>
      <w:bookmarkEnd w:id="106"/>
      <w:bookmarkEnd w:id="107"/>
      <w:bookmarkEnd w:id="108"/>
      <w:bookmarkEnd w:id="109"/>
      <w:bookmarkEnd w:id="110"/>
      <w:bookmarkEnd w:id="111"/>
      <w:r w:rsidRPr="00ED6198">
        <w:t>Školení</w:t>
      </w:r>
      <w:bookmarkEnd w:id="112"/>
    </w:p>
    <w:p w14:paraId="7FAAC8FE" w14:textId="4FAE5718"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t xml:space="preserve">metod výkladu (zejména popis jednotlivých prvků a funkcionalit Předmětu Smlouvy ve vztahu k jeho užívání), praktických ukázek obsluhy </w:t>
      </w:r>
      <w:r w:rsidR="0042609F">
        <w:t>Předmětu Smlouvy</w:t>
      </w:r>
      <w:r w:rsid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t xml:space="preserve"> schopné plně porozumět svým odpovědnostem při obsluze </w:t>
      </w:r>
      <w:r w:rsidR="005948E4">
        <w:t>Předmětu</w:t>
      </w:r>
      <w:r w:rsidR="003C1E80">
        <w:t xml:space="preserve"> Smlouvy</w:t>
      </w:r>
      <w:r w:rsidR="00B27662">
        <w:t xml:space="preserve">, provádět </w:t>
      </w:r>
      <w:r w:rsidR="002B112A">
        <w:t>obsluh</w:t>
      </w:r>
      <w:r w:rsidR="003A7D95">
        <w:t>u</w:t>
      </w:r>
      <w:r w:rsidR="002B112A">
        <w:t xml:space="preserve"> </w:t>
      </w:r>
      <w:r w:rsidR="003A7D95">
        <w:t>v souvislosti se svou rolí nebo pracovním zařazen</w:t>
      </w:r>
      <w:r w:rsidR="4A298412">
        <w:t>í</w:t>
      </w:r>
      <w:r w:rsidR="003A7D95">
        <w:t>m samostatně</w:t>
      </w:r>
      <w:r w:rsidR="00B27662">
        <w:t xml:space="preserve">, a přitom minimalizovat riziko chybné obsluhy nebo závad na </w:t>
      </w:r>
      <w:r w:rsidR="005948E4">
        <w:t>Předmětu Smlouvy.</w:t>
      </w:r>
    </w:p>
    <w:p w14:paraId="149190F6" w14:textId="6CB47425" w:rsidR="003618EC" w:rsidRPr="00ED6198" w:rsidRDefault="00CA47ED" w:rsidP="00B87F99">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4EAF78AB" w:rsidR="003556E0" w:rsidRPr="00335BA4" w:rsidRDefault="003556E0" w:rsidP="00B87F9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B87F99">
      <w:pPr>
        <w:pStyle w:val="Nadpissl"/>
      </w:pPr>
      <w:bookmarkStart w:id="113" w:name="_Toc119490220"/>
      <w:r w:rsidRPr="00ED6198">
        <w:t>HELP</w:t>
      </w:r>
      <w:r w:rsidR="000B581F" w:rsidRPr="00ED6198">
        <w:t>desk</w:t>
      </w:r>
      <w:bookmarkEnd w:id="113"/>
    </w:p>
    <w:p w14:paraId="0F6364FC" w14:textId="77777777" w:rsidR="00F22481" w:rsidRPr="00335BA4" w:rsidRDefault="00CA47ED" w:rsidP="00B87F99">
      <w:pPr>
        <w:pStyle w:val="11odst"/>
      </w:pPr>
      <w:bookmarkStart w:id="114" w:name="_Ref26890885"/>
      <w:r w:rsidRPr="00335BA4">
        <w:t xml:space="preserve">Dodavatel </w:t>
      </w:r>
      <w:r w:rsidR="00816027" w:rsidRPr="00335BA4">
        <w:t>se zavazuje</w:t>
      </w:r>
      <w:r w:rsidR="00F22481" w:rsidRPr="00335BA4">
        <w:t>:</w:t>
      </w:r>
    </w:p>
    <w:p w14:paraId="2000DCE0" w14:textId="23858DF3" w:rsidR="00F22481" w:rsidRPr="00335BA4" w:rsidRDefault="00816027" w:rsidP="00B87F99">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B87F99" w:rsidRDefault="00F22481" w:rsidP="00B87F99">
      <w:pPr>
        <w:pStyle w:val="111odst"/>
        <w:numPr>
          <w:ilvl w:val="0"/>
          <w:numId w:val="0"/>
        </w:numPr>
        <w:ind w:left="1985"/>
        <w:rPr>
          <w:b/>
        </w:rPr>
      </w:pPr>
      <w:r w:rsidRPr="00B87F99">
        <w:rPr>
          <w:b/>
        </w:rPr>
        <w:t>nebo</w:t>
      </w:r>
    </w:p>
    <w:p w14:paraId="18CC046F" w14:textId="77777777" w:rsidR="00F22481" w:rsidRPr="00335BA4" w:rsidRDefault="00F22481" w:rsidP="00B87F99">
      <w:pPr>
        <w:pStyle w:val="111odst"/>
      </w:pPr>
      <w:r w:rsidRPr="00335BA4">
        <w:t>po celou dobu trvání Smlouvy užívat Helpdesk provozovaný Objednatelem.</w:t>
      </w:r>
    </w:p>
    <w:p w14:paraId="3DF63608" w14:textId="3D8AD696" w:rsidR="00F22481" w:rsidRPr="00335BA4" w:rsidRDefault="00F22481" w:rsidP="00B87F99">
      <w:pPr>
        <w:pStyle w:val="11odst"/>
      </w:pPr>
      <w:r>
        <w:t>Provozovatel</w:t>
      </w:r>
      <w:r w:rsidR="001C1BF8">
        <w:t>e</w:t>
      </w:r>
      <w:r>
        <w:t xml:space="preserve"> Helpdesk</w:t>
      </w:r>
      <w:r w:rsidR="00F074E2">
        <w:t>u</w:t>
      </w:r>
      <w:r>
        <w:t xml:space="preserve"> stanoví Smlouva</w:t>
      </w:r>
      <w:r w:rsidR="004B7B03">
        <w:t>. Pokud</w:t>
      </w:r>
      <w:r>
        <w:t xml:space="preserve"> Smlouva provozovatele Helpdesk</w:t>
      </w:r>
      <w:r w:rsidR="008A38F9">
        <w:t>u</w:t>
      </w:r>
      <w:r w:rsidR="004B7B03">
        <w:t xml:space="preserve"> nestanoví</w:t>
      </w:r>
      <w:r>
        <w:t>, má se za to, že provozovatelem Helpdesk</w:t>
      </w:r>
      <w:r w:rsidR="008A38F9">
        <w:t>u</w:t>
      </w:r>
      <w:r>
        <w:t xml:space="preserve"> je Dodavatel.</w:t>
      </w:r>
      <w:r w:rsidR="00AD757A">
        <w:t xml:space="preserve"> V případě, že provozovatelem bude Objednatel</w:t>
      </w:r>
      <w:r w:rsidR="004B7B03">
        <w:t>,</w:t>
      </w:r>
      <w:r w:rsidR="00AD757A">
        <w:t xml:space="preserve"> poskytne Dodavateli nezbytnou součinnost k řádnému užívání Helpdesk</w:t>
      </w:r>
      <w:r w:rsidR="00EA1B4A">
        <w:t>u</w:t>
      </w:r>
      <w:r w:rsidR="00AD757A">
        <w:t xml:space="preserve"> včetně případného poskytnutí licencí.</w:t>
      </w:r>
    </w:p>
    <w:p w14:paraId="726C059E" w14:textId="24333940" w:rsidR="00816027" w:rsidRPr="00ED6198" w:rsidRDefault="00177EF4" w:rsidP="00B87F99">
      <w:pPr>
        <w:pStyle w:val="11odst"/>
      </w:pPr>
      <w:bookmarkStart w:id="115" w:name="_Ref182988387"/>
      <w:r w:rsidRPr="00ED6198">
        <w:lastRenderedPageBreak/>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14"/>
      <w:r w:rsidR="00415C7C" w:rsidRPr="00ED6198">
        <w:t>jednom z následujících režimů</w:t>
      </w:r>
      <w:r w:rsidR="00F146D8" w:rsidRPr="00ED6198">
        <w:t>, kter</w:t>
      </w:r>
      <w:r w:rsidR="00415C7C" w:rsidRPr="00ED6198">
        <w:t>ý</w:t>
      </w:r>
      <w:r w:rsidR="00F146D8" w:rsidRPr="00ED6198">
        <w:t xml:space="preserve"> je vymezen ve Smlouvě:</w:t>
      </w:r>
      <w:bookmarkEnd w:id="115"/>
    </w:p>
    <w:p w14:paraId="3E4167AA" w14:textId="5C0F2B3A" w:rsidR="009138D6" w:rsidRPr="0044339E" w:rsidRDefault="00415C7C" w:rsidP="00B87F99">
      <w:pPr>
        <w:pStyle w:val="aodst"/>
        <w:rPr>
          <w:b/>
          <w:bCs/>
        </w:rPr>
      </w:pPr>
      <w:r w:rsidRPr="0044339E">
        <w:rPr>
          <w:b/>
          <w:bCs/>
        </w:rPr>
        <w:t xml:space="preserve">Režim </w:t>
      </w:r>
      <w:r w:rsidR="00B77EBD" w:rsidRPr="0044339E">
        <w:rPr>
          <w:b/>
          <w:bCs/>
        </w:rPr>
        <w:t>1</w:t>
      </w:r>
      <w:r w:rsidR="00A14BDA" w:rsidRPr="0044339E">
        <w:rPr>
          <w:b/>
          <w:bCs/>
        </w:rPr>
        <w:t>:</w:t>
      </w:r>
      <w:r w:rsidR="009138D6" w:rsidRPr="0044339E">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B87F99">
      <w:pPr>
        <w:pStyle w:val="aodst"/>
        <w:rPr>
          <w:b/>
          <w:bCs/>
        </w:rPr>
      </w:pPr>
      <w:r w:rsidRPr="0044339E">
        <w:rPr>
          <w:b/>
          <w:bCs/>
        </w:rPr>
        <w:t xml:space="preserve">Režim </w:t>
      </w:r>
      <w:r w:rsidR="00E01734" w:rsidRPr="0044339E">
        <w:rPr>
          <w:b/>
          <w:bCs/>
        </w:rPr>
        <w:t>2:</w:t>
      </w:r>
    </w:p>
    <w:p w14:paraId="3170824C" w14:textId="0991F731" w:rsidR="00E9086F" w:rsidRPr="00ED6198" w:rsidRDefault="008453FE" w:rsidP="00B87F99">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B87F99">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0B19627A" w:rsidR="00E9086F" w:rsidRPr="00ED6198" w:rsidRDefault="00E9086F" w:rsidP="0044339E">
      <w:pPr>
        <w:pStyle w:val="odstbeza"/>
      </w:pPr>
      <w:r w:rsidRPr="00ED6198">
        <w:t xml:space="preserve">5×8, tj. </w:t>
      </w:r>
      <w:r w:rsidR="003E50BB">
        <w:t>osm (8) hodin pět (5) dní v týdnu</w:t>
      </w:r>
      <w:r w:rsidRPr="00ED6198">
        <w:t>.</w:t>
      </w:r>
    </w:p>
    <w:p w14:paraId="48344711" w14:textId="244A863D" w:rsidR="00FC7CBF" w:rsidRDefault="003A2515" w:rsidP="00B87F9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rsidR="00BD2F97">
        <w:fldChar w:fldCharType="begin"/>
      </w:r>
      <w:r w:rsidR="00BD2F97">
        <w:instrText xml:space="preserve"> REF _Ref182988387 \r \h </w:instrText>
      </w:r>
      <w:r w:rsidR="00BD2F97">
        <w:fldChar w:fldCharType="separate"/>
      </w:r>
      <w:r w:rsidR="00BD2F97">
        <w:t>10.3</w:t>
      </w:r>
      <w:r w:rsidR="00BD2F97">
        <w:fldChar w:fldCharType="end"/>
      </w:r>
      <w:r w:rsidR="00BD2F97">
        <w:t xml:space="preserve"> ZOP</w:t>
      </w:r>
      <w:r w:rsidR="00451BE3">
        <w:t xml:space="preserve"> </w:t>
      </w:r>
      <w:r w:rsidR="001F7CE2">
        <w:t xml:space="preserve">(s výjimkou režimu 1) </w:t>
      </w:r>
      <w:r w:rsidR="002A3A10">
        <w:t xml:space="preserve">vždy zároveň </w:t>
      </w:r>
      <w:r w:rsidR="00FC23F1">
        <w:t xml:space="preserve">s časový rozsahem dle zvoleného </w:t>
      </w:r>
      <w:r w:rsidR="00007628">
        <w:t xml:space="preserve">Servisního modelu dle odst. </w:t>
      </w:r>
      <w:r w:rsidR="00007628">
        <w:fldChar w:fldCharType="begin"/>
      </w:r>
      <w:r w:rsidR="00007628">
        <w:instrText xml:space="preserve"> REF _Ref118175372 \r \h </w:instrText>
      </w:r>
      <w:r w:rsidR="00007628">
        <w:fldChar w:fldCharType="separate"/>
      </w:r>
      <w:r w:rsidR="00007628">
        <w:t>12.2</w:t>
      </w:r>
      <w:r w:rsidR="00007628">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proofErr w:type="spellStart"/>
      <w:r w:rsidR="00006F65">
        <w:t>prov</w:t>
      </w:r>
      <w:r w:rsidR="001A1D47">
        <w:t>ozo</w:t>
      </w:r>
      <w:proofErr w:type="spellEnd"/>
      <w:r w:rsidR="001A1D47">
        <w:t xml:space="preserve"> Helpdesk v rámci příslušného režimu začíná rovněž v 7:00</w:t>
      </w:r>
      <w:r w:rsidR="00204B95">
        <w:t>).</w:t>
      </w:r>
      <w:r w:rsidR="00583177">
        <w:t xml:space="preserve"> </w:t>
      </w:r>
    </w:p>
    <w:p w14:paraId="4480A0C1" w14:textId="726F119E" w:rsidR="00E32E1D" w:rsidRPr="00664159" w:rsidRDefault="009F646D" w:rsidP="00B87F9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B87F9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AFCAF04" w:rsidR="008A3964" w:rsidRPr="00ED6198" w:rsidRDefault="008A3964" w:rsidP="00664159">
      <w:pPr>
        <w:pStyle w:val="11odst"/>
      </w:pPr>
      <w:bookmarkStart w:id="11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7F4211">
        <w:t>10.3</w:t>
      </w:r>
      <w:r w:rsidR="007F4211">
        <w:fldChar w:fldCharType="end"/>
      </w:r>
      <w:r w:rsidR="007F4211">
        <w:t xml:space="preserve"> ZOP.</w:t>
      </w:r>
      <w:bookmarkEnd w:id="116"/>
    </w:p>
    <w:p w14:paraId="496FB870" w14:textId="5F4740BF" w:rsidR="001500AE" w:rsidRPr="00ED6198" w:rsidRDefault="001500AE" w:rsidP="00B87F99">
      <w:pPr>
        <w:pStyle w:val="Nadpissl"/>
      </w:pPr>
      <w:bookmarkStart w:id="117" w:name="_Ref118204245"/>
      <w:bookmarkStart w:id="118" w:name="_Ref118364511"/>
      <w:bookmarkStart w:id="119" w:name="_Toc119490221"/>
      <w:r w:rsidRPr="00ED6198">
        <w:t>nahlášení incidentu</w:t>
      </w:r>
      <w:bookmarkEnd w:id="117"/>
      <w:bookmarkEnd w:id="118"/>
      <w:bookmarkEnd w:id="119"/>
    </w:p>
    <w:p w14:paraId="2B5FAFDB" w14:textId="6BF47A47" w:rsidR="001500AE" w:rsidRPr="00ED6198" w:rsidRDefault="001500AE" w:rsidP="00B87F99">
      <w:pPr>
        <w:pStyle w:val="11odst"/>
      </w:pPr>
      <w:bookmarkStart w:id="12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B3261">
        <w:t>10.7</w:t>
      </w:r>
      <w:r w:rsidR="006B3261">
        <w:fldChar w:fldCharType="end"/>
      </w:r>
      <w:r w:rsidR="006B3261">
        <w:t xml:space="preserve"> ZOP</w:t>
      </w:r>
      <w:r w:rsidRPr="00ED6198">
        <w:t>, přičemž Ohlašovatel je povinen uvést popis Incidentu, a to v následujícím rozsahu:</w:t>
      </w:r>
      <w:bookmarkEnd w:id="120"/>
      <w:r w:rsidRPr="00ED6198">
        <w:t xml:space="preserve"> </w:t>
      </w:r>
    </w:p>
    <w:p w14:paraId="5E8CB8C4" w14:textId="76A504FC" w:rsidR="001500AE" w:rsidRPr="00ED6198" w:rsidRDefault="001500AE" w:rsidP="00B87F99">
      <w:pPr>
        <w:pStyle w:val="aodst"/>
      </w:pPr>
      <w:r w:rsidRPr="00ED6198">
        <w:t>krátký a rámcově výstižný název Incidentu;</w:t>
      </w:r>
    </w:p>
    <w:p w14:paraId="33BD3175" w14:textId="58FE64A7" w:rsidR="001500AE" w:rsidRPr="00ED6198" w:rsidRDefault="001500AE" w:rsidP="00B87F99">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B87F99">
      <w:pPr>
        <w:pStyle w:val="aodst"/>
      </w:pPr>
      <w:r w:rsidRPr="00ED6198">
        <w:t xml:space="preserve">určení prostředí (Testovací prostředí, Produkční prostředí); </w:t>
      </w:r>
    </w:p>
    <w:p w14:paraId="13FCBEB5" w14:textId="7BAD23AF" w:rsidR="001500AE" w:rsidRPr="00ED6198" w:rsidRDefault="001500AE" w:rsidP="00B87F99">
      <w:pPr>
        <w:pStyle w:val="aodst"/>
      </w:pPr>
      <w:r w:rsidRPr="00ED6198">
        <w:t>detailní popis Incidentu, průvodních jevů a všech významných souvisejících informací;</w:t>
      </w:r>
    </w:p>
    <w:p w14:paraId="3C3EE4DD" w14:textId="3DD4D882" w:rsidR="001500AE" w:rsidRPr="00ED6198" w:rsidRDefault="001500AE" w:rsidP="00B87F99">
      <w:pPr>
        <w:pStyle w:val="aodst"/>
      </w:pPr>
      <w:r w:rsidRPr="00ED6198">
        <w:t>kategorii Incidentu (A, B, C);</w:t>
      </w:r>
    </w:p>
    <w:p w14:paraId="2932496E" w14:textId="129E8242" w:rsidR="001500AE" w:rsidRPr="00ED6198" w:rsidRDefault="001500AE" w:rsidP="00B87F99">
      <w:pPr>
        <w:pStyle w:val="aodst"/>
      </w:pPr>
      <w:r w:rsidRPr="00ED6198">
        <w:t xml:space="preserve">identifikaci Ohlašovatele. </w:t>
      </w:r>
    </w:p>
    <w:p w14:paraId="65F7E2AF" w14:textId="1D03D6FA" w:rsidR="002B7DBD" w:rsidRPr="00335BA4" w:rsidRDefault="002B7DBD" w:rsidP="00B87F99">
      <w:pPr>
        <w:pStyle w:val="11odst"/>
      </w:pPr>
      <w:bookmarkStart w:id="121" w:name="_Hlk118204340"/>
      <w:r w:rsidRPr="00335BA4">
        <w:t xml:space="preserve">V případě, že některá z náležitosti dle </w:t>
      </w:r>
      <w:r w:rsidR="000B6DDE">
        <w:t>odst</w:t>
      </w:r>
      <w:r w:rsidRPr="00335BA4">
        <w:t xml:space="preserve">.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r w:rsidR="0044339E">
        <w:t xml:space="preserve"> a Dodavatel o této skutečnosti </w:t>
      </w:r>
      <w:proofErr w:type="spellStart"/>
      <w:r w:rsidR="0044339E">
        <w:t>Ob</w:t>
      </w:r>
      <w:r w:rsidR="00837418">
        <w:t>j</w:t>
      </w:r>
      <w:r w:rsidR="0044339E">
        <w:t>edantele</w:t>
      </w:r>
      <w:proofErr w:type="spellEnd"/>
      <w:r w:rsidR="0044339E">
        <w:t xml:space="preserve"> vyrozuměl</w:t>
      </w:r>
      <w:r w:rsidR="00837418">
        <w:t xml:space="preserve">, a to nejpozději v době určené na zpracování Incidentu dle určeného </w:t>
      </w:r>
      <w:r w:rsidR="00837418">
        <w:lastRenderedPageBreak/>
        <w:t>Servisního modelu</w:t>
      </w:r>
      <w:r w:rsidR="0044339E">
        <w:t xml:space="preserve">, v takovém případě je Incident dle </w:t>
      </w:r>
      <w:r w:rsidR="0044339E">
        <w:fldChar w:fldCharType="begin"/>
      </w:r>
      <w:r w:rsidR="0044339E">
        <w:instrText xml:space="preserve"> REF _Ref182994523 \r \h </w:instrText>
      </w:r>
      <w:r w:rsidR="0044339E">
        <w:fldChar w:fldCharType="separate"/>
      </w:r>
      <w:r w:rsidR="0044339E">
        <w:t>11.3</w:t>
      </w:r>
      <w:r w:rsidR="0044339E">
        <w:fldChar w:fldCharType="end"/>
      </w:r>
      <w:r w:rsidR="0044339E">
        <w:t xml:space="preserve"> ZOP nahlášen okamžikem doplnění požadované informace</w:t>
      </w:r>
      <w:r w:rsidRPr="00335BA4">
        <w:t>.</w:t>
      </w:r>
    </w:p>
    <w:p w14:paraId="6DB01359" w14:textId="375AFEED" w:rsidR="002B7DBD" w:rsidRDefault="002B7DBD" w:rsidP="00B87F99">
      <w:pPr>
        <w:pStyle w:val="11odst"/>
      </w:pPr>
      <w:bookmarkStart w:id="122" w:name="_Ref182994523"/>
      <w:r w:rsidRPr="00335BA4">
        <w:t xml:space="preserve">Je-li Incident nahlašován </w:t>
      </w:r>
      <w:r w:rsidR="008B6234">
        <w:t xml:space="preserve">prostřednictvím </w:t>
      </w:r>
      <w:r w:rsidRPr="00335BA4">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bookmarkEnd w:id="122"/>
    </w:p>
    <w:p w14:paraId="2474ED51" w14:textId="4AA1CC1D" w:rsidR="00251E76" w:rsidRPr="00335BA4" w:rsidRDefault="002548EC" w:rsidP="00D01B1F">
      <w:pPr>
        <w:pStyle w:val="11odst"/>
      </w:pPr>
      <w:r>
        <w:t>Je-li</w:t>
      </w:r>
      <w:r w:rsidRPr="002548EC">
        <w:t xml:space="preserve"> je Incident nahlášen mimo časový rozsah Servisního modelu, avšak v rámci časového rozsahu Helpdesku dle zvoleného režimu </w:t>
      </w:r>
      <w:r>
        <w:t xml:space="preserve">dle </w:t>
      </w:r>
      <w:r w:rsidRPr="002548EC">
        <w:t xml:space="preserve">odst. </w:t>
      </w:r>
      <w:r>
        <w:fldChar w:fldCharType="begin"/>
      </w:r>
      <w:r>
        <w:instrText xml:space="preserve"> REF _Ref182988387 \r \h </w:instrText>
      </w:r>
      <w:r>
        <w:fldChar w:fldCharType="separate"/>
      </w:r>
      <w:r>
        <w:t>10.3</w:t>
      </w:r>
      <w:r>
        <w:fldChar w:fldCharType="end"/>
      </w:r>
      <w:r w:rsidRPr="002548EC">
        <w:t xml:space="preserve"> ZOP, považuje se za Čas nahlášení Incidentu okamžik začátku nejbližšího následujícího časového rozsahu Servisního modelu.</w:t>
      </w:r>
    </w:p>
    <w:p w14:paraId="0733A3AA" w14:textId="2355B209" w:rsidR="002B7DBD" w:rsidRPr="00335BA4" w:rsidRDefault="002B7DBD" w:rsidP="00B87F99">
      <w:pPr>
        <w:pStyle w:val="11odst"/>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767C11B" w:rsidR="002B7DBD" w:rsidRPr="00335BA4" w:rsidRDefault="002B7DBD" w:rsidP="00B87F9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21"/>
      <w:r w:rsidRPr="00335BA4">
        <w:t>.</w:t>
      </w:r>
    </w:p>
    <w:p w14:paraId="0DF54E13" w14:textId="79A964E6" w:rsidR="00754D6A" w:rsidRPr="00335BA4" w:rsidRDefault="00754D6A" w:rsidP="00B87F99">
      <w:pPr>
        <w:pStyle w:val="Nadpissl"/>
      </w:pPr>
      <w:bookmarkStart w:id="123" w:name="_Ref118366079"/>
      <w:bookmarkStart w:id="124" w:name="_Toc119490222"/>
      <w:r w:rsidRPr="00335BA4">
        <w:t>SERVISNí modely</w:t>
      </w:r>
      <w:bookmarkEnd w:id="123"/>
      <w:bookmarkEnd w:id="124"/>
    </w:p>
    <w:p w14:paraId="6D8FDC4C" w14:textId="2F52DFAC" w:rsidR="008B31AA" w:rsidRPr="00ED6198" w:rsidRDefault="008B31AA" w:rsidP="00B87F99">
      <w:pPr>
        <w:pStyle w:val="11odst"/>
      </w:pPr>
      <w:r w:rsidRPr="00ED6198">
        <w:t>Servisní model představuje standardizovaný model provozu a podpory aplikace, systému nebo instance služby.</w:t>
      </w:r>
    </w:p>
    <w:p w14:paraId="057C350F" w14:textId="4F26EBA4" w:rsidR="00754D6A" w:rsidRPr="00ED6198" w:rsidRDefault="008B31AA" w:rsidP="00B87F99">
      <w:pPr>
        <w:pStyle w:val="11odst"/>
      </w:pPr>
      <w:bookmarkStart w:id="125"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25"/>
    </w:p>
    <w:p w14:paraId="584BB9E5" w14:textId="0BC0C207" w:rsidR="003277D7" w:rsidRDefault="003277D7" w:rsidP="00B87F99">
      <w:pPr>
        <w:pStyle w:val="11odst"/>
        <w:numPr>
          <w:ilvl w:val="0"/>
          <w:numId w:val="0"/>
        </w:numPr>
        <w:ind w:left="1106"/>
      </w:pPr>
    </w:p>
    <w:p w14:paraId="7CE04BEC" w14:textId="77777777" w:rsidR="00E63F5D" w:rsidRDefault="00E63F5D" w:rsidP="00B87F99">
      <w:pPr>
        <w:pStyle w:val="11odst"/>
        <w:numPr>
          <w:ilvl w:val="0"/>
          <w:numId w:val="0"/>
        </w:numPr>
        <w:ind w:left="1106"/>
      </w:pPr>
    </w:p>
    <w:p w14:paraId="44EFF13F" w14:textId="77777777" w:rsidR="006159D9" w:rsidRPr="00ED6198" w:rsidRDefault="006159D9" w:rsidP="00B87F99">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14427D"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shd w:val="clear" w:color="auto" w:fill="auto"/>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shd w:val="clear" w:color="auto" w:fill="auto"/>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155BB6E3"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7A83E6B9"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3137334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2DB61BC2"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14427D"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14427D"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14427D"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14427D"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14427D"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lastRenderedPageBreak/>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B87F99">
      <w:pPr>
        <w:pStyle w:val="11odst"/>
      </w:pPr>
      <w:bookmarkStart w:id="126"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B87F99">
      <w:pPr>
        <w:pStyle w:val="11odst"/>
      </w:pPr>
      <w:bookmarkStart w:id="127"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26"/>
      <w:bookmarkEnd w:id="127"/>
    </w:p>
    <w:p w14:paraId="478D3B45" w14:textId="1CAC9F2E" w:rsidR="0029363B" w:rsidRPr="00335BA4" w:rsidRDefault="009C65B9" w:rsidP="00B87F99">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B87F99">
      <w:pPr>
        <w:pStyle w:val="aodst"/>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B87F99">
      <w:pPr>
        <w:pStyle w:val="aodst"/>
      </w:pPr>
      <w:r w:rsidRPr="00335BA4">
        <w:t>smluvními stranami předem dohodnutý časový úsek za účelem instalace upgrad</w:t>
      </w:r>
      <w:r w:rsidR="003C7F34">
        <w:t>u</w:t>
      </w:r>
      <w:r w:rsidRPr="00335BA4">
        <w:t>,</w:t>
      </w:r>
    </w:p>
    <w:p w14:paraId="34F170FF" w14:textId="198BBB73" w:rsidR="00D6195A" w:rsidRDefault="00D6195A" w:rsidP="00B87F99">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09FB342" w:rsidR="00FF4F29" w:rsidRPr="00335BA4" w:rsidRDefault="002831B6" w:rsidP="00837418">
      <w:pPr>
        <w:pStyle w:val="aodst"/>
      </w:pPr>
      <w:r>
        <w:t xml:space="preserve">skutečnosti </w:t>
      </w:r>
      <w:r w:rsidR="00DA3C75">
        <w:t xml:space="preserve">ve vztahu k Hardware </w:t>
      </w:r>
      <w:r>
        <w:t xml:space="preserve">dle odst. </w:t>
      </w:r>
      <w:r w:rsidR="00572D57">
        <w:fldChar w:fldCharType="begin"/>
      </w:r>
      <w:r w:rsidR="00572D57">
        <w:instrText xml:space="preserve"> REF _Ref183164046 \r \h </w:instrText>
      </w:r>
      <w:r w:rsidR="00572D57">
        <w:fldChar w:fldCharType="separate"/>
      </w:r>
      <w:r w:rsidR="00572D57">
        <w:t>12.9</w:t>
      </w:r>
      <w:r w:rsidR="00572D57">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0C897AA9" w:rsidR="00D6195A" w:rsidRPr="00335BA4" w:rsidRDefault="009C65B9" w:rsidP="00B87F99">
      <w:pPr>
        <w:pStyle w:val="11odst"/>
      </w:pPr>
      <w:bookmarkStart w:id="128"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28"/>
    </w:p>
    <w:p w14:paraId="0E835A01" w14:textId="0D4172AF" w:rsidR="003615BA" w:rsidRPr="00335BA4" w:rsidRDefault="003615BA" w:rsidP="00B87F99">
      <w:pPr>
        <w:pStyle w:val="11odst"/>
      </w:pPr>
      <w:bookmarkStart w:id="129" w:name="_Ref118362256"/>
      <w:r w:rsidRPr="00335BA4">
        <w:t>Nestanoví-li Smlouva jinak, bude Dostupnost Software měřena na základě následujícího vzorce:</w:t>
      </w:r>
      <w:bookmarkEnd w:id="129"/>
    </w:p>
    <w:p w14:paraId="4628145F" w14:textId="0D5F0BF8" w:rsidR="003615BA" w:rsidRPr="00335BA4" w:rsidRDefault="003615BA" w:rsidP="00B87F99">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B87F99">
      <w:pPr>
        <w:pStyle w:val="11odst"/>
      </w:pPr>
      <w:bookmarkStart w:id="130"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30"/>
    </w:p>
    <w:p w14:paraId="6B50E72B" w14:textId="00D4BF23" w:rsidR="004E471B" w:rsidRPr="00335BA4" w:rsidRDefault="004E471B" w:rsidP="00B87F99">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B87F99">
      <w:pPr>
        <w:pStyle w:val="odstbeza"/>
      </w:pPr>
      <w:r w:rsidRPr="00335BA4">
        <w:t>kde:</w:t>
      </w:r>
    </w:p>
    <w:p w14:paraId="4C2BF10C" w14:textId="27B0185A" w:rsidR="005613AC" w:rsidRPr="00335BA4" w:rsidRDefault="005613AC" w:rsidP="00B87F99">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B87F99">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B87F99">
      <w:pPr>
        <w:pStyle w:val="11odst"/>
      </w:pPr>
      <w:bookmarkStart w:id="131"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31"/>
    </w:p>
    <w:p w14:paraId="319846BD" w14:textId="4624A86D" w:rsidR="00155173" w:rsidRDefault="00C4556B" w:rsidP="00664159">
      <w:pPr>
        <w:pStyle w:val="11odst"/>
      </w:pPr>
      <w:bookmarkStart w:id="132" w:name="_Ref183164046"/>
      <w:r>
        <w:t xml:space="preserve">Do měření úrovně Dostupnosti </w:t>
      </w:r>
      <w:r w:rsidR="00F74CEC">
        <w:t>(</w:t>
      </w:r>
      <w:r>
        <w:t>Hardware</w:t>
      </w:r>
      <w:r w:rsidR="00F74CEC">
        <w:t>) nejsou započítávány:</w:t>
      </w:r>
      <w:bookmarkEnd w:id="132"/>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0CDFDE8B"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837418">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837418">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837418">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572D5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572D5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B87F99">
      <w:pPr>
        <w:pStyle w:val="Nadpissl"/>
      </w:pPr>
      <w:bookmarkStart w:id="133" w:name="_Toc119490223"/>
      <w:r w:rsidRPr="00ED6198">
        <w:t>Účast poddodavatelů</w:t>
      </w:r>
      <w:bookmarkEnd w:id="133"/>
    </w:p>
    <w:p w14:paraId="30C8BB36" w14:textId="64F12578" w:rsidR="00512340" w:rsidRPr="00ED6198" w:rsidRDefault="00512340" w:rsidP="00B87F9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B87F99">
      <w:pPr>
        <w:pStyle w:val="11odst"/>
      </w:pPr>
      <w:bookmarkStart w:id="134" w:name="_Ref115447808"/>
      <w:r w:rsidRPr="00ED6198">
        <w:lastRenderedPageBreak/>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34"/>
      <w:r w:rsidRPr="00ED6198">
        <w:t xml:space="preserve">  </w:t>
      </w:r>
    </w:p>
    <w:p w14:paraId="00F49220" w14:textId="513C1D73" w:rsidR="00A0266C" w:rsidRPr="00335BA4" w:rsidRDefault="00A0266C" w:rsidP="00B87F99">
      <w:pPr>
        <w:pStyle w:val="11odst"/>
      </w:pPr>
      <w:bookmarkStart w:id="135"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35"/>
    </w:p>
    <w:p w14:paraId="52E042F1" w14:textId="770B3195" w:rsidR="005F2A37" w:rsidRPr="00ED6198" w:rsidRDefault="005F2A37" w:rsidP="00B87F99">
      <w:pPr>
        <w:pStyle w:val="Nadpissl"/>
      </w:pPr>
      <w:bookmarkStart w:id="136" w:name="_Toc119490224"/>
      <w:r w:rsidRPr="00ED6198">
        <w:t>Realizační tým</w:t>
      </w:r>
      <w:bookmarkEnd w:id="136"/>
    </w:p>
    <w:p w14:paraId="3649A71E" w14:textId="6ADAED36" w:rsidR="005F2A37" w:rsidRPr="00ED6198" w:rsidRDefault="00B50D4F" w:rsidP="00B87F9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B87F9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B87F9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B87F9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B87F9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B87F99">
      <w:pPr>
        <w:pStyle w:val="Nadpissl"/>
      </w:pPr>
      <w:bookmarkStart w:id="137" w:name="_Toc27420364"/>
      <w:bookmarkStart w:id="138" w:name="_Toc28452716"/>
      <w:bookmarkStart w:id="139" w:name="_Toc119490225"/>
      <w:bookmarkEnd w:id="137"/>
      <w:bookmarkEnd w:id="138"/>
      <w:r w:rsidRPr="00ED6198">
        <w:t>K</w:t>
      </w:r>
      <w:r w:rsidR="00B50D4F" w:rsidRPr="00ED6198">
        <w:t>omunikace stran</w:t>
      </w:r>
      <w:bookmarkEnd w:id="139"/>
    </w:p>
    <w:p w14:paraId="60CB0578" w14:textId="77777777" w:rsidR="00D8347D" w:rsidRPr="00ED6198" w:rsidRDefault="00B50D4F" w:rsidP="00B87F9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11EEF6D4" w:rsidR="00B50D4F" w:rsidRPr="00335BA4" w:rsidRDefault="00463D1F" w:rsidP="00B87F9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B87F9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B87F99">
      <w:pPr>
        <w:pStyle w:val="11odst"/>
      </w:pPr>
      <w:r w:rsidRPr="00ED6198">
        <w:lastRenderedPageBreak/>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B87F99">
      <w:pPr>
        <w:pStyle w:val="Nadpissl"/>
      </w:pPr>
      <w:bookmarkStart w:id="140" w:name="_Toc26368471"/>
      <w:bookmarkStart w:id="141" w:name="_Toc119490226"/>
      <w:bookmarkEnd w:id="140"/>
      <w:r>
        <w:t xml:space="preserve">náhrada škody a </w:t>
      </w:r>
      <w:r w:rsidR="00D93AF6" w:rsidRPr="00ED6198">
        <w:t>Smluvní pokuty</w:t>
      </w:r>
      <w:bookmarkEnd w:id="141"/>
    </w:p>
    <w:p w14:paraId="16973C90" w14:textId="709BB500" w:rsidR="00D93AF6" w:rsidRPr="00335BA4" w:rsidRDefault="00D93AF6" w:rsidP="00B87F9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9128CB">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8A163C">
        <w:t>16.2</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8A163C">
        <w:t>16.2</w:t>
      </w:r>
      <w:r>
        <w:fldChar w:fldCharType="end"/>
      </w:r>
      <w:r w:rsidR="00E75766">
        <w:t>.</w:t>
      </w:r>
      <w:r w:rsidR="00331774">
        <w:t xml:space="preserve"> ZOP.</w:t>
      </w:r>
      <w:r w:rsidR="005A176C">
        <w:t xml:space="preserve"> Ustanovení § 2050 Občanského zákoníku se nepoužije. Objednatel je však oprávněn uplatnit po Dodavateli nárok na náhradu škody pouze do celkové souhrnné výše </w:t>
      </w:r>
      <w:r w:rsidR="00F43B43">
        <w:t>50</w:t>
      </w:r>
      <w:r w:rsidR="00CB476A">
        <w:t xml:space="preserve"> procent</w:t>
      </w:r>
      <w:r w:rsidR="0075381C">
        <w:t xml:space="preserve"> Ceny</w:t>
      </w:r>
      <w:r w:rsidR="005A176C">
        <w:t xml:space="preserve">. </w:t>
      </w:r>
      <w:r w:rsidR="00181021">
        <w:t>L</w:t>
      </w:r>
      <w:r w:rsidR="005A176C">
        <w:t>imitace výš</w:t>
      </w:r>
      <w:r w:rsidR="00181021">
        <w:t>e</w:t>
      </w:r>
      <w:r w:rsidR="005A176C">
        <w:t xml:space="preserve"> smluvních pokut</w:t>
      </w:r>
      <w:r w:rsidR="00181021">
        <w:t xml:space="preserve">, které je Objednatel oprávněn po Dodavateli uplatnit je stanovena do výše </w:t>
      </w:r>
      <w:r w:rsidR="00D315D0">
        <w:t>25</w:t>
      </w:r>
      <w:r w:rsidR="00181021">
        <w:t xml:space="preserve"> procent Ceny</w:t>
      </w:r>
      <w:r w:rsidR="005A176C">
        <w:t>. Tímto není dotčena odpovědnost za škodu způsobenou úmyslně či hrubou nedbalostí</w:t>
      </w:r>
      <w:r w:rsidR="00D3662D">
        <w:t xml:space="preserve">, </w:t>
      </w:r>
      <w:r w:rsidR="00D3662D" w:rsidRPr="7145DE81">
        <w:rPr>
          <w:u w:val="single"/>
        </w:rPr>
        <w:t>ta je hrazena vždy v plné výši</w:t>
      </w:r>
      <w:r w:rsidR="005A176C">
        <w:t>.</w:t>
      </w:r>
      <w:r w:rsidR="000F2376">
        <w:t xml:space="preserve">  </w:t>
      </w:r>
    </w:p>
    <w:p w14:paraId="050B64DB" w14:textId="26AD635E" w:rsidR="006D135C" w:rsidRPr="00335BA4" w:rsidRDefault="006D135C" w:rsidP="00B87F99">
      <w:pPr>
        <w:pStyle w:val="11odst"/>
      </w:pPr>
      <w:bookmarkStart w:id="142" w:name="_Ref26890919"/>
      <w:r w:rsidRPr="00335BA4">
        <w:t xml:space="preserve">Objednateli vzniká vůči </w:t>
      </w:r>
      <w:r w:rsidR="001F6504" w:rsidRPr="00335BA4">
        <w:t xml:space="preserve">Dodavateli </w:t>
      </w:r>
      <w:r w:rsidRPr="00335BA4">
        <w:t>právo na zaplacení smluvní pokuty:</w:t>
      </w:r>
      <w:bookmarkEnd w:id="142"/>
      <w:r w:rsidRPr="00335BA4">
        <w:t xml:space="preserve"> </w:t>
      </w:r>
    </w:p>
    <w:p w14:paraId="1F7456A2" w14:textId="001D66EF" w:rsidR="006D135C" w:rsidRPr="00335BA4" w:rsidRDefault="006D135C" w:rsidP="00B87F99">
      <w:pPr>
        <w:pStyle w:val="aodst"/>
      </w:pPr>
      <w:bookmarkStart w:id="143" w:name="_Ref118179892"/>
      <w:r>
        <w:t xml:space="preserve">poruší-li </w:t>
      </w:r>
      <w:r w:rsidR="001F6504">
        <w:t xml:space="preserve">Dodavatel </w:t>
      </w:r>
      <w:r>
        <w:t xml:space="preserve">svoji povinnost řádně a včas provést </w:t>
      </w:r>
      <w:r w:rsidR="001F6504">
        <w:t xml:space="preserve">Plnění </w:t>
      </w:r>
      <w:r>
        <w:t xml:space="preserve">ve výši </w:t>
      </w:r>
      <w:r w:rsidR="00215315">
        <w:t>0,05 %</w:t>
      </w:r>
      <w:r w:rsidR="00725654">
        <w:t xml:space="preserve"> </w:t>
      </w:r>
      <w:r w:rsidR="00D331EF">
        <w:t>z </w:t>
      </w:r>
      <w:r w:rsidR="00C26BF6">
        <w:t>Ceny</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43"/>
    </w:p>
    <w:p w14:paraId="15900F57" w14:textId="4B0A0C87" w:rsidR="00331774" w:rsidRPr="00335BA4" w:rsidRDefault="00331774" w:rsidP="00B87F99">
      <w:pPr>
        <w:pStyle w:val="aodst"/>
      </w:pPr>
      <w:bookmarkStart w:id="144" w:name="_Ref118179580"/>
      <w:bookmarkStart w:id="145" w:name="_Ref118179909"/>
      <w:r>
        <w:t xml:space="preserve">poruší-li Dodavatel svoji povinnost řádně a včas provést jakoukoliv část Plnění ve výši 0,05 % z ceny </w:t>
      </w:r>
      <w:r w:rsidR="00A67329">
        <w:t>takové části</w:t>
      </w:r>
      <w:r>
        <w:t xml:space="preserve"> Plnění za každý započatý den prodlení až do řádného splnění této povinnosti; v případě, že by smluvní pokut</w:t>
      </w:r>
      <w:r w:rsidR="00EC5DDE">
        <w:t>y</w:t>
      </w:r>
      <w:r>
        <w:t xml:space="preserve"> dle </w:t>
      </w:r>
      <w:r w:rsidR="000E4406">
        <w:t>odst</w:t>
      </w:r>
      <w:r>
        <w:t xml:space="preserve">. </w:t>
      </w:r>
      <w:bookmarkStart w:id="146" w:name="_Hlk118179762"/>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46"/>
      <w:r>
        <w:t xml:space="preserve"> a písm.</w:t>
      </w:r>
      <w:bookmarkEnd w:id="144"/>
      <w:r>
        <w:t xml:space="preserve"> </w:t>
      </w:r>
      <w:r>
        <w:fldChar w:fldCharType="begin"/>
      </w:r>
      <w:r>
        <w:instrText xml:space="preserve"> REF _Ref118179909 \r \h  \* MERGEFORMAT </w:instrText>
      </w:r>
      <w:r>
        <w:fldChar w:fldCharType="separate"/>
      </w:r>
      <w:r w:rsidR="008A163C">
        <w:t>b</w:t>
      </w:r>
      <w:r>
        <w:fldChar w:fldCharType="end"/>
      </w:r>
      <w:r>
        <w:t>.</w:t>
      </w:r>
      <w:r w:rsidR="00EC5DDE">
        <w:t xml:space="preserve"> ZOP</w:t>
      </w:r>
      <w:r>
        <w:t xml:space="preserve"> měl</w:t>
      </w:r>
      <w:r w:rsidR="00EC5DDE">
        <w:t>y</w:t>
      </w:r>
      <w:r>
        <w:t xml:space="preserve"> běžet vůči Dodavateli zároveň, vzniká za takové období Objednateli nárok pouze dle </w:t>
      </w:r>
      <w:r w:rsidR="00B81687">
        <w:t>odst</w:t>
      </w:r>
      <w:r>
        <w:t xml:space="preserve">. </w:t>
      </w:r>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45"/>
      <w:r w:rsidR="00B81687">
        <w:t xml:space="preserve"> ZOP.</w:t>
      </w:r>
      <w:r w:rsidR="44CCDBE9" w:rsidRPr="66ECFC6E">
        <w:rPr>
          <w:rFonts w:ascii="Calibri" w:hAnsi="Calibri" w:cs="Calibri"/>
          <w:sz w:val="22"/>
        </w:rPr>
        <w:t xml:space="preserve"> Plnění se považuje pro účely této smluvní pokuty za řádně a včas provedené i v případě, že bylo akceptováno s výhradou</w:t>
      </w:r>
      <w:r w:rsidR="003F2A50">
        <w:t>;</w:t>
      </w:r>
    </w:p>
    <w:p w14:paraId="358B4151" w14:textId="7E83571E" w:rsidR="6991CB16" w:rsidRDefault="6991CB16" w:rsidP="00572D57">
      <w:pPr>
        <w:pStyle w:val="aodst"/>
      </w:pPr>
      <w:r w:rsidRPr="66ECFC6E">
        <w:t xml:space="preserve">poruší-li Dodavatel svoji povinnost </w:t>
      </w:r>
      <w:r w:rsidR="002573D1">
        <w:t xml:space="preserve">dle odst. </w:t>
      </w:r>
      <w:r w:rsidR="002573D1">
        <w:fldChar w:fldCharType="begin"/>
      </w:r>
      <w:r w:rsidR="002573D1">
        <w:instrText xml:space="preserve"> REF _Ref183001204 \r \h </w:instrText>
      </w:r>
      <w:r w:rsidR="002573D1">
        <w:fldChar w:fldCharType="separate"/>
      </w:r>
      <w:r w:rsidR="002573D1">
        <w:t>8.1.11</w:t>
      </w:r>
      <w:r w:rsidR="002573D1">
        <w:fldChar w:fldCharType="end"/>
      </w:r>
      <w:r w:rsidR="002573D1">
        <w:t xml:space="preserve"> ZOP</w:t>
      </w:r>
      <w:r w:rsidRPr="66ECFC6E">
        <w:t xml:space="preserve"> ve výši 0,01 % z Ceny (případně ceny části Plnění, jedná-li se o akceptaci dílčí části Plnění) za každý započatý den prodlení až do řádného splnění této povinnosti;</w:t>
      </w:r>
    </w:p>
    <w:p w14:paraId="44B4DC5C" w14:textId="5C3FC5B1" w:rsidR="006D135C" w:rsidRPr="00335BA4" w:rsidRDefault="006D135C" w:rsidP="00B87F99">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B87F99">
      <w:pPr>
        <w:pStyle w:val="aodst"/>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B87F99">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B87F99">
      <w:pPr>
        <w:pStyle w:val="aodst"/>
      </w:pPr>
      <w:bookmarkStart w:id="147" w:name="_Ref118365998"/>
      <w:r w:rsidRPr="00335BA4">
        <w:t>poruší-li Dodavatel svoji</w:t>
      </w:r>
      <w:r w:rsidRPr="00ED6198">
        <w:t xml:space="preserve"> povinnost dodržet sjednanou Dobu vyřešení Incidentu, ve </w:t>
      </w:r>
      <w:r w:rsidRPr="00335BA4">
        <w:t>výši:</w:t>
      </w:r>
      <w:bookmarkEnd w:id="147"/>
    </w:p>
    <w:p w14:paraId="25070C97" w14:textId="3A7F6EB2" w:rsidR="004036E2" w:rsidRPr="00335BA4" w:rsidRDefault="004036E2" w:rsidP="00B87F99">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B87F99">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B87F99">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B87F99">
      <w:pPr>
        <w:pStyle w:val="aodst"/>
      </w:pPr>
      <w:bookmarkStart w:id="148" w:name="_Ref118366017"/>
      <w:r w:rsidRPr="00335BA4">
        <w:t>v případě prodlení nad rámec sjednané lhůty pro odstranění vad v Produkčním prostředí:</w:t>
      </w:r>
      <w:bookmarkEnd w:id="148"/>
      <w:r w:rsidRPr="00335BA4">
        <w:t xml:space="preserve"> </w:t>
      </w:r>
    </w:p>
    <w:p w14:paraId="0D84573C" w14:textId="31881810" w:rsidR="0000199B" w:rsidRPr="00335BA4" w:rsidRDefault="0000199B" w:rsidP="00B87F99">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B87F99">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B87F99">
      <w:pPr>
        <w:pStyle w:val="Odstavecseseznamem"/>
      </w:pPr>
      <w:r w:rsidRPr="00335BA4">
        <w:lastRenderedPageBreak/>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B87F99">
      <w:pPr>
        <w:pStyle w:val="aodst"/>
      </w:pPr>
      <w:r w:rsidRPr="00335BA4">
        <w:t xml:space="preserve">v případě prodlení nad rámec sjednané lhůty pro odstranění vad v Testovacím prostředí: </w:t>
      </w:r>
    </w:p>
    <w:p w14:paraId="68CB871A" w14:textId="4490D00E" w:rsidR="0000199B" w:rsidRPr="00335BA4" w:rsidRDefault="0000199B" w:rsidP="00B87F99">
      <w:pPr>
        <w:pStyle w:val="Odstavecseseznamem"/>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B87F99">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4528CC9F" w:rsidR="004B1B88" w:rsidRDefault="004B1B88" w:rsidP="00B87F99">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B87F99">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B87F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B87F9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B87F9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5430FF1F" w14:textId="1D8857DC" w:rsidR="004B1B88" w:rsidRPr="00335BA4" w:rsidRDefault="004B1B88" w:rsidP="00B87F99">
            <w:pPr>
              <w:pStyle w:val="11odst"/>
              <w:numPr>
                <w:ilvl w:val="0"/>
                <w:numId w:val="0"/>
              </w:numPr>
            </w:pPr>
            <w:r w:rsidRPr="00335BA4">
              <w:t>Do 2 %</w:t>
            </w:r>
          </w:p>
        </w:tc>
        <w:tc>
          <w:tcPr>
            <w:tcW w:w="0" w:type="dxa"/>
          </w:tcPr>
          <w:p w14:paraId="76B83A00" w14:textId="493ED4EA"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5AB8787C" w14:textId="46C8C5B6" w:rsidR="004B1B88" w:rsidRPr="00335BA4" w:rsidRDefault="00217A83" w:rsidP="00B87F99">
            <w:pPr>
              <w:pStyle w:val="11odst"/>
              <w:numPr>
                <w:ilvl w:val="0"/>
                <w:numId w:val="0"/>
              </w:numPr>
            </w:pPr>
            <w:r>
              <w:t xml:space="preserve">Od </w:t>
            </w:r>
            <w:r w:rsidR="004B1B88" w:rsidRPr="00335BA4">
              <w:t>2</w:t>
            </w:r>
            <w:r w:rsidR="00E27D82">
              <w:t xml:space="preserve"> (včetně)</w:t>
            </w:r>
            <w:r w:rsidR="004B1B88" w:rsidRPr="00335BA4">
              <w:t xml:space="preserve"> do 5 %</w:t>
            </w:r>
          </w:p>
        </w:tc>
        <w:tc>
          <w:tcPr>
            <w:tcW w:w="0" w:type="dxa"/>
          </w:tcPr>
          <w:p w14:paraId="71F306A9" w14:textId="0A7AF718"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01444E83" w14:textId="6093C80A" w:rsidR="004B1B88" w:rsidRPr="00335BA4" w:rsidRDefault="00217A83" w:rsidP="00B87F99">
            <w:pPr>
              <w:pStyle w:val="11odst"/>
              <w:numPr>
                <w:ilvl w:val="0"/>
                <w:numId w:val="0"/>
              </w:numPr>
            </w:pPr>
            <w:r>
              <w:t xml:space="preserve">Od </w:t>
            </w:r>
            <w:r w:rsidR="004B1B88" w:rsidRPr="00335BA4">
              <w:t>5</w:t>
            </w:r>
            <w:r w:rsidR="00E27D82">
              <w:t xml:space="preserve"> (včetně)</w:t>
            </w:r>
            <w:r w:rsidR="004B1B88" w:rsidRPr="00335BA4">
              <w:t xml:space="preserve"> do 10 %</w:t>
            </w:r>
          </w:p>
        </w:tc>
        <w:tc>
          <w:tcPr>
            <w:tcW w:w="0" w:type="dxa"/>
          </w:tcPr>
          <w:p w14:paraId="3484A54C" w14:textId="2A65FE48"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4FCB9C24" w14:textId="4088B4B3" w:rsidR="004B1B88" w:rsidRPr="00335BA4" w:rsidRDefault="00E27D82" w:rsidP="00B87F99">
            <w:pPr>
              <w:pStyle w:val="11odst"/>
              <w:numPr>
                <w:ilvl w:val="0"/>
                <w:numId w:val="0"/>
              </w:numPr>
            </w:pPr>
            <w:r>
              <w:t xml:space="preserve">Od </w:t>
            </w:r>
            <w:r w:rsidR="004B1B88" w:rsidRPr="00335BA4">
              <w:t>10 %</w:t>
            </w:r>
            <w:r>
              <w:t xml:space="preserve"> (včetně)</w:t>
            </w:r>
            <w:r w:rsidR="00466D7E" w:rsidRPr="00335BA4">
              <w:t xml:space="preserve"> a více</w:t>
            </w:r>
          </w:p>
        </w:tc>
        <w:tc>
          <w:tcPr>
            <w:tcW w:w="0" w:type="dxa"/>
          </w:tcPr>
          <w:p w14:paraId="5131F76E" w14:textId="25D8CA3A"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B87F99">
      <w:pPr>
        <w:pStyle w:val="11odst"/>
        <w:numPr>
          <w:ilvl w:val="0"/>
          <w:numId w:val="0"/>
        </w:numPr>
        <w:ind w:left="1701"/>
      </w:pPr>
    </w:p>
    <w:p w14:paraId="63540FB9" w14:textId="08D2E425" w:rsidR="00D331EF" w:rsidRPr="00335BA4" w:rsidRDefault="00D331EF" w:rsidP="00B87F99">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65012F9B" w:rsidR="0000199B" w:rsidRPr="00ED6198" w:rsidRDefault="0000199B" w:rsidP="00B87F99">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0D0EF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073DD0D0" w:rsidR="009B6B56" w:rsidRPr="00ED6198" w:rsidRDefault="00C70F14" w:rsidP="00B87F99">
      <w:pPr>
        <w:pStyle w:val="aodst"/>
      </w:pPr>
      <w:r w:rsidRPr="00ED6198">
        <w:t xml:space="preserve">ve výši a za podmínek dle článku </w:t>
      </w:r>
      <w:r w:rsidR="000D0EF7">
        <w:fldChar w:fldCharType="begin"/>
      </w:r>
      <w:r w:rsidR="000D0EF7">
        <w:instrText xml:space="preserve"> REF _Ref117498661 \r \h </w:instrText>
      </w:r>
      <w:r w:rsidR="000D0EF7">
        <w:fldChar w:fldCharType="separate"/>
      </w:r>
      <w:r w:rsidR="000D0EF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B87F99">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698068AB" w:rsidR="00C70F14" w:rsidRPr="00ED6198" w:rsidRDefault="005B1F90" w:rsidP="00B87F99">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E1E6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E1E6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7E3C4F4B" w:rsidR="007578F8" w:rsidRPr="00ED6198" w:rsidRDefault="007578F8" w:rsidP="00B87F9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B87F99">
      <w:pPr>
        <w:pStyle w:val="11odst"/>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B87F99">
      <w:pPr>
        <w:pStyle w:val="11odst"/>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6ABAF504" w:rsidR="00BE04E4" w:rsidRPr="00ED6198" w:rsidRDefault="00BE04E4" w:rsidP="00B87F9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B87F99">
      <w:pPr>
        <w:pStyle w:val="Nadpissl"/>
      </w:pPr>
      <w:bookmarkStart w:id="149" w:name="_Toc119490227"/>
      <w:r w:rsidRPr="00ED6198">
        <w:t xml:space="preserve">Záruka </w:t>
      </w:r>
      <w:r w:rsidR="00F75A5B" w:rsidRPr="00ED6198">
        <w:t xml:space="preserve">za jakost </w:t>
      </w:r>
      <w:r w:rsidR="0041381C" w:rsidRPr="00ED6198">
        <w:t xml:space="preserve">a práva </w:t>
      </w:r>
      <w:r w:rsidRPr="00ED6198">
        <w:t>z vadného plnění</w:t>
      </w:r>
      <w:bookmarkEnd w:id="149"/>
    </w:p>
    <w:p w14:paraId="39EE0717" w14:textId="0F9A45B0" w:rsidR="00F75A5B" w:rsidRPr="00ED6198" w:rsidRDefault="00F75A5B" w:rsidP="00B87F99">
      <w:pPr>
        <w:pStyle w:val="11odst"/>
      </w:pPr>
      <w:r w:rsidRPr="00ED6198">
        <w:t>Společná ustanovení</w:t>
      </w:r>
    </w:p>
    <w:p w14:paraId="65B0901E" w14:textId="2C07C593" w:rsidR="00F75A5B" w:rsidRPr="00ED6198" w:rsidRDefault="00F75A5B" w:rsidP="00B87F99">
      <w:pPr>
        <w:pStyle w:val="111odst"/>
      </w:pPr>
      <w:r w:rsidRPr="00ED6198">
        <w:lastRenderedPageBreak/>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1DE43318" w:rsidR="00F75A5B" w:rsidRPr="00ED6198" w:rsidRDefault="00F75A5B" w:rsidP="00B87F99">
      <w:pPr>
        <w:pStyle w:val="111odst"/>
      </w:pPr>
      <w:r w:rsidRPr="00ED6198">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B87F99">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B87F99">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B87F99">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87F99">
      <w:pPr>
        <w:pStyle w:val="111odst"/>
      </w:pPr>
      <w:bookmarkStart w:id="150" w:name="_Hlk118204552"/>
      <w:r w:rsidRPr="00335BA4">
        <w:t>Dodavatel neodpovídá za vady Plnění vzniklé:</w:t>
      </w:r>
    </w:p>
    <w:p w14:paraId="55BC2642" w14:textId="3EA55611" w:rsidR="00BC2A6A" w:rsidRPr="00335BA4" w:rsidRDefault="00BC2A6A" w:rsidP="00B87F99">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B87F99">
      <w:pPr>
        <w:pStyle w:val="aodst"/>
      </w:pPr>
      <w:r w:rsidRPr="00335BA4">
        <w:t>neoprávněným nebo neodborným zásahem či nesprávným užitím Díla Objednatelem;</w:t>
      </w:r>
    </w:p>
    <w:p w14:paraId="0B3D5C11" w14:textId="05648E63" w:rsidR="00BC2A6A" w:rsidRPr="00335BA4" w:rsidRDefault="00BC2A6A" w:rsidP="00B87F99">
      <w:pPr>
        <w:pStyle w:val="aodst"/>
      </w:pPr>
      <w:r w:rsidRPr="00335BA4">
        <w:t>vadami IT prostředí Objednatele</w:t>
      </w:r>
      <w:bookmarkEnd w:id="150"/>
      <w:r w:rsidRPr="00335BA4">
        <w:t>.</w:t>
      </w:r>
    </w:p>
    <w:p w14:paraId="0318E689" w14:textId="54413B1F" w:rsidR="00F75A5B" w:rsidRPr="00332EAF" w:rsidRDefault="00F75A5B" w:rsidP="00B87F9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B87F99">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B87F99">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B87F99">
      <w:pPr>
        <w:pStyle w:val="11odst"/>
        <w:numPr>
          <w:ilvl w:val="0"/>
          <w:numId w:val="0"/>
        </w:numPr>
        <w:ind w:left="1106"/>
      </w:pPr>
    </w:p>
    <w:p w14:paraId="7AE8A139" w14:textId="77777777" w:rsidR="00F75A5B" w:rsidRPr="00ED6198" w:rsidRDefault="00F75A5B" w:rsidP="00B87F99">
      <w:pPr>
        <w:pStyle w:val="11odst"/>
        <w:numPr>
          <w:ilvl w:val="0"/>
          <w:numId w:val="0"/>
        </w:numPr>
        <w:ind w:left="1416"/>
        <w:rPr>
          <w:b/>
          <w:bCs/>
        </w:rPr>
      </w:pPr>
      <w:r w:rsidRPr="00ED6198">
        <w:rPr>
          <w:b/>
          <w:bCs/>
        </w:rPr>
        <w:t>Produkční prostředí</w:t>
      </w:r>
    </w:p>
    <w:p w14:paraId="497E1060" w14:textId="4505820B" w:rsidR="00F75A5B" w:rsidRPr="00ED6198" w:rsidRDefault="00397EC3" w:rsidP="00B87F99">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B87F99">
      <w:pPr>
        <w:pStyle w:val="11odst"/>
        <w:numPr>
          <w:ilvl w:val="0"/>
          <w:numId w:val="0"/>
        </w:numPr>
        <w:ind w:left="1416" w:hanging="681"/>
      </w:pPr>
      <w:r w:rsidRPr="00ED6198">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B87F99">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B87F99">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B87F99">
      <w:pPr>
        <w:pStyle w:val="11odst"/>
        <w:numPr>
          <w:ilvl w:val="0"/>
          <w:numId w:val="0"/>
        </w:numPr>
        <w:ind w:left="1416" w:hanging="681"/>
      </w:pPr>
    </w:p>
    <w:p w14:paraId="5E852A5B" w14:textId="62B160A4" w:rsidR="000705F0" w:rsidRPr="00ED6198" w:rsidRDefault="00F75A5B" w:rsidP="00B87F99">
      <w:pPr>
        <w:pStyle w:val="11odst"/>
        <w:numPr>
          <w:ilvl w:val="0"/>
          <w:numId w:val="0"/>
        </w:numPr>
        <w:ind w:left="1416"/>
        <w:rPr>
          <w:b/>
          <w:bCs/>
        </w:rPr>
      </w:pPr>
      <w:r w:rsidRPr="00ED6198">
        <w:rPr>
          <w:b/>
          <w:bCs/>
        </w:rPr>
        <w:t>Testovací prostředí</w:t>
      </w:r>
    </w:p>
    <w:p w14:paraId="5BC4EF74" w14:textId="5E742857" w:rsidR="00F75A5B" w:rsidRPr="00ED6198" w:rsidRDefault="00F75A5B" w:rsidP="00B87F99">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B87F99">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B87F99">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B87F99">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B87F99">
      <w:pPr>
        <w:pStyle w:val="11odst"/>
        <w:numPr>
          <w:ilvl w:val="0"/>
          <w:numId w:val="0"/>
        </w:numPr>
        <w:ind w:left="1416"/>
      </w:pPr>
    </w:p>
    <w:p w14:paraId="4F6B2760" w14:textId="054D07C7" w:rsidR="00F75A5B" w:rsidRPr="00332EAF" w:rsidRDefault="00F75A5B" w:rsidP="00B87F99">
      <w:pPr>
        <w:pStyle w:val="11odst"/>
      </w:pPr>
      <w:r w:rsidRPr="00E33450">
        <w:t>Záruka vztahující se k Hardwar</w:t>
      </w:r>
      <w:r w:rsidR="005B4578" w:rsidRPr="00332EAF">
        <w:t>u</w:t>
      </w:r>
    </w:p>
    <w:p w14:paraId="0DF2442C" w14:textId="77301F60" w:rsidR="00ED61F0" w:rsidRPr="00C51D34" w:rsidRDefault="00ED61F0" w:rsidP="00B87F99">
      <w:pPr>
        <w:pStyle w:val="111odst"/>
      </w:pPr>
      <w:r w:rsidRPr="00C51D34">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B87F99">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B87F99">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B87F99">
      <w:pPr>
        <w:pStyle w:val="Nadpissl"/>
      </w:pPr>
      <w:bookmarkStart w:id="151" w:name="_Toc119490228"/>
      <w:r w:rsidRPr="00ED6198">
        <w:t>Ukončení smluvního vztahu</w:t>
      </w:r>
      <w:bookmarkEnd w:id="151"/>
    </w:p>
    <w:p w14:paraId="09C6640C" w14:textId="7F7F5277" w:rsidR="001413EE" w:rsidRPr="00ED6198" w:rsidRDefault="001413EE" w:rsidP="00B87F99">
      <w:pPr>
        <w:pStyle w:val="11odst"/>
      </w:pPr>
      <w:r w:rsidRPr="00ED6198">
        <w:t>Obecně k odstoupení od Smlouvy</w:t>
      </w:r>
      <w:r w:rsidR="00DA153E" w:rsidRPr="00ED6198">
        <w:t>:</w:t>
      </w:r>
    </w:p>
    <w:p w14:paraId="1246D6E3" w14:textId="5064E859" w:rsidR="003A60F1" w:rsidRPr="00ED6198" w:rsidRDefault="003A60F1" w:rsidP="00B87F99">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B87F99">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B87F99">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B87F99">
      <w:pPr>
        <w:pStyle w:val="11odst"/>
      </w:pPr>
      <w:bookmarkStart w:id="152" w:name="_Ref115692306"/>
      <w:r w:rsidRPr="00ED6198">
        <w:t>Objednatel je oprávněn odstoupit od Smlouvy, v případě, že:</w:t>
      </w:r>
      <w:bookmarkEnd w:id="152"/>
      <w:r w:rsidRPr="00ED6198">
        <w:t xml:space="preserve"> </w:t>
      </w:r>
    </w:p>
    <w:p w14:paraId="7DE1DA04" w14:textId="6249890E" w:rsidR="008F46D1" w:rsidRPr="00ED6198" w:rsidRDefault="00440523" w:rsidP="00B87F99">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B87F99">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B87F99">
      <w:pPr>
        <w:pStyle w:val="aodst"/>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B87F99">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B87F99">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B87F99">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B87F99">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B87F99">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62ACCD42" w:rsidR="000754A5" w:rsidRPr="00ED6198" w:rsidRDefault="000754A5" w:rsidP="00B87F99">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B87F99">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B87F99">
      <w:pPr>
        <w:pStyle w:val="aodst"/>
      </w:pPr>
      <w:r>
        <w:lastRenderedPageBreak/>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B87F99">
      <w:pPr>
        <w:pStyle w:val="aodst"/>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2C266893" w:rsidR="008A34C9" w:rsidRPr="00335BA4" w:rsidRDefault="00C21A4E" w:rsidP="00B87F99">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213018">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B87F99">
      <w:pPr>
        <w:pStyle w:val="aodst"/>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B87F99">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B87F9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B87F99">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B87F99">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B87F9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B87F99">
      <w:pPr>
        <w:pStyle w:val="Nadpissl"/>
      </w:pPr>
      <w:bookmarkStart w:id="153" w:name="_Toc119490229"/>
      <w:r w:rsidRPr="00ED6198">
        <w:t>Změny smlouvy a změnové řízení</w:t>
      </w:r>
      <w:bookmarkEnd w:id="153"/>
    </w:p>
    <w:p w14:paraId="47CF386F" w14:textId="1A7EC5BA" w:rsidR="0085302D" w:rsidRPr="00ED6198" w:rsidRDefault="0085302D" w:rsidP="00B87F9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B87F99">
      <w:pPr>
        <w:pStyle w:val="11odst"/>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B87F9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B87F99">
      <w:pPr>
        <w:pStyle w:val="Nadpissl"/>
      </w:pPr>
      <w:bookmarkStart w:id="154" w:name="_Ref115447290"/>
      <w:bookmarkStart w:id="155" w:name="_Ref115681601"/>
      <w:bookmarkStart w:id="156" w:name="_Ref115682240"/>
      <w:bookmarkStart w:id="157" w:name="_Ref115685219"/>
      <w:bookmarkStart w:id="158" w:name="_Ref115692359"/>
      <w:bookmarkStart w:id="159" w:name="_Ref115692399"/>
      <w:bookmarkStart w:id="160" w:name="_Ref116909220"/>
      <w:bookmarkStart w:id="161" w:name="_Ref117498800"/>
      <w:bookmarkStart w:id="162" w:name="_Ref117498912"/>
      <w:bookmarkStart w:id="163" w:name="_Ref117514943"/>
      <w:bookmarkStart w:id="164" w:name="_Ref117518066"/>
      <w:bookmarkStart w:id="165" w:name="_Ref117521145"/>
      <w:bookmarkStart w:id="166" w:name="_Ref117697862"/>
      <w:bookmarkStart w:id="167" w:name="_Ref117698211"/>
      <w:bookmarkStart w:id="168" w:name="_Toc119490230"/>
      <w:r w:rsidRPr="00ED6198">
        <w:t>Kybernetická bezpečnost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8DD274E" w14:textId="5D22A8C6" w:rsidR="00AD6A94" w:rsidRPr="00332EAF" w:rsidRDefault="001C63B2" w:rsidP="00B87F99">
      <w:pPr>
        <w:pStyle w:val="11odst"/>
      </w:pPr>
      <w:bookmarkStart w:id="169"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69"/>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B87F99">
      <w:pPr>
        <w:pStyle w:val="11odst"/>
      </w:pPr>
      <w:bookmarkStart w:id="170" w:name="_Ref115606269"/>
      <w:bookmarkStart w:id="171"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w:t>
      </w:r>
      <w:r w:rsidRPr="00332EAF">
        <w:lastRenderedPageBreak/>
        <w:t xml:space="preserve">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B87F9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70"/>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71"/>
    </w:p>
    <w:p w14:paraId="6602E344" w14:textId="7C950FF4" w:rsidR="00476758" w:rsidRPr="0041021B" w:rsidRDefault="0092722D" w:rsidP="00B87F9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B87F99">
      <w:pPr>
        <w:pStyle w:val="aodst"/>
      </w:pPr>
      <w:bookmarkStart w:id="172" w:name="_Toc117704193"/>
      <w:bookmarkStart w:id="173" w:name="_Toc118366962"/>
      <w:bookmarkStart w:id="174" w:name="_Toc119490036"/>
      <w:bookmarkStart w:id="175" w:name="_Toc119490076"/>
      <w:bookmarkStart w:id="176" w:name="_Toc119490113"/>
      <w:bookmarkStart w:id="177" w:name="_Toc119490231"/>
      <w:bookmarkEnd w:id="172"/>
      <w:bookmarkEnd w:id="173"/>
      <w:bookmarkEnd w:id="174"/>
      <w:bookmarkEnd w:id="175"/>
      <w:bookmarkEnd w:id="176"/>
      <w:bookmarkEnd w:id="177"/>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B87F99">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B87F99">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B87F9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w:t>
      </w:r>
      <w:r w:rsidR="00656265" w:rsidRPr="00332EAF">
        <w:lastRenderedPageBreak/>
        <w:t xml:space="preserve">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B87F99">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B87F99">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B87F99">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B87F9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B87F9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B87F99">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B87F9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B87F99">
      <w:pPr>
        <w:pStyle w:val="11odst"/>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B87F9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B87F99">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B87F99">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B87F9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w:t>
      </w:r>
      <w:r w:rsidR="008B0306" w:rsidRPr="00335BA4">
        <w:lastRenderedPageBreak/>
        <w:t>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B87F9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B87F99">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B87F99">
      <w:pPr>
        <w:pStyle w:val="11odst"/>
      </w:pPr>
      <w:bookmarkStart w:id="178"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79" w:name="_Toc117704195"/>
      <w:bookmarkStart w:id="180" w:name="_Toc118366964"/>
      <w:bookmarkStart w:id="181" w:name="_Toc119490038"/>
      <w:bookmarkStart w:id="182" w:name="_Toc119490078"/>
      <w:bookmarkStart w:id="183" w:name="_Toc119490115"/>
      <w:bookmarkStart w:id="184" w:name="_Toc119490233"/>
      <w:bookmarkEnd w:id="178"/>
      <w:bookmarkEnd w:id="179"/>
      <w:bookmarkEnd w:id="180"/>
      <w:bookmarkEnd w:id="181"/>
      <w:bookmarkEnd w:id="182"/>
      <w:bookmarkEnd w:id="183"/>
      <w:bookmarkEnd w:id="184"/>
    </w:p>
    <w:p w14:paraId="6BF6ADBE" w14:textId="6C681104" w:rsidR="00F04872" w:rsidRPr="00335BA4" w:rsidRDefault="00AB1DE5" w:rsidP="00B87F99">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B87F99">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B87F99">
      <w:pPr>
        <w:pStyle w:val="111odst"/>
      </w:pPr>
      <w:r w:rsidRPr="00A54D4C">
        <w:t>Významný</w:t>
      </w:r>
      <w:r w:rsidRPr="00780D30">
        <w:t xml:space="preserve"> dodavatel je dále povinen:</w:t>
      </w:r>
    </w:p>
    <w:p w14:paraId="58C336DC" w14:textId="04412CCC" w:rsidR="00625919" w:rsidRPr="00335BA4" w:rsidRDefault="00FA719A" w:rsidP="00B87F99">
      <w:pPr>
        <w:pStyle w:val="aodst"/>
      </w:pPr>
      <w:bookmarkStart w:id="185" w:name="_Toc117704197"/>
      <w:bookmarkStart w:id="186" w:name="_Toc118366966"/>
      <w:bookmarkStart w:id="187" w:name="_Toc119490040"/>
      <w:bookmarkStart w:id="188" w:name="_Toc119490080"/>
      <w:bookmarkStart w:id="189" w:name="_Toc119490117"/>
      <w:bookmarkStart w:id="190" w:name="_Toc119490235"/>
      <w:bookmarkEnd w:id="185"/>
      <w:bookmarkEnd w:id="186"/>
      <w:bookmarkEnd w:id="187"/>
      <w:bookmarkEnd w:id="188"/>
      <w:bookmarkEnd w:id="189"/>
      <w:bookmarkEnd w:id="190"/>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B87F99">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B87F99">
      <w:pPr>
        <w:pStyle w:val="aodst"/>
      </w:pPr>
      <w:r w:rsidRPr="00335BA4">
        <w:t>zpracovat a pravidelně aktualizovat bezpečnostní dokumentaci v rozsahu stanoveném ve Smlouvě;</w:t>
      </w:r>
    </w:p>
    <w:p w14:paraId="35B220D8" w14:textId="7F7F3A43" w:rsidR="00FA719A" w:rsidRPr="00335BA4" w:rsidRDefault="008E74D4" w:rsidP="00B87F99">
      <w:pPr>
        <w:pStyle w:val="aodst"/>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B87F99">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B87F99">
      <w:pPr>
        <w:pStyle w:val="111odst"/>
      </w:pPr>
      <w:r w:rsidRPr="00210E5E">
        <w:t>Provozovatel</w:t>
      </w:r>
      <w:r w:rsidRPr="00E33450">
        <w:t xml:space="preserve"> je dále povinen:</w:t>
      </w:r>
    </w:p>
    <w:p w14:paraId="467FBF93" w14:textId="3FF4529C" w:rsidR="004310AC" w:rsidRPr="00335BA4" w:rsidRDefault="00222121" w:rsidP="00B87F99">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B87F99">
      <w:pPr>
        <w:pStyle w:val="aodst"/>
      </w:pPr>
      <w:r w:rsidRPr="00335BA4">
        <w:t>plnit další povinnosti vyplývající pro Provozovatele ze ZKB a VKB.</w:t>
      </w:r>
    </w:p>
    <w:p w14:paraId="502DD717" w14:textId="56B53D92" w:rsidR="00004AE2" w:rsidRPr="00332EAF" w:rsidRDefault="00004AE2" w:rsidP="00B87F9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xml:space="preserve">, přičemž nedohodnou-li se Strany na konkrétní lhůtě, pak je Dodavatel povinen odstranit </w:t>
      </w:r>
      <w:r w:rsidRPr="00332EAF">
        <w:lastRenderedPageBreak/>
        <w:t>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B87F9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B87F9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B87F99">
      <w:pPr>
        <w:pStyle w:val="11odst"/>
      </w:pPr>
      <w:r w:rsidRPr="00332EAF">
        <w:t xml:space="preserve">Objednatel je oprávněn požadovat na Dodavateli zaplacení smluvní pokuty: </w:t>
      </w:r>
    </w:p>
    <w:p w14:paraId="7BBEA52B" w14:textId="76D3F23A" w:rsidR="005713A3" w:rsidRPr="00335BA4" w:rsidRDefault="005713A3" w:rsidP="00B87F99">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B87F99">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B87F99">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B87F99">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B87F99">
      <w:pPr>
        <w:pStyle w:val="aodst"/>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B87F99">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B87F99">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B87F99">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B87F99">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B87F99">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B87F99">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B87F99">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B87F99">
      <w:pPr>
        <w:pStyle w:val="Nadpissl"/>
      </w:pPr>
      <w:bookmarkStart w:id="191" w:name="_Ref117498661"/>
      <w:bookmarkStart w:id="192" w:name="_Toc119490236"/>
      <w:r w:rsidRPr="00ED6198">
        <w:t>Ochrana osobních údajů</w:t>
      </w:r>
      <w:bookmarkEnd w:id="191"/>
      <w:bookmarkEnd w:id="192"/>
    </w:p>
    <w:p w14:paraId="0C3FB491" w14:textId="22B28A73" w:rsidR="00F56D62" w:rsidRPr="00ED6198" w:rsidRDefault="00F039B0" w:rsidP="00B87F99">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B87F99">
      <w:pPr>
        <w:pStyle w:val="11odst"/>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B87F99">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B87F99">
      <w:pPr>
        <w:pStyle w:val="11odst"/>
      </w:pPr>
      <w:r w:rsidRPr="00ED6198">
        <w:lastRenderedPageBreak/>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B87F99">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B87F99">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B87F99">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B87F99">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B87F99">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B87F99">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B87F99">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B87F99">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B87F99">
      <w:pPr>
        <w:pStyle w:val="Nadpissl"/>
      </w:pPr>
      <w:bookmarkStart w:id="193" w:name="_Ref115696518"/>
      <w:bookmarkStart w:id="194" w:name="_Toc119490237"/>
      <w:r w:rsidRPr="00ED6198">
        <w:t>ochrana důvěrných informací</w:t>
      </w:r>
      <w:bookmarkEnd w:id="193"/>
      <w:bookmarkEnd w:id="194"/>
    </w:p>
    <w:p w14:paraId="44D53AB3" w14:textId="15DA65ED" w:rsidR="007405D7" w:rsidRPr="00ED6198" w:rsidRDefault="007405D7" w:rsidP="00B87F9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B87F9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B87F99">
      <w:pPr>
        <w:pStyle w:val="11odst"/>
      </w:pPr>
      <w:r w:rsidRPr="00ED6198">
        <w:lastRenderedPageBreak/>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B87F9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B87F9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B87F99">
      <w:pPr>
        <w:pStyle w:val="11odst"/>
      </w:pPr>
      <w:bookmarkStart w:id="195"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95"/>
    </w:p>
    <w:p w14:paraId="6C7F47E5" w14:textId="77777777" w:rsidR="007405D7" w:rsidRPr="00ED6198" w:rsidRDefault="007405D7" w:rsidP="00B87F99">
      <w:pPr>
        <w:pStyle w:val="11odst"/>
      </w:pPr>
      <w:r w:rsidRPr="00ED6198">
        <w:t xml:space="preserve">Objednatel je oprávněn požadovat na Dodavateli zaplacení smluvní pokuty: </w:t>
      </w:r>
    </w:p>
    <w:p w14:paraId="69F6065D" w14:textId="31CA0DE3" w:rsidR="007405D7" w:rsidRPr="00ED6198" w:rsidRDefault="007405D7" w:rsidP="00B87F99">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62F7C38C" w:rsidR="007405D7" w:rsidRPr="00094D15" w:rsidRDefault="007405D7" w:rsidP="00B87F99">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default" r:id="rId11"/>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CCC93" w14:textId="77777777" w:rsidR="00656610" w:rsidRDefault="00656610" w:rsidP="00533FFF">
      <w:pPr>
        <w:spacing w:after="0" w:line="240" w:lineRule="auto"/>
      </w:pPr>
      <w:r>
        <w:separator/>
      </w:r>
    </w:p>
  </w:endnote>
  <w:endnote w:type="continuationSeparator" w:id="0">
    <w:p w14:paraId="45998EE9" w14:textId="77777777" w:rsidR="00656610" w:rsidRDefault="00656610" w:rsidP="00533FFF">
      <w:pPr>
        <w:spacing w:after="0" w:line="240" w:lineRule="auto"/>
      </w:pPr>
      <w:r>
        <w:continuationSeparator/>
      </w:r>
    </w:p>
  </w:endnote>
  <w:endnote w:type="continuationNotice" w:id="1">
    <w:p w14:paraId="093A0A3D" w14:textId="77777777" w:rsidR="00656610" w:rsidRDefault="00656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6254C7C"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7EBADCCE">
            <v:line id="Straight Connector 7"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069DAA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28C2014D">
            <v:line id="Straight Connector 10"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1BC941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5E2DA" w14:textId="77777777" w:rsidR="00656610" w:rsidRDefault="00656610" w:rsidP="00533FFF">
      <w:pPr>
        <w:spacing w:after="0" w:line="240" w:lineRule="auto"/>
      </w:pPr>
      <w:r>
        <w:separator/>
      </w:r>
    </w:p>
  </w:footnote>
  <w:footnote w:type="continuationSeparator" w:id="0">
    <w:p w14:paraId="3530F953" w14:textId="77777777" w:rsidR="00656610" w:rsidRDefault="00656610" w:rsidP="00533FFF">
      <w:pPr>
        <w:spacing w:after="0" w:line="240" w:lineRule="auto"/>
      </w:pPr>
      <w:r>
        <w:continuationSeparator/>
      </w:r>
    </w:p>
  </w:footnote>
  <w:footnote w:type="continuationNotice" w:id="1">
    <w:p w14:paraId="634ACCEE" w14:textId="77777777" w:rsidR="00656610" w:rsidRDefault="00656610">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2C4F7" w14:textId="77777777" w:rsidR="0014427D" w:rsidRDefault="001442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2BADAD71"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9"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0"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1"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59"/>
  </w:num>
  <w:num w:numId="8" w16cid:durableId="1443840698">
    <w:abstractNumId w:val="48"/>
  </w:num>
  <w:num w:numId="9" w16cid:durableId="1174951057">
    <w:abstractNumId w:val="63"/>
  </w:num>
  <w:num w:numId="10" w16cid:durableId="403989494">
    <w:abstractNumId w:val="51"/>
  </w:num>
  <w:num w:numId="11" w16cid:durableId="1520047978">
    <w:abstractNumId w:val="23"/>
  </w:num>
  <w:num w:numId="12" w16cid:durableId="1132091661">
    <w:abstractNumId w:val="31"/>
  </w:num>
  <w:num w:numId="13" w16cid:durableId="978653858">
    <w:abstractNumId w:val="64"/>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2"/>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7"/>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0"/>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1"/>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8"/>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8C7"/>
    <w:rsid w:val="00077749"/>
    <w:rsid w:val="00077E0E"/>
    <w:rsid w:val="00080CDA"/>
    <w:rsid w:val="00081462"/>
    <w:rsid w:val="000816E6"/>
    <w:rsid w:val="0008215B"/>
    <w:rsid w:val="0008289F"/>
    <w:rsid w:val="00082D43"/>
    <w:rsid w:val="00083CF9"/>
    <w:rsid w:val="00090FAA"/>
    <w:rsid w:val="00091AD8"/>
    <w:rsid w:val="00092344"/>
    <w:rsid w:val="000923C9"/>
    <w:rsid w:val="00094D15"/>
    <w:rsid w:val="00094E36"/>
    <w:rsid w:val="000961E9"/>
    <w:rsid w:val="000971C6"/>
    <w:rsid w:val="00097553"/>
    <w:rsid w:val="000A0787"/>
    <w:rsid w:val="000A0DD8"/>
    <w:rsid w:val="000A560E"/>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2BDC"/>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505D"/>
    <w:rsid w:val="0010535E"/>
    <w:rsid w:val="00106487"/>
    <w:rsid w:val="00110282"/>
    <w:rsid w:val="00110A80"/>
    <w:rsid w:val="001121D3"/>
    <w:rsid w:val="00112CDE"/>
    <w:rsid w:val="0011457D"/>
    <w:rsid w:val="00116B89"/>
    <w:rsid w:val="00116DF9"/>
    <w:rsid w:val="0011755B"/>
    <w:rsid w:val="00121A67"/>
    <w:rsid w:val="00121BFF"/>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1976"/>
    <w:rsid w:val="00153B0B"/>
    <w:rsid w:val="001544D3"/>
    <w:rsid w:val="00155173"/>
    <w:rsid w:val="00155B0A"/>
    <w:rsid w:val="00155B1B"/>
    <w:rsid w:val="001574ED"/>
    <w:rsid w:val="0016050C"/>
    <w:rsid w:val="00161174"/>
    <w:rsid w:val="00161357"/>
    <w:rsid w:val="00161B76"/>
    <w:rsid w:val="00162601"/>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7969"/>
    <w:rsid w:val="00177CC5"/>
    <w:rsid w:val="00177EBE"/>
    <w:rsid w:val="00177EF4"/>
    <w:rsid w:val="00180636"/>
    <w:rsid w:val="00181021"/>
    <w:rsid w:val="001856D3"/>
    <w:rsid w:val="001867B1"/>
    <w:rsid w:val="00190B9E"/>
    <w:rsid w:val="00191CE6"/>
    <w:rsid w:val="00193B37"/>
    <w:rsid w:val="00194292"/>
    <w:rsid w:val="001953CA"/>
    <w:rsid w:val="00197141"/>
    <w:rsid w:val="0019785C"/>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C59"/>
    <w:rsid w:val="0024710A"/>
    <w:rsid w:val="00250DBC"/>
    <w:rsid w:val="00251626"/>
    <w:rsid w:val="00251E76"/>
    <w:rsid w:val="00253076"/>
    <w:rsid w:val="00253D54"/>
    <w:rsid w:val="002548EC"/>
    <w:rsid w:val="00256D37"/>
    <w:rsid w:val="002573D1"/>
    <w:rsid w:val="002606ED"/>
    <w:rsid w:val="00261DFC"/>
    <w:rsid w:val="00264F05"/>
    <w:rsid w:val="002653B8"/>
    <w:rsid w:val="00266DC4"/>
    <w:rsid w:val="00267E1E"/>
    <w:rsid w:val="00270F6B"/>
    <w:rsid w:val="00271ACF"/>
    <w:rsid w:val="002722B2"/>
    <w:rsid w:val="0027523F"/>
    <w:rsid w:val="002754E2"/>
    <w:rsid w:val="00275705"/>
    <w:rsid w:val="00276AF1"/>
    <w:rsid w:val="00277CCA"/>
    <w:rsid w:val="00281648"/>
    <w:rsid w:val="002823AF"/>
    <w:rsid w:val="002831B6"/>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53A9"/>
    <w:rsid w:val="0031544E"/>
    <w:rsid w:val="003158E5"/>
    <w:rsid w:val="00315B14"/>
    <w:rsid w:val="00316E34"/>
    <w:rsid w:val="0031772A"/>
    <w:rsid w:val="00321C8B"/>
    <w:rsid w:val="003224AD"/>
    <w:rsid w:val="003228BD"/>
    <w:rsid w:val="00322CF7"/>
    <w:rsid w:val="0032454D"/>
    <w:rsid w:val="00325D4B"/>
    <w:rsid w:val="00326752"/>
    <w:rsid w:val="00326AC1"/>
    <w:rsid w:val="003277D7"/>
    <w:rsid w:val="00327D8A"/>
    <w:rsid w:val="00327FC7"/>
    <w:rsid w:val="00330AC5"/>
    <w:rsid w:val="00331774"/>
    <w:rsid w:val="00331DCA"/>
    <w:rsid w:val="003329A6"/>
    <w:rsid w:val="00332EAF"/>
    <w:rsid w:val="00335A9F"/>
    <w:rsid w:val="00335BA4"/>
    <w:rsid w:val="00335E01"/>
    <w:rsid w:val="00337DE3"/>
    <w:rsid w:val="0034028A"/>
    <w:rsid w:val="00344251"/>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8065C"/>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C62"/>
    <w:rsid w:val="004F5604"/>
    <w:rsid w:val="004F5731"/>
    <w:rsid w:val="004F5815"/>
    <w:rsid w:val="004F7132"/>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E72"/>
    <w:rsid w:val="00526E85"/>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32F3"/>
    <w:rsid w:val="0054340F"/>
    <w:rsid w:val="0054374B"/>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F8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77C3"/>
    <w:rsid w:val="005B7BA5"/>
    <w:rsid w:val="005C1B9B"/>
    <w:rsid w:val="005C277D"/>
    <w:rsid w:val="005C4B58"/>
    <w:rsid w:val="005C4CBD"/>
    <w:rsid w:val="005C6BD9"/>
    <w:rsid w:val="005C6C8D"/>
    <w:rsid w:val="005D20D2"/>
    <w:rsid w:val="005D26ED"/>
    <w:rsid w:val="005D27AC"/>
    <w:rsid w:val="005D3ECC"/>
    <w:rsid w:val="005D4F7E"/>
    <w:rsid w:val="005D4FFF"/>
    <w:rsid w:val="005D66B4"/>
    <w:rsid w:val="005D6D50"/>
    <w:rsid w:val="005E0D14"/>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7BBB"/>
    <w:rsid w:val="00627DA8"/>
    <w:rsid w:val="00631D55"/>
    <w:rsid w:val="00631ED0"/>
    <w:rsid w:val="00631FEB"/>
    <w:rsid w:val="00633ABC"/>
    <w:rsid w:val="006343F5"/>
    <w:rsid w:val="00634CEF"/>
    <w:rsid w:val="00637287"/>
    <w:rsid w:val="00637D64"/>
    <w:rsid w:val="00640013"/>
    <w:rsid w:val="0064060B"/>
    <w:rsid w:val="0064197E"/>
    <w:rsid w:val="00643428"/>
    <w:rsid w:val="006434ED"/>
    <w:rsid w:val="00644123"/>
    <w:rsid w:val="00644A28"/>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9DC"/>
    <w:rsid w:val="00734D4F"/>
    <w:rsid w:val="0073578E"/>
    <w:rsid w:val="007358BD"/>
    <w:rsid w:val="00736265"/>
    <w:rsid w:val="00736334"/>
    <w:rsid w:val="00736446"/>
    <w:rsid w:val="007405D7"/>
    <w:rsid w:val="00740F85"/>
    <w:rsid w:val="00741434"/>
    <w:rsid w:val="007414F0"/>
    <w:rsid w:val="00741BB7"/>
    <w:rsid w:val="00742754"/>
    <w:rsid w:val="007432D4"/>
    <w:rsid w:val="0074384D"/>
    <w:rsid w:val="00744F8D"/>
    <w:rsid w:val="007456CF"/>
    <w:rsid w:val="00746AE2"/>
    <w:rsid w:val="00747B32"/>
    <w:rsid w:val="00747BF3"/>
    <w:rsid w:val="00750496"/>
    <w:rsid w:val="00751A06"/>
    <w:rsid w:val="007524E6"/>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19FA"/>
    <w:rsid w:val="007F3885"/>
    <w:rsid w:val="007F3E06"/>
    <w:rsid w:val="007F41B6"/>
    <w:rsid w:val="007F4211"/>
    <w:rsid w:val="007F78CB"/>
    <w:rsid w:val="007F7DE6"/>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302D"/>
    <w:rsid w:val="00853037"/>
    <w:rsid w:val="00853183"/>
    <w:rsid w:val="00854C79"/>
    <w:rsid w:val="00854C94"/>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AF3"/>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DB4"/>
    <w:rsid w:val="009A6F40"/>
    <w:rsid w:val="009A7046"/>
    <w:rsid w:val="009A7054"/>
    <w:rsid w:val="009B123A"/>
    <w:rsid w:val="009B189B"/>
    <w:rsid w:val="009B2418"/>
    <w:rsid w:val="009B27C6"/>
    <w:rsid w:val="009B2C63"/>
    <w:rsid w:val="009B3128"/>
    <w:rsid w:val="009B400B"/>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D71"/>
    <w:rsid w:val="009D6F91"/>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923"/>
    <w:rsid w:val="00A50EBE"/>
    <w:rsid w:val="00A51ABC"/>
    <w:rsid w:val="00A52486"/>
    <w:rsid w:val="00A52D16"/>
    <w:rsid w:val="00A53284"/>
    <w:rsid w:val="00A53D29"/>
    <w:rsid w:val="00A54C02"/>
    <w:rsid w:val="00A54D4C"/>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BAA"/>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7B99"/>
    <w:rsid w:val="00AA7D81"/>
    <w:rsid w:val="00AB0CBB"/>
    <w:rsid w:val="00AB1DE5"/>
    <w:rsid w:val="00AB1E08"/>
    <w:rsid w:val="00AB2C73"/>
    <w:rsid w:val="00AB3E48"/>
    <w:rsid w:val="00AB46E2"/>
    <w:rsid w:val="00AB491D"/>
    <w:rsid w:val="00AB4C58"/>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792"/>
    <w:rsid w:val="00AE2610"/>
    <w:rsid w:val="00AE281E"/>
    <w:rsid w:val="00AE3255"/>
    <w:rsid w:val="00AE4C7F"/>
    <w:rsid w:val="00AE5B6B"/>
    <w:rsid w:val="00AE5C74"/>
    <w:rsid w:val="00AE64C8"/>
    <w:rsid w:val="00AE675E"/>
    <w:rsid w:val="00AE7901"/>
    <w:rsid w:val="00AF0B65"/>
    <w:rsid w:val="00AF14AF"/>
    <w:rsid w:val="00AF1A44"/>
    <w:rsid w:val="00AF3B65"/>
    <w:rsid w:val="00AF6A7B"/>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705"/>
    <w:rsid w:val="00B14C32"/>
    <w:rsid w:val="00B20193"/>
    <w:rsid w:val="00B20CDE"/>
    <w:rsid w:val="00B21E72"/>
    <w:rsid w:val="00B21FA0"/>
    <w:rsid w:val="00B221D6"/>
    <w:rsid w:val="00B22BCE"/>
    <w:rsid w:val="00B22D35"/>
    <w:rsid w:val="00B24ACC"/>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424C"/>
    <w:rsid w:val="00B84711"/>
    <w:rsid w:val="00B84F81"/>
    <w:rsid w:val="00B859DC"/>
    <w:rsid w:val="00B87F99"/>
    <w:rsid w:val="00B90730"/>
    <w:rsid w:val="00B917FB"/>
    <w:rsid w:val="00B91B45"/>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150D"/>
    <w:rsid w:val="00C31B84"/>
    <w:rsid w:val="00C31CEC"/>
    <w:rsid w:val="00C32F05"/>
    <w:rsid w:val="00C3314F"/>
    <w:rsid w:val="00C3338D"/>
    <w:rsid w:val="00C34236"/>
    <w:rsid w:val="00C34EFE"/>
    <w:rsid w:val="00C3583B"/>
    <w:rsid w:val="00C35D04"/>
    <w:rsid w:val="00C37777"/>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56BEB"/>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87FC9"/>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3541"/>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D0"/>
    <w:rsid w:val="00D315E9"/>
    <w:rsid w:val="00D3172A"/>
    <w:rsid w:val="00D31834"/>
    <w:rsid w:val="00D31871"/>
    <w:rsid w:val="00D331EF"/>
    <w:rsid w:val="00D339B2"/>
    <w:rsid w:val="00D33EE4"/>
    <w:rsid w:val="00D34523"/>
    <w:rsid w:val="00D3477C"/>
    <w:rsid w:val="00D3662D"/>
    <w:rsid w:val="00D36FC4"/>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43C"/>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A8D"/>
    <w:rsid w:val="00DA736A"/>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440D"/>
    <w:rsid w:val="00DC4661"/>
    <w:rsid w:val="00DC4C26"/>
    <w:rsid w:val="00DC69E2"/>
    <w:rsid w:val="00DD05EB"/>
    <w:rsid w:val="00DD0AA2"/>
    <w:rsid w:val="00DD0BC9"/>
    <w:rsid w:val="00DD3818"/>
    <w:rsid w:val="00DD4F24"/>
    <w:rsid w:val="00DD52AF"/>
    <w:rsid w:val="00DD5CCE"/>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F13"/>
    <w:rsid w:val="00E87527"/>
    <w:rsid w:val="00E9045B"/>
    <w:rsid w:val="00E9086F"/>
    <w:rsid w:val="00E91DCD"/>
    <w:rsid w:val="00E93676"/>
    <w:rsid w:val="00E94320"/>
    <w:rsid w:val="00E95FBF"/>
    <w:rsid w:val="00E966D8"/>
    <w:rsid w:val="00E97A4A"/>
    <w:rsid w:val="00EA0201"/>
    <w:rsid w:val="00EA1B4A"/>
    <w:rsid w:val="00EA2643"/>
    <w:rsid w:val="00EA3EAB"/>
    <w:rsid w:val="00EA3FEF"/>
    <w:rsid w:val="00EA44DC"/>
    <w:rsid w:val="00EA4502"/>
    <w:rsid w:val="00EA54F2"/>
    <w:rsid w:val="00EA5B37"/>
    <w:rsid w:val="00EA5FC9"/>
    <w:rsid w:val="00EA65D4"/>
    <w:rsid w:val="00EB01A0"/>
    <w:rsid w:val="00EB02E7"/>
    <w:rsid w:val="00EB41D3"/>
    <w:rsid w:val="00EB4E1C"/>
    <w:rsid w:val="00EB592B"/>
    <w:rsid w:val="00EB6178"/>
    <w:rsid w:val="00EC1AF9"/>
    <w:rsid w:val="00EC2006"/>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84E"/>
    <w:rsid w:val="00EE0D66"/>
    <w:rsid w:val="00EE16DC"/>
    <w:rsid w:val="00EE1EC2"/>
    <w:rsid w:val="00EE2C23"/>
    <w:rsid w:val="00EE2CE4"/>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21908"/>
    <w:rsid w:val="00F22481"/>
    <w:rsid w:val="00F2496B"/>
    <w:rsid w:val="00F2538C"/>
    <w:rsid w:val="00F25DB0"/>
    <w:rsid w:val="00F25DFD"/>
    <w:rsid w:val="00F326B3"/>
    <w:rsid w:val="00F34D7D"/>
    <w:rsid w:val="00F34F6B"/>
    <w:rsid w:val="00F35360"/>
    <w:rsid w:val="00F35567"/>
    <w:rsid w:val="00F35570"/>
    <w:rsid w:val="00F362A8"/>
    <w:rsid w:val="00F365F3"/>
    <w:rsid w:val="00F375E8"/>
    <w:rsid w:val="00F4047D"/>
    <w:rsid w:val="00F40881"/>
    <w:rsid w:val="00F41B26"/>
    <w:rsid w:val="00F43B43"/>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AE0"/>
    <w:rsid w:val="00F61060"/>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A4"/>
    <w:rsid w:val="00FE39EC"/>
    <w:rsid w:val="00FE4015"/>
    <w:rsid w:val="00FE445E"/>
    <w:rsid w:val="00FE534A"/>
    <w:rsid w:val="00FE5E67"/>
    <w:rsid w:val="00FE6D99"/>
    <w:rsid w:val="00FE7F76"/>
    <w:rsid w:val="00FF03FE"/>
    <w:rsid w:val="00FF126B"/>
    <w:rsid w:val="00FF3D42"/>
    <w:rsid w:val="00FF43AF"/>
    <w:rsid w:val="00FF4D5F"/>
    <w:rsid w:val="00FF4F29"/>
    <w:rsid w:val="00FF546F"/>
    <w:rsid w:val="00FF5AB0"/>
    <w:rsid w:val="00FF628C"/>
    <w:rsid w:val="00FF661C"/>
    <w:rsid w:val="03B44A64"/>
    <w:rsid w:val="0704834C"/>
    <w:rsid w:val="07144FA1"/>
    <w:rsid w:val="07DEAFB5"/>
    <w:rsid w:val="0C3C19E5"/>
    <w:rsid w:val="0E16C530"/>
    <w:rsid w:val="0EDBB43A"/>
    <w:rsid w:val="0F2D2187"/>
    <w:rsid w:val="125F7D14"/>
    <w:rsid w:val="13F230B2"/>
    <w:rsid w:val="1C3A95F1"/>
    <w:rsid w:val="2392E650"/>
    <w:rsid w:val="245C12A8"/>
    <w:rsid w:val="24FF1D0A"/>
    <w:rsid w:val="2528C5EC"/>
    <w:rsid w:val="2C853BB7"/>
    <w:rsid w:val="2FE85478"/>
    <w:rsid w:val="34630BD6"/>
    <w:rsid w:val="3C77679B"/>
    <w:rsid w:val="3EAAFC1D"/>
    <w:rsid w:val="3F50E5A5"/>
    <w:rsid w:val="42F80D1F"/>
    <w:rsid w:val="447C6FCB"/>
    <w:rsid w:val="44CCDBE9"/>
    <w:rsid w:val="45FB0303"/>
    <w:rsid w:val="49F8910B"/>
    <w:rsid w:val="4A298412"/>
    <w:rsid w:val="5198CDE6"/>
    <w:rsid w:val="550E05DE"/>
    <w:rsid w:val="587C1F3E"/>
    <w:rsid w:val="5996FA6C"/>
    <w:rsid w:val="5FB96966"/>
    <w:rsid w:val="601FE33E"/>
    <w:rsid w:val="63F9457E"/>
    <w:rsid w:val="64628C68"/>
    <w:rsid w:val="6692F8C0"/>
    <w:rsid w:val="66ECFC6E"/>
    <w:rsid w:val="69120607"/>
    <w:rsid w:val="699076A9"/>
    <w:rsid w:val="6991CB16"/>
    <w:rsid w:val="6A44FD5F"/>
    <w:rsid w:val="6A88ED79"/>
    <w:rsid w:val="6A9AC375"/>
    <w:rsid w:val="6EEC164D"/>
    <w:rsid w:val="6FB93C0A"/>
    <w:rsid w:val="7145DE81"/>
    <w:rsid w:val="72791FFC"/>
    <w:rsid w:val="76A961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D0DE69F3-03B5-4FAC-985B-0D81A3CC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14427D"/>
    <w:pPr>
      <w:ind w:left="340"/>
    </w:pPr>
  </w:style>
  <w:style w:type="paragraph" w:customStyle="1" w:styleId="TPNadpis-2slovan">
    <w:name w:val="TP_Nadpis-2_číslovaný"/>
    <w:basedOn w:val="11odst"/>
    <w:next w:val="11odst"/>
    <w:link w:val="TPNadpis-2slovanChar"/>
    <w:autoRedefine/>
    <w:qFormat/>
    <w:rsid w:val="0014427D"/>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Verdana" w:eastAsia="Calibri" w:hAnsi="Verdana" w:cs="Arial"/>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14427D"/>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14427D"/>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18"/>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Verdana" w:eastAsia="Calibri" w:hAnsi="Verdana" w:cs="Arial"/>
      <w:sz w:val="18"/>
    </w:rPr>
  </w:style>
  <w:style w:type="paragraph" w:customStyle="1" w:styleId="TPText-2neslovan">
    <w:name w:val="TP_Text-2_nečíslovaný"/>
    <w:basedOn w:val="111odst"/>
    <w:link w:val="TPText-2neslovanChar"/>
    <w:qFormat/>
    <w:rsid w:val="0014427D"/>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14427D"/>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14427D"/>
    <w:pPr>
      <w:numPr>
        <w:ilvl w:val="0"/>
        <w:numId w:val="0"/>
      </w:numPr>
      <w:ind w:left="1021"/>
    </w:pPr>
  </w:style>
  <w:style w:type="character" w:customStyle="1" w:styleId="TPText-1neslovanChar">
    <w:name w:val="TP_Text-1_nečíslovaný Char"/>
    <w:basedOn w:val="11odstChar"/>
    <w:link w:val="TPText-1neslovan"/>
    <w:rsid w:val="003E784C"/>
    <w:rPr>
      <w:rFonts w:ascii="Verdana" w:eastAsia="Calibri" w:hAnsi="Verdana" w:cs="Arial"/>
      <w:sz w:val="18"/>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14427D"/>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14427D"/>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14427D"/>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14427D"/>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14427D"/>
    <w:pPr>
      <w:numPr>
        <w:ilvl w:val="0"/>
        <w:numId w:val="12"/>
      </w:numPr>
    </w:pPr>
    <w:rPr>
      <w:rFonts w:cs="Calibri"/>
      <w:szCs w:val="20"/>
      <w:lang w:eastAsia="cs-CZ"/>
    </w:rPr>
  </w:style>
  <w:style w:type="paragraph" w:customStyle="1" w:styleId="TPText-2odrka">
    <w:name w:val="TP_Text-2_• odrážka"/>
    <w:basedOn w:val="111odst"/>
    <w:link w:val="TPText-2odrkaChar"/>
    <w:qFormat/>
    <w:rsid w:val="0014427D"/>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14427D"/>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14427D"/>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14427D"/>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14427D"/>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14427D"/>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14427D"/>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14427D"/>
    <w:p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14427D"/>
    <w:rPr>
      <w:rFonts w:ascii="Verdana" w:eastAsia="Calibri" w:hAnsi="Verdana" w:cs="Arial"/>
      <w:sz w:val="18"/>
    </w:rPr>
  </w:style>
  <w:style w:type="paragraph" w:customStyle="1" w:styleId="TPNADPIS-1slovan">
    <w:name w:val="TP_NADPIS-1_číslovaný"/>
    <w:next w:val="TPNadpis-2slovan"/>
    <w:link w:val="TPNADPIS-1slovanChar"/>
    <w:qFormat/>
    <w:rsid w:val="0014427D"/>
    <w:pPr>
      <w:keepNext/>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14427D"/>
    <w:rPr>
      <w:rFonts w:ascii="Verdana" w:eastAsia="Calibri" w:hAnsi="Verdana" w:cs="Arial"/>
      <w:b/>
      <w:caps/>
      <w:sz w:val="18"/>
      <w:szCs w:val="24"/>
    </w:rPr>
  </w:style>
  <w:style w:type="paragraph" w:customStyle="1" w:styleId="TPText-2slovan0">
    <w:name w:val="TP_Text-2_ číslovaný"/>
    <w:link w:val="TPText-2slovanChar"/>
    <w:qFormat/>
    <w:rsid w:val="0014427D"/>
    <w:pPr>
      <w:spacing w:before="80" w:after="0" w:line="240" w:lineRule="auto"/>
    </w:pPr>
    <w:rPr>
      <w:rFonts w:ascii="Verdana" w:eastAsia="Calibri" w:hAnsi="Verdana" w:cs="Arial"/>
      <w:sz w:val="18"/>
    </w:rPr>
  </w:style>
  <w:style w:type="character" w:customStyle="1" w:styleId="TPText-2slovanChar">
    <w:name w:val="TP_Text-2_ číslovaný Char"/>
    <w:link w:val="TPText-2slovan0"/>
    <w:rsid w:val="0014427D"/>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A4521221-F370-40B6-9E09-7D7112ECB25C}">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4e4a6a96-f3e4-483d-987d-304999e1d579"/>
    <ds:schemaRef ds:uri="http://purl.org/dc/elements/1.1/"/>
    <ds:schemaRef ds:uri="http://schemas.openxmlformats.org/package/2006/metadata/core-properties"/>
    <ds:schemaRef ds:uri="http://www.w3.org/XML/1998/namespace"/>
    <ds:schemaRef ds:uri="http://purl.org/dc/terms/"/>
    <ds:schemaRef ds:uri="e4115400-38fb-4741-b78d-c4a5fb37c6d6"/>
  </ds:schemaRefs>
</ds:datastoreItem>
</file>

<file path=customXml/itemProps4.xml><?xml version="1.0" encoding="utf-8"?>
<ds:datastoreItem xmlns:ds="http://schemas.openxmlformats.org/officeDocument/2006/customXml" ds:itemID="{FA9923C6-19DE-4AE9-BB46-40AA8837E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16782</Words>
  <Characters>99020</Characters>
  <Application>Microsoft Office Word</Application>
  <DocSecurity>0</DocSecurity>
  <Lines>825</Lines>
  <Paragraphs>231</Paragraphs>
  <ScaleCrop>false</ScaleCrop>
  <Company/>
  <LinksUpToDate>false</LinksUpToDate>
  <CharactersWithSpaces>115571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Sukup Richard, Mgr.</dc:creator>
  <cp:keywords/>
  <cp:lastModifiedBy>Zajíčková Veronika, Mgr.</cp:lastModifiedBy>
  <cp:revision>12</cp:revision>
  <dcterms:created xsi:type="dcterms:W3CDTF">2025-01-06T11:59:00Z</dcterms:created>
  <dcterms:modified xsi:type="dcterms:W3CDTF">2025-01-13T13:09:00Z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