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8619F" w14:textId="2FCA6FC9" w:rsidR="00F65DD3" w:rsidRDefault="00F8121D">
      <w:pPr>
        <w:spacing w:after="796" w:line="259" w:lineRule="auto"/>
        <w:ind w:left="0" w:firstLine="0"/>
      </w:pPr>
      <w:r>
        <w:rPr>
          <w:sz w:val="19"/>
        </w:rPr>
        <w:t>Příloha č. 6a Smlouvy</w:t>
      </w:r>
      <w:r w:rsidR="00D23815">
        <w:rPr>
          <w:sz w:val="19"/>
        </w:rPr>
        <w:t xml:space="preserve"> </w:t>
      </w:r>
    </w:p>
    <w:p w14:paraId="1305EECD" w14:textId="77777777" w:rsidR="00F65DD3" w:rsidRDefault="00D23815">
      <w:pPr>
        <w:spacing w:after="0" w:line="259" w:lineRule="auto"/>
        <w:ind w:left="0" w:right="-1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515A5E3" wp14:editId="3A89CFFB">
                <wp:extent cx="5509260" cy="108204"/>
                <wp:effectExtent l="0" t="0" r="0" b="0"/>
                <wp:docPr id="4251" name="Group 4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108204"/>
                          <a:chOff x="0" y="0"/>
                          <a:chExt cx="5509260" cy="108204"/>
                        </a:xfrm>
                      </wpg:grpSpPr>
                      <wps:wsp>
                        <wps:cNvPr id="7017" name="Shape 7017"/>
                        <wps:cNvSpPr/>
                        <wps:spPr>
                          <a:xfrm>
                            <a:off x="0" y="0"/>
                            <a:ext cx="5509260" cy="108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 h="108204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  <a:lnTo>
                                  <a:pt x="5509260" y="108204"/>
                                </a:lnTo>
                                <a:lnTo>
                                  <a:pt x="0" y="108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4251" style="width:433.8pt;height:8.52002pt;mso-position-horizontal-relative:char;mso-position-vertical-relative:line" coordsize="55092,1082">
                <v:shape id="Shape 7018" style="position:absolute;width:55092;height:1082;left:0;top:0;" coordsize="5509260,108204" path="m0,0l5509260,0l5509260,108204l0,108204l0,0">
                  <v:stroke weight="0pt" endcap="flat" joinstyle="miter" miterlimit="10" on="false" color="#000000" opacity="0"/>
                  <v:fill on="true" color="#002b59"/>
                </v:shape>
              </v:group>
            </w:pict>
          </mc:Fallback>
        </mc:AlternateContent>
      </w:r>
    </w:p>
    <w:p w14:paraId="65A6E05F" w14:textId="77777777" w:rsidR="00F65DD3" w:rsidRDefault="00D23815">
      <w:pPr>
        <w:spacing w:after="688" w:line="259" w:lineRule="auto"/>
        <w:ind w:left="0" w:firstLine="0"/>
      </w:pPr>
      <w:r>
        <w:rPr>
          <w:color w:val="FFFFFF"/>
          <w:sz w:val="14"/>
        </w:rPr>
        <w:t xml:space="preserve"> </w:t>
      </w:r>
    </w:p>
    <w:p w14:paraId="4DFA9BAA" w14:textId="77777777" w:rsidR="00F65DD3" w:rsidRDefault="00D23815">
      <w:pPr>
        <w:spacing w:after="0" w:line="240" w:lineRule="auto"/>
        <w:ind w:left="0" w:firstLine="0"/>
      </w:pPr>
      <w:r>
        <w:rPr>
          <w:b/>
          <w:color w:val="002B59"/>
          <w:sz w:val="72"/>
        </w:rPr>
        <w:t xml:space="preserve">ISEE – systém pro správu elektrotechniky a energetiky </w:t>
      </w:r>
    </w:p>
    <w:p w14:paraId="2232ABF7" w14:textId="77777777" w:rsidR="00F65DD3" w:rsidRDefault="00D23815">
      <w:pPr>
        <w:spacing w:after="290" w:line="259" w:lineRule="auto"/>
        <w:ind w:left="0" w:firstLine="0"/>
      </w:pPr>
      <w:r>
        <w:rPr>
          <w:b/>
          <w:color w:val="00A1E0"/>
          <w:sz w:val="30"/>
        </w:rPr>
        <w:t xml:space="preserve">Byznys zadání pro informační systém </w:t>
      </w:r>
    </w:p>
    <w:p w14:paraId="0CFBE917" w14:textId="77777777" w:rsidR="00F65DD3" w:rsidRDefault="00D23815">
      <w:pPr>
        <w:spacing w:after="0" w:line="259" w:lineRule="auto"/>
        <w:ind w:left="0" w:firstLine="0"/>
      </w:pPr>
      <w:r>
        <w:rPr>
          <w:b/>
          <w:color w:val="00A1E0"/>
          <w:sz w:val="30"/>
        </w:rPr>
        <w:t xml:space="preserve"> </w:t>
      </w:r>
    </w:p>
    <w:p w14:paraId="3729E056" w14:textId="77777777" w:rsidR="00F65DD3" w:rsidRDefault="00D23815">
      <w:pPr>
        <w:spacing w:after="0" w:line="259" w:lineRule="auto"/>
        <w:ind w:left="0" w:firstLine="0"/>
      </w:pPr>
      <w:r>
        <w:rPr>
          <w:b/>
          <w:color w:val="00A1E0"/>
          <w:sz w:val="30"/>
        </w:rPr>
        <w:t xml:space="preserve"> </w:t>
      </w:r>
    </w:p>
    <w:p w14:paraId="5C9019EF" w14:textId="77777777" w:rsidR="00F65DD3" w:rsidRDefault="00D23815">
      <w:pPr>
        <w:spacing w:after="0" w:line="259" w:lineRule="auto"/>
        <w:ind w:left="0" w:right="-13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3FC93D8" wp14:editId="1BC0A022">
                <wp:extent cx="5509260" cy="108204"/>
                <wp:effectExtent l="0" t="0" r="0" b="0"/>
                <wp:docPr id="4252" name="Group 4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9260" cy="108204"/>
                          <a:chOff x="0" y="0"/>
                          <a:chExt cx="5509260" cy="108204"/>
                        </a:xfrm>
                      </wpg:grpSpPr>
                      <wps:wsp>
                        <wps:cNvPr id="7019" name="Shape 7019"/>
                        <wps:cNvSpPr/>
                        <wps:spPr>
                          <a:xfrm>
                            <a:off x="0" y="0"/>
                            <a:ext cx="5509260" cy="1082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9260" h="108204">
                                <a:moveTo>
                                  <a:pt x="0" y="0"/>
                                </a:moveTo>
                                <a:lnTo>
                                  <a:pt x="5509260" y="0"/>
                                </a:lnTo>
                                <a:lnTo>
                                  <a:pt x="5509260" y="108204"/>
                                </a:lnTo>
                                <a:lnTo>
                                  <a:pt x="0" y="1082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2B5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  <w:pict>
              <v:group id="Group 4252" style="width:433.8pt;height:8.52002pt;mso-position-horizontal-relative:char;mso-position-vertical-relative:line" coordsize="55092,1082">
                <v:shape id="Shape 7020" style="position:absolute;width:55092;height:1082;left:0;top:0;" coordsize="5509260,108204" path="m0,0l5509260,0l5509260,108204l0,108204l0,0">
                  <v:stroke weight="0pt" endcap="flat" joinstyle="miter" miterlimit="10" on="false" color="#000000" opacity="0"/>
                  <v:fill on="true" color="#002b59"/>
                </v:shape>
              </v:group>
            </w:pict>
          </mc:Fallback>
        </mc:AlternateContent>
      </w:r>
    </w:p>
    <w:p w14:paraId="1F3FC5BC" w14:textId="77777777" w:rsidR="00F65DD3" w:rsidRDefault="00D23815">
      <w:pPr>
        <w:spacing w:after="28" w:line="259" w:lineRule="auto"/>
        <w:ind w:left="0" w:firstLine="0"/>
      </w:pPr>
      <w:r>
        <w:rPr>
          <w:color w:val="FFFFFF"/>
          <w:sz w:val="14"/>
        </w:rPr>
        <w:t xml:space="preserve"> </w:t>
      </w:r>
    </w:p>
    <w:p w14:paraId="6C9183F4" w14:textId="77777777" w:rsidR="00F65DD3" w:rsidRDefault="00D23815">
      <w:pPr>
        <w:spacing w:after="0" w:line="259" w:lineRule="auto"/>
        <w:ind w:left="0" w:firstLine="0"/>
      </w:pPr>
      <w:r>
        <w:t xml:space="preserve"> </w:t>
      </w:r>
      <w:r>
        <w:br w:type="page"/>
      </w:r>
      <w:bookmarkStart w:id="0" w:name="_GoBack"/>
      <w:bookmarkEnd w:id="0"/>
    </w:p>
    <w:p w14:paraId="25800C7F" w14:textId="77777777" w:rsidR="00F65DD3" w:rsidRDefault="00D23815">
      <w:pPr>
        <w:pStyle w:val="Nadpis2"/>
        <w:spacing w:after="94"/>
        <w:ind w:left="-5"/>
      </w:pPr>
      <w:r>
        <w:lastRenderedPageBreak/>
        <w:t xml:space="preserve">Obsah </w:t>
      </w:r>
    </w:p>
    <w:sdt>
      <w:sdtPr>
        <w:id w:val="-1844467717"/>
        <w:docPartObj>
          <w:docPartGallery w:val="Table of Contents"/>
        </w:docPartObj>
      </w:sdtPr>
      <w:sdtEndPr/>
      <w:sdtContent>
        <w:p w14:paraId="1F6E7FED" w14:textId="53AC4BC5" w:rsidR="00A0368B" w:rsidRDefault="00D23815">
          <w:pPr>
            <w:pStyle w:val="Obsah1"/>
            <w:tabs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r>
            <w:fldChar w:fldCharType="begin"/>
          </w:r>
          <w:r>
            <w:instrText xml:space="preserve"> TOC \o "1-1" \h \z \u </w:instrText>
          </w:r>
          <w:r>
            <w:fldChar w:fldCharType="separate"/>
          </w:r>
          <w:hyperlink w:anchor="_Toc170811551" w:history="1">
            <w:r w:rsidR="00A0368B" w:rsidRPr="000123D5">
              <w:rPr>
                <w:rStyle w:val="Hypertextovodkaz"/>
                <w:noProof/>
              </w:rPr>
              <w:t>Seznam zkratek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_Toc170811551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2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6D2E66EF" w14:textId="7BB8D194" w:rsidR="00A0368B" w:rsidRDefault="00F8121D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2" w:history="1">
            <w:r w:rsidR="00A0368B" w:rsidRPr="000123D5">
              <w:rPr>
                <w:rStyle w:val="Hypertextovodkaz"/>
                <w:bCs/>
                <w:noProof/>
              </w:rPr>
              <w:t>1</w:t>
            </w:r>
            <w:r w:rsidR="00A0368B"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="00A0368B" w:rsidRPr="000123D5">
              <w:rPr>
                <w:rStyle w:val="Hypertextovodkaz"/>
                <w:noProof/>
              </w:rPr>
              <w:t>Předmět a vymezení díla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_Toc170811552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3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282FD5BD" w14:textId="58075DBB" w:rsidR="00A0368B" w:rsidRDefault="00F8121D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3" w:history="1">
            <w:r w:rsidR="00A0368B" w:rsidRPr="000123D5">
              <w:rPr>
                <w:rStyle w:val="Hypertextovodkaz"/>
                <w:bCs/>
                <w:noProof/>
              </w:rPr>
              <w:t>2</w:t>
            </w:r>
            <w:r w:rsidR="00A0368B"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="00A0368B" w:rsidRPr="000123D5">
              <w:rPr>
                <w:rStyle w:val="Hypertextovodkaz"/>
                <w:noProof/>
              </w:rPr>
              <w:t>Hlavní přínosy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_Toc170811553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3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4E277153" w14:textId="722D6E10" w:rsidR="00A0368B" w:rsidRDefault="00F8121D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4" w:history="1">
            <w:r w:rsidR="00A0368B" w:rsidRPr="000123D5">
              <w:rPr>
                <w:rStyle w:val="Hypertextovodkaz"/>
                <w:bCs/>
                <w:noProof/>
              </w:rPr>
              <w:t>3</w:t>
            </w:r>
            <w:r w:rsidR="00A0368B"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="00A0368B" w:rsidRPr="000123D5">
              <w:rPr>
                <w:rStyle w:val="Hypertextovodkaz"/>
                <w:noProof/>
              </w:rPr>
              <w:t>Základní procesní schéma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_Toc170811554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3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5A3369CC" w14:textId="1EDA3982" w:rsidR="00A0368B" w:rsidRDefault="00F8121D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5" w:history="1">
            <w:r w:rsidR="00A0368B" w:rsidRPr="000123D5">
              <w:rPr>
                <w:rStyle w:val="Hypertextovodkaz"/>
                <w:bCs/>
                <w:noProof/>
              </w:rPr>
              <w:t>4</w:t>
            </w:r>
            <w:r w:rsidR="00A0368B"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="00A0368B" w:rsidRPr="000123D5">
              <w:rPr>
                <w:rStyle w:val="Hypertextovodkaz"/>
                <w:noProof/>
              </w:rPr>
              <w:t>Napojení a vazba na okolní procesy, IT systémy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_Toc170811555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4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016E9F7D" w14:textId="4A16C017" w:rsidR="00A0368B" w:rsidRDefault="00F8121D">
          <w:pPr>
            <w:pStyle w:val="Obsah1"/>
            <w:tabs>
              <w:tab w:val="left" w:pos="480"/>
              <w:tab w:val="right" w:leader="dot" w:pos="8654"/>
            </w:tabs>
            <w:rPr>
              <w:rFonts w:asciiTheme="minorHAnsi" w:eastAsiaTheme="minorEastAsia" w:hAnsiTheme="minorHAnsi" w:cstheme="minorBidi"/>
              <w:noProof/>
              <w:color w:val="auto"/>
              <w:sz w:val="24"/>
            </w:rPr>
          </w:pPr>
          <w:hyperlink w:anchor="_Toc170811556" w:history="1">
            <w:r w:rsidR="00A0368B" w:rsidRPr="000123D5">
              <w:rPr>
                <w:rStyle w:val="Hypertextovodkaz"/>
                <w:bCs/>
                <w:noProof/>
              </w:rPr>
              <w:t>5</w:t>
            </w:r>
            <w:r w:rsidR="00A0368B">
              <w:rPr>
                <w:rFonts w:asciiTheme="minorHAnsi" w:eastAsiaTheme="minorEastAsia" w:hAnsiTheme="minorHAnsi" w:cstheme="minorBidi"/>
                <w:noProof/>
                <w:color w:val="auto"/>
                <w:sz w:val="24"/>
              </w:rPr>
              <w:tab/>
            </w:r>
            <w:r w:rsidR="00A0368B" w:rsidRPr="000123D5">
              <w:rPr>
                <w:rStyle w:val="Hypertextovodkaz"/>
                <w:noProof/>
              </w:rPr>
              <w:t>Klíčové požadované parametry funkcionalit a procesů</w:t>
            </w:r>
            <w:r w:rsidR="00A0368B">
              <w:rPr>
                <w:noProof/>
                <w:webHidden/>
              </w:rPr>
              <w:tab/>
            </w:r>
            <w:r w:rsidR="00A0368B">
              <w:rPr>
                <w:noProof/>
                <w:webHidden/>
              </w:rPr>
              <w:fldChar w:fldCharType="begin"/>
            </w:r>
            <w:r w:rsidR="00A0368B">
              <w:rPr>
                <w:noProof/>
                <w:webHidden/>
              </w:rPr>
              <w:instrText xml:space="preserve"> PAGEREF _Toc170811556 \h </w:instrText>
            </w:r>
            <w:r w:rsidR="00A0368B">
              <w:rPr>
                <w:noProof/>
                <w:webHidden/>
              </w:rPr>
            </w:r>
            <w:r w:rsidR="00A0368B">
              <w:rPr>
                <w:noProof/>
                <w:webHidden/>
              </w:rPr>
              <w:fldChar w:fldCharType="separate"/>
            </w:r>
            <w:r w:rsidR="00A0368B">
              <w:rPr>
                <w:noProof/>
                <w:webHidden/>
              </w:rPr>
              <w:t>5</w:t>
            </w:r>
            <w:r w:rsidR="00A0368B">
              <w:rPr>
                <w:noProof/>
                <w:webHidden/>
              </w:rPr>
              <w:fldChar w:fldCharType="end"/>
            </w:r>
          </w:hyperlink>
        </w:p>
        <w:p w14:paraId="6E8F0DA6" w14:textId="0BE932DD" w:rsidR="00F65DD3" w:rsidRDefault="00D23815">
          <w:r>
            <w:fldChar w:fldCharType="end"/>
          </w:r>
        </w:p>
      </w:sdtContent>
    </w:sdt>
    <w:p w14:paraId="010B88A7" w14:textId="77777777" w:rsidR="00F65DD3" w:rsidRDefault="00D23815">
      <w:pPr>
        <w:spacing w:after="342" w:line="259" w:lineRule="auto"/>
        <w:ind w:left="0" w:firstLine="0"/>
      </w:pPr>
      <w:r>
        <w:t xml:space="preserve"> </w:t>
      </w:r>
    </w:p>
    <w:p w14:paraId="32861F26" w14:textId="77777777" w:rsidR="00F65DD3" w:rsidRDefault="00D23815">
      <w:pPr>
        <w:pStyle w:val="Nadpis1"/>
        <w:numPr>
          <w:ilvl w:val="0"/>
          <w:numId w:val="0"/>
        </w:numPr>
        <w:spacing w:after="27" w:line="259" w:lineRule="auto"/>
      </w:pPr>
      <w:bookmarkStart w:id="1" w:name="_Toc170811551"/>
      <w:r>
        <w:rPr>
          <w:sz w:val="28"/>
        </w:rPr>
        <w:t>Seznam zkratek</w:t>
      </w:r>
      <w:bookmarkEnd w:id="1"/>
      <w:r>
        <w:rPr>
          <w:sz w:val="28"/>
        </w:rPr>
        <w:t xml:space="preserve"> </w:t>
      </w:r>
    </w:p>
    <w:p w14:paraId="5E65BC49" w14:textId="77777777" w:rsidR="00F65DD3" w:rsidRDefault="00D23815">
      <w:pPr>
        <w:spacing w:after="0" w:line="259" w:lineRule="auto"/>
        <w:ind w:left="0" w:firstLine="0"/>
      </w:pPr>
      <w:r>
        <w:t xml:space="preserve"> </w:t>
      </w:r>
    </w:p>
    <w:tbl>
      <w:tblPr>
        <w:tblStyle w:val="TableGrid"/>
        <w:tblW w:w="8629" w:type="dxa"/>
        <w:tblInd w:w="0" w:type="dxa"/>
        <w:tblLook w:val="04A0" w:firstRow="1" w:lastRow="0" w:firstColumn="1" w:lastColumn="0" w:noHBand="0" w:noVBand="1"/>
      </w:tblPr>
      <w:tblGrid>
        <w:gridCol w:w="708"/>
        <w:gridCol w:w="710"/>
        <w:gridCol w:w="4153"/>
        <w:gridCol w:w="3058"/>
      </w:tblGrid>
      <w:tr w:rsidR="00F65DD3" w14:paraId="3CCB594C" w14:textId="77777777" w:rsidTr="00A0368B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F52CCC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BIM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48265" w14:textId="77777777" w:rsidR="00F65DD3" w:rsidRDefault="00D23815">
            <w:pPr>
              <w:spacing w:after="0" w:line="259" w:lineRule="auto"/>
              <w:ind w:left="0" w:firstLine="0"/>
            </w:pP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Modeling nebo </w:t>
            </w:r>
            <w:proofErr w:type="spellStart"/>
            <w:r>
              <w:t>Building</w:t>
            </w:r>
            <w:proofErr w:type="spellEnd"/>
            <w:r>
              <w:t xml:space="preserve"> </w:t>
            </w:r>
            <w:proofErr w:type="spellStart"/>
            <w:r>
              <w:t>Information</w:t>
            </w:r>
            <w:proofErr w:type="spellEnd"/>
            <w:r>
              <w:t xml:space="preserve"> Management </w:t>
            </w:r>
          </w:p>
        </w:tc>
      </w:tr>
      <w:tr w:rsidR="00F65DD3" w14:paraId="036F543C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D9525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CDE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BF92CB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Společné datové prostředí </w:t>
            </w:r>
          </w:p>
        </w:tc>
      </w:tr>
      <w:tr w:rsidR="00F65DD3" w14:paraId="4AA4661A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FF3725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CEP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F36CD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Centrální evidence prací </w:t>
            </w:r>
          </w:p>
        </w:tc>
      </w:tr>
      <w:tr w:rsidR="00F65DD3" w14:paraId="22503779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EDCB0A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DPM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92FF13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Digitální přehledová mapa </w:t>
            </w:r>
          </w:p>
        </w:tc>
      </w:tr>
      <w:tr w:rsidR="00F65DD3" w14:paraId="25A002A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6CDFF1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DŘT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D814BA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Dispečerská řídící technika </w:t>
            </w:r>
          </w:p>
        </w:tc>
      </w:tr>
      <w:tr w:rsidR="006E76A1" w14:paraId="1D627861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D77F83" w14:textId="0FE24220" w:rsidR="006E76A1" w:rsidRDefault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DSD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43640E" w14:textId="4795A1A0" w:rsidR="006E76A1" w:rsidRDefault="006E76A1">
            <w:pPr>
              <w:spacing w:after="0" w:line="259" w:lineRule="auto"/>
              <w:ind w:left="0" w:firstLine="0"/>
            </w:pPr>
            <w:r>
              <w:t>Datový sklad diagnostiky</w:t>
            </w:r>
          </w:p>
        </w:tc>
      </w:tr>
      <w:tr w:rsidR="00F65DD3" w14:paraId="40B024D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2ADC4" w14:textId="57170486" w:rsidR="00F65DD3" w:rsidRDefault="00D67A7E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DTMŽ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20FDA9" w14:textId="43088F8C" w:rsidR="00F65DD3" w:rsidRDefault="00D67A7E">
            <w:pPr>
              <w:spacing w:after="0" w:line="259" w:lineRule="auto"/>
              <w:ind w:left="0" w:firstLine="0"/>
            </w:pPr>
            <w:r>
              <w:t xml:space="preserve">Digitální technická mapa železnic </w:t>
            </w:r>
          </w:p>
        </w:tc>
      </w:tr>
      <w:tr w:rsidR="00F65DD3" w14:paraId="5191A250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82544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E500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E6F6A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Předpis pro stanovení rozsahu údržby elektrických zařízení </w:t>
            </w:r>
          </w:p>
        </w:tc>
      </w:tr>
      <w:tr w:rsidR="00F65DD3" w14:paraId="2D10523A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0CA6A3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EE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61915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Elektrotechnika a Energetika </w:t>
            </w:r>
          </w:p>
        </w:tc>
      </w:tr>
      <w:tr w:rsidR="00F65DD3" w14:paraId="55E0F379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B429A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HTML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AE6EE5" w14:textId="77777777" w:rsidR="00F65DD3" w:rsidRDefault="00D23815">
            <w:pPr>
              <w:spacing w:after="0" w:line="259" w:lineRule="auto"/>
              <w:ind w:left="0" w:firstLine="0"/>
            </w:pPr>
            <w:proofErr w:type="spellStart"/>
            <w:r>
              <w:t>Hypertextovací</w:t>
            </w:r>
            <w:proofErr w:type="spellEnd"/>
            <w:r>
              <w:t xml:space="preserve"> stavební jazyk (Hyper Text </w:t>
            </w:r>
            <w:proofErr w:type="spellStart"/>
            <w:r>
              <w:t>Markup</w:t>
            </w:r>
            <w:proofErr w:type="spellEnd"/>
            <w:r>
              <w:t xml:space="preserve"> </w:t>
            </w:r>
            <w:proofErr w:type="spellStart"/>
            <w:r>
              <w:t>Language</w:t>
            </w:r>
            <w:proofErr w:type="spellEnd"/>
            <w:r>
              <w:t xml:space="preserve">) </w:t>
            </w:r>
          </w:p>
        </w:tc>
      </w:tr>
      <w:tr w:rsidR="00F65DD3" w14:paraId="29BAA57A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95036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HW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6E6A1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Hardware </w:t>
            </w:r>
          </w:p>
        </w:tc>
      </w:tr>
      <w:tr w:rsidR="00F65DD3" w14:paraId="31856445" w14:textId="77777777" w:rsidTr="00A0368B">
        <w:trPr>
          <w:trHeight w:val="27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AFDE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IPSEE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A824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Integrovaný pasportní systém elektrotechniky a energetiky pro plánování a </w:t>
            </w:r>
          </w:p>
        </w:tc>
      </w:tr>
      <w:tr w:rsidR="00F65DD3" w14:paraId="1E9334F1" w14:textId="77777777" w:rsidTr="00A0368B">
        <w:trPr>
          <w:trHeight w:val="27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64698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325928" w14:textId="77777777" w:rsidR="00F65DD3" w:rsidRDefault="00D23815">
            <w:pPr>
              <w:tabs>
                <w:tab w:val="center" w:pos="5671"/>
              </w:tabs>
              <w:spacing w:after="0" w:line="259" w:lineRule="auto"/>
              <w:ind w:left="0" w:firstLine="0"/>
            </w:pPr>
            <w:r>
              <w:t xml:space="preserve">sledování údržby v odvětví elektrotechniky a energetiky </w:t>
            </w:r>
            <w:r>
              <w:tab/>
              <w:t xml:space="preserve"> </w:t>
            </w:r>
          </w:p>
        </w:tc>
      </w:tr>
      <w:tr w:rsidR="00F65DD3" w14:paraId="10E7FAF0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62BA20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8B166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Informační systém </w:t>
            </w:r>
          </w:p>
        </w:tc>
      </w:tr>
      <w:tr w:rsidR="00F65DD3" w14:paraId="129A7620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928A8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IS </w:t>
            </w:r>
            <w:proofErr w:type="spellStart"/>
            <w:r>
              <w:t>C.E.Sta</w:t>
            </w:r>
            <w:proofErr w:type="spellEnd"/>
            <w:r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D91F81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evidence stavebních počinů, prací, záruk a životnosti </w:t>
            </w:r>
          </w:p>
        </w:tc>
      </w:tr>
      <w:tr w:rsidR="00F65DD3" w14:paraId="45F89014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B2706F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ISEE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901EC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systém pro správu elektrotechniky a energetiky </w:t>
            </w:r>
          </w:p>
        </w:tc>
      </w:tr>
      <w:tr w:rsidR="00F65DD3" w14:paraId="5996AC03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C316B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ISPD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C0D42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Informační systém provozuschopnosti dráhy </w:t>
            </w:r>
          </w:p>
        </w:tc>
      </w:tr>
      <w:tr w:rsidR="00F65DD3" w14:paraId="7BBB29D1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51C782" w14:textId="371AADDC" w:rsidR="006E76A1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IZS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5F869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Integrovaný záchranný systém </w:t>
            </w:r>
          </w:p>
        </w:tc>
      </w:tr>
      <w:tr w:rsidR="006E76A1" w14:paraId="2098F5D8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7E262" w14:textId="5E640F2C" w:rsidR="006E76A1" w:rsidRDefault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proofErr w:type="spellStart"/>
            <w:r>
              <w:t>LInO</w:t>
            </w:r>
            <w:proofErr w:type="spellEnd"/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4C9A7" w14:textId="6891162B" w:rsidR="006E76A1" w:rsidRDefault="006E76A1">
            <w:pPr>
              <w:spacing w:after="0" w:line="259" w:lineRule="auto"/>
              <w:ind w:left="0" w:firstLine="0"/>
            </w:pPr>
            <w:r>
              <w:t>Lokalizace infrastrukturních objektů</w:t>
            </w:r>
          </w:p>
        </w:tc>
      </w:tr>
      <w:tr w:rsidR="00F65DD3" w14:paraId="0CD1A9FE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402465" w14:textId="35198696" w:rsidR="00F65DD3" w:rsidRDefault="006E76A1" w:rsidP="006E76A1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M12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591ABE" w14:textId="77777777" w:rsidR="006E76A1" w:rsidRPr="006E76A1" w:rsidRDefault="006E76A1" w:rsidP="006E76A1">
            <w:pPr>
              <w:spacing w:after="0" w:line="259" w:lineRule="auto"/>
              <w:ind w:left="0" w:firstLine="0"/>
            </w:pPr>
            <w:r w:rsidRPr="006E76A1">
              <w:t>Popis umístění objektů železniční infrastruktury v informačních</w:t>
            </w:r>
          </w:p>
          <w:p w14:paraId="75C11F10" w14:textId="20908BB0" w:rsidR="00F65DD3" w:rsidRDefault="006E76A1" w:rsidP="006E76A1">
            <w:pPr>
              <w:spacing w:after="0" w:line="259" w:lineRule="auto"/>
              <w:ind w:left="0" w:firstLine="0"/>
            </w:pPr>
            <w:r w:rsidRPr="006E76A1">
              <w:t xml:space="preserve">systémech </w:t>
            </w:r>
            <w:r>
              <w:t xml:space="preserve">SŽ </w:t>
            </w:r>
          </w:p>
        </w:tc>
      </w:tr>
      <w:tr w:rsidR="00F65DD3" w14:paraId="0B7CBB51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32E71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MD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C9959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Ministerstvo dopravy </w:t>
            </w:r>
          </w:p>
        </w:tc>
      </w:tr>
      <w:tr w:rsidR="00F65DD3" w14:paraId="7307F58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2AD6D6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NZZ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80A35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Napájení zabezpečovacího zařízení </w:t>
            </w:r>
          </w:p>
        </w:tc>
      </w:tr>
      <w:tr w:rsidR="00B949E8" w14:paraId="7D2814FC" w14:textId="77777777" w:rsidTr="00D67A7E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851ACD" w14:textId="66477BCD" w:rsidR="00B949E8" w:rsidRDefault="00B949E8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>PC/NTB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1D4A9" w14:textId="1C7D39D2" w:rsidR="00B949E8" w:rsidRDefault="00B949E8">
            <w:pPr>
              <w:spacing w:after="0" w:line="259" w:lineRule="auto"/>
              <w:ind w:left="0" w:firstLine="0"/>
            </w:pPr>
            <w:r>
              <w:t>Počítač/Notebook</w:t>
            </w:r>
          </w:p>
        </w:tc>
      </w:tr>
      <w:tr w:rsidR="00F65DD3" w14:paraId="7199A074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635EF1" w14:textId="7DFEA725" w:rsidR="00F65DD3" w:rsidRDefault="00D67A7E">
            <w:pPr>
              <w:spacing w:after="0" w:line="259" w:lineRule="auto"/>
              <w:ind w:left="0" w:firstLine="0"/>
            </w:pPr>
            <w:r>
              <w:t xml:space="preserve">PTS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3DF2D4" w14:textId="5649778F" w:rsidR="00D67A7E" w:rsidRDefault="00D67A7E">
            <w:pPr>
              <w:spacing w:after="0" w:line="259" w:lineRule="auto"/>
              <w:ind w:left="0" w:firstLine="0"/>
            </w:pPr>
            <w:r>
              <w:t>Pasport topologie sítě</w:t>
            </w:r>
          </w:p>
        </w:tc>
      </w:tr>
      <w:tr w:rsidR="00F65DD3" w14:paraId="20828F9F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AD827F" w14:textId="77777777" w:rsidR="00F65DD3" w:rsidRDefault="00D23815">
            <w:pPr>
              <w:spacing w:after="0" w:line="259" w:lineRule="auto"/>
              <w:ind w:left="0" w:firstLine="0"/>
            </w:pPr>
            <w:proofErr w:type="spellStart"/>
            <w:r>
              <w:t>railML</w:t>
            </w:r>
            <w:proofErr w:type="spellEnd"/>
            <w:r>
              <w:t xml:space="preserve">   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73FB7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Formát XML upravený pro předávání dat mezi aplikacemi v drážním provozu </w:t>
            </w:r>
          </w:p>
        </w:tc>
      </w:tr>
      <w:tr w:rsidR="00F65DD3" w14:paraId="19F39DA8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CC919D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RINF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FB1F7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Registr infrastruktury EU </w:t>
            </w:r>
          </w:p>
        </w:tc>
      </w:tr>
      <w:tr w:rsidR="00F65DD3" w14:paraId="05F7EE96" w14:textId="77777777" w:rsidTr="00A0368B">
        <w:trPr>
          <w:trHeight w:val="301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F4060F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SEZ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937A0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Distribuční rozvody silnoproudu NN a VN </w:t>
            </w:r>
          </w:p>
        </w:tc>
      </w:tr>
      <w:tr w:rsidR="00F65DD3" w14:paraId="155CDDE3" w14:textId="77777777" w:rsidTr="00A0368B">
        <w:trPr>
          <w:trHeight w:val="300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88B4E8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SFDI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90D5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Státní fond dopravní infrastruktury </w:t>
            </w:r>
          </w:p>
        </w:tc>
      </w:tr>
      <w:tr w:rsidR="00F65DD3" w14:paraId="0E635C59" w14:textId="77777777" w:rsidTr="00A0368B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8FD59" w14:textId="77777777" w:rsidR="00F65DD3" w:rsidRDefault="00D23815">
            <w:pPr>
              <w:tabs>
                <w:tab w:val="center" w:pos="708"/>
              </w:tabs>
              <w:spacing w:after="0" w:line="259" w:lineRule="auto"/>
              <w:ind w:left="0" w:firstLine="0"/>
            </w:pPr>
            <w:r>
              <w:t xml:space="preserve">SND </w:t>
            </w:r>
            <w:r>
              <w:tab/>
              <w:t xml:space="preserve"> </w:t>
            </w:r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DBF56F" w14:textId="4712407E" w:rsidR="00F65DD3" w:rsidRDefault="00D23815">
            <w:pPr>
              <w:spacing w:after="0" w:line="259" w:lineRule="auto"/>
              <w:ind w:left="0" w:firstLine="0"/>
              <w:jc w:val="both"/>
            </w:pPr>
            <w:r>
              <w:t xml:space="preserve">Schéma napájení a </w:t>
            </w:r>
            <w:r w:rsidR="002D649B">
              <w:t>dělení – Schématické</w:t>
            </w:r>
            <w:r>
              <w:t xml:space="preserve"> grafické zobrazení trakčního napájení </w:t>
            </w:r>
          </w:p>
        </w:tc>
      </w:tr>
      <w:tr w:rsidR="00D67A7E" w14:paraId="3BF01774" w14:textId="77777777" w:rsidTr="00D67A7E">
        <w:trPr>
          <w:trHeight w:val="259"/>
        </w:trPr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4860F" w14:textId="1B2A9968" w:rsidR="00D67A7E" w:rsidRDefault="00D67A7E">
            <w:pPr>
              <w:tabs>
                <w:tab w:val="center" w:pos="708"/>
              </w:tabs>
              <w:spacing w:after="0" w:line="259" w:lineRule="auto"/>
              <w:ind w:left="0" w:firstLine="0"/>
            </w:pPr>
            <w:proofErr w:type="spellStart"/>
            <w:r>
              <w:t>SpS</w:t>
            </w:r>
            <w:proofErr w:type="spellEnd"/>
          </w:p>
        </w:tc>
        <w:tc>
          <w:tcPr>
            <w:tcW w:w="72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E79FF3" w14:textId="1FD5A787" w:rsidR="00D67A7E" w:rsidRDefault="00D67A7E">
            <w:pPr>
              <w:spacing w:after="0" w:line="259" w:lineRule="auto"/>
              <w:ind w:left="0" w:firstLine="0"/>
              <w:jc w:val="both"/>
            </w:pPr>
            <w:r>
              <w:t>Spínací stanice</w:t>
            </w:r>
          </w:p>
        </w:tc>
      </w:tr>
      <w:tr w:rsidR="00F65DD3" w14:paraId="1CF733DE" w14:textId="77777777" w:rsidTr="00D67A7E">
        <w:trPr>
          <w:gridAfter w:val="1"/>
          <w:wAfter w:w="3058" w:type="dxa"/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D36A8B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SŽ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54F4449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39F8E85E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Správa železnic, státní organizace </w:t>
            </w:r>
          </w:p>
        </w:tc>
      </w:tr>
      <w:tr w:rsidR="00F65DD3" w14:paraId="074189F5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528D9DB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SŽG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DE78B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56E0C063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Správa železniční geodézie SŽ </w:t>
            </w:r>
          </w:p>
        </w:tc>
      </w:tr>
      <w:tr w:rsidR="00F65DD3" w14:paraId="1AC7D367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856365F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TNS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E70C776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7A0B189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Trakční napájecí stanice </w:t>
            </w:r>
          </w:p>
        </w:tc>
      </w:tr>
      <w:tr w:rsidR="00F65DD3" w14:paraId="4C97B23C" w14:textId="77777777" w:rsidTr="00D67A7E">
        <w:trPr>
          <w:gridAfter w:val="1"/>
          <w:wAfter w:w="3058" w:type="dxa"/>
          <w:trHeight w:val="301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F05C8D7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TPI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BF6E9AD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A6F583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Technický pasport infrastruktury </w:t>
            </w:r>
          </w:p>
        </w:tc>
      </w:tr>
      <w:tr w:rsidR="00F65DD3" w14:paraId="135BF345" w14:textId="77777777" w:rsidTr="00D67A7E">
        <w:trPr>
          <w:gridAfter w:val="1"/>
          <w:wAfter w:w="3058" w:type="dxa"/>
          <w:trHeight w:val="301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29D7E7C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TSK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1F0A615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C444D72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Topologická schémata kolejišť </w:t>
            </w:r>
          </w:p>
        </w:tc>
      </w:tr>
      <w:tr w:rsidR="00F65DD3" w14:paraId="7E635E69" w14:textId="77777777" w:rsidTr="00D67A7E">
        <w:trPr>
          <w:gridAfter w:val="1"/>
          <w:wAfter w:w="3058" w:type="dxa"/>
          <w:trHeight w:val="30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990646C" w14:textId="77777777" w:rsidR="00F65DD3" w:rsidRDefault="00D23815">
            <w:pPr>
              <w:spacing w:after="0" w:line="259" w:lineRule="auto"/>
              <w:ind w:left="0" w:firstLine="0"/>
            </w:pPr>
            <w:r>
              <w:lastRenderedPageBreak/>
              <w:t xml:space="preserve">TV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43697294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3F5D6E75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Trakční vedení </w:t>
            </w:r>
          </w:p>
        </w:tc>
      </w:tr>
      <w:tr w:rsidR="00F65DD3" w14:paraId="46256578" w14:textId="77777777" w:rsidTr="00D67A7E">
        <w:trPr>
          <w:gridAfter w:val="1"/>
          <w:wAfter w:w="3058" w:type="dxa"/>
          <w:trHeight w:val="25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4529CF2A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VPN 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14:paraId="6FFD632F" w14:textId="77777777" w:rsidR="00F65DD3" w:rsidRDefault="00D23815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4153" w:type="dxa"/>
            <w:tcBorders>
              <w:top w:val="nil"/>
              <w:left w:val="nil"/>
              <w:bottom w:val="nil"/>
              <w:right w:val="nil"/>
            </w:tcBorders>
          </w:tcPr>
          <w:p w14:paraId="66D2F59D" w14:textId="77777777" w:rsidR="00F65DD3" w:rsidRDefault="00D23815">
            <w:pPr>
              <w:spacing w:after="0" w:line="259" w:lineRule="auto"/>
              <w:ind w:left="0" w:firstLine="0"/>
              <w:jc w:val="both"/>
            </w:pPr>
            <w:r>
              <w:t>Virtuální privátní sít (</w:t>
            </w:r>
            <w:proofErr w:type="spellStart"/>
            <w:r>
              <w:t>Virtual</w:t>
            </w:r>
            <w:proofErr w:type="spellEnd"/>
            <w:r>
              <w:t xml:space="preserve"> </w:t>
            </w:r>
            <w:proofErr w:type="spellStart"/>
            <w:r>
              <w:t>private</w:t>
            </w:r>
            <w:proofErr w:type="spellEnd"/>
            <w:r>
              <w:t xml:space="preserve"> network) </w:t>
            </w:r>
          </w:p>
        </w:tc>
      </w:tr>
    </w:tbl>
    <w:p w14:paraId="23B299D7" w14:textId="77777777" w:rsidR="00F65DD3" w:rsidRDefault="00D23815">
      <w:pPr>
        <w:spacing w:after="63" w:line="259" w:lineRule="auto"/>
        <w:ind w:left="0" w:firstLine="0"/>
      </w:pPr>
      <w:r>
        <w:t xml:space="preserve"> </w:t>
      </w:r>
    </w:p>
    <w:p w14:paraId="15C4A081" w14:textId="77777777" w:rsidR="00F65DD3" w:rsidRDefault="00D23815">
      <w:pPr>
        <w:spacing w:after="507" w:line="259" w:lineRule="auto"/>
        <w:ind w:left="0" w:firstLine="0"/>
      </w:pPr>
      <w:r>
        <w:t xml:space="preserve"> </w:t>
      </w:r>
    </w:p>
    <w:p w14:paraId="334E2EB6" w14:textId="77777777" w:rsidR="00F65DD3" w:rsidRDefault="00D23815">
      <w:pPr>
        <w:pStyle w:val="Nadpis1"/>
        <w:ind w:left="417" w:hanging="432"/>
      </w:pPr>
      <w:bookmarkStart w:id="2" w:name="_Toc170811552"/>
      <w:r>
        <w:t>Předmět a vymezení díla</w:t>
      </w:r>
      <w:bookmarkEnd w:id="2"/>
      <w:r>
        <w:t xml:space="preserve"> </w:t>
      </w:r>
    </w:p>
    <w:p w14:paraId="5962B849" w14:textId="77777777" w:rsidR="00F65DD3" w:rsidRDefault="00D23815">
      <w:pPr>
        <w:ind w:left="-5"/>
      </w:pPr>
      <w:r>
        <w:t xml:space="preserve">Předmětem projektu je příprava a realizace kompletního pasportního řešení pro správu objektů elektrotechniky a energetiky, pro operativní i strategické řízení tohoto odvětví. </w:t>
      </w:r>
    </w:p>
    <w:p w14:paraId="3B449CE4" w14:textId="77777777" w:rsidR="00F65DD3" w:rsidRDefault="00D23815">
      <w:pPr>
        <w:ind w:left="-5"/>
      </w:pPr>
      <w:r>
        <w:t xml:space="preserve">Systém bude sloužit pro trakční vedení (TV), trakční napájecí stanice (TNS), distribuční rozvody silnoproudu NN a VN (SEZ), napájení zabezpečovacího zařízení včetně tzv. Magistrálního rozvodu (NZZ) a zařízení dispečerské řídící techniky na všech úrovních výše uvedených technologií. Připraven bude i modul „obecný objekt“ za účelem obsluhy nespecifikovaných potřeb pasportních evidence potřebné k okamžité implementaci. </w:t>
      </w:r>
    </w:p>
    <w:p w14:paraId="52439E89" w14:textId="58CCE118" w:rsidR="00F65DD3" w:rsidRDefault="00D23815">
      <w:pPr>
        <w:ind w:left="-5"/>
      </w:pPr>
      <w:r>
        <w:t xml:space="preserve">Základní funkcionality a služby: evidence (pasport) objektů TV, TNS a </w:t>
      </w:r>
      <w:proofErr w:type="spellStart"/>
      <w:r>
        <w:t>SpS</w:t>
      </w:r>
      <w:proofErr w:type="spellEnd"/>
      <w:r>
        <w:t xml:space="preserve">, SEZ, NZZ, DŘT, digitalizace záznamů dohlédací a údržbové činnosti, informace o záměrech a realizovaných stavebních počinech, agregované informace o spotřebě a výkonech vybraných objektů (parametrizace objektů), informace o vlakovém zatížení traťových úseků, nástroje pro tvorbu přehledových schémat, a zároveň běžné softwarové nástroje využívané v rámci komplexnějších IS, jako jsou notifikace, filtrace, datové pohledy, vizualizace, s vazbou na </w:t>
      </w:r>
      <w:proofErr w:type="spellStart"/>
      <w:r>
        <w:t>task</w:t>
      </w:r>
      <w:proofErr w:type="spellEnd"/>
      <w:r>
        <w:t xml:space="preserve"> </w:t>
      </w:r>
      <w:proofErr w:type="spellStart"/>
      <w:r>
        <w:t>scheduler</w:t>
      </w:r>
      <w:proofErr w:type="spellEnd"/>
      <w:r>
        <w:t xml:space="preserve">, aj.  </w:t>
      </w:r>
    </w:p>
    <w:p w14:paraId="0725C118" w14:textId="77777777" w:rsidR="00F65DD3" w:rsidRDefault="00D23815">
      <w:pPr>
        <w:ind w:left="-5"/>
      </w:pPr>
      <w:r>
        <w:t xml:space="preserve">Nové funkcionality a služby: nové sjednocující uživatelské rozhraní, záruky a životnost, sledování a analýza vybraných parametrů, včetně on-line diagnostiky, historie, zápisník, aj. </w:t>
      </w:r>
    </w:p>
    <w:p w14:paraId="4E6D6898" w14:textId="77777777" w:rsidR="00F65DD3" w:rsidRDefault="00D23815">
      <w:pPr>
        <w:ind w:left="-5"/>
      </w:pPr>
      <w:r>
        <w:t xml:space="preserve">Další funkční rozšíření bude definováno na základě Analýzy a studie technického řešení. </w:t>
      </w:r>
    </w:p>
    <w:p w14:paraId="565275DF" w14:textId="77777777" w:rsidR="00F65DD3" w:rsidRDefault="00D23815">
      <w:pPr>
        <w:spacing w:after="63" w:line="259" w:lineRule="auto"/>
        <w:ind w:left="-5"/>
      </w:pPr>
      <w:r>
        <w:rPr>
          <w:b/>
        </w:rPr>
        <w:t xml:space="preserve">Hlavní etapy realizace projektu: </w:t>
      </w:r>
    </w:p>
    <w:p w14:paraId="3480C002" w14:textId="3D673FF4" w:rsidR="00F65DD3" w:rsidRDefault="00D23815">
      <w:pPr>
        <w:numPr>
          <w:ilvl w:val="0"/>
          <w:numId w:val="1"/>
        </w:numPr>
        <w:spacing w:after="59"/>
        <w:ind w:hanging="283"/>
      </w:pPr>
      <w:r>
        <w:t xml:space="preserve">Analýza a koncepční studie vč. Záměru projektu. </w:t>
      </w:r>
    </w:p>
    <w:p w14:paraId="4A52D7F4" w14:textId="77777777" w:rsidR="00F65DD3" w:rsidRDefault="00D23815">
      <w:pPr>
        <w:numPr>
          <w:ilvl w:val="1"/>
          <w:numId w:val="1"/>
        </w:numPr>
        <w:spacing w:after="62"/>
        <w:ind w:left="566" w:hanging="283"/>
      </w:pPr>
      <w:r>
        <w:t xml:space="preserve">Analýza IPSEE a externích zkušeností, aktuální i perspektivní podmínky SŽ; </w:t>
      </w:r>
    </w:p>
    <w:p w14:paraId="67339390" w14:textId="77777777" w:rsidR="00F65DD3" w:rsidRDefault="00D23815">
      <w:pPr>
        <w:numPr>
          <w:ilvl w:val="1"/>
          <w:numId w:val="1"/>
        </w:numPr>
        <w:spacing w:after="60"/>
        <w:ind w:left="566" w:hanging="283"/>
      </w:pPr>
      <w:r>
        <w:t xml:space="preserve">Možnosti a návrh funkcionalit; </w:t>
      </w:r>
    </w:p>
    <w:p w14:paraId="40B0F90B" w14:textId="77777777" w:rsidR="00F65DD3" w:rsidRDefault="00D23815">
      <w:pPr>
        <w:numPr>
          <w:ilvl w:val="1"/>
          <w:numId w:val="1"/>
        </w:numPr>
        <w:spacing w:after="60"/>
        <w:ind w:left="566" w:hanging="283"/>
      </w:pPr>
      <w:r>
        <w:t xml:space="preserve">Variantní návrhy na technické řešení a jejich porovnání; </w:t>
      </w:r>
    </w:p>
    <w:p w14:paraId="604EECE4" w14:textId="77777777" w:rsidR="00F65DD3" w:rsidRDefault="00D23815">
      <w:pPr>
        <w:numPr>
          <w:ilvl w:val="1"/>
          <w:numId w:val="1"/>
        </w:numPr>
        <w:spacing w:after="66" w:line="259" w:lineRule="auto"/>
        <w:ind w:left="566" w:hanging="283"/>
      </w:pPr>
      <w:r>
        <w:t xml:space="preserve">Záměr projektu v rozsahu dle Směrnice MD ČR č.V-2/2012 pro nejvýhodnější variantu. </w:t>
      </w:r>
    </w:p>
    <w:p w14:paraId="4EE2D51F" w14:textId="414C61E7" w:rsidR="00F65DD3" w:rsidRDefault="00D23815">
      <w:pPr>
        <w:numPr>
          <w:ilvl w:val="0"/>
          <w:numId w:val="1"/>
        </w:numPr>
        <w:spacing w:after="59"/>
        <w:ind w:hanging="283"/>
      </w:pPr>
      <w:r>
        <w:t xml:space="preserve">Řešení – výběrové řízení, programování, testování. </w:t>
      </w:r>
    </w:p>
    <w:p w14:paraId="6F16EE7C" w14:textId="09949CC0" w:rsidR="00F65DD3" w:rsidRDefault="00D23815">
      <w:pPr>
        <w:numPr>
          <w:ilvl w:val="0"/>
          <w:numId w:val="1"/>
        </w:numPr>
        <w:spacing w:after="59"/>
        <w:ind w:hanging="283"/>
      </w:pPr>
      <w:r>
        <w:t xml:space="preserve">Implementace. </w:t>
      </w:r>
    </w:p>
    <w:p w14:paraId="5DC7FE49" w14:textId="77777777" w:rsidR="00F65DD3" w:rsidRDefault="00D23815">
      <w:pPr>
        <w:numPr>
          <w:ilvl w:val="0"/>
          <w:numId w:val="1"/>
        </w:numPr>
        <w:spacing w:after="239"/>
        <w:ind w:hanging="283"/>
      </w:pPr>
      <w:r>
        <w:t xml:space="preserve">Servis a provoz Helpdesku.  </w:t>
      </w:r>
    </w:p>
    <w:p w14:paraId="5B9A148D" w14:textId="77777777" w:rsidR="00F65DD3" w:rsidRDefault="00D23815">
      <w:pPr>
        <w:pStyle w:val="Nadpis1"/>
        <w:ind w:left="417" w:hanging="432"/>
      </w:pPr>
      <w:bookmarkStart w:id="3" w:name="_Toc170811553"/>
      <w:r>
        <w:t>Hlavní přínosy</w:t>
      </w:r>
      <w:bookmarkEnd w:id="3"/>
      <w:r>
        <w:t xml:space="preserve">  </w:t>
      </w:r>
    </w:p>
    <w:p w14:paraId="41135384" w14:textId="77777777" w:rsidR="00F65DD3" w:rsidRDefault="00D23815">
      <w:pPr>
        <w:ind w:left="-5"/>
      </w:pPr>
      <w:r>
        <w:t xml:space="preserve">Projekt nutno chápat především jako vývoj nového software, protože odvětví EE nedisponuje žádným centrálním IS pro pasport zařízení a souvisejících funkcionalit. Systém IPSEE i přes svůj název zůstal při svém vzniku omezen pouze pro plánování a evidenci údržby elektrických zařízení podle předpisu E500. </w:t>
      </w:r>
    </w:p>
    <w:p w14:paraId="1D77D72E" w14:textId="77777777" w:rsidR="00F65DD3" w:rsidRDefault="00D23815">
      <w:pPr>
        <w:ind w:left="-5" w:right="107"/>
      </w:pPr>
      <w:r>
        <w:t xml:space="preserve">Pro systém je zásadním východiskem digitalizace záznamů z dohlédací činnosti (běžné, podrobné i mimořádné prohlídky), přípravy a realizace staveb, expertní a posudkové činnosti i související předpisové základny. </w:t>
      </w:r>
    </w:p>
    <w:p w14:paraId="1986CC97" w14:textId="77777777" w:rsidR="00F65DD3" w:rsidRDefault="00D23815">
      <w:pPr>
        <w:spacing w:after="505" w:line="259" w:lineRule="auto"/>
        <w:ind w:left="0" w:firstLine="0"/>
      </w:pPr>
      <w:r>
        <w:t xml:space="preserve"> </w:t>
      </w:r>
    </w:p>
    <w:p w14:paraId="63637E44" w14:textId="77777777" w:rsidR="00F65DD3" w:rsidRDefault="00D23815">
      <w:pPr>
        <w:pStyle w:val="Nadpis1"/>
        <w:ind w:left="417" w:hanging="432"/>
      </w:pPr>
      <w:bookmarkStart w:id="4" w:name="_Toc170811554"/>
      <w:r>
        <w:t>Základní procesní schéma</w:t>
      </w:r>
      <w:bookmarkEnd w:id="4"/>
      <w:r>
        <w:t xml:space="preserve"> </w:t>
      </w:r>
    </w:p>
    <w:p w14:paraId="7AEFE67E" w14:textId="77777777" w:rsidR="00F65DD3" w:rsidRDefault="00D23815">
      <w:pPr>
        <w:ind w:left="-5"/>
      </w:pPr>
      <w:r>
        <w:t xml:space="preserve">Systém bude modulární a bude provozován ve 4 základních modulech: </w:t>
      </w:r>
    </w:p>
    <w:p w14:paraId="606A7046" w14:textId="3B551770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Pasportní</w:t>
      </w:r>
      <w:r w:rsidR="00616D0D">
        <w:rPr>
          <w:b/>
        </w:rPr>
        <w:t xml:space="preserve">, </w:t>
      </w:r>
      <w:r w:rsidR="00616D0D" w:rsidRPr="00A7365C">
        <w:rPr>
          <w:noProof/>
        </w:rPr>
        <w:t xml:space="preserve">který bude </w:t>
      </w:r>
      <w:r w:rsidR="00616D0D">
        <w:rPr>
          <w:noProof/>
        </w:rPr>
        <w:t>uchovávat</w:t>
      </w:r>
      <w:r w:rsidR="00616D0D" w:rsidRPr="00A7365C">
        <w:rPr>
          <w:noProof/>
        </w:rPr>
        <w:t xml:space="preserve"> základní </w:t>
      </w:r>
      <w:r w:rsidR="00616D0D">
        <w:rPr>
          <w:noProof/>
        </w:rPr>
        <w:t>technické</w:t>
      </w:r>
      <w:r w:rsidR="00616D0D" w:rsidRPr="00A7365C">
        <w:rPr>
          <w:noProof/>
        </w:rPr>
        <w:t xml:space="preserve"> údaje</w:t>
      </w:r>
      <w:r>
        <w:t xml:space="preserve">. </w:t>
      </w:r>
    </w:p>
    <w:p w14:paraId="6E621B0C" w14:textId="77777777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Provozní</w:t>
      </w:r>
      <w:r>
        <w:t xml:space="preserve">, který bude navazovat mj. na systém IPSEE. </w:t>
      </w:r>
    </w:p>
    <w:p w14:paraId="44B49199" w14:textId="7465BAD2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Expertní</w:t>
      </w:r>
      <w:r>
        <w:t xml:space="preserve">, s </w:t>
      </w:r>
      <w:r w:rsidR="00616D0D">
        <w:t>možností</w:t>
      </w:r>
      <w:r>
        <w:t xml:space="preserve"> posuzování trakčního zatížení včetně evidence počtu a hmotnosti vlaků v čase, energetické výpočty a dimenzování trakčního vedení, analýza a statistiky </w:t>
      </w:r>
      <w:r>
        <w:lastRenderedPageBreak/>
        <w:t xml:space="preserve">vybraných parametrů spravovaného majetku odvětví EE, tvorba požadavků a plánování staveb. </w:t>
      </w:r>
    </w:p>
    <w:p w14:paraId="5E426655" w14:textId="28F6007C" w:rsidR="00F65DD3" w:rsidRDefault="00D23815">
      <w:pPr>
        <w:numPr>
          <w:ilvl w:val="0"/>
          <w:numId w:val="2"/>
        </w:numPr>
        <w:ind w:hanging="360"/>
      </w:pPr>
      <w:r>
        <w:rPr>
          <w:b/>
        </w:rPr>
        <w:t>Stavební</w:t>
      </w:r>
      <w:r>
        <w:t xml:space="preserve">, který bude navazovat na IS </w:t>
      </w:r>
      <w:proofErr w:type="spellStart"/>
      <w:r>
        <w:t>C.E.Sta</w:t>
      </w:r>
      <w:proofErr w:type="spellEnd"/>
      <w:r>
        <w:t xml:space="preserve"> (evidence stavebních počinů, prací, záruk a životnosti). </w:t>
      </w:r>
    </w:p>
    <w:p w14:paraId="345CBD38" w14:textId="18E27352" w:rsidR="00F65DD3" w:rsidRDefault="00D23815">
      <w:pPr>
        <w:ind w:left="-5"/>
      </w:pPr>
      <w:r>
        <w:t>Uživatel bude k systému přistupovat dle přidělené role definované administrátorem IS. Role budou definovány dle přidělené činnosti / úlohy uživateli a přístupová práva budou odpovídat této definici, tedy uživatel bude dle své role přihlášen do odpovídajícího modulu skrze jednotný přístupový bod.</w:t>
      </w:r>
    </w:p>
    <w:p w14:paraId="64D3EE39" w14:textId="20F13B3B" w:rsidR="00F65DD3" w:rsidRDefault="00D23815">
      <w:pPr>
        <w:ind w:left="-5" w:right="96"/>
      </w:pPr>
      <w:r>
        <w:t>Přístupová práva budou konfigurovatelná dle struktury pasportů. Uživatel nebude řešit, do jakých struktur (vrstev) vstupuje, ale jakých procesů se účastní. Pro svoji činnost bude mít v přehledném rozhraní připravená potřebná strukturovaná data. Uživatelské prostředí (front end) bude jednotné, lišit se bude v rámci struktury pohledu na data a dostupných funkcí pro uživatele dle přidělených oprávnění (rolí) souvisejících s patřičným modulem.</w:t>
      </w:r>
    </w:p>
    <w:p w14:paraId="3166FB97" w14:textId="1CCE4E6B" w:rsidR="00F65DD3" w:rsidRDefault="00D23815">
      <w:pPr>
        <w:ind w:left="-5"/>
      </w:pPr>
      <w:r>
        <w:t>Předpokládá se, že správu datové základny bude možné zajišťovat systémově vlastními kapacitami SŽ. Zásady (manuál) správy a údržby bude součástí dodávky nového systému.</w:t>
      </w:r>
    </w:p>
    <w:p w14:paraId="56CEA57F" w14:textId="37660357" w:rsidR="00F65DD3" w:rsidRDefault="00D23815">
      <w:pPr>
        <w:ind w:left="-5" w:right="115"/>
      </w:pPr>
      <w:r>
        <w:t xml:space="preserve">V mezích určených ISEE doporučí dodavatel další integraci s jinými systémy a aplikacemi. Zohlední současné možnosti i očekávané požadavky nových systémů a technologií např. BIM a </w:t>
      </w:r>
      <w:proofErr w:type="spellStart"/>
      <w:r>
        <w:t>railML</w:t>
      </w:r>
      <w:proofErr w:type="spellEnd"/>
      <w:r>
        <w:t xml:space="preserve">. Navrhne možnosti migrace současných dat IPSEE, především příloh a vybraných podkladů pro vytvoření příloh. Budou zahrnuty nové trendy v oblasti informačních technologií.  </w:t>
      </w:r>
    </w:p>
    <w:p w14:paraId="50AFEA94" w14:textId="77777777" w:rsidR="00F65DD3" w:rsidRDefault="00D23815">
      <w:pPr>
        <w:ind w:left="-5" w:right="404"/>
      </w:pPr>
      <w:r>
        <w:t xml:space="preserve">U vybraných objektů budou zpřesněny evidenční informace např. napájecí stanice a jejich přiřazení k souhrnnému odběrnému místu, nadřazenému distributorovi, základní data ze smlouvy o připojení, dále trakční transformátory a jejich základní údaje – výkon, ztráty, hmotnost oleje, vinutí; trakční podpěry – typ, číslo, aj.  </w:t>
      </w:r>
    </w:p>
    <w:p w14:paraId="07C709C2" w14:textId="77777777" w:rsidR="00F65DD3" w:rsidRDefault="00D23815">
      <w:pPr>
        <w:ind w:left="-5" w:right="412"/>
      </w:pPr>
      <w:r>
        <w:t xml:space="preserve">Nové rozhraní pro záznam a klasifikace opakovaných poruch (závad). Možnost zatřídění do určených kategorií. Velkého množství záznamů i sledování jednotlivých poruch (jejich kategorizace) bude možné hromadně vyhodnocovat.  </w:t>
      </w:r>
    </w:p>
    <w:p w14:paraId="79CE10B8" w14:textId="77777777" w:rsidR="00F65DD3" w:rsidRDefault="00D23815">
      <w:pPr>
        <w:spacing w:after="505" w:line="259" w:lineRule="auto"/>
        <w:ind w:left="0" w:firstLine="0"/>
      </w:pPr>
      <w:r>
        <w:t xml:space="preserve"> </w:t>
      </w:r>
    </w:p>
    <w:p w14:paraId="71645A5A" w14:textId="77777777" w:rsidR="00F65DD3" w:rsidRDefault="00D23815">
      <w:pPr>
        <w:pStyle w:val="Nadpis1"/>
        <w:ind w:left="417" w:hanging="432"/>
      </w:pPr>
      <w:bookmarkStart w:id="5" w:name="_Toc170811555"/>
      <w:r>
        <w:t>Napojení a vazba na okolní procesy, IT systémy</w:t>
      </w:r>
      <w:bookmarkEnd w:id="5"/>
      <w:r>
        <w:t xml:space="preserve"> </w:t>
      </w:r>
    </w:p>
    <w:p w14:paraId="31EB241C" w14:textId="7ABC833F" w:rsidR="00F65DD3" w:rsidRDefault="00D23815">
      <w:pPr>
        <w:ind w:left="-5" w:right="81"/>
      </w:pPr>
      <w:r>
        <w:t xml:space="preserve">Systém bude pracovat s </w:t>
      </w:r>
      <w:r w:rsidR="00616D0D" w:rsidRPr="008973E9">
        <w:rPr>
          <w:noProof/>
        </w:rPr>
        <w:t>jednotn</w:t>
      </w:r>
      <w:r w:rsidR="00616D0D">
        <w:rPr>
          <w:noProof/>
        </w:rPr>
        <w:t>ým popisem sítě z PTS</w:t>
      </w:r>
      <w:r w:rsidR="00616D0D">
        <w:t xml:space="preserve"> </w:t>
      </w:r>
      <w:r>
        <w:t xml:space="preserve">a číselníkovou základnou TPI, spolupracovat s geodetickým systémem </w:t>
      </w:r>
      <w:proofErr w:type="spellStart"/>
      <w:r>
        <w:t>LInO</w:t>
      </w:r>
      <w:proofErr w:type="spellEnd"/>
      <w:r>
        <w:t xml:space="preserve">. K centrální databázi budou napojeny pasporty jednotlivých odvětví včetně DSD. Nutné je propojení s objekty v CDE BIM. S novým modulárním propojením dojde ke změnám ve struktuře evidovaných dat dle potřebného detailu (struktury) napojených IS. </w:t>
      </w:r>
    </w:p>
    <w:p w14:paraId="24D511ED" w14:textId="4D41C6AE" w:rsidR="00F65DD3" w:rsidRDefault="00D23815">
      <w:pPr>
        <w:ind w:left="-5" w:right="240"/>
      </w:pPr>
      <w:r>
        <w:t xml:space="preserve">Pasportní data budou v maximálně možné míře respektovat objektovou strukturu v IPSEE a to zejména z důvodu, že současné nastavení objektů respektuje nastavení z pohledu revizí elektrických zařízení a jejich lhůt, technických prohlídek a zkoušek a průkazů způsobilosti podle zákona o drahách a navazujících vyhlášek. </w:t>
      </w:r>
    </w:p>
    <w:p w14:paraId="1D1D7D14" w14:textId="77777777" w:rsidR="00F65DD3" w:rsidRDefault="00D23815">
      <w:pPr>
        <w:ind w:left="-5"/>
      </w:pPr>
      <w:r>
        <w:t xml:space="preserve">Základním uživatelským HW bude odpovídající PC/NTB, vyžadována bude optimalizace také pro mobilní zařízení s VPN umožňující HTML (tablet). </w:t>
      </w:r>
    </w:p>
    <w:p w14:paraId="0F5422CA" w14:textId="77777777" w:rsidR="00F65DD3" w:rsidRDefault="00D23815">
      <w:pPr>
        <w:ind w:left="-5"/>
      </w:pPr>
      <w:r>
        <w:t xml:space="preserve">Licenční nezávislost. SŽ bude kompletním vlastníkem celého řešení (licence), zdrojových kódů (s výjimkou tzv. balíčkových řešení), včetně kompletní podrobné dokumentace.  </w:t>
      </w:r>
    </w:p>
    <w:p w14:paraId="29C74D8A" w14:textId="730E766C" w:rsidR="00F65DD3" w:rsidRDefault="002958EF">
      <w:pPr>
        <w:ind w:left="-5"/>
      </w:pPr>
      <w:r w:rsidRPr="008973E9">
        <w:rPr>
          <w:noProof/>
        </w:rPr>
        <w:t xml:space="preserve">Základní vazba na popis železniční sítě bude dle systému vymezeného </w:t>
      </w:r>
      <w:r>
        <w:rPr>
          <w:noProof/>
        </w:rPr>
        <w:t>v PTS</w:t>
      </w:r>
      <w:r>
        <w:t xml:space="preserve"> se zohledněním objektů EE, které nemají žádnou vazbu na topologii železniční sítě – využití nástrojů IS M12. </w:t>
      </w:r>
    </w:p>
    <w:p w14:paraId="5DF67CC6" w14:textId="146F058C" w:rsidR="00F65DD3" w:rsidRDefault="00D23815">
      <w:pPr>
        <w:ind w:left="-5"/>
      </w:pPr>
      <w:r>
        <w:t>Nahrazení současných postupů s parciálními *.</w:t>
      </w:r>
      <w:proofErr w:type="spellStart"/>
      <w:r>
        <w:t>xls</w:t>
      </w:r>
      <w:proofErr w:type="spellEnd"/>
      <w:r>
        <w:t xml:space="preserve"> soubory. Využití dat a možností </w:t>
      </w:r>
      <w:r w:rsidR="006E76A1">
        <w:t>PTS</w:t>
      </w:r>
      <w:r>
        <w:t xml:space="preserve">, digitalizovaných Tabulek traťových poměrů (TTP), IS </w:t>
      </w:r>
      <w:proofErr w:type="spellStart"/>
      <w:proofErr w:type="gramStart"/>
      <w:r>
        <w:t>C.E.Sta</w:t>
      </w:r>
      <w:proofErr w:type="spellEnd"/>
      <w:proofErr w:type="gramEnd"/>
      <w:r>
        <w:t>, ISPD, Pasportu železničního svršku</w:t>
      </w:r>
      <w:r w:rsidR="006E76A1">
        <w:t xml:space="preserve"> - nový</w:t>
      </w:r>
      <w:r>
        <w:t>,</w:t>
      </w:r>
      <w:r w:rsidR="006E76A1">
        <w:t xml:space="preserve"> DTMŽ </w:t>
      </w:r>
      <w:r>
        <w:t xml:space="preserve">, </w:t>
      </w:r>
      <w:proofErr w:type="spellStart"/>
      <w:r>
        <w:t>FaMa</w:t>
      </w:r>
      <w:proofErr w:type="spellEnd"/>
      <w:r>
        <w:t xml:space="preserve">+ a webových služeb SŽG. </w:t>
      </w:r>
    </w:p>
    <w:p w14:paraId="541DA95F" w14:textId="4F4B42B8" w:rsidR="00F65DD3" w:rsidRDefault="00D23815">
      <w:pPr>
        <w:ind w:left="-5"/>
      </w:pPr>
      <w:r>
        <w:t xml:space="preserve"> Umožnit budoucí propojování s dosud neexistujícími aplikacemi. </w:t>
      </w:r>
    </w:p>
    <w:p w14:paraId="10F77B81" w14:textId="77777777" w:rsidR="00F65DD3" w:rsidRDefault="00D23815">
      <w:pPr>
        <w:spacing w:after="0"/>
        <w:ind w:left="-5"/>
      </w:pPr>
      <w:r>
        <w:t>Koordinace s jinými systémy a aplikacemi:</w:t>
      </w:r>
      <w:r>
        <w:rPr>
          <w:color w:val="600000"/>
        </w:rPr>
        <w:t xml:space="preserve">  </w:t>
      </w:r>
    </w:p>
    <w:p w14:paraId="3CFC6FD1" w14:textId="77777777" w:rsidR="00B949E8" w:rsidRDefault="00B949E8">
      <w:pPr>
        <w:numPr>
          <w:ilvl w:val="0"/>
          <w:numId w:val="3"/>
        </w:numPr>
        <w:spacing w:after="47"/>
        <w:ind w:hanging="355"/>
      </w:pPr>
      <w:r>
        <w:rPr>
          <w:noProof/>
        </w:rPr>
        <w:t>PTS – jednotný popis topologie sítě s výhledovým budoucím stavem</w:t>
      </w:r>
      <w:r>
        <w:t xml:space="preserve"> </w:t>
      </w:r>
    </w:p>
    <w:p w14:paraId="6D2794C3" w14:textId="1AC1F07D" w:rsidR="00F65DD3" w:rsidRDefault="00D23815">
      <w:pPr>
        <w:numPr>
          <w:ilvl w:val="0"/>
          <w:numId w:val="3"/>
        </w:numPr>
        <w:spacing w:after="47"/>
        <w:ind w:hanging="355"/>
      </w:pPr>
      <w:proofErr w:type="spellStart"/>
      <w:r>
        <w:lastRenderedPageBreak/>
        <w:t>C.E.Sta</w:t>
      </w:r>
      <w:proofErr w:type="spellEnd"/>
      <w:r>
        <w:t xml:space="preserve"> (evidence investičních akcí, </w:t>
      </w:r>
      <w:r w:rsidR="00B949E8">
        <w:t>jejichž</w:t>
      </w:r>
      <w:r>
        <w:t xml:space="preserve"> obsahem jsou objekty EE); </w:t>
      </w:r>
    </w:p>
    <w:p w14:paraId="2282F369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SAP (např. inventární čísla objektů, pořizovací náklady); </w:t>
      </w:r>
    </w:p>
    <w:p w14:paraId="14C0D365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SAP/ISU (data o spotřebě a výkonech); </w:t>
      </w:r>
    </w:p>
    <w:p w14:paraId="23A0BC62" w14:textId="6A2BB7CF" w:rsidR="00B949E8" w:rsidRDefault="00D23815">
      <w:pPr>
        <w:numPr>
          <w:ilvl w:val="0"/>
          <w:numId w:val="3"/>
        </w:numPr>
        <w:spacing w:after="45"/>
        <w:ind w:hanging="355"/>
      </w:pPr>
      <w:r>
        <w:t>Digitální přehledová mapa (DPM)</w:t>
      </w:r>
      <w:r w:rsidR="00B949E8">
        <w:t>;</w:t>
      </w:r>
    </w:p>
    <w:p w14:paraId="5001EC4D" w14:textId="77777777" w:rsidR="00B949E8" w:rsidRDefault="00D23815" w:rsidP="00B949E8">
      <w:pPr>
        <w:numPr>
          <w:ilvl w:val="0"/>
          <w:numId w:val="3"/>
        </w:numPr>
        <w:spacing w:after="45"/>
        <w:ind w:hanging="355"/>
      </w:pPr>
      <w:proofErr w:type="spellStart"/>
      <w:r>
        <w:t>LInO</w:t>
      </w:r>
      <w:proofErr w:type="spellEnd"/>
      <w:r>
        <w:t xml:space="preserve"> a další aplikace SŽG;</w:t>
      </w:r>
    </w:p>
    <w:p w14:paraId="447A91C6" w14:textId="7B3BCE9A" w:rsidR="00F65DD3" w:rsidRDefault="00B949E8" w:rsidP="00B949E8">
      <w:pPr>
        <w:numPr>
          <w:ilvl w:val="0"/>
          <w:numId w:val="3"/>
        </w:numPr>
        <w:spacing w:after="45"/>
        <w:ind w:hanging="355"/>
      </w:pPr>
      <w:r>
        <w:rPr>
          <w:noProof/>
        </w:rPr>
        <w:t>DTMŽ – digitální technická mapa železnic, poskytnutí základních informací o objektech pro potřeby DTMŽ;</w:t>
      </w:r>
    </w:p>
    <w:p w14:paraId="2D3728BB" w14:textId="77777777" w:rsidR="00F65DD3" w:rsidRDefault="00D23815">
      <w:pPr>
        <w:numPr>
          <w:ilvl w:val="0"/>
          <w:numId w:val="3"/>
        </w:numPr>
        <w:spacing w:after="47"/>
        <w:ind w:hanging="355"/>
      </w:pPr>
      <w:r>
        <w:t xml:space="preserve">Informační systém provozuschopnosti dráhy (ISPD);  </w:t>
      </w:r>
    </w:p>
    <w:p w14:paraId="38225292" w14:textId="77777777" w:rsidR="00F65DD3" w:rsidRDefault="00D23815">
      <w:pPr>
        <w:numPr>
          <w:ilvl w:val="0"/>
          <w:numId w:val="3"/>
        </w:numPr>
        <w:spacing w:after="45"/>
        <w:ind w:hanging="355"/>
      </w:pPr>
      <w:r>
        <w:t xml:space="preserve">Schémata napájení a dělení (SND); </w:t>
      </w:r>
    </w:p>
    <w:p w14:paraId="17C66D34" w14:textId="77777777" w:rsidR="00F65DD3" w:rsidRDefault="00D23815">
      <w:pPr>
        <w:numPr>
          <w:ilvl w:val="0"/>
          <w:numId w:val="3"/>
        </w:numPr>
        <w:spacing w:after="48"/>
        <w:ind w:hanging="355"/>
      </w:pPr>
      <w:r>
        <w:t xml:space="preserve">Digitální přehledová mapa (DPM); </w:t>
      </w:r>
    </w:p>
    <w:p w14:paraId="32582647" w14:textId="77777777" w:rsidR="00F65DD3" w:rsidRDefault="00D23815">
      <w:pPr>
        <w:numPr>
          <w:ilvl w:val="0"/>
          <w:numId w:val="3"/>
        </w:numPr>
        <w:spacing w:after="0"/>
        <w:ind w:hanging="355"/>
      </w:pPr>
      <w:r>
        <w:t xml:space="preserve">IPSEE. </w:t>
      </w:r>
    </w:p>
    <w:p w14:paraId="7AC14915" w14:textId="33D76018" w:rsidR="00F65DD3" w:rsidRDefault="00F65DD3">
      <w:pPr>
        <w:spacing w:after="505" w:line="259" w:lineRule="auto"/>
        <w:ind w:left="713" w:firstLine="0"/>
      </w:pPr>
    </w:p>
    <w:p w14:paraId="641D9BEB" w14:textId="77777777" w:rsidR="00F65DD3" w:rsidRDefault="00D23815">
      <w:pPr>
        <w:pStyle w:val="Nadpis1"/>
        <w:ind w:left="417" w:hanging="432"/>
      </w:pPr>
      <w:bookmarkStart w:id="6" w:name="_Toc170811556"/>
      <w:r>
        <w:t>Klíčové požadované parametry funkcionalit a procesů</w:t>
      </w:r>
      <w:bookmarkEnd w:id="6"/>
      <w:r>
        <w:t xml:space="preserve"> </w:t>
      </w:r>
    </w:p>
    <w:p w14:paraId="5EF378C9" w14:textId="77777777" w:rsidR="00F65DD3" w:rsidRDefault="00D23815">
      <w:pPr>
        <w:spacing w:after="258"/>
        <w:ind w:left="-5"/>
      </w:pPr>
      <w:r>
        <w:t xml:space="preserve">Pro vývoj a implementace je nezbytné zajistit dodavatelský subjekt (konsorcium) disponující jednak vysokou odborností v oboru elektrotechniky a energetiky a zároveň potřebnou erudicí v nejnovějších trendech v této oblasti informačních technologií. </w:t>
      </w:r>
    </w:p>
    <w:p w14:paraId="3D6D9EDF" w14:textId="77777777" w:rsidR="00F65DD3" w:rsidRDefault="00D23815">
      <w:pPr>
        <w:spacing w:after="46" w:line="259" w:lineRule="auto"/>
        <w:ind w:left="-5"/>
      </w:pPr>
      <w:r>
        <w:rPr>
          <w:color w:val="0070C0"/>
          <w:sz w:val="20"/>
        </w:rPr>
        <w:t xml:space="preserve">Funkční části nového systému ISEE </w:t>
      </w:r>
    </w:p>
    <w:p w14:paraId="3174A169" w14:textId="186083E4" w:rsidR="00F65DD3" w:rsidRDefault="00D23815">
      <w:pPr>
        <w:numPr>
          <w:ilvl w:val="0"/>
          <w:numId w:val="4"/>
        </w:numPr>
        <w:spacing w:after="1"/>
        <w:ind w:hanging="360"/>
      </w:pPr>
      <w:r>
        <w:rPr>
          <w:b/>
        </w:rPr>
        <w:t xml:space="preserve">Pasport. </w:t>
      </w:r>
      <w:r>
        <w:t xml:space="preserve">Nová ČÁST systému </w:t>
      </w:r>
      <w:r w:rsidR="002D649B">
        <w:t>p</w:t>
      </w:r>
      <w:r>
        <w:t xml:space="preserve">řinese modernizované funkčnosti evidence, automatickými mechanizmy bude zkvalitněn ověřený rozsah evidovaných dat. Pro všechny objekty ve správě SEE bude vytvořeno jedno intuitivní uživatelské rozhraní. Datové struktury budou definovány rovněž s ohledem na struktury BIM za oblast EE. Bližší popis pasportních dat za jednotlivé části EE je uveden v dokumentu </w:t>
      </w:r>
    </w:p>
    <w:p w14:paraId="408F85D1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Digitalizace záznamů dohledací činnosti, především běžných a podrobných prohlídek.</w:t>
      </w:r>
      <w:r>
        <w:t xml:space="preserve"> Bude samostatným modulem (součástí) Datového skladu diagnostiky (DSD) případně PSST. Perspektivní připojení kategorizace závad, možnost audio a video vstupů, včetně konverze. Zápis in-</w:t>
      </w:r>
      <w:proofErr w:type="spellStart"/>
      <w:r>
        <w:t>situ</w:t>
      </w:r>
      <w:proofErr w:type="spellEnd"/>
      <w:r>
        <w:t xml:space="preserve"> pomocí tabletu, možností pořizování protokolů off-line se synchronizací dat po připojení do sítě SŽ a to i skrze VPN, případně z jiného uživatelského zařízení typu PC/NTB připojeného v síti SŽ. </w:t>
      </w:r>
    </w:p>
    <w:p w14:paraId="5D0D684F" w14:textId="77777777" w:rsidR="00F65DD3" w:rsidRDefault="00D23815">
      <w:pPr>
        <w:numPr>
          <w:ilvl w:val="0"/>
          <w:numId w:val="4"/>
        </w:numPr>
        <w:spacing w:after="3" w:line="259" w:lineRule="auto"/>
        <w:ind w:hanging="360"/>
      </w:pPr>
      <w:r>
        <w:rPr>
          <w:b/>
        </w:rPr>
        <w:t>Informace o záměrech a realizovaných stavebních počinech.</w:t>
      </w:r>
      <w:r>
        <w:t xml:space="preserve"> </w:t>
      </w:r>
    </w:p>
    <w:p w14:paraId="6667802E" w14:textId="0B73B7FF" w:rsidR="00F65DD3" w:rsidRDefault="00D23815">
      <w:pPr>
        <w:ind w:left="293"/>
      </w:pPr>
      <w:r>
        <w:t xml:space="preserve">Modul přehledně pracující se všemi fázemi přípravy a realizace staveb. Plánování realizace bude přímo propojena se systémem IS </w:t>
      </w:r>
      <w:proofErr w:type="spellStart"/>
      <w:r>
        <w:t>C.E.Sta</w:t>
      </w:r>
      <w:proofErr w:type="spellEnd"/>
      <w:r>
        <w:t xml:space="preserve">. </w:t>
      </w:r>
    </w:p>
    <w:p w14:paraId="2BAD4A9D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Energetické výpočty.</w:t>
      </w:r>
      <w:r>
        <w:t xml:space="preserve"> Nové řešení umožní jednak sledování výkonových parametrů traťových úseků a napájecích stanic z „Energetických výpočtů“ projektových dokumentací, jednak sledování skutečného stavu formou agregovaných průměrných dat (např. ročních) o spotřebě, vyhodnocování trakčního zatížení.  </w:t>
      </w:r>
    </w:p>
    <w:p w14:paraId="32144413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Sestavy</w:t>
      </w:r>
      <w:r>
        <w:t xml:space="preserve">. Nové řešení pro tvorbu sestav, zejména délky elektrizovaných úseků podle trakčních systémů, sestavy trakčních a distribučních transformátorů a ostatních zařízení, která jsou předmětem zájmu. Sestavy trakčního zatížení podle traťových úseků. Sestava snížených výšek TV. Sestava stacionárních odběrů z TV, sestava elektrizovaných vleček, definované dělící místo,  </w:t>
      </w:r>
    </w:p>
    <w:p w14:paraId="4E845AFA" w14:textId="55234481" w:rsidR="00F65DD3" w:rsidRDefault="00D23815">
      <w:pPr>
        <w:numPr>
          <w:ilvl w:val="0"/>
          <w:numId w:val="4"/>
        </w:numPr>
        <w:spacing w:after="259"/>
        <w:ind w:hanging="360"/>
      </w:pPr>
      <w:r>
        <w:rPr>
          <w:b/>
        </w:rPr>
        <w:t xml:space="preserve">Schémata. </w:t>
      </w:r>
      <w:r>
        <w:t xml:space="preserve">Nový nástroj na vytvoření, vkládání, připojování i editaci </w:t>
      </w:r>
      <w:r w:rsidR="00A0368B">
        <w:t xml:space="preserve">digitální </w:t>
      </w:r>
      <w:r>
        <w:t>příloh</w:t>
      </w:r>
      <w:r w:rsidR="00A0368B">
        <w:t>.</w:t>
      </w:r>
    </w:p>
    <w:p w14:paraId="46A30D00" w14:textId="77777777" w:rsidR="00F65DD3" w:rsidRDefault="00D23815">
      <w:pPr>
        <w:spacing w:after="46" w:line="259" w:lineRule="auto"/>
        <w:ind w:left="-5"/>
      </w:pPr>
      <w:r>
        <w:rPr>
          <w:color w:val="0070C0"/>
          <w:sz w:val="20"/>
        </w:rPr>
        <w:t xml:space="preserve">Návrh nových funkcionalit a služeb  </w:t>
      </w:r>
    </w:p>
    <w:p w14:paraId="78368D37" w14:textId="77777777" w:rsidR="00F65DD3" w:rsidRDefault="00D23815">
      <w:pPr>
        <w:numPr>
          <w:ilvl w:val="0"/>
          <w:numId w:val="4"/>
        </w:numPr>
        <w:spacing w:after="3" w:line="259" w:lineRule="auto"/>
        <w:ind w:hanging="360"/>
      </w:pPr>
      <w:r>
        <w:rPr>
          <w:b/>
        </w:rPr>
        <w:t xml:space="preserve">Nové sjednocující uživatelské rozhraní. </w:t>
      </w:r>
    </w:p>
    <w:p w14:paraId="5FD47D7A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t>Záruky a životnost.</w:t>
      </w:r>
      <w:r>
        <w:t xml:space="preserve"> Nová služba pro sledování životního cyklu vybraných prvků. </w:t>
      </w:r>
      <w:r>
        <w:rPr>
          <w:b/>
        </w:rPr>
        <w:t xml:space="preserve"> </w:t>
      </w:r>
    </w:p>
    <w:p w14:paraId="75DE8CF4" w14:textId="77777777" w:rsidR="00F65DD3" w:rsidRDefault="00D23815">
      <w:pPr>
        <w:numPr>
          <w:ilvl w:val="0"/>
          <w:numId w:val="4"/>
        </w:numPr>
        <w:spacing w:after="58"/>
        <w:ind w:hanging="360"/>
      </w:pPr>
      <w:r>
        <w:rPr>
          <w:b/>
        </w:rPr>
        <w:t>Sledování a analýza vybraných parametrů.</w:t>
      </w:r>
      <w:r>
        <w:t xml:space="preserve"> Nová expertní a manažerská nadstavba zajistí programové sledování a vyhodnocování vývoje stavu, materiálových charakteristik, stavební činnosti a dalších aktivit správy.  </w:t>
      </w:r>
    </w:p>
    <w:p w14:paraId="75D27276" w14:textId="77777777" w:rsidR="00F65DD3" w:rsidRDefault="00D23815">
      <w:pPr>
        <w:numPr>
          <w:ilvl w:val="0"/>
          <w:numId w:val="4"/>
        </w:numPr>
        <w:ind w:hanging="360"/>
      </w:pPr>
      <w:r>
        <w:rPr>
          <w:b/>
        </w:rPr>
        <w:lastRenderedPageBreak/>
        <w:t>Zápisník.</w:t>
      </w:r>
      <w:r>
        <w:t xml:space="preserve"> Nová služba umožní ukládat a sdílet předběžné a pracovní záznamy. Bude obsluhován uživatelem dle přidělené role a její definice (například v případě uložení konceptu prohlídky).</w:t>
      </w:r>
      <w:r>
        <w:rPr>
          <w:b/>
        </w:rPr>
        <w:t xml:space="preserve"> </w:t>
      </w:r>
    </w:p>
    <w:p w14:paraId="257E0298" w14:textId="6A7C575C" w:rsidR="00F65DD3" w:rsidRDefault="00D23815">
      <w:pPr>
        <w:numPr>
          <w:ilvl w:val="0"/>
          <w:numId w:val="4"/>
        </w:numPr>
        <w:spacing w:after="57"/>
        <w:ind w:hanging="360"/>
      </w:pPr>
      <w:r>
        <w:rPr>
          <w:b/>
        </w:rPr>
        <w:t xml:space="preserve">Další funkce a služby. </w:t>
      </w:r>
      <w:r>
        <w:t>Další funkční rozšíření budou definovány na základě Analýzy a koncepční studie.</w:t>
      </w:r>
    </w:p>
    <w:p w14:paraId="6E364015" w14:textId="77777777" w:rsidR="00F65DD3" w:rsidRDefault="00D23815">
      <w:pPr>
        <w:spacing w:after="66" w:line="259" w:lineRule="auto"/>
        <w:ind w:left="0" w:firstLine="0"/>
      </w:pPr>
      <w:r>
        <w:t xml:space="preserve"> </w:t>
      </w:r>
    </w:p>
    <w:p w14:paraId="32454EAE" w14:textId="77777777" w:rsidR="00F65DD3" w:rsidRDefault="00D23815">
      <w:pPr>
        <w:spacing w:after="44" w:line="259" w:lineRule="auto"/>
        <w:ind w:left="0" w:firstLine="0"/>
      </w:pPr>
      <w:r>
        <w:t xml:space="preserve"> </w:t>
      </w:r>
    </w:p>
    <w:p w14:paraId="27E8362A" w14:textId="77777777" w:rsidR="00F65DD3" w:rsidRDefault="00D23815">
      <w:pPr>
        <w:spacing w:after="242" w:line="259" w:lineRule="auto"/>
        <w:ind w:left="-5"/>
      </w:pPr>
      <w:r>
        <w:rPr>
          <w:b/>
          <w:color w:val="002B59"/>
          <w:sz w:val="16"/>
        </w:rPr>
        <w:t xml:space="preserve"> Správa železnic, státní organizace Generální ředitelství Dlážděná 1003/7 110 00 Praha 1 </w:t>
      </w:r>
    </w:p>
    <w:sectPr w:rsidR="00F65DD3">
      <w:pgSz w:w="11900" w:h="16840"/>
      <w:pgMar w:top="1050" w:right="1621" w:bottom="960" w:left="161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2D8F"/>
    <w:multiLevelType w:val="hybridMultilevel"/>
    <w:tmpl w:val="FB627628"/>
    <w:lvl w:ilvl="0" w:tplc="4978CEC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2E2625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4F63F1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60E8A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F3AA122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1479D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480FA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F6B07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B648CC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5B82F9B"/>
    <w:multiLevelType w:val="hybridMultilevel"/>
    <w:tmpl w:val="147404FE"/>
    <w:lvl w:ilvl="0" w:tplc="C914ACB4">
      <w:start w:val="1"/>
      <w:numFmt w:val="bullet"/>
      <w:lvlText w:val="•"/>
      <w:lvlJc w:val="left"/>
      <w:pPr>
        <w:ind w:left="7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27EB0C6">
      <w:start w:val="1"/>
      <w:numFmt w:val="bullet"/>
      <w:lvlText w:val="o"/>
      <w:lvlJc w:val="left"/>
      <w:pPr>
        <w:ind w:left="14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BFC1C06">
      <w:start w:val="1"/>
      <w:numFmt w:val="bullet"/>
      <w:lvlText w:val="▪"/>
      <w:lvlJc w:val="left"/>
      <w:pPr>
        <w:ind w:left="21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8C1D7E">
      <w:start w:val="1"/>
      <w:numFmt w:val="bullet"/>
      <w:lvlText w:val="•"/>
      <w:lvlJc w:val="left"/>
      <w:pPr>
        <w:ind w:left="28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E21830">
      <w:start w:val="1"/>
      <w:numFmt w:val="bullet"/>
      <w:lvlText w:val="o"/>
      <w:lvlJc w:val="left"/>
      <w:pPr>
        <w:ind w:left="35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8AAA42">
      <w:start w:val="1"/>
      <w:numFmt w:val="bullet"/>
      <w:lvlText w:val="▪"/>
      <w:lvlJc w:val="left"/>
      <w:pPr>
        <w:ind w:left="43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2FAEC78">
      <w:start w:val="1"/>
      <w:numFmt w:val="bullet"/>
      <w:lvlText w:val="•"/>
      <w:lvlJc w:val="left"/>
      <w:pPr>
        <w:ind w:left="50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2E8560">
      <w:start w:val="1"/>
      <w:numFmt w:val="bullet"/>
      <w:lvlText w:val="o"/>
      <w:lvlJc w:val="left"/>
      <w:pPr>
        <w:ind w:left="57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D9A38C8">
      <w:start w:val="1"/>
      <w:numFmt w:val="bullet"/>
      <w:lvlText w:val="▪"/>
      <w:lvlJc w:val="left"/>
      <w:pPr>
        <w:ind w:left="64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F178BC"/>
    <w:multiLevelType w:val="hybridMultilevel"/>
    <w:tmpl w:val="4DD8BE82"/>
    <w:lvl w:ilvl="0" w:tplc="E90E6DD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9B70B0"/>
    <w:multiLevelType w:val="hybridMultilevel"/>
    <w:tmpl w:val="AEBC16B2"/>
    <w:lvl w:ilvl="0" w:tplc="064CF410">
      <w:start w:val="1"/>
      <w:numFmt w:val="decimal"/>
      <w:pStyle w:val="Nadpis1"/>
      <w:lvlText w:val="%1"/>
      <w:lvlJc w:val="left"/>
      <w:pPr>
        <w:ind w:left="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1" w:tplc="CAA8131A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2" w:tplc="325C44AE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3" w:tplc="39944E5E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4" w:tplc="D870EBF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5" w:tplc="3320B25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6" w:tplc="BA36256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7" w:tplc="5EF44A3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  <w:lvl w:ilvl="8" w:tplc="AED0CDB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FF5200"/>
        <w:sz w:val="36"/>
        <w:szCs w:val="3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06693"/>
    <w:multiLevelType w:val="hybridMultilevel"/>
    <w:tmpl w:val="D9A8B070"/>
    <w:lvl w:ilvl="0" w:tplc="6F207B00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AE2335C">
      <w:start w:val="1"/>
      <w:numFmt w:val="bullet"/>
      <w:lvlText w:val="-"/>
      <w:lvlJc w:val="left"/>
      <w:pPr>
        <w:ind w:left="56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768F4E0">
      <w:start w:val="1"/>
      <w:numFmt w:val="bullet"/>
      <w:lvlText w:val="▪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D8FA00">
      <w:start w:val="1"/>
      <w:numFmt w:val="bullet"/>
      <w:lvlText w:val="•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E80A5A">
      <w:start w:val="1"/>
      <w:numFmt w:val="bullet"/>
      <w:lvlText w:val="o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EF4F796">
      <w:start w:val="1"/>
      <w:numFmt w:val="bullet"/>
      <w:lvlText w:val="▪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321BD4">
      <w:start w:val="1"/>
      <w:numFmt w:val="bullet"/>
      <w:lvlText w:val="•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88E2CC6">
      <w:start w:val="1"/>
      <w:numFmt w:val="bullet"/>
      <w:lvlText w:val="o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3AED3C">
      <w:start w:val="1"/>
      <w:numFmt w:val="bullet"/>
      <w:lvlText w:val="▪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1640434"/>
    <w:multiLevelType w:val="hybridMultilevel"/>
    <w:tmpl w:val="E00A6320"/>
    <w:lvl w:ilvl="0" w:tplc="3F68ED4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9E7F2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50C367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0ACB436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BE0CAC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6065D7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10DC2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0083C6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40DCF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DD3"/>
    <w:rsid w:val="000326D4"/>
    <w:rsid w:val="001B16CD"/>
    <w:rsid w:val="002958EF"/>
    <w:rsid w:val="002D649B"/>
    <w:rsid w:val="004B2538"/>
    <w:rsid w:val="004B3B8D"/>
    <w:rsid w:val="004E0007"/>
    <w:rsid w:val="00616D0D"/>
    <w:rsid w:val="006E76A1"/>
    <w:rsid w:val="007D3FF1"/>
    <w:rsid w:val="00965796"/>
    <w:rsid w:val="00A0368B"/>
    <w:rsid w:val="00AE44F5"/>
    <w:rsid w:val="00AE71FB"/>
    <w:rsid w:val="00B949E8"/>
    <w:rsid w:val="00D23815"/>
    <w:rsid w:val="00D67A7E"/>
    <w:rsid w:val="00E7175A"/>
    <w:rsid w:val="00F55033"/>
    <w:rsid w:val="00F65DD3"/>
    <w:rsid w:val="00F66154"/>
    <w:rsid w:val="00F740CB"/>
    <w:rsid w:val="00F8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A8261"/>
  <w15:docId w15:val="{1FFB30DD-AD17-4204-865A-E0F8D767D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20" w:line="265" w:lineRule="auto"/>
      <w:ind w:left="10" w:hanging="10"/>
    </w:pPr>
    <w:rPr>
      <w:rFonts w:ascii="Verdana" w:eastAsia="Verdana" w:hAnsi="Verdana" w:cs="Verdana"/>
      <w:color w:val="000000"/>
      <w:sz w:val="18"/>
    </w:rPr>
  </w:style>
  <w:style w:type="paragraph" w:styleId="Nadpis1">
    <w:name w:val="heading 1"/>
    <w:next w:val="Normln"/>
    <w:link w:val="Nadpis1Char"/>
    <w:uiPriority w:val="9"/>
    <w:qFormat/>
    <w:pPr>
      <w:keepNext/>
      <w:keepLines/>
      <w:numPr>
        <w:numId w:val="5"/>
      </w:numPr>
      <w:spacing w:after="2" w:line="262" w:lineRule="auto"/>
      <w:ind w:left="10" w:hanging="10"/>
      <w:outlineLvl w:val="0"/>
    </w:pPr>
    <w:rPr>
      <w:rFonts w:ascii="Verdana" w:eastAsia="Verdana" w:hAnsi="Verdana" w:cs="Verdana"/>
      <w:b/>
      <w:color w:val="FF5200"/>
      <w:sz w:val="36"/>
    </w:rPr>
  </w:style>
  <w:style w:type="paragraph" w:styleId="Nadpis2">
    <w:name w:val="heading 2"/>
    <w:next w:val="Normln"/>
    <w:link w:val="Nadpis2Char"/>
    <w:uiPriority w:val="9"/>
    <w:unhideWhenUsed/>
    <w:qFormat/>
    <w:pPr>
      <w:keepNext/>
      <w:keepLines/>
      <w:spacing w:after="2" w:line="262" w:lineRule="auto"/>
      <w:ind w:left="10" w:hanging="10"/>
      <w:outlineLvl w:val="1"/>
    </w:pPr>
    <w:rPr>
      <w:rFonts w:ascii="Verdana" w:eastAsia="Verdana" w:hAnsi="Verdana" w:cs="Verdana"/>
      <w:b/>
      <w:color w:val="FF5200"/>
      <w:sz w:val="36"/>
    </w:rPr>
  </w:style>
  <w:style w:type="paragraph" w:styleId="Nadpis3">
    <w:name w:val="heading 3"/>
    <w:next w:val="Normln"/>
    <w:link w:val="Nadpis3Char"/>
    <w:uiPriority w:val="9"/>
    <w:unhideWhenUsed/>
    <w:qFormat/>
    <w:pPr>
      <w:keepNext/>
      <w:keepLines/>
      <w:spacing w:after="4" w:line="259" w:lineRule="auto"/>
      <w:ind w:left="10" w:hanging="10"/>
      <w:outlineLvl w:val="2"/>
    </w:pPr>
    <w:rPr>
      <w:rFonts w:ascii="Verdana" w:eastAsia="Verdana" w:hAnsi="Verdana" w:cs="Verdana"/>
      <w:b/>
      <w:color w:val="002B59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link w:val="Nadpis3"/>
    <w:rPr>
      <w:rFonts w:ascii="Verdana" w:eastAsia="Verdana" w:hAnsi="Verdana" w:cs="Verdana"/>
      <w:b/>
      <w:color w:val="002B59"/>
      <w:sz w:val="16"/>
    </w:rPr>
  </w:style>
  <w:style w:type="character" w:customStyle="1" w:styleId="Nadpis2Char">
    <w:name w:val="Nadpis 2 Char"/>
    <w:link w:val="Nadpis2"/>
    <w:rPr>
      <w:rFonts w:ascii="Verdana" w:eastAsia="Verdana" w:hAnsi="Verdana" w:cs="Verdana"/>
      <w:b/>
      <w:color w:val="FF5200"/>
      <w:sz w:val="36"/>
    </w:rPr>
  </w:style>
  <w:style w:type="character" w:customStyle="1" w:styleId="Nadpis1Char">
    <w:name w:val="Nadpis 1 Char"/>
    <w:link w:val="Nadpis1"/>
    <w:rPr>
      <w:rFonts w:ascii="Verdana" w:eastAsia="Verdana" w:hAnsi="Verdana" w:cs="Verdana"/>
      <w:b/>
      <w:color w:val="FF5200"/>
      <w:sz w:val="36"/>
    </w:rPr>
  </w:style>
  <w:style w:type="paragraph" w:styleId="Obsah1">
    <w:name w:val="toc 1"/>
    <w:hidden/>
    <w:uiPriority w:val="39"/>
    <w:pPr>
      <w:spacing w:after="95" w:line="265" w:lineRule="auto"/>
      <w:ind w:left="25" w:right="23" w:hanging="10"/>
    </w:pPr>
    <w:rPr>
      <w:rFonts w:ascii="Verdana" w:eastAsia="Verdana" w:hAnsi="Verdana" w:cs="Verdana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7D3FF1"/>
    <w:pPr>
      <w:spacing w:after="0" w:line="240" w:lineRule="auto"/>
    </w:pPr>
    <w:rPr>
      <w:rFonts w:ascii="Verdana" w:eastAsia="Verdana" w:hAnsi="Verdana" w:cs="Verdana"/>
      <w:color w:val="000000"/>
      <w:sz w:val="18"/>
    </w:rPr>
  </w:style>
  <w:style w:type="paragraph" w:styleId="Odstavecseseznamem">
    <w:name w:val="List Paragraph"/>
    <w:basedOn w:val="Normln"/>
    <w:uiPriority w:val="34"/>
    <w:qFormat/>
    <w:rsid w:val="00B949E8"/>
    <w:pPr>
      <w:spacing w:after="240" w:line="264" w:lineRule="auto"/>
      <w:ind w:left="720" w:firstLine="0"/>
      <w:contextualSpacing/>
    </w:pPr>
    <w:rPr>
      <w:rFonts w:asciiTheme="minorHAnsi" w:eastAsiaTheme="minorHAnsi" w:hAnsiTheme="minorHAnsi" w:cstheme="minorBidi"/>
      <w:color w:val="auto"/>
      <w:kern w:val="0"/>
      <w:szCs w:val="18"/>
      <w:lang w:eastAsia="en-US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A0368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83F0AD48C62CD4E92FBAECC5921CD00" ma:contentTypeVersion="16" ma:contentTypeDescription="Vytvoří nový dokument" ma:contentTypeScope="" ma:versionID="c2b153427fbf053a7feb050c06aa309f">
  <xsd:schema xmlns:xsd="http://www.w3.org/2001/XMLSchema" xmlns:xs="http://www.w3.org/2001/XMLSchema" xmlns:p="http://schemas.microsoft.com/office/2006/metadata/properties" xmlns:ns2="5d094e4e-3516-4d6c-9748-efae541327b4" xmlns:ns3="5d53240e-f153-42db-8272-dd51147f65bc" targetNamespace="http://schemas.microsoft.com/office/2006/metadata/properties" ma:root="true" ma:fieldsID="113b5cc338e88aea1272a0c6f8a1ff7e" ns2:_="" ns3:_="">
    <xsd:import namespace="5d094e4e-3516-4d6c-9748-efae541327b4"/>
    <xsd:import namespace="5d53240e-f153-42db-8272-dd51147f65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ozn_x00e1_mk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094e4e-3516-4d6c-9748-efae541327b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ozn_x00e1_mka" ma:index="2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3240e-f153-42db-8272-dd51147f65b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89c8424-4024-4b90-aa83-8a1645a76ab4}" ma:internalName="TaxCatchAll" ma:showField="CatchAllData" ma:web="5d53240e-f153-42db-8272-dd51147f65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094e4e-3516-4d6c-9748-efae541327b4">
      <Terms xmlns="http://schemas.microsoft.com/office/infopath/2007/PartnerControls"/>
    </lcf76f155ced4ddcb4097134ff3c332f>
    <Pozn_x00e1_mka xmlns="5d094e4e-3516-4d6c-9748-efae541327b4" xsi:nil="true"/>
    <TaxCatchAll xmlns="5d53240e-f153-42db-8272-dd51147f65b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59B67-7EFD-46F2-8D58-2AEF237A18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A340B-9BA0-466C-88C5-645932AA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094e4e-3516-4d6c-9748-efae541327b4"/>
    <ds:schemaRef ds:uri="5d53240e-f153-42db-8272-dd51147f65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E32E3C-237E-4B8C-807F-0D4722B07EDC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d094e4e-3516-4d6c-9748-efae541327b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5d53240e-f153-42db-8272-dd51147f65b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EC51C68-F610-4086-ABFE-A2FC5D494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1780</Words>
  <Characters>10504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Pasport pro správu objektů elektrotechniky a energetiky</vt:lpstr>
    </vt:vector>
  </TitlesOfParts>
  <Company>Sprava zeleznic, statni organizace</Company>
  <LinksUpToDate>false</LinksUpToDate>
  <CharactersWithSpaces>12260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Pasport pro správu objektů elektrotechniky a energetiky</dc:title>
  <dc:subject/>
  <dc:creator>KysilkovaK</dc:creator>
  <cp:keywords/>
  <cp:lastModifiedBy>Zajíčková Veronika, Mgr.</cp:lastModifiedBy>
  <cp:revision>3</cp:revision>
  <dcterms:created xsi:type="dcterms:W3CDTF">2024-07-30T07:51:00Z</dcterms:created>
  <dcterms:modified xsi:type="dcterms:W3CDTF">2024-10-14T07:54:00Z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0x010100B83F0AD48C62CD4E92FBAECC5921CD00</vt:lpwstr>
  </property>
</Properties>
</file>