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000000"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17C6FF66" w:rsidR="00D3365C" w:rsidRDefault="00000000"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Content>
          <w:r w:rsidR="001501BA">
            <w:rPr>
              <w:szCs w:val="24"/>
            </w:rPr>
            <w:t>„RS5 Hradec Králové – Jaroměř“</w:t>
          </w:r>
        </w:sdtContent>
      </w:sdt>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160161"/>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160162"/>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068F82DD" w:rsidR="000763BC" w:rsidRPr="00307E82" w:rsidRDefault="00000000" w:rsidP="00307E82">
            <w:pPr>
              <w:pStyle w:val="Tituldatum"/>
              <w:cnfStyle w:val="000000000000" w:firstRow="0" w:lastRow="0" w:firstColumn="0" w:lastColumn="0" w:oddVBand="0" w:evenVBand="0" w:oddHBand="0" w:evenHBand="0" w:firstRowFirstColumn="0" w:firstRowLastColumn="0" w:lastRowFirstColumn="0" w:lastRowLastColumn="0"/>
            </w:pPr>
            <w:sdt>
              <w:sdtPr>
                <w:rPr>
                  <w:bCs/>
                  <w:noProof/>
                  <w:sz w:val="18"/>
                </w:rPr>
                <w:alias w:val="Název akce - Vypsat pole, přenese se do zápatí"/>
                <w:tag w:val="Název akce"/>
                <w:id w:val="1889687308"/>
                <w:placeholder>
                  <w:docPart w:val="F811B636947B47AEAA9822FC05E3E7EE"/>
                </w:placeholder>
                <w:text w:multiLine="1"/>
              </w:sdtPr>
              <w:sdtContent>
                <w:r w:rsidR="00034BF1" w:rsidRPr="00034BF1">
                  <w:rPr>
                    <w:bCs/>
                    <w:noProof/>
                    <w:sz w:val="18"/>
                  </w:rPr>
                  <w:t>RS5 Hradec Králové – Jaroměř</w:t>
                </w:r>
              </w:sdtContent>
            </w:sdt>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6A847E52" w:rsidR="000763BC" w:rsidRPr="00C02C9D" w:rsidRDefault="00034BF1"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34BF1">
              <w:rPr>
                <w:sz w:val="18"/>
              </w:rPr>
              <w:t>ZP</w:t>
            </w:r>
            <w:r w:rsidR="00DA12A2">
              <w:rPr>
                <w:sz w:val="18"/>
              </w:rPr>
              <w:t>, EIA</w:t>
            </w:r>
            <w:r w:rsidRPr="00034BF1">
              <w:rPr>
                <w:sz w:val="18"/>
              </w:rPr>
              <w:t xml:space="preserve"> </w:t>
            </w:r>
            <w:r w:rsidR="00DA12A2">
              <w:rPr>
                <w:sz w:val="18"/>
              </w:rPr>
              <w:t>a</w:t>
            </w:r>
            <w:r w:rsidRPr="00034BF1">
              <w:rPr>
                <w:sz w:val="18"/>
              </w:rPr>
              <w:t xml:space="preserve"> 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bookmarkStart w:id="14" w:name="_Hlk183692839"/>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311D7303" w:rsidR="000763BC" w:rsidRPr="00C02C9D" w:rsidRDefault="00F36516"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F36516">
              <w:rPr>
                <w:sz w:val="18"/>
              </w:rPr>
              <w:t>S602400451</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45EE8A5D" w:rsidR="0007147F" w:rsidRPr="00FD562B" w:rsidRDefault="00FD562B" w:rsidP="00FD562B">
            <w:pPr>
              <w:pStyle w:val="Textbezslovn"/>
              <w:spacing w:before="40" w:after="40"/>
              <w:ind w:left="0"/>
              <w:cnfStyle w:val="000000000000" w:firstRow="0" w:lastRow="0" w:firstColumn="0" w:lastColumn="0" w:oddVBand="0" w:evenVBand="0" w:oddHBand="0" w:evenHBand="0" w:firstRowFirstColumn="0" w:firstRowLastColumn="0" w:lastRowFirstColumn="0" w:lastRowLastColumn="0"/>
              <w:rPr>
                <w:b/>
                <w:bCs/>
              </w:rPr>
            </w:pPr>
            <w:r w:rsidRPr="00FD562B">
              <w:rPr>
                <w:sz w:val="18"/>
              </w:rPr>
              <w:t>5523520074</w:t>
            </w:r>
          </w:p>
        </w:tc>
      </w:tr>
      <w:bookmarkEnd w:id="14"/>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244AFF1C" w:rsidR="0007147F" w:rsidRPr="00C02C9D" w:rsidRDefault="00034BF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34BF1">
              <w:rPr>
                <w:bCs/>
                <w:noProof/>
                <w:sz w:val="18"/>
              </w:rPr>
              <w:t>Hradec Králové – Jaroměř</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2ECBC658" w:rsidR="0007147F" w:rsidRPr="00C02C9D" w:rsidRDefault="00034BF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Novostavba</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49E81AB4" w:rsidR="0007147F" w:rsidRPr="00C02C9D" w:rsidRDefault="00034BF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34BF1">
              <w:rPr>
                <w:sz w:val="18"/>
              </w:rPr>
              <w:t>Královehradecký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59C76029" w:rsidR="0007147F" w:rsidRPr="00C02C9D" w:rsidRDefault="00034BF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5" w:name="_Toc180160163"/>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034BF1"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034BF1" w:rsidRPr="00C02C9D" w:rsidRDefault="00034BF1" w:rsidP="00034BF1">
            <w:pPr>
              <w:pStyle w:val="Textbezslovn"/>
              <w:spacing w:before="40" w:after="40"/>
              <w:ind w:left="0"/>
              <w:jc w:val="left"/>
            </w:pPr>
            <w:r w:rsidRPr="00C02C9D">
              <w:rPr>
                <w:sz w:val="18"/>
              </w:rPr>
              <w:t>Objednatel:</w:t>
            </w:r>
          </w:p>
        </w:tc>
        <w:tc>
          <w:tcPr>
            <w:tcW w:w="5407" w:type="dxa"/>
            <w:tcBorders>
              <w:bottom w:val="nil"/>
            </w:tcBorders>
            <w:vAlign w:val="center"/>
          </w:tcPr>
          <w:p w14:paraId="65E1208F" w14:textId="33D2335C" w:rsidR="00034BF1" w:rsidRPr="00C02C9D" w:rsidRDefault="001501BA" w:rsidP="00034BF1">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034BF1"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034BF1" w:rsidRPr="00C02C9D" w:rsidRDefault="00034BF1" w:rsidP="00034BF1">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19BDC0DF" w:rsidR="00034BF1" w:rsidRPr="00C02C9D" w:rsidRDefault="00034BF1" w:rsidP="00034BF1">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034BF1"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034BF1" w:rsidRPr="00C02C9D" w:rsidRDefault="00034BF1" w:rsidP="00034BF1">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6171C32C" w:rsidR="00034BF1" w:rsidRPr="00C02C9D" w:rsidRDefault="00034BF1" w:rsidP="00034BF1">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Stavební správa vysokorychlostních tratí</w:t>
            </w:r>
          </w:p>
        </w:tc>
      </w:tr>
      <w:tr w:rsidR="00034BF1"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034BF1" w:rsidRPr="00C02C9D" w:rsidRDefault="00034BF1" w:rsidP="00034BF1">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54C0C4FB" w:rsidR="00034BF1" w:rsidRPr="00C02C9D" w:rsidRDefault="00034BF1" w:rsidP="00034BF1">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1A69A3">
              <w:rPr>
                <w:sz w:val="18"/>
              </w:rPr>
              <w:t>V Celnici 1028/10</w:t>
            </w:r>
            <w:r>
              <w:rPr>
                <w:sz w:val="18"/>
              </w:rPr>
              <w:t xml:space="preserve">, </w:t>
            </w:r>
            <w:r w:rsidRPr="001A69A3">
              <w:rPr>
                <w:sz w:val="18"/>
              </w:rPr>
              <w:t>110 00 Praha 1-Nové Město</w:t>
            </w:r>
          </w:p>
        </w:tc>
      </w:tr>
    </w:tbl>
    <w:p w14:paraId="38577428" w14:textId="3D0A8261" w:rsidR="00717EC8" w:rsidRPr="00C02C9D" w:rsidRDefault="00652062" w:rsidP="00D70454">
      <w:pPr>
        <w:pStyle w:val="Nadpis2-2"/>
      </w:pPr>
      <w:bookmarkStart w:id="16" w:name="_Toc180160164"/>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80160165"/>
      <w:r w:rsidRPr="00C02C9D">
        <w:t>Popis stavby</w:t>
      </w:r>
      <w:bookmarkEnd w:id="17"/>
    </w:p>
    <w:p w14:paraId="6386CACC" w14:textId="7EA632DE" w:rsidR="00DA12A2" w:rsidRDefault="00DA12A2" w:rsidP="001501BA">
      <w:pPr>
        <w:pStyle w:val="Text2-1"/>
      </w:pPr>
      <w:bookmarkStart w:id="18" w:name="_Hlk183769314"/>
      <w:r w:rsidRPr="007647C1">
        <w:t xml:space="preserve">Cílem díla je </w:t>
      </w:r>
      <w:r>
        <w:t>modernizace a</w:t>
      </w:r>
      <w:r w:rsidRPr="0090306F">
        <w:t xml:space="preserve"> </w:t>
      </w:r>
      <w:r>
        <w:t>zdvoukolejnění</w:t>
      </w:r>
      <w:r w:rsidRPr="007647C1">
        <w:t xml:space="preserve"> trati</w:t>
      </w:r>
      <w:r>
        <w:t xml:space="preserve"> ve variantě „320 optimalizovaná“ dle Studie proveditelnosti „Vysokorychlostní spojení RS5 Praha – Wrocław“ </w:t>
      </w:r>
      <w:r w:rsidRPr="000B10C0">
        <w:t>(dále jen „Studie proveditelnosti“).</w:t>
      </w:r>
      <w:r>
        <w:t xml:space="preserve"> </w:t>
      </w:r>
      <w:r w:rsidRPr="007647C1">
        <w:t xml:space="preserve">Realizací projektu má dojít ke zvýšení kapacity dráhy a zkrácení jízdních dob vlaků v řešeném úseku trati při současném splnění podmínky ekonomické rentability. </w:t>
      </w:r>
      <w:r>
        <w:t xml:space="preserve">Traťový úsek Hradec Králové – Jaroměř bude po modernizaci součástí sítě Rychlých spojení (RS) na území České republiky a bude využíván vnitrostátními i mezinárodními expresními linkami. </w:t>
      </w:r>
      <w:r w:rsidRPr="007647C1">
        <w:t>Vyžaduje se zajištění plynulosti a bezpečnosti železniční dopravy zlepšením technického stavu a parametrů traťového úseku, rovněž zvýšení komfortu cestování a zvýšení bezpečnosti cestujících zvýšením nástupní</w:t>
      </w:r>
      <w:r>
        <w:t>ch</w:t>
      </w:r>
      <w:r w:rsidRPr="007647C1">
        <w:t xml:space="preserve"> hran nástupišť</w:t>
      </w:r>
      <w:r>
        <w:t xml:space="preserve"> na všech stanicích a zastávkách </w:t>
      </w:r>
      <w:r w:rsidRPr="007647C1">
        <w:t>na 550 mm nad TK a zajištění plně bezbariérového přístupu k nástupištím. Železniční přejezdy budou</w:t>
      </w:r>
      <w:r>
        <w:t xml:space="preserve"> nahrazeny mimoúrovňovým křížením nebo zrušeny, v případě nemožnosti realizovat jedno z těchto řešení budou</w:t>
      </w:r>
      <w:r w:rsidRPr="007647C1">
        <w:t xml:space="preserve"> vybaveny novým PZ</w:t>
      </w:r>
      <w:r>
        <w:t>Z.</w:t>
      </w:r>
      <w:r w:rsidRPr="007647C1">
        <w:t xml:space="preserve"> V rámci stavebních prací proběhne kompletní rekonstrukce železničního svršku i spodku a inženýrských staveb. </w:t>
      </w:r>
      <w:r>
        <w:t xml:space="preserve">Rekonstrukcí projdou ŽST Předměřice nad Labem a ŽST Smiřice i všechny zastávky. </w:t>
      </w:r>
      <w:r w:rsidRPr="007647C1">
        <w:t xml:space="preserve">Součástí </w:t>
      </w:r>
      <w:r>
        <w:t xml:space="preserve">nových </w:t>
      </w:r>
      <w:r w:rsidRPr="007647C1">
        <w:t>nástupiš</w:t>
      </w:r>
      <w:r>
        <w:t>ť</w:t>
      </w:r>
      <w:r w:rsidRPr="007647C1">
        <w:t xml:space="preserve"> bude i nový mobiliář, informační a orientační systém</w:t>
      </w:r>
      <w:r>
        <w:t xml:space="preserve"> a zastřešení. V celé délce trati b</w:t>
      </w:r>
      <w:r w:rsidRPr="007647C1">
        <w:t>ude implementován sy</w:t>
      </w:r>
      <w:r>
        <w:t>s</w:t>
      </w:r>
      <w:r w:rsidRPr="007647C1">
        <w:t xml:space="preserve">tém ERTMS. </w:t>
      </w:r>
    </w:p>
    <w:bookmarkEnd w:id="18"/>
    <w:p w14:paraId="7E6E57CA" w14:textId="54F7AF3C" w:rsidR="00DA12A2" w:rsidRDefault="001501BA" w:rsidP="001501BA">
      <w:pPr>
        <w:rPr>
          <w:highlight w:val="cyan"/>
        </w:rPr>
      </w:pPr>
      <w:r>
        <w:t xml:space="preserve">            </w:t>
      </w:r>
      <w:r w:rsidR="00DA12A2">
        <w:t>Stavba bude zpracována v režimu BIM pro stupeň dokumentace DPS.</w:t>
      </w:r>
    </w:p>
    <w:p w14:paraId="4FDF1A93" w14:textId="3D1ECEC3" w:rsidR="00DE1242" w:rsidRDefault="00DE1242" w:rsidP="00BD4B1F">
      <w:pPr>
        <w:spacing w:before="0"/>
        <w:rPr>
          <w:highlight w:val="cyan"/>
          <w:lang w:val="en-US"/>
        </w:rPr>
      </w:pPr>
    </w:p>
    <w:p w14:paraId="43695E9E" w14:textId="237F4DF5" w:rsidR="000E0D96" w:rsidRDefault="00F2688E" w:rsidP="000E0D96">
      <w:pPr>
        <w:pStyle w:val="Nadpis2-1"/>
        <w:keepNext w:val="0"/>
        <w:widowControl w:val="0"/>
      </w:pPr>
      <w:bookmarkStart w:id="19" w:name="_Toc180160166"/>
      <w:r>
        <w:t xml:space="preserve">Odpovědné osoby a </w:t>
      </w:r>
      <w:r w:rsidR="00D40E02">
        <w:t>P</w:t>
      </w:r>
      <w:r w:rsidR="000A419A">
        <w:t>rojektový tým</w:t>
      </w:r>
      <w:bookmarkEnd w:id="19"/>
    </w:p>
    <w:p w14:paraId="3E49460A" w14:textId="031593CF" w:rsidR="0097207A" w:rsidRDefault="0097207A" w:rsidP="00DE1242">
      <w:pPr>
        <w:pStyle w:val="Nadpis2-2"/>
      </w:pPr>
      <w:bookmarkStart w:id="20" w:name="_Toc180160167"/>
      <w:r>
        <w:t>Definice činností odpovědných osob</w:t>
      </w:r>
      <w:r w:rsidR="00DE1242">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1" w:name="_Toc180160168"/>
      <w:r>
        <w:t xml:space="preserve">Definice činností odpovědných osob </w:t>
      </w:r>
      <w:r w:rsidR="00652062">
        <w:t>Dodavatel</w:t>
      </w:r>
      <w:r>
        <w:t>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2" w:name="_Toc180160169"/>
      <w:r>
        <w:lastRenderedPageBreak/>
        <w:t>Odpovědné osoby</w:t>
      </w:r>
      <w:r w:rsidR="00F2688E">
        <w:t xml:space="preserve"> </w:t>
      </w:r>
      <w:r w:rsidR="0097207A">
        <w:t>Objednatele</w:t>
      </w:r>
      <w:bookmarkEnd w:id="22"/>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588E3052" w:rsidR="0097207A" w:rsidRPr="00C02C9D" w:rsidRDefault="00DA12A2"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7207A"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C63F37" w:rsidRPr="00C02C9D" w:rsidRDefault="0097207A" w:rsidP="002F0758">
            <w:pPr>
              <w:pStyle w:val="Textbezslovn"/>
              <w:spacing w:before="40" w:after="40"/>
              <w:ind w:left="0"/>
              <w:jc w:val="left"/>
              <w:rPr>
                <w:sz w:val="18"/>
              </w:rPr>
            </w:pPr>
            <w:r w:rsidRPr="00C02C9D">
              <w:rPr>
                <w:sz w:val="18"/>
              </w:rPr>
              <w:t>H</w:t>
            </w:r>
            <w:r w:rsidR="005F0952" w:rsidRPr="00C02C9D">
              <w:rPr>
                <w:sz w:val="18"/>
              </w:rPr>
              <w:t>lavní inženýr stavby (HIS)</w:t>
            </w:r>
            <w:r w:rsidRPr="00C02C9D">
              <w:rPr>
                <w:sz w:val="18"/>
              </w:rPr>
              <w:t>:</w:t>
            </w:r>
          </w:p>
        </w:tc>
        <w:tc>
          <w:tcPr>
            <w:tcW w:w="5217" w:type="dxa"/>
            <w:tcBorders>
              <w:top w:val="single" w:sz="2" w:space="0" w:color="auto"/>
              <w:bottom w:val="single" w:sz="2" w:space="0" w:color="auto"/>
              <w:right w:val="nil"/>
            </w:tcBorders>
          </w:tcPr>
          <w:p w14:paraId="1901E754"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Správa železnic, státní organizace</w:t>
            </w:r>
          </w:p>
          <w:p w14:paraId="79143537"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Stavební správa </w:t>
            </w:r>
            <w:r>
              <w:rPr>
                <w:sz w:val="18"/>
              </w:rPr>
              <w:t>vysokorychlostních tratí</w:t>
            </w:r>
          </w:p>
          <w:p w14:paraId="174A658F" w14:textId="653033C6" w:rsidR="00FD562B" w:rsidRPr="004B1059" w:rsidRDefault="00307E82"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Ing.</w:t>
            </w:r>
            <w:r w:rsidR="00FD562B" w:rsidRPr="004B1059">
              <w:rPr>
                <w:sz w:val="18"/>
              </w:rPr>
              <w:t xml:space="preserve"> </w:t>
            </w:r>
            <w:r>
              <w:rPr>
                <w:sz w:val="18"/>
              </w:rPr>
              <w:t>Prokop Vitvar</w:t>
            </w:r>
            <w:r w:rsidR="00FD562B">
              <w:rPr>
                <w:sz w:val="18"/>
              </w:rPr>
              <w:t xml:space="preserve"> </w:t>
            </w:r>
          </w:p>
          <w:p w14:paraId="1C3A850B" w14:textId="46A4FC2A"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w:t>
            </w:r>
            <w:r w:rsidR="00307E82">
              <w:rPr>
                <w:sz w:val="18"/>
              </w:rPr>
              <w:t> 607 540 555</w:t>
            </w:r>
            <w:r w:rsidRPr="004B1059">
              <w:rPr>
                <w:sz w:val="18"/>
              </w:rPr>
              <w:t xml:space="preserve">             </w:t>
            </w:r>
          </w:p>
          <w:p w14:paraId="6797F31A" w14:textId="224218C9" w:rsidR="0097207A" w:rsidRPr="00C02C9D" w:rsidRDefault="00FD562B" w:rsidP="00FD562B">
            <w:pPr>
              <w:spacing w:before="0"/>
              <w:cnfStyle w:val="000000000000" w:firstRow="0" w:lastRow="0" w:firstColumn="0" w:lastColumn="0" w:oddVBand="0" w:evenVBand="0" w:oddHBand="0" w:evenHBand="0" w:firstRowFirstColumn="0" w:firstRowLastColumn="0" w:lastRowFirstColumn="0" w:lastRowLastColumn="0"/>
              <w:rPr>
                <w:sz w:val="18"/>
              </w:rPr>
            </w:pPr>
            <w:r w:rsidRPr="004B1059">
              <w:rPr>
                <w:sz w:val="18"/>
              </w:rPr>
              <w:t>E:</w:t>
            </w:r>
            <w:r w:rsidRPr="004B1059">
              <w:rPr>
                <w:sz w:val="18"/>
              </w:rPr>
              <w:t> </w:t>
            </w:r>
            <w:r>
              <w:rPr>
                <w:sz w:val="18"/>
              </w:rPr>
              <w:t>V</w:t>
            </w:r>
            <w:r w:rsidR="00307E82">
              <w:rPr>
                <w:sz w:val="18"/>
              </w:rPr>
              <w:t>itvar</w:t>
            </w:r>
            <w:r>
              <w:rPr>
                <w:sz w:val="18"/>
              </w:rPr>
              <w:t>@spravazeleznic.cz</w:t>
            </w:r>
          </w:p>
        </w:tc>
      </w:tr>
      <w:tr w:rsidR="00FD562B"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FD562B" w:rsidRPr="00C02C9D" w:rsidRDefault="00FD562B" w:rsidP="00FD562B">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7AA16B68"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Ing. Stanislav Vitásek, Ph.D.</w:t>
            </w:r>
          </w:p>
          <w:p w14:paraId="1DA2701E"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B1059">
              <w:rPr>
                <w:sz w:val="18"/>
              </w:rPr>
              <w:t>SŽ GŘ - Odbor strategie,</w:t>
            </w:r>
          </w:p>
          <w:p w14:paraId="7BB3E1C5"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Oddělení digitalizace stavebních projektů </w:t>
            </w:r>
          </w:p>
          <w:p w14:paraId="179EDB47"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+420 736 260 403</w:t>
            </w:r>
          </w:p>
          <w:p w14:paraId="419D6755" w14:textId="444EE598" w:rsidR="00FD562B" w:rsidRPr="00C02C9D" w:rsidRDefault="00FD562B" w:rsidP="00FD562B">
            <w:pPr>
              <w:spacing w:before="0"/>
              <w:cnfStyle w:val="000000000000" w:firstRow="0" w:lastRow="0" w:firstColumn="0" w:lastColumn="0" w:oddVBand="0" w:evenVBand="0" w:oddHBand="0" w:evenHBand="0" w:firstRowFirstColumn="0" w:firstRowLastColumn="0" w:lastRowFirstColumn="0" w:lastRowLastColumn="0"/>
              <w:rPr>
                <w:highlight w:val="cyan"/>
              </w:rPr>
            </w:pPr>
            <w:r w:rsidRPr="004B1059">
              <w:rPr>
                <w:sz w:val="18"/>
              </w:rPr>
              <w:t>E: vitasek@spravazeleznic.cz</w:t>
            </w:r>
          </w:p>
        </w:tc>
      </w:tr>
      <w:tr w:rsidR="00FD562B"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FD562B" w:rsidRPr="00C02C9D" w:rsidRDefault="00FD562B" w:rsidP="00FD562B">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7DC99108"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Ing. Stanislav Vitásek, Ph.D.</w:t>
            </w:r>
          </w:p>
          <w:p w14:paraId="38CDD120"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B1059">
              <w:rPr>
                <w:sz w:val="18"/>
              </w:rPr>
              <w:t>SŽ GŘ - Odbor strategie,</w:t>
            </w:r>
          </w:p>
          <w:p w14:paraId="4ADC7DC9"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Oddělení digitalizace stavebních projektů </w:t>
            </w:r>
          </w:p>
          <w:p w14:paraId="2B043D7C"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+420 736 260 403</w:t>
            </w:r>
          </w:p>
          <w:p w14:paraId="30593C8B" w14:textId="5CB797F6" w:rsidR="00FD562B" w:rsidRPr="00C02C9D" w:rsidRDefault="00FD562B" w:rsidP="00FD562B">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4B1059">
              <w:rPr>
                <w:sz w:val="18"/>
              </w:rPr>
              <w:t>E: vitasek@spravazeleznic.cz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3" w:name="_Toc51660002"/>
      <w:r w:rsidR="00E56344" w:rsidRPr="00C02C9D">
        <w:t>v </w:t>
      </w:r>
      <w:r w:rsidR="00B567B3" w:rsidRPr="00C02C9D">
        <w:t xml:space="preserve">příloze </w:t>
      </w:r>
      <w:r w:rsidR="008F338B" w:rsidRPr="00C02C9D">
        <w:t xml:space="preserve">BEP </w:t>
      </w:r>
      <w:r w:rsidR="00B567B3" w:rsidRPr="00C02C9D">
        <w:t>č.</w:t>
      </w:r>
      <w:bookmarkStart w:id="24" w:name="_Hlk151554224"/>
      <w:r w:rsidR="008F338B" w:rsidRPr="00C02C9D">
        <w:t> </w:t>
      </w:r>
      <w:bookmarkEnd w:id="24"/>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5" w:name="_Toc180160170"/>
      <w:r w:rsidRPr="00C02C9D">
        <w:t xml:space="preserve">Odpovědné osoby </w:t>
      </w:r>
      <w:r w:rsidR="00652062" w:rsidRPr="00C02C9D">
        <w:t>Dodavatel</w:t>
      </w:r>
      <w:bookmarkEnd w:id="23"/>
      <w:r w:rsidR="00331F0C" w:rsidRPr="00C02C9D">
        <w:t>e</w:t>
      </w:r>
      <w:bookmarkEnd w:id="25"/>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6"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6"/>
    <w:p w14:paraId="5A43F736" w14:textId="0095BF13" w:rsidR="009C2DF4" w:rsidRDefault="009C2DF4">
      <w:r>
        <w:br w:type="page"/>
      </w:r>
    </w:p>
    <w:p w14:paraId="7E2D8033" w14:textId="1524855F" w:rsidR="00810A09" w:rsidRDefault="00810A09" w:rsidP="00810A09">
      <w:pPr>
        <w:pStyle w:val="Nadpis2-2"/>
      </w:pPr>
      <w:bookmarkStart w:id="27" w:name="_Toc180160171"/>
      <w:bookmarkStart w:id="28" w:name="_Hlk151554317"/>
      <w:r>
        <w:lastRenderedPageBreak/>
        <w:t>Matice odpovědnosti</w:t>
      </w:r>
      <w:bookmarkEnd w:id="27"/>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29" w:name="_Toc180160172"/>
      <w:bookmarkEnd w:id="28"/>
      <w:r>
        <w:lastRenderedPageBreak/>
        <w:t>Cíle BIM projektu</w:t>
      </w:r>
      <w:bookmarkEnd w:id="29"/>
    </w:p>
    <w:p w14:paraId="1FC8986A" w14:textId="77777777" w:rsidR="00B67C4E" w:rsidRDefault="00B67C4E" w:rsidP="00B67C4E">
      <w:pPr>
        <w:pStyle w:val="Nadpis2-2"/>
      </w:pPr>
      <w:bookmarkStart w:id="30" w:name="_Toc180160173"/>
      <w:r>
        <w:t>Základní charakteristika cílů BIM projektu</w:t>
      </w:r>
      <w:bookmarkEnd w:id="30"/>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1"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1"/>
      <w:r w:rsidR="00F64A6E">
        <w:t>:</w:t>
      </w:r>
    </w:p>
    <w:p w14:paraId="60584BCE" w14:textId="362C682A" w:rsidR="00F64A6E" w:rsidRDefault="006C7E81" w:rsidP="000946C9">
      <w:pPr>
        <w:pStyle w:val="Textbezslovn"/>
        <w:numPr>
          <w:ilvl w:val="0"/>
          <w:numId w:val="11"/>
        </w:numPr>
      </w:pPr>
      <w:bookmarkStart w:id="32"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2"/>
    </w:p>
    <w:p w14:paraId="1348BC6F" w14:textId="4E46CBDD" w:rsidR="00E73358" w:rsidRDefault="00E73358" w:rsidP="00A21C61">
      <w:pPr>
        <w:pStyle w:val="Text2-1"/>
      </w:pPr>
      <w:bookmarkStart w:id="33"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4" w:name="_Hlk151555192"/>
      <w:bookmarkEnd w:id="33"/>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4"/>
    <w:p w14:paraId="7C0F8015" w14:textId="77777777" w:rsidR="00EA2FEB" w:rsidRDefault="00EA2FEB">
      <w:pPr>
        <w:rPr>
          <w:sz w:val="22"/>
        </w:rPr>
      </w:pPr>
      <w:r>
        <w:br w:type="page"/>
      </w:r>
    </w:p>
    <w:p w14:paraId="451EB58C" w14:textId="77777777" w:rsidR="00771AB1" w:rsidRDefault="00771AB1" w:rsidP="00771AB1">
      <w:pPr>
        <w:pStyle w:val="Nadpis2-2"/>
      </w:pPr>
      <w:bookmarkStart w:id="35" w:name="_Toc180160174"/>
      <w:r>
        <w:lastRenderedPageBreak/>
        <w:t>Cíle BIM projektu</w:t>
      </w:r>
      <w:bookmarkEnd w:id="35"/>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6" w:name="_Hlk151556440"/>
            <w:r w:rsidRPr="00B46D03">
              <w:rPr>
                <w:b/>
                <w:sz w:val="16"/>
                <w:szCs w:val="16"/>
              </w:rPr>
              <w:t>Společné datové prostředí (CDE)</w:t>
            </w:r>
            <w:bookmarkEnd w:id="36"/>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7"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7"/>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8" w:name="_Toc180160175"/>
      <w:r>
        <w:lastRenderedPageBreak/>
        <w:t>Informační model stavby</w:t>
      </w:r>
      <w:bookmarkEnd w:id="38"/>
    </w:p>
    <w:p w14:paraId="52D738E2" w14:textId="222D8DA3" w:rsidR="00C61850" w:rsidRDefault="00C61850" w:rsidP="00C61850">
      <w:pPr>
        <w:pStyle w:val="Nadpis2-2"/>
      </w:pPr>
      <w:bookmarkStart w:id="39" w:name="_Toc180160176"/>
      <w:r>
        <w:t xml:space="preserve">Obecné požadavky na </w:t>
      </w:r>
      <w:r w:rsidR="0031579E">
        <w:t>IMS</w:t>
      </w:r>
      <w:bookmarkEnd w:id="39"/>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0" w:name="_Toc180160177"/>
      <w:r>
        <w:lastRenderedPageBreak/>
        <w:t>Společné datové prostředí</w:t>
      </w:r>
      <w:r w:rsidR="006D434E">
        <w:t xml:space="preserve"> (CDE)</w:t>
      </w:r>
      <w:bookmarkEnd w:id="40"/>
    </w:p>
    <w:p w14:paraId="1DBCD643" w14:textId="71953A6F" w:rsidR="002C61F1" w:rsidRDefault="002C61F1">
      <w:pPr>
        <w:pStyle w:val="Text2-1"/>
      </w:pPr>
      <w:bookmarkStart w:id="41" w:name="_Toc79761485"/>
      <w:r w:rsidRPr="006006EE">
        <w:t xml:space="preserve">Společné datové prostředí (CDE) zajistí </w:t>
      </w:r>
      <w:r>
        <w:t>Dodavatel (pokud Objednatel nestanoví jinak) v rozsahu uvedeném v kap. 3.2</w:t>
      </w:r>
      <w:r w:rsidRPr="006006EE">
        <w:t xml:space="preserve">. </w:t>
      </w:r>
      <w:bookmarkEnd w:id="41"/>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2"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2"/>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3"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3"/>
    </w:p>
    <w:p w14:paraId="0D08DBD4" w14:textId="77A1CFB6" w:rsidR="004D3DD6" w:rsidRDefault="004D3DD6" w:rsidP="002C61F1">
      <w:pPr>
        <w:pStyle w:val="Text2-1"/>
      </w:pPr>
      <w:bookmarkStart w:id="44"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5" w:name="_Hlk151558488"/>
      <w:bookmarkEnd w:id="44"/>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5"/>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6CFCCA52" w14:textId="77777777" w:rsidR="00307E82" w:rsidRDefault="00307E82" w:rsidP="00307E82">
      <w:pPr>
        <w:pStyle w:val="Odrka1-1"/>
        <w:numPr>
          <w:ilvl w:val="0"/>
          <w:numId w:val="0"/>
        </w:numPr>
        <w:ind w:left="1077" w:hanging="340"/>
      </w:pPr>
      <w:r>
        <w:t>Základní adresářová struktura dokumentace bude rozdělena na:</w:t>
      </w:r>
    </w:p>
    <w:p w14:paraId="29F1936B" w14:textId="2C7FAD80" w:rsidR="00307E82" w:rsidRDefault="00307E82" w:rsidP="00307E82">
      <w:pPr>
        <w:pStyle w:val="Textbezslovn"/>
        <w:numPr>
          <w:ilvl w:val="1"/>
          <w:numId w:val="11"/>
        </w:numPr>
      </w:pPr>
      <w:r w:rsidRPr="00743E59">
        <w:rPr>
          <w:b/>
        </w:rPr>
        <w:t>Zpracování ZP</w:t>
      </w:r>
      <w:r>
        <w:t xml:space="preserve"> pro stavbu </w:t>
      </w:r>
      <w:sdt>
        <w:sdtPr>
          <w:rPr>
            <w:bCs/>
            <w:noProof/>
          </w:rPr>
          <w:alias w:val="Název akce - Vypsat pole, přenese se do zápatí"/>
          <w:tag w:val="Název akce"/>
          <w:id w:val="1989290381"/>
          <w:placeholder>
            <w:docPart w:val="4C0518B3ABB84C129B94E0A95565F566"/>
          </w:placeholder>
          <w:text w:multiLine="1"/>
        </w:sdtPr>
        <w:sdtContent>
          <w:r w:rsidRPr="00034BF1">
            <w:rPr>
              <w:bCs/>
              <w:noProof/>
            </w:rPr>
            <w:t>RS5 Hradec Králové – Jaroměř</w:t>
          </w:r>
        </w:sdtContent>
      </w:sdt>
      <w:r w:rsidRPr="00743E59">
        <w:t xml:space="preserve"> </w:t>
      </w:r>
    </w:p>
    <w:p w14:paraId="33B13AA7" w14:textId="42465659" w:rsidR="00307E82" w:rsidRDefault="00307E82" w:rsidP="00307E82">
      <w:pPr>
        <w:pStyle w:val="Textbezslovn"/>
        <w:numPr>
          <w:ilvl w:val="1"/>
          <w:numId w:val="11"/>
        </w:numPr>
      </w:pPr>
      <w:r>
        <w:rPr>
          <w:b/>
        </w:rPr>
        <w:t>Dokumentace EIA</w:t>
      </w:r>
      <w:r>
        <w:t xml:space="preserve"> pro stavbu </w:t>
      </w:r>
      <w:sdt>
        <w:sdtPr>
          <w:rPr>
            <w:bCs/>
            <w:noProof/>
          </w:rPr>
          <w:alias w:val="Název akce - Vypsat pole, přenese se do zápatí"/>
          <w:tag w:val="Název akce"/>
          <w:id w:val="-249274409"/>
          <w:placeholder>
            <w:docPart w:val="C7ED654597684E92986079E442E6F100"/>
          </w:placeholder>
          <w:text w:multiLine="1"/>
        </w:sdtPr>
        <w:sdtContent>
          <w:r w:rsidRPr="00034BF1">
            <w:rPr>
              <w:bCs/>
              <w:noProof/>
            </w:rPr>
            <w:t>RS5 Hradec Králové – Jaroměř</w:t>
          </w:r>
        </w:sdtContent>
      </w:sdt>
      <w:r w:rsidRPr="00743E59">
        <w:t xml:space="preserve"> </w:t>
      </w:r>
    </w:p>
    <w:p w14:paraId="3123D6C9" w14:textId="43E481A6" w:rsidR="00307E82" w:rsidRDefault="00307E82" w:rsidP="00307E82">
      <w:pPr>
        <w:pStyle w:val="Textbezslovn"/>
        <w:numPr>
          <w:ilvl w:val="1"/>
          <w:numId w:val="11"/>
        </w:numPr>
      </w:pPr>
      <w:r w:rsidRPr="00743E59">
        <w:rPr>
          <w:b/>
        </w:rPr>
        <w:t>D</w:t>
      </w:r>
      <w:r>
        <w:rPr>
          <w:b/>
        </w:rPr>
        <w:t>PS</w:t>
      </w:r>
      <w:r>
        <w:t xml:space="preserve"> </w:t>
      </w:r>
      <w:r w:rsidRPr="00686007">
        <w:rPr>
          <w:rStyle w:val="Tun"/>
          <w:b w:val="0"/>
        </w:rPr>
        <w:t>pro stavbu</w:t>
      </w:r>
      <w:r>
        <w:rPr>
          <w:rStyle w:val="Tun"/>
          <w:b w:val="0"/>
        </w:rPr>
        <w:t xml:space="preserve"> </w:t>
      </w:r>
      <w:sdt>
        <w:sdtPr>
          <w:rPr>
            <w:bCs/>
            <w:noProof/>
          </w:rPr>
          <w:alias w:val="Název akce - Vypsat pole, přenese se do zápatí"/>
          <w:tag w:val="Název akce"/>
          <w:id w:val="-1658836849"/>
          <w:placeholder>
            <w:docPart w:val="2A525BE088154C6D88005277F881D02B"/>
          </w:placeholder>
          <w:text w:multiLine="1"/>
        </w:sdtPr>
        <w:sdtContent>
          <w:r w:rsidRPr="00034BF1">
            <w:rPr>
              <w:bCs/>
              <w:noProof/>
            </w:rPr>
            <w:t>RS5 Hradec Králové – Jaroměř</w:t>
          </w:r>
        </w:sdtContent>
      </w:sdt>
      <w:r w:rsidRPr="00F247A7">
        <w:rPr>
          <w:rStyle w:val="Tun"/>
          <w:b w:val="0"/>
        </w:rPr>
        <w:t xml:space="preserve"> </w:t>
      </w:r>
    </w:p>
    <w:p w14:paraId="0AB9F3F8" w14:textId="77777777" w:rsidR="00307E82" w:rsidRDefault="00307E82" w:rsidP="00CB6983">
      <w:pPr>
        <w:pStyle w:val="Text2-1"/>
        <w:numPr>
          <w:ilvl w:val="0"/>
          <w:numId w:val="0"/>
        </w:numPr>
        <w:spacing w:after="0"/>
        <w:ind w:left="737"/>
        <w:jc w:val="left"/>
        <w:rPr>
          <w:highlight w:val="cyan"/>
        </w:rPr>
      </w:pPr>
    </w:p>
    <w:p w14:paraId="1D94D71F" w14:textId="6BCF1CB3" w:rsidR="002C61F1" w:rsidRDefault="002C61F1" w:rsidP="00170794">
      <w:pPr>
        <w:pStyle w:val="Text2-1"/>
        <w:spacing w:after="0"/>
        <w:rPr>
          <w:rFonts w:asciiTheme="minorHAnsi" w:hAnsiTheme="minorHAnsi" w:cstheme="minorHAnsi"/>
        </w:rPr>
      </w:pPr>
      <w:bookmarkStart w:id="46"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6"/>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7" w:name="_Toc180160178"/>
      <w:r>
        <w:lastRenderedPageBreak/>
        <w:t>Digitální model stavby (</w:t>
      </w:r>
      <w:r w:rsidR="00E34425">
        <w:t>DiMS</w:t>
      </w:r>
      <w:r>
        <w:t>)</w:t>
      </w:r>
      <w:bookmarkEnd w:id="47"/>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8" w:name="_Hlk153901578"/>
      <w:r>
        <w:t>Objednatel vždy požaduje vytvoření nového DiMS, avšak Dodavatel může využít jako podklad DiMS z dříve zpracovaných dokumentací, pokud je starší DiMS k dispozici.</w:t>
      </w:r>
    </w:p>
    <w:bookmarkEnd w:id="48"/>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9"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9"/>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50"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50"/>
    <w:p w14:paraId="2F158DEC" w14:textId="77777777" w:rsidR="002D1322" w:rsidRPr="00F00CC1" w:rsidRDefault="002D1322" w:rsidP="00BF4CEA">
      <w:pPr>
        <w:spacing w:before="0"/>
        <w:ind w:left="709"/>
      </w:pPr>
      <w:r w:rsidRPr="00F00CC1">
        <w:t>120_</w:t>
      </w:r>
      <w:bookmarkStart w:id="51" w:name="OLE_LINK2"/>
      <w:r w:rsidRPr="00F00CC1">
        <w:t>Objekty dopravních ploch dráhy</w:t>
      </w:r>
      <w:bookmarkEnd w:id="51"/>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2" w:name="OLE_LINK5"/>
      <w:r w:rsidRPr="00347ED7">
        <w:t>210_</w:t>
      </w:r>
      <w:r w:rsidRPr="00CC0A83">
        <w:t>Pozemní objekty výpravních budov a budov zastávek</w:t>
      </w:r>
    </w:p>
    <w:bookmarkEnd w:id="52"/>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3" w:name="OLE_LINK4"/>
      <w:r w:rsidRPr="00CC0A83">
        <w:t>220_Pozemní objekty samostatných provozních budov dráhy</w:t>
      </w:r>
    </w:p>
    <w:bookmarkEnd w:id="53"/>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4"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4"/>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5" w:name="_Ref24089821"/>
      <w:bookmarkEnd w:id="4"/>
      <w:bookmarkEnd w:id="5"/>
      <w:bookmarkEnd w:id="6"/>
      <w:bookmarkEnd w:id="7"/>
      <w:bookmarkEnd w:id="10"/>
      <w:bookmarkEnd w:id="13"/>
    </w:p>
    <w:p w14:paraId="55FDE163" w14:textId="4C51E24C" w:rsidR="00F536BC" w:rsidRPr="00F536BC" w:rsidRDefault="00D40E02" w:rsidP="00F536BC">
      <w:pPr>
        <w:pStyle w:val="Nadpis2-1"/>
        <w:rPr>
          <w:w w:val="95"/>
        </w:rPr>
      </w:pPr>
      <w:bookmarkStart w:id="56" w:name="_Toc126673189"/>
      <w:bookmarkStart w:id="57" w:name="_Toc180160179"/>
      <w:bookmarkEnd w:id="55"/>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6"/>
      <w:r w:rsidR="00F536BC" w:rsidRPr="00F536BC">
        <w:rPr>
          <w:w w:val="95"/>
        </w:rPr>
        <w:t xml:space="preserve"> a strukturu dat</w:t>
      </w:r>
      <w:bookmarkEnd w:id="57"/>
    </w:p>
    <w:p w14:paraId="07BC7BB8" w14:textId="77777777" w:rsidR="00F536BC" w:rsidRDefault="00F536BC" w:rsidP="00FE7ACA">
      <w:pPr>
        <w:pStyle w:val="Nadpis2-2"/>
      </w:pPr>
      <w:bookmarkStart w:id="58" w:name="_Toc116892188"/>
      <w:bookmarkStart w:id="59" w:name="_Toc126673190"/>
      <w:bookmarkStart w:id="60" w:name="_Toc180160180"/>
      <w:r w:rsidRPr="006B5754">
        <w:t>Datové formáty DiMS</w:t>
      </w:r>
      <w:bookmarkEnd w:id="58"/>
      <w:bookmarkEnd w:id="59"/>
      <w:bookmarkEnd w:id="60"/>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1" w:name="_Toc116892189"/>
      <w:bookmarkStart w:id="62" w:name="_Toc126673191"/>
      <w:bookmarkStart w:id="63" w:name="_Toc180160181"/>
      <w:r w:rsidRPr="006B5754">
        <w:t>Softwarové nástroj</w:t>
      </w:r>
      <w:bookmarkEnd w:id="61"/>
      <w:bookmarkEnd w:id="62"/>
      <w:r w:rsidRPr="006B5754">
        <w:t>e</w:t>
      </w:r>
      <w:bookmarkEnd w:id="63"/>
    </w:p>
    <w:p w14:paraId="7C7BA9DE" w14:textId="40233C83" w:rsidR="00056B08" w:rsidRDefault="00056B08" w:rsidP="005138DB">
      <w:pPr>
        <w:pStyle w:val="Text2-1"/>
        <w:tabs>
          <w:tab w:val="clear" w:pos="737"/>
          <w:tab w:val="left" w:pos="709"/>
        </w:tabs>
        <w:spacing w:after="0"/>
        <w:ind w:left="709"/>
      </w:pPr>
      <w:bookmarkStart w:id="64" w:name="_Toc116892190"/>
      <w:bookmarkStart w:id="65"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6" w:name="_Toc180160182"/>
      <w:r w:rsidRPr="006B5754">
        <w:t>S</w:t>
      </w:r>
      <w:bookmarkEnd w:id="64"/>
      <w:bookmarkEnd w:id="65"/>
      <w:r w:rsidRPr="006B5754">
        <w:t xml:space="preserve">truktura </w:t>
      </w:r>
      <w:r>
        <w:t>negrafických informací elementů DiMS</w:t>
      </w:r>
      <w:bookmarkEnd w:id="66"/>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7" w:name="_Toc129191028"/>
      <w:bookmarkStart w:id="68" w:name="_Toc180160183"/>
      <w:r w:rsidRPr="006B5754">
        <w:lastRenderedPageBreak/>
        <w:t>Klasifikace CCI</w:t>
      </w:r>
      <w:bookmarkEnd w:id="67"/>
      <w:bookmarkEnd w:id="68"/>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9" w:name="_Toc180160184"/>
      <w:r w:rsidRPr="006B5754">
        <w:t>Datový standard</w:t>
      </w:r>
      <w:bookmarkEnd w:id="69"/>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70" w:name="_Toc180160185"/>
      <w:r>
        <w:lastRenderedPageBreak/>
        <w:t>Výjimky z datového standardu</w:t>
      </w:r>
      <w:bookmarkEnd w:id="70"/>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1" w:name="_Toc180160186"/>
      <w:bookmarkStart w:id="72" w:name="_Toc148342781"/>
      <w:bookmarkStart w:id="73" w:name="_Toc148408427"/>
      <w:bookmarkStart w:id="74" w:name="_Hlk148434462"/>
      <w:r>
        <w:rPr>
          <w:w w:val="95"/>
        </w:rPr>
        <w:lastRenderedPageBreak/>
        <w:t>Datová kontrola DiMS</w:t>
      </w:r>
      <w:bookmarkEnd w:id="71"/>
    </w:p>
    <w:p w14:paraId="2DD20299" w14:textId="77777777" w:rsidR="00337B69" w:rsidRDefault="00337B69" w:rsidP="00337B69">
      <w:pPr>
        <w:pStyle w:val="Nadpis2-2"/>
        <w:spacing w:before="120" w:after="0"/>
      </w:pPr>
      <w:bookmarkStart w:id="75" w:name="_Toc180160187"/>
      <w:r>
        <w:t>Kontrola negrafických informací</w:t>
      </w:r>
      <w:bookmarkEnd w:id="75"/>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6" w:name="_Toc180160188"/>
      <w:r>
        <w:lastRenderedPageBreak/>
        <w:t>Kontrola grafických informací</w:t>
      </w:r>
      <w:bookmarkEnd w:id="76"/>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7" w:name="_Toc180160189"/>
      <w:r>
        <w:rPr>
          <w:noProof/>
        </w:rPr>
        <w:lastRenderedPageBreak/>
        <w:t>Příloh</w:t>
      </w:r>
      <w:bookmarkEnd w:id="72"/>
      <w:bookmarkEnd w:id="73"/>
      <w:r>
        <w:rPr>
          <w:noProof/>
        </w:rPr>
        <w:t>y</w:t>
      </w:r>
      <w:bookmarkEnd w:id="77"/>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8"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4"/>
      <w:bookmarkEnd w:id="78"/>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9" w:name="_Hlk148432328"/>
      <w:r>
        <w:rPr>
          <w:noProof/>
        </w:rPr>
        <w:t xml:space="preserve">Přílohy jsou uvedeny bez čísla verze. </w:t>
      </w:r>
      <w:r w:rsidR="003C7236">
        <w:rPr>
          <w:noProof/>
        </w:rPr>
        <w:t>Platná je verze přiložená ke Smlouvě o dílo.</w:t>
      </w:r>
      <w:bookmarkEnd w:id="79"/>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97D1E" w14:textId="77777777" w:rsidR="00BF1EC9" w:rsidRDefault="00BF1EC9" w:rsidP="00962258">
      <w:r>
        <w:separator/>
      </w:r>
    </w:p>
  </w:endnote>
  <w:endnote w:type="continuationSeparator" w:id="0">
    <w:p w14:paraId="3365063F" w14:textId="77777777" w:rsidR="00BF1EC9" w:rsidRDefault="00BF1EC9" w:rsidP="00962258">
      <w:r>
        <w:continuationSeparator/>
      </w:r>
    </w:p>
  </w:endnote>
  <w:endnote w:type="continuationNotice" w:id="1">
    <w:p w14:paraId="2B64C497" w14:textId="77777777" w:rsidR="00BF1EC9" w:rsidRDefault="00BF1EC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15A606FB"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6516">
            <w:rPr>
              <w:rStyle w:val="slostrnky"/>
              <w:noProof/>
            </w:rPr>
            <w:t>27</w:t>
          </w:r>
          <w:r>
            <w:rPr>
              <w:rStyle w:val="slostrnky"/>
            </w:rPr>
            <w:fldChar w:fldCharType="end"/>
          </w:r>
        </w:p>
      </w:tc>
      <w:tc>
        <w:tcPr>
          <w:tcW w:w="7739" w:type="dxa"/>
          <w:vAlign w:val="bottom"/>
        </w:tcPr>
        <w:p w14:paraId="5B22E4B7" w14:textId="7514D4F8" w:rsidR="00D3365C" w:rsidRPr="003462EB" w:rsidRDefault="00000000"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Content>
              <w:r w:rsidR="001501BA">
                <w:t>„RS5 Hradec Králové – Jaroměř“</w:t>
              </w:r>
            </w:sdtContent>
          </w:sdt>
        </w:p>
        <w:p w14:paraId="6397A244" w14:textId="7ADFBD3E" w:rsidR="00D3365C" w:rsidRPr="00B435A5" w:rsidRDefault="00000000"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657ACD3D" w:rsidR="00D3365C" w:rsidRPr="003462EB" w:rsidRDefault="00000000"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Content>
              <w:r w:rsidR="001501BA">
                <w:t>„RS5 Hradec Králové – Jaroměř“</w:t>
              </w:r>
            </w:sdtContent>
          </w:sdt>
        </w:p>
        <w:p w14:paraId="0F3B3BE5" w14:textId="2AFD179D" w:rsidR="00D3365C" w:rsidRPr="003462EB" w:rsidRDefault="00000000"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Content>
              <w:r w:rsidR="00C80D8A" w:rsidRPr="00A1417E">
                <w:rPr>
                  <w:bCs/>
                  <w:szCs w:val="12"/>
                </w:rPr>
                <w:t>Požadavky na výměnu informací (EIR)</w:t>
              </w:r>
            </w:sdtContent>
          </w:sdt>
        </w:p>
      </w:tc>
      <w:tc>
        <w:tcPr>
          <w:tcW w:w="935" w:type="dxa"/>
          <w:vAlign w:val="bottom"/>
        </w:tcPr>
        <w:p w14:paraId="6E757FCE" w14:textId="01691BCF"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6516">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3EA0B0C1"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034BF1">
      <w:rPr>
        <w:sz w:val="22"/>
        <w:szCs w:val="22"/>
      </w:rPr>
      <w:t>28.11.2024</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34A6BF" w14:textId="77777777" w:rsidR="00BF1EC9" w:rsidRDefault="00BF1EC9" w:rsidP="00962258">
      <w:r>
        <w:separator/>
      </w:r>
    </w:p>
  </w:footnote>
  <w:footnote w:type="continuationSeparator" w:id="0">
    <w:p w14:paraId="4479314A" w14:textId="77777777" w:rsidR="00BF1EC9" w:rsidRDefault="00BF1EC9" w:rsidP="00962258">
      <w:r>
        <w:continuationSeparator/>
      </w:r>
    </w:p>
  </w:footnote>
  <w:footnote w:type="continuationNotice" w:id="1">
    <w:p w14:paraId="4DDA5C57" w14:textId="77777777" w:rsidR="00BF1EC9" w:rsidRDefault="00BF1EC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2095700892" name="Obrázek 209570089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BF1"/>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1BA"/>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E82"/>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537"/>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47327"/>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2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C9"/>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13B"/>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2A2"/>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48F1"/>
    <w:rsid w:val="00DF4DDD"/>
    <w:rsid w:val="00DF5BBE"/>
    <w:rsid w:val="00DF6B3B"/>
    <w:rsid w:val="00DF6D26"/>
    <w:rsid w:val="00DF784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6516"/>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62B"/>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46EB"/>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 w:type="paragraph" w:customStyle="1" w:styleId="Odstavec1-4a">
    <w:name w:val="_Odstavec_1-4_(a)"/>
    <w:basedOn w:val="Odstavec1-1a"/>
    <w:qFormat/>
    <w:rsid w:val="00DA12A2"/>
    <w:pPr>
      <w:tabs>
        <w:tab w:val="clear" w:pos="1077"/>
        <w:tab w:val="num" w:pos="2041"/>
      </w:tabs>
      <w:ind w:left="2041"/>
    </w:pPr>
  </w:style>
  <w:style w:type="paragraph" w:customStyle="1" w:styleId="Odstavec1-4i">
    <w:name w:val="_Odstavec_1-4_i)"/>
    <w:basedOn w:val="Odstavec1-1a"/>
    <w:qFormat/>
    <w:rsid w:val="00DA12A2"/>
    <w:pPr>
      <w:tabs>
        <w:tab w:val="clear" w:pos="1077"/>
        <w:tab w:val="num" w:pos="2381"/>
      </w:tabs>
      <w:ind w:left="238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0533503">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 w:id="17931628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F811B636947B47AEAA9822FC05E3E7EE"/>
        <w:category>
          <w:name w:val="Obecné"/>
          <w:gallery w:val="placeholder"/>
        </w:category>
        <w:types>
          <w:type w:val="bbPlcHdr"/>
        </w:types>
        <w:behaviors>
          <w:behavior w:val="content"/>
        </w:behaviors>
        <w:guid w:val="{8E63781F-FC4C-48F7-890B-284BD0A1E6A9}"/>
      </w:docPartPr>
      <w:docPartBody>
        <w:p w:rsidR="00212041" w:rsidRDefault="00212041" w:rsidP="00212041">
          <w:pPr>
            <w:pStyle w:val="F811B636947B47AEAA9822FC05E3E7EE"/>
          </w:pPr>
          <w:r w:rsidRPr="00D72F41">
            <w:rPr>
              <w:rStyle w:val="Zstupntext"/>
            </w:rPr>
            <w:t>Klikněte sem a zadejte text.</w:t>
          </w:r>
        </w:p>
      </w:docPartBody>
    </w:docPart>
    <w:docPart>
      <w:docPartPr>
        <w:name w:val="4C0518B3ABB84C129B94E0A95565F566"/>
        <w:category>
          <w:name w:val="Obecné"/>
          <w:gallery w:val="placeholder"/>
        </w:category>
        <w:types>
          <w:type w:val="bbPlcHdr"/>
        </w:types>
        <w:behaviors>
          <w:behavior w:val="content"/>
        </w:behaviors>
        <w:guid w:val="{1B96AB72-11B6-45D6-A0C0-C73BCF717704}"/>
      </w:docPartPr>
      <w:docPartBody>
        <w:p w:rsidR="00212041" w:rsidRDefault="00212041" w:rsidP="00212041">
          <w:pPr>
            <w:pStyle w:val="4C0518B3ABB84C129B94E0A95565F566"/>
          </w:pPr>
          <w:r w:rsidRPr="00D72F41">
            <w:rPr>
              <w:rStyle w:val="Zstupntext"/>
            </w:rPr>
            <w:t>Klikněte sem a zadejte text.</w:t>
          </w:r>
        </w:p>
      </w:docPartBody>
    </w:docPart>
    <w:docPart>
      <w:docPartPr>
        <w:name w:val="C7ED654597684E92986079E442E6F100"/>
        <w:category>
          <w:name w:val="Obecné"/>
          <w:gallery w:val="placeholder"/>
        </w:category>
        <w:types>
          <w:type w:val="bbPlcHdr"/>
        </w:types>
        <w:behaviors>
          <w:behavior w:val="content"/>
        </w:behaviors>
        <w:guid w:val="{61ED92E6-E82C-4E0A-927B-EFA8682AD031}"/>
      </w:docPartPr>
      <w:docPartBody>
        <w:p w:rsidR="00212041" w:rsidRDefault="00212041" w:rsidP="00212041">
          <w:pPr>
            <w:pStyle w:val="C7ED654597684E92986079E442E6F100"/>
          </w:pPr>
          <w:r w:rsidRPr="00D72F41">
            <w:rPr>
              <w:rStyle w:val="Zstupntext"/>
            </w:rPr>
            <w:t>Klikněte sem a zadejte text.</w:t>
          </w:r>
        </w:p>
      </w:docPartBody>
    </w:docPart>
    <w:docPart>
      <w:docPartPr>
        <w:name w:val="2A525BE088154C6D88005277F881D02B"/>
        <w:category>
          <w:name w:val="Obecné"/>
          <w:gallery w:val="placeholder"/>
        </w:category>
        <w:types>
          <w:type w:val="bbPlcHdr"/>
        </w:types>
        <w:behaviors>
          <w:behavior w:val="content"/>
        </w:behaviors>
        <w:guid w:val="{9E8D0391-4EF0-4D32-A2DB-EAF484D2E9B7}"/>
      </w:docPartPr>
      <w:docPartBody>
        <w:p w:rsidR="00212041" w:rsidRDefault="00212041" w:rsidP="00212041">
          <w:pPr>
            <w:pStyle w:val="2A525BE088154C6D88005277F881D02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61329"/>
    <w:rsid w:val="001650EA"/>
    <w:rsid w:val="001A11D4"/>
    <w:rsid w:val="001B60D9"/>
    <w:rsid w:val="001F12AB"/>
    <w:rsid w:val="00207A73"/>
    <w:rsid w:val="00207ED5"/>
    <w:rsid w:val="00212041"/>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327B1"/>
    <w:rsid w:val="00552828"/>
    <w:rsid w:val="00553056"/>
    <w:rsid w:val="005700A3"/>
    <w:rsid w:val="005A0B82"/>
    <w:rsid w:val="005A144F"/>
    <w:rsid w:val="005B083F"/>
    <w:rsid w:val="005B1A63"/>
    <w:rsid w:val="005B6537"/>
    <w:rsid w:val="005B6CD5"/>
    <w:rsid w:val="005D1CA2"/>
    <w:rsid w:val="005F2488"/>
    <w:rsid w:val="00614072"/>
    <w:rsid w:val="00615786"/>
    <w:rsid w:val="006301B5"/>
    <w:rsid w:val="0063573D"/>
    <w:rsid w:val="00647327"/>
    <w:rsid w:val="00665620"/>
    <w:rsid w:val="006755DE"/>
    <w:rsid w:val="006B4F7D"/>
    <w:rsid w:val="006E2826"/>
    <w:rsid w:val="006E7154"/>
    <w:rsid w:val="00700C8A"/>
    <w:rsid w:val="00707D1F"/>
    <w:rsid w:val="00726EE9"/>
    <w:rsid w:val="00736FD2"/>
    <w:rsid w:val="00756E4C"/>
    <w:rsid w:val="00760F1F"/>
    <w:rsid w:val="007671FF"/>
    <w:rsid w:val="007868C7"/>
    <w:rsid w:val="007A0FFE"/>
    <w:rsid w:val="007B02EF"/>
    <w:rsid w:val="007B3AE8"/>
    <w:rsid w:val="007F5A4D"/>
    <w:rsid w:val="00803BB8"/>
    <w:rsid w:val="00850866"/>
    <w:rsid w:val="008566E2"/>
    <w:rsid w:val="00865EA9"/>
    <w:rsid w:val="00866496"/>
    <w:rsid w:val="00880E6C"/>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3CE6"/>
    <w:rsid w:val="00B95752"/>
    <w:rsid w:val="00BA77E8"/>
    <w:rsid w:val="00BA79EF"/>
    <w:rsid w:val="00BC417C"/>
    <w:rsid w:val="00C25C92"/>
    <w:rsid w:val="00C4663E"/>
    <w:rsid w:val="00C60153"/>
    <w:rsid w:val="00C9181A"/>
    <w:rsid w:val="00C97FB1"/>
    <w:rsid w:val="00CE3D8E"/>
    <w:rsid w:val="00CE713B"/>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9281D"/>
    <w:rsid w:val="00EA13C1"/>
    <w:rsid w:val="00EA2164"/>
    <w:rsid w:val="00EB1009"/>
    <w:rsid w:val="00EB247E"/>
    <w:rsid w:val="00EB268F"/>
    <w:rsid w:val="00EF763A"/>
    <w:rsid w:val="00F3359A"/>
    <w:rsid w:val="00F37E07"/>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12041"/>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F811B636947B47AEAA9822FC05E3E7EE">
    <w:name w:val="F811B636947B47AEAA9822FC05E3E7EE"/>
    <w:rsid w:val="00212041"/>
    <w:pPr>
      <w:spacing w:after="160" w:line="278" w:lineRule="auto"/>
    </w:pPr>
    <w:rPr>
      <w:kern w:val="2"/>
      <w:sz w:val="24"/>
      <w:szCs w:val="24"/>
      <w14:ligatures w14:val="standardContextual"/>
    </w:rPr>
  </w:style>
  <w:style w:type="paragraph" w:customStyle="1" w:styleId="4C0518B3ABB84C129B94E0A95565F566">
    <w:name w:val="4C0518B3ABB84C129B94E0A95565F566"/>
    <w:rsid w:val="00212041"/>
    <w:pPr>
      <w:spacing w:after="160" w:line="278" w:lineRule="auto"/>
    </w:pPr>
    <w:rPr>
      <w:kern w:val="2"/>
      <w:sz w:val="24"/>
      <w:szCs w:val="24"/>
      <w14:ligatures w14:val="standardContextual"/>
    </w:rPr>
  </w:style>
  <w:style w:type="paragraph" w:customStyle="1" w:styleId="C7ED654597684E92986079E442E6F100">
    <w:name w:val="C7ED654597684E92986079E442E6F100"/>
    <w:rsid w:val="00212041"/>
    <w:pPr>
      <w:spacing w:after="160" w:line="278" w:lineRule="auto"/>
    </w:pPr>
    <w:rPr>
      <w:kern w:val="2"/>
      <w:sz w:val="24"/>
      <w:szCs w:val="24"/>
      <w14:ligatures w14:val="standardContextual"/>
    </w:rPr>
  </w:style>
  <w:style w:type="paragraph" w:customStyle="1" w:styleId="2A525BE088154C6D88005277F881D02B">
    <w:name w:val="2A525BE088154C6D88005277F881D02B"/>
    <w:rsid w:val="00212041"/>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4294961744</TotalTime>
  <Pages>29</Pages>
  <Words>9648</Words>
  <Characters>56926</Characters>
  <Application>Microsoft Office Word</Application>
  <DocSecurity>2</DocSecurity>
  <Lines>474</Lines>
  <Paragraphs>132</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„RS5 Hradec Králové – Jaroměř“</dc:subject>
  <dc:creator>Správa železnic</dc:creator>
  <cp:keywords>2024-10</cp:keywords>
  <dc:description/>
  <cp:lastModifiedBy>Vitvar Prokop, Ing.</cp:lastModifiedBy>
  <cp:revision>5</cp:revision>
  <cp:lastPrinted>2021-08-25T17:31:00Z</cp:lastPrinted>
  <dcterms:created xsi:type="dcterms:W3CDTF">2024-10-18T14:00:00Z</dcterms:created>
  <dcterms:modified xsi:type="dcterms:W3CDTF">2024-11-29T13:48:00Z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