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0EB2F516" w:rsidR="00F862D6" w:rsidRPr="003E6B9A" w:rsidRDefault="00F70CDB" w:rsidP="00F70CDB">
            <w:r w:rsidRPr="00F70CDB">
              <w:rPr>
                <w:rFonts w:ascii="Helvetica" w:hAnsi="Helvetica"/>
              </w:rPr>
              <w:t>13323/2024-SŽ-SSV-Ú3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102948" w:rsidRDefault="00F862D6" w:rsidP="0077673A">
            <w:r w:rsidRPr="00102948">
              <w:t>Listů/příloh</w:t>
            </w:r>
          </w:p>
        </w:tc>
        <w:tc>
          <w:tcPr>
            <w:tcW w:w="2552" w:type="dxa"/>
          </w:tcPr>
          <w:p w14:paraId="333CD487" w14:textId="60D35D2C" w:rsidR="00F862D6" w:rsidRPr="00102948" w:rsidRDefault="00102948" w:rsidP="00CC1E2B">
            <w:r w:rsidRPr="00102948">
              <w:t>4</w:t>
            </w:r>
            <w:r w:rsidR="003E6B9A" w:rsidRPr="00102948">
              <w:t>/</w:t>
            </w:r>
            <w:r w:rsidR="00BA58BC">
              <w:t>0</w:t>
            </w:r>
            <w:bookmarkStart w:id="0" w:name="_GoBack"/>
            <w:bookmarkEnd w:id="0"/>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853EBD5" w:rsidR="00F862D6" w:rsidRPr="003E6B9A" w:rsidRDefault="00761090"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1580BBFD" w:rsidR="009A7568" w:rsidRPr="003E6B9A" w:rsidRDefault="00761090"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24FD23DE" w:rsidR="009A7568" w:rsidRPr="003E6B9A" w:rsidRDefault="00761090"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3B660526" w:rsidR="009A7568" w:rsidRPr="003E6B9A" w:rsidRDefault="009A7568" w:rsidP="009A7568">
            <w:r w:rsidRPr="003E6B9A">
              <w:fldChar w:fldCharType="begin"/>
            </w:r>
            <w:r w:rsidRPr="003E6B9A">
              <w:instrText xml:space="preserve"> DATE  \@ "d. MMMM yyyy"  \* MERGEFORMAT </w:instrText>
            </w:r>
            <w:r w:rsidRPr="003E6B9A">
              <w:fldChar w:fldCharType="separate"/>
            </w:r>
            <w:r w:rsidR="00BA58BC">
              <w:rPr>
                <w:noProof/>
              </w:rPr>
              <w:t>29. listopadu 2024</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7EF1F711" w:rsidR="00335122" w:rsidRDefault="00CB7B5A" w:rsidP="00CB7B5A">
      <w:pPr>
        <w:spacing w:after="0" w:line="240" w:lineRule="auto"/>
        <w:rPr>
          <w:rFonts w:eastAsia="Times New Roman" w:cs="Times New Roman"/>
          <w:lang w:eastAsia="cs-CZ"/>
        </w:rPr>
      </w:pPr>
      <w:r w:rsidRPr="00761090">
        <w:rPr>
          <w:rFonts w:eastAsia="Calibri" w:cs="Times New Roman"/>
          <w:lang w:eastAsia="cs-CZ"/>
        </w:rPr>
        <w:t>Věc:</w:t>
      </w:r>
      <w:r w:rsidR="00335122" w:rsidRPr="00761090">
        <w:rPr>
          <w:rFonts w:eastAsia="Calibri" w:cs="Times New Roman"/>
          <w:lang w:eastAsia="cs-CZ"/>
        </w:rPr>
        <w:tab/>
      </w:r>
      <w:r w:rsidRPr="00761090">
        <w:rPr>
          <w:rFonts w:eastAsia="Calibri" w:cs="Times New Roman"/>
          <w:lang w:eastAsia="cs-CZ"/>
        </w:rPr>
        <w:t xml:space="preserve">Vysvětlení/ změna/ doplnění zadávací dokumentace č. </w:t>
      </w:r>
      <w:r w:rsidR="00A30998">
        <w:rPr>
          <w:rFonts w:eastAsia="Times New Roman" w:cs="Times New Roman"/>
          <w:lang w:eastAsia="cs-CZ"/>
        </w:rPr>
        <w:t>20</w:t>
      </w:r>
    </w:p>
    <w:p w14:paraId="25C6ADAC" w14:textId="5EA11397" w:rsidR="00CB7B5A" w:rsidRPr="00761090" w:rsidRDefault="00CB7B5A" w:rsidP="00CB7B5A">
      <w:pPr>
        <w:spacing w:after="0" w:line="240" w:lineRule="auto"/>
        <w:rPr>
          <w:rFonts w:eastAsia="Calibri" w:cs="Times New Roman"/>
          <w:b/>
          <w:lang w:eastAsia="cs-CZ"/>
        </w:rPr>
      </w:pPr>
      <w:r w:rsidRPr="00CB7B5A">
        <w:rPr>
          <w:rFonts w:eastAsia="Calibri" w:cs="Times New Roman"/>
          <w:lang w:eastAsia="cs-CZ"/>
        </w:rPr>
        <w:t xml:space="preserve"> </w:t>
      </w:r>
      <w:r w:rsidR="00335122">
        <w:rPr>
          <w:rFonts w:eastAsia="Calibri" w:cs="Times New Roman"/>
          <w:lang w:eastAsia="cs-CZ"/>
        </w:rPr>
        <w:tab/>
      </w:r>
      <w:r w:rsidR="00335122" w:rsidRPr="00761090">
        <w:rPr>
          <w:rFonts w:eastAsia="Calibri" w:cs="Times New Roman"/>
          <w:b/>
          <w:lang w:eastAsia="cs-CZ"/>
        </w:rPr>
        <w:t>„</w:t>
      </w:r>
      <w:r w:rsidR="00761090" w:rsidRPr="00761090">
        <w:rPr>
          <w:b/>
        </w:rPr>
        <w:t>Modernizace trati Brno-Přerov, 4. stavba Nezamyslice – Kojetín</w:t>
      </w:r>
      <w:r w:rsidR="00335122" w:rsidRPr="00761090">
        <w:rPr>
          <w:rFonts w:eastAsia="Calibri" w:cs="Times New Roman"/>
          <w:b/>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13B4B2C1" w14:textId="77777777" w:rsidR="00934DC3" w:rsidRDefault="00934DC3" w:rsidP="00934DC3">
      <w:pPr>
        <w:spacing w:after="0" w:line="240" w:lineRule="auto"/>
      </w:pPr>
    </w:p>
    <w:p w14:paraId="3D7836DF" w14:textId="77777777" w:rsidR="005C663F" w:rsidRPr="00BD5319" w:rsidRDefault="005C663F" w:rsidP="005C663F">
      <w:pPr>
        <w:spacing w:after="0" w:line="240" w:lineRule="auto"/>
        <w:rPr>
          <w:rFonts w:eastAsia="Calibri" w:cs="Times New Roman"/>
          <w:b/>
          <w:lang w:eastAsia="cs-CZ"/>
        </w:rPr>
      </w:pPr>
    </w:p>
    <w:p w14:paraId="7D68FBD7" w14:textId="59713560"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A30998">
        <w:rPr>
          <w:rFonts w:eastAsia="Calibri" w:cs="Times New Roman"/>
          <w:b/>
          <w:lang w:eastAsia="cs-CZ"/>
        </w:rPr>
        <w:t>175</w:t>
      </w:r>
      <w:r w:rsidRPr="00BD5319">
        <w:rPr>
          <w:rFonts w:eastAsia="Calibri" w:cs="Times New Roman"/>
          <w:b/>
          <w:lang w:eastAsia="cs-CZ"/>
        </w:rPr>
        <w:t>:</w:t>
      </w:r>
    </w:p>
    <w:p w14:paraId="63F6D418"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 xml:space="preserve">Zadavatel v souladu s čl. 9.1 Pokynů pro dodavatele stanovil následující podmínky: </w:t>
      </w:r>
    </w:p>
    <w:p w14:paraId="0F3398BA"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w:t>
      </w:r>
      <w:r w:rsidRPr="00F70CDB">
        <w:rPr>
          <w:rFonts w:asciiTheme="majorHAnsi" w:hAnsiTheme="majorHAnsi" w:cstheme="minorHAnsi"/>
          <w:bCs/>
          <w:i/>
          <w:iCs/>
        </w:rPr>
        <w:t>9.1</w:t>
      </w:r>
      <w:r w:rsidRPr="00F70CDB">
        <w:rPr>
          <w:rFonts w:asciiTheme="majorHAnsi" w:hAnsiTheme="majorHAnsi" w:cstheme="minorHAnsi"/>
          <w:bCs/>
          <w:i/>
          <w:iCs/>
        </w:rPr>
        <w:tab/>
        <w:t>V rámci splnění dalších požadavků zadavatele na sestavení a podání nabídek musí všichni dodavatelé ve svých nabídkách předložit následující informace, dokumenty a doklady:</w:t>
      </w:r>
    </w:p>
    <w:p w14:paraId="4976E2A6"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w:t>
      </w:r>
    </w:p>
    <w:p w14:paraId="70E1D44A" w14:textId="77777777" w:rsidR="00F70CDB" w:rsidRPr="00F70CDB" w:rsidRDefault="00F70CDB" w:rsidP="00F70CDB">
      <w:pPr>
        <w:pStyle w:val="Odstavecseseznamem"/>
        <w:numPr>
          <w:ilvl w:val="0"/>
          <w:numId w:val="9"/>
        </w:numPr>
        <w:spacing w:after="200" w:line="276" w:lineRule="auto"/>
        <w:jc w:val="both"/>
        <w:rPr>
          <w:rFonts w:asciiTheme="majorHAnsi" w:hAnsiTheme="majorHAnsi" w:cstheme="minorHAnsi"/>
          <w:bCs/>
          <w:i/>
          <w:iCs/>
        </w:rPr>
      </w:pPr>
      <w:r w:rsidRPr="00F70CDB">
        <w:rPr>
          <w:rFonts w:asciiTheme="majorHAnsi" w:hAnsiTheme="majorHAnsi" w:cstheme="minorHAnsi"/>
          <w:bCs/>
          <w:i/>
          <w:iCs/>
        </w:rPr>
        <w:t>Specifikaci typu zabezpečovacího zařízení, sdělovacího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předloží následně vybraný dodavatel v rámci poskytnutí součinnosti před uzavřením smlouvy postupem dle čl. 19 těchto Pokynů smlouvu uzavřenou s výrobcem nebo dodavatelem tohoto zařízení či jednostranné písemné vyjádření závazku výrobce nebo dodavatele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Specifikace typu, případně smlouva s výrobcem nebo dodavatelem či závazek, budou požadovány pro následující zařízení:</w:t>
      </w:r>
    </w:p>
    <w:p w14:paraId="229A20DB" w14:textId="77777777" w:rsidR="00F70CDB" w:rsidRPr="00F70CDB" w:rsidRDefault="00F70CDB" w:rsidP="00F70CDB">
      <w:pPr>
        <w:pStyle w:val="Odrka1-2-"/>
        <w:numPr>
          <w:ilvl w:val="1"/>
          <w:numId w:val="9"/>
        </w:numPr>
        <w:rPr>
          <w:rFonts w:asciiTheme="majorHAnsi" w:hAnsiTheme="majorHAnsi"/>
          <w:i/>
          <w:iCs/>
        </w:rPr>
      </w:pPr>
      <w:r w:rsidRPr="00F70CDB">
        <w:rPr>
          <w:rFonts w:asciiTheme="majorHAnsi" w:hAnsiTheme="majorHAnsi"/>
          <w:i/>
          <w:iCs/>
        </w:rPr>
        <w:t>definitivní traťové a staniční zabezpečovací zařízení,</w:t>
      </w:r>
    </w:p>
    <w:p w14:paraId="0DEB42B6" w14:textId="77777777" w:rsidR="00F70CDB" w:rsidRPr="00F70CDB" w:rsidRDefault="00F70CDB" w:rsidP="00F70CDB">
      <w:pPr>
        <w:pStyle w:val="Odrka1-2-"/>
        <w:numPr>
          <w:ilvl w:val="1"/>
          <w:numId w:val="9"/>
        </w:numPr>
        <w:rPr>
          <w:rFonts w:asciiTheme="majorHAnsi" w:hAnsiTheme="majorHAnsi"/>
          <w:i/>
          <w:iCs/>
        </w:rPr>
      </w:pPr>
      <w:r w:rsidRPr="00F70CDB">
        <w:rPr>
          <w:rFonts w:asciiTheme="majorHAnsi" w:hAnsiTheme="majorHAnsi"/>
          <w:i/>
          <w:iCs/>
        </w:rPr>
        <w:t>trakční vedení – trolejový drát, odpojovače, izolátory a stožáry,</w:t>
      </w:r>
    </w:p>
    <w:p w14:paraId="156AE8BB" w14:textId="77777777" w:rsidR="00F70CDB" w:rsidRPr="00F70CDB" w:rsidRDefault="00F70CDB" w:rsidP="00F70CDB">
      <w:pPr>
        <w:pStyle w:val="Odrka1-2-"/>
        <w:numPr>
          <w:ilvl w:val="1"/>
          <w:numId w:val="9"/>
        </w:numPr>
        <w:rPr>
          <w:rFonts w:asciiTheme="majorHAnsi" w:hAnsiTheme="majorHAnsi"/>
          <w:i/>
          <w:iCs/>
        </w:rPr>
      </w:pPr>
      <w:r w:rsidRPr="00F70CDB">
        <w:rPr>
          <w:rFonts w:asciiTheme="majorHAnsi" w:hAnsiTheme="majorHAnsi"/>
          <w:i/>
          <w:iCs/>
        </w:rPr>
        <w:t>sdělovací zařízení – technologie GSM-R a DDTC ŽDC.</w:t>
      </w:r>
    </w:p>
    <w:p w14:paraId="416F12A5" w14:textId="77777777" w:rsidR="00F70CDB" w:rsidRPr="00F70CDB" w:rsidRDefault="00F70CDB" w:rsidP="00F70CDB">
      <w:pPr>
        <w:pStyle w:val="Odstavecseseznamem"/>
        <w:spacing w:after="120" w:line="240" w:lineRule="auto"/>
        <w:jc w:val="both"/>
        <w:rPr>
          <w:rFonts w:asciiTheme="majorHAnsi" w:hAnsiTheme="majorHAnsi" w:cstheme="minorHAnsi"/>
          <w:bCs/>
          <w:i/>
          <w:iCs/>
        </w:rPr>
      </w:pPr>
    </w:p>
    <w:p w14:paraId="5D2B0D12"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w:t>
      </w:r>
    </w:p>
    <w:p w14:paraId="57A1502B"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V souladu s čl. 19.4 Pokynů pro dodavatele Zadavatel dále uvádí:</w:t>
      </w:r>
    </w:p>
    <w:p w14:paraId="628D5949"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lastRenderedPageBreak/>
        <w:t>„</w:t>
      </w:r>
      <w:r w:rsidRPr="00F70CDB">
        <w:rPr>
          <w:rFonts w:asciiTheme="majorHAnsi" w:hAnsiTheme="majorHAnsi" w:cstheme="minorHAnsi"/>
          <w:bCs/>
          <w:i/>
          <w:iCs/>
        </w:rPr>
        <w:t>19.4</w:t>
      </w:r>
      <w:r w:rsidRPr="00F70CDB">
        <w:rPr>
          <w:rFonts w:asciiTheme="majorHAnsi" w:hAnsiTheme="majorHAnsi" w:cstheme="minorHAnsi"/>
          <w:bCs/>
          <w:i/>
          <w:iCs/>
        </w:rPr>
        <w:tab/>
        <w:t>Vybraný dodavatel je povinen na základě písemné výzvy jako podmínku pro uzavření smluv poskytnout zadavateli řádnou součinnost, která spočívá zejména v předložení následujících dokumentů:</w:t>
      </w:r>
    </w:p>
    <w:p w14:paraId="63A7334A"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w:t>
      </w:r>
    </w:p>
    <w:p w14:paraId="20677BB2" w14:textId="77777777" w:rsidR="00F70CDB" w:rsidRPr="00F70CDB" w:rsidRDefault="00F70CDB" w:rsidP="00F70CDB">
      <w:pPr>
        <w:pStyle w:val="Odstavecseseznamem"/>
        <w:numPr>
          <w:ilvl w:val="0"/>
          <w:numId w:val="8"/>
        </w:numPr>
        <w:spacing w:after="200" w:line="276" w:lineRule="auto"/>
        <w:jc w:val="both"/>
        <w:rPr>
          <w:rFonts w:asciiTheme="majorHAnsi" w:hAnsiTheme="majorHAnsi" w:cstheme="minorHAnsi"/>
          <w:bCs/>
          <w:i/>
          <w:iCs/>
        </w:rPr>
      </w:pPr>
      <w:r w:rsidRPr="00F70CDB">
        <w:rPr>
          <w:rFonts w:asciiTheme="majorHAnsi" w:hAnsiTheme="majorHAnsi" w:cstheme="minorHAnsi"/>
          <w:bCs/>
          <w:i/>
          <w:iCs/>
        </w:rPr>
        <w:t xml:space="preserve">kopie smlouvy uzavřené s výrobcem nebo dodavatelem zabezpečovacího zařízení, sdělovacího zařízení, zařízení elektrotechniky a energetiky či jednostranného vyjádření závazku výrobce nebo dodavatele tohoto zařízení ve smyslu čl. 9.1 těchto Pokynů,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w:t>
      </w:r>
    </w:p>
    <w:p w14:paraId="3D011F06"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w:t>
      </w:r>
    </w:p>
    <w:p w14:paraId="6F100E55"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 xml:space="preserve">Zadavatel dále v souladu s čl. 21.2 Pokynů pro dodavatele požaduje v souladu s § 41 ZZVZ, aby účastníci k zajištění plnění svých povinností vyplývajících z účasti v zadávacím řízení poskytli jistotu </w:t>
      </w:r>
      <w:r w:rsidRPr="00F70CDB">
        <w:rPr>
          <w:rFonts w:asciiTheme="majorHAnsi" w:hAnsiTheme="majorHAnsi" w:cstheme="minorHAnsi"/>
          <w:b/>
        </w:rPr>
        <w:t>ve výši 98 mil. Kč</w:t>
      </w:r>
      <w:r w:rsidRPr="00F70CDB">
        <w:rPr>
          <w:rFonts w:asciiTheme="majorHAnsi" w:hAnsiTheme="majorHAnsi" w:cstheme="minorHAnsi"/>
          <w:bCs/>
        </w:rPr>
        <w:t xml:space="preserve">. </w:t>
      </w:r>
    </w:p>
    <w:p w14:paraId="5602B4F6" w14:textId="77777777" w:rsidR="00F70CDB" w:rsidRPr="00F70CDB" w:rsidRDefault="00F70CDB" w:rsidP="00F70CDB">
      <w:pPr>
        <w:spacing w:after="120" w:line="240" w:lineRule="auto"/>
        <w:jc w:val="both"/>
        <w:rPr>
          <w:rFonts w:asciiTheme="majorHAnsi" w:hAnsiTheme="majorHAnsi" w:cstheme="minorHAnsi"/>
          <w:b/>
        </w:rPr>
      </w:pPr>
      <w:r w:rsidRPr="00F70CDB">
        <w:rPr>
          <w:rFonts w:asciiTheme="majorHAnsi" w:hAnsiTheme="majorHAnsi" w:cstheme="minorHAnsi"/>
          <w:bCs/>
        </w:rPr>
        <w:t>Domníváme se, že výše uvedené požadavky Zadavatele dle čl. 9.1 ve spojení s čl. 19.4 Pokynů pro dodavatele, týkající se povinnosti vybraného dodavatele předložit Zadavateli před podpisem smlouvy na plnění Veřejné zakázky smlouvy uzavřené s výrobcem nebo dodavatelem zabezpečovacího zařízení, sdělovacího zařízení, zařízení elektrotechniky a energetiky či jednostranného vyjádření závazku výrobce nebo dodavatele tohoto zařízení ve smyslu čl. 9.1 Pokynů pro dodavatele (dále také jako „</w:t>
      </w:r>
      <w:bookmarkStart w:id="2" w:name="_Hlk177900291"/>
      <w:r w:rsidRPr="00F70CDB">
        <w:rPr>
          <w:rFonts w:asciiTheme="majorHAnsi" w:hAnsiTheme="majorHAnsi" w:cstheme="minorHAnsi"/>
          <w:b/>
        </w:rPr>
        <w:t>závazek vybraných výrobců</w:t>
      </w:r>
      <w:bookmarkEnd w:id="2"/>
      <w:r w:rsidRPr="00F70CDB">
        <w:rPr>
          <w:rFonts w:asciiTheme="majorHAnsi" w:hAnsiTheme="majorHAnsi" w:cstheme="minorHAnsi"/>
          <w:bCs/>
        </w:rPr>
        <w:t xml:space="preserve">“), jsou </w:t>
      </w:r>
      <w:r w:rsidRPr="00F70CDB">
        <w:rPr>
          <w:rFonts w:asciiTheme="majorHAnsi" w:hAnsiTheme="majorHAnsi" w:cstheme="minorHAnsi"/>
          <w:b/>
        </w:rPr>
        <w:t>stanoveny v rozporu se ZZVZ.</w:t>
      </w:r>
    </w:p>
    <w:p w14:paraId="40E5125D" w14:textId="77777777" w:rsidR="00F70CDB" w:rsidRPr="00F70CDB" w:rsidRDefault="00F70CDB" w:rsidP="00F70CDB">
      <w:pPr>
        <w:spacing w:after="120" w:line="240" w:lineRule="auto"/>
        <w:jc w:val="both"/>
        <w:rPr>
          <w:rFonts w:asciiTheme="majorHAnsi" w:hAnsiTheme="majorHAnsi" w:cstheme="minorHAnsi"/>
          <w:b/>
        </w:rPr>
      </w:pPr>
      <w:r w:rsidRPr="00F70CDB">
        <w:rPr>
          <w:rFonts w:asciiTheme="majorHAnsi" w:hAnsiTheme="majorHAnsi" w:cstheme="minorHAnsi"/>
          <w:b/>
        </w:rPr>
        <w:t xml:space="preserve">Výše uvedené požadavky Zadavatele zaručují bezdůvodně </w:t>
      </w:r>
      <w:proofErr w:type="gramStart"/>
      <w:r w:rsidRPr="00F70CDB">
        <w:rPr>
          <w:rFonts w:asciiTheme="majorHAnsi" w:hAnsiTheme="majorHAnsi" w:cstheme="minorHAnsi"/>
          <w:b/>
        </w:rPr>
        <w:t>určitým</w:t>
      </w:r>
      <w:proofErr w:type="gramEnd"/>
      <w:r w:rsidRPr="00F70CDB">
        <w:rPr>
          <w:rFonts w:asciiTheme="majorHAnsi" w:hAnsiTheme="majorHAnsi" w:cstheme="minorHAnsi"/>
          <w:b/>
        </w:rPr>
        <w:t xml:space="preserve"> výrobců, resp. dodavatelům konkurenční výhodu a vytváří bezdůvodné překážky hospodářské soutěže a jsou v rozporu se zásadou přiměřenosti a zákazu diskriminace.</w:t>
      </w:r>
    </w:p>
    <w:p w14:paraId="2EFE6130"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 xml:space="preserve">Předně uvádíme, že nijak nerozporujeme potřeby Zadavatele zajistit bezpečnost provozu na železniční cestě. Výše uvedené požadavky Zadavatele však tento chráněný zájem samy o sobě jednak dostatečně nezajišťují a jednak jejich kombinace způsobuje významné omezení soutěže. Tedy opatření zvolené Zadavatelem je neakceptovatelné a nepřiměřené, a v rozporu se </w:t>
      </w:r>
      <w:proofErr w:type="gramStart"/>
      <w:r w:rsidRPr="00F70CDB">
        <w:rPr>
          <w:rFonts w:asciiTheme="majorHAnsi" w:hAnsiTheme="majorHAnsi" w:cstheme="minorHAnsi"/>
          <w:bCs/>
        </w:rPr>
        <w:t>základními  principy</w:t>
      </w:r>
      <w:proofErr w:type="gramEnd"/>
      <w:r w:rsidRPr="00F70CDB">
        <w:rPr>
          <w:rFonts w:asciiTheme="majorHAnsi" w:hAnsiTheme="majorHAnsi" w:cstheme="minorHAnsi"/>
          <w:bCs/>
        </w:rPr>
        <w:t xml:space="preserve"> ZZVZ. Zadavatel je povinen volit přiměřená opatření, která zaručí férovou a v daném případě především otevřenou soutěž. </w:t>
      </w:r>
    </w:p>
    <w:p w14:paraId="6FE33B63"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 xml:space="preserve">Účelem zadávací dokumentace, resp. postup Zadavatele má směřovat k předepsání výsledku - tj. dodávky stavebního díla, které splní všechny bezpečnostní požadavky. Zadavatel má možnost v průběhu realizace díla kontrolovat stavební postup, a to vč. využití požadovaných výrobků. Pokud by došlo k porušení Zadavatelem stanovených podmínek provádění díla, má Zadavatel k dispozici jiné vhodné mechanizmy (zejména smluvní pokuty, náhradu škody, možnost odstoupení, čerpání bankovních záruk aj.), které dostatečně zajišťují motivaci dodavatele plnit podmínky Zadavatele, mj. tedy i podmínky bezpečnosti.  Jedná se o standardní postup, který odpovídá principům ZZVZ a zachování řádné a férové soutěže, a to včetně těch nejnáročnějších zakázek (tedy nejenom v oblasti železničních cest). </w:t>
      </w:r>
    </w:p>
    <w:p w14:paraId="7B6A33B5"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 xml:space="preserve">Důkazem nepřiměřeného a neodůvodněného postupu je ostatně i samotný fakt, že ani Zadavatelem navržené řešení nevede k žádnému bezpečnému a jistému výsledků z pohledu Zadavatele. Jakou jistotu má Zadavatel, že poddodavatel, jehož závazek </w:t>
      </w:r>
      <w:proofErr w:type="gramStart"/>
      <w:r w:rsidRPr="00F70CDB">
        <w:rPr>
          <w:rFonts w:asciiTheme="majorHAnsi" w:hAnsiTheme="majorHAnsi" w:cstheme="minorHAnsi"/>
          <w:bCs/>
        </w:rPr>
        <w:t>je  předložen</w:t>
      </w:r>
      <w:proofErr w:type="gramEnd"/>
      <w:r w:rsidRPr="00F70CDB">
        <w:rPr>
          <w:rFonts w:asciiTheme="majorHAnsi" w:hAnsiTheme="majorHAnsi" w:cstheme="minorHAnsi"/>
          <w:bCs/>
        </w:rPr>
        <w:t xml:space="preserve"> Zadavateli před podpisem smlouvy, zůstane působit také v realizaci? </w:t>
      </w:r>
      <w:r w:rsidRPr="00F70CDB">
        <w:rPr>
          <w:rFonts w:asciiTheme="majorHAnsi" w:hAnsiTheme="majorHAnsi" w:cstheme="minorHAnsi"/>
          <w:b/>
        </w:rPr>
        <w:t xml:space="preserve">Je zjevné a praxí potvrzené, že stěžejní mechanizmy zajištění splnění podmínek </w:t>
      </w:r>
      <w:proofErr w:type="gramStart"/>
      <w:r w:rsidRPr="00F70CDB">
        <w:rPr>
          <w:rFonts w:asciiTheme="majorHAnsi" w:hAnsiTheme="majorHAnsi" w:cstheme="minorHAnsi"/>
          <w:b/>
        </w:rPr>
        <w:t>Zadavatele</w:t>
      </w:r>
      <w:proofErr w:type="gramEnd"/>
      <w:r w:rsidRPr="00F70CDB">
        <w:rPr>
          <w:rFonts w:asciiTheme="majorHAnsi" w:hAnsiTheme="majorHAnsi" w:cstheme="minorHAnsi"/>
          <w:b/>
        </w:rPr>
        <w:t xml:space="preserve"> a tedy kýžené bezpečnosti provozu na železniční cestě je až důsledná kontrola Zadavatelem v rámci realizace díla a případné smluvně stanovené sankční mechanizmy. </w:t>
      </w:r>
    </w:p>
    <w:p w14:paraId="344E9294" w14:textId="77777777" w:rsidR="00F70CDB" w:rsidRPr="00F70CDB" w:rsidRDefault="00F70CDB" w:rsidP="00F70CDB">
      <w:pPr>
        <w:spacing w:after="120" w:line="240" w:lineRule="auto"/>
        <w:jc w:val="both"/>
        <w:rPr>
          <w:rFonts w:asciiTheme="majorHAnsi" w:hAnsiTheme="majorHAnsi" w:cstheme="minorHAnsi"/>
          <w:bCs/>
        </w:rPr>
      </w:pPr>
      <w:r w:rsidRPr="00F70CDB">
        <w:rPr>
          <w:rFonts w:asciiTheme="majorHAnsi" w:hAnsiTheme="majorHAnsi" w:cstheme="minorHAnsi"/>
          <w:bCs/>
        </w:rPr>
        <w:t xml:space="preserve">Nepřiměřenost a zásah do hospodářské soutěže lze spatřovat zejména ve skutečnosti, že výše uvedené závazky či smlouvy s vybraným okruhem výrobců a dodavatelů požaduje Zadavatel doložit </w:t>
      </w:r>
      <w:r w:rsidRPr="00F70CDB">
        <w:rPr>
          <w:rFonts w:asciiTheme="majorHAnsi" w:hAnsiTheme="majorHAnsi" w:cstheme="minorHAnsi"/>
          <w:b/>
        </w:rPr>
        <w:t xml:space="preserve">v okamžiku před podpisem smlouvy se </w:t>
      </w:r>
      <w:proofErr w:type="gramStart"/>
      <w:r w:rsidRPr="00F70CDB">
        <w:rPr>
          <w:rFonts w:asciiTheme="majorHAnsi" w:hAnsiTheme="majorHAnsi" w:cstheme="minorHAnsi"/>
          <w:b/>
        </w:rPr>
        <w:t>Zadavatelem</w:t>
      </w:r>
      <w:proofErr w:type="gramEnd"/>
      <w:r w:rsidRPr="00F70CDB">
        <w:rPr>
          <w:rFonts w:asciiTheme="majorHAnsi" w:hAnsiTheme="majorHAnsi" w:cstheme="minorHAnsi"/>
          <w:bCs/>
        </w:rPr>
        <w:t xml:space="preserve"> a nikoliv až v rámci realizace Veřejné zakázky.</w:t>
      </w:r>
    </w:p>
    <w:p w14:paraId="4559F9ED" w14:textId="77777777" w:rsidR="00F70CDB" w:rsidRPr="00F70CDB" w:rsidRDefault="00F70CDB" w:rsidP="00F70CDB">
      <w:pPr>
        <w:spacing w:after="120" w:line="240" w:lineRule="auto"/>
        <w:jc w:val="both"/>
        <w:rPr>
          <w:rFonts w:asciiTheme="majorHAnsi" w:hAnsiTheme="majorHAnsi"/>
          <w:bCs/>
        </w:rPr>
      </w:pPr>
      <w:r w:rsidRPr="00F70CDB">
        <w:rPr>
          <w:rFonts w:asciiTheme="majorHAnsi" w:hAnsiTheme="majorHAnsi"/>
          <w:bCs/>
        </w:rPr>
        <w:t xml:space="preserve">I přesto, že výše uvedený požadavek na doložení závazku vybraných výrobců je součástí podmínek poskytnutí součinnosti vybraného dodavatele před podpisem smlouvy, je odpovědně uvažující účastník nucen uzavřít smlouvu či získat závazek od vyjmenovaných dodavatelů </w:t>
      </w:r>
      <w:r w:rsidRPr="00F70CDB">
        <w:rPr>
          <w:rFonts w:asciiTheme="majorHAnsi" w:hAnsiTheme="majorHAnsi"/>
          <w:b/>
        </w:rPr>
        <w:t>ještě před podáním nabídky</w:t>
      </w:r>
      <w:r w:rsidRPr="00F70CDB">
        <w:rPr>
          <w:rFonts w:asciiTheme="majorHAnsi" w:hAnsiTheme="majorHAnsi"/>
          <w:bCs/>
        </w:rPr>
        <w:t xml:space="preserve">. </w:t>
      </w:r>
      <w:r w:rsidRPr="00F70CDB">
        <w:rPr>
          <w:rFonts w:asciiTheme="majorHAnsi" w:hAnsiTheme="majorHAnsi"/>
          <w:b/>
        </w:rPr>
        <w:t xml:space="preserve">V opačném případě by se vystavoval riziku neposkytnutí součinnosti před podpisem smlouvy (z důvodu nikoli na straně uchazeče), což je </w:t>
      </w:r>
      <w:r w:rsidRPr="00F70CDB">
        <w:rPr>
          <w:rFonts w:asciiTheme="majorHAnsi" w:hAnsiTheme="majorHAnsi"/>
          <w:b/>
        </w:rPr>
        <w:lastRenderedPageBreak/>
        <w:t>spojeno mj. s právem Zadavatele čerpat jistotu, kterou Zadavatel stanovil ve výši 98 mil. Kč bez DPH a Zadavatel potvrzeno taktéž v rámci vysvětlení zadávací dokumentace.</w:t>
      </w:r>
    </w:p>
    <w:p w14:paraId="27D5E1D9" w14:textId="77777777" w:rsidR="00F70CDB" w:rsidRPr="00F70CDB" w:rsidRDefault="00F70CDB" w:rsidP="00F70CDB">
      <w:pPr>
        <w:rPr>
          <w:rFonts w:asciiTheme="majorHAnsi" w:hAnsiTheme="majorHAnsi"/>
          <w:bCs/>
        </w:rPr>
      </w:pPr>
      <w:r w:rsidRPr="00F70CDB">
        <w:rPr>
          <w:rFonts w:asciiTheme="majorHAnsi" w:hAnsiTheme="majorHAnsi"/>
          <w:bCs/>
        </w:rPr>
        <w:t xml:space="preserve">Výrobci, resp. dodavatelé, kteří disponují výrobky s potřebnou certifikací </w:t>
      </w:r>
      <w:r w:rsidRPr="00F70CDB">
        <w:rPr>
          <w:rFonts w:asciiTheme="majorHAnsi" w:hAnsiTheme="majorHAnsi"/>
          <w:b/>
        </w:rPr>
        <w:t>dle seznamů výrobků s požadovanou certifikací, který je dostupný na webových stránkách Zadavatele vyplývá</w:t>
      </w:r>
      <w:r w:rsidRPr="00F70CDB">
        <w:rPr>
          <w:rFonts w:asciiTheme="majorHAnsi" w:hAnsiTheme="majorHAnsi"/>
          <w:bCs/>
        </w:rPr>
        <w:t>, že pro vybrané výrobky disponují požadovanou certifikací obvykle 1-2 a výjimečně 3 výrobci. To ovšem neplatí u výrobku „trolejový drát“, kde v uvedeném seznamu není uveden žádný schválený výrobce.</w:t>
      </w:r>
    </w:p>
    <w:p w14:paraId="5346191F" w14:textId="77777777" w:rsidR="00F70CDB" w:rsidRPr="00F70CDB" w:rsidRDefault="00F70CDB" w:rsidP="00F70CDB">
      <w:pPr>
        <w:spacing w:after="120" w:line="240" w:lineRule="auto"/>
        <w:jc w:val="both"/>
        <w:rPr>
          <w:rFonts w:asciiTheme="majorHAnsi" w:hAnsiTheme="majorHAnsi"/>
          <w:b/>
        </w:rPr>
      </w:pPr>
      <w:r w:rsidRPr="00F70CDB">
        <w:rPr>
          <w:rFonts w:asciiTheme="majorHAnsi" w:hAnsiTheme="majorHAnsi"/>
          <w:b/>
        </w:rPr>
        <w:t xml:space="preserve">S odkazem na výše uvedené žádáme, aby Zadavatel pečlivě posoudil tato porušení ZZVZ a níže uvedeným návrhům uchazeče v plném rozsahu vyhověl a provedl potřebnou nápravu zadávacích podmínek tím, že </w:t>
      </w:r>
      <w:r w:rsidRPr="00F70CDB">
        <w:rPr>
          <w:rFonts w:asciiTheme="majorHAnsi" w:hAnsiTheme="majorHAnsi" w:cs="Arial"/>
          <w:b/>
          <w:bCs/>
        </w:rPr>
        <w:t>upraví zadávací podmínky v souladu se ZZVZ a základními zásadami zadávaní uvedenými v § 6 ZZVZ, tak, že odstraní svůj požadavek na doložení závazku nebo smlouvy vybraných výrobců či dodavatelů ve smyslu čl. 9.1 ve spojení s čl. 19.4 Pokynů pro dodavatele, případně umožní jeho doložení či doložení potřebné certifikace výrobků až v rámci realizační fáze plnění Veřejné zakázky, např. v okamžiku uvádění díla do zkušebního provozu; a</w:t>
      </w:r>
    </w:p>
    <w:p w14:paraId="433EAB8E" w14:textId="77777777" w:rsidR="00F70CDB" w:rsidRPr="00F70CDB" w:rsidRDefault="00F70CDB" w:rsidP="00F70CDB">
      <w:pPr>
        <w:pStyle w:val="Odstavecseseznamem"/>
        <w:numPr>
          <w:ilvl w:val="0"/>
          <w:numId w:val="11"/>
        </w:numPr>
        <w:spacing w:after="120" w:line="240" w:lineRule="auto"/>
        <w:contextualSpacing w:val="0"/>
        <w:jc w:val="both"/>
        <w:rPr>
          <w:rFonts w:asciiTheme="majorHAnsi" w:hAnsiTheme="majorHAnsi"/>
          <w:b/>
          <w:bCs/>
        </w:rPr>
      </w:pPr>
      <w:r w:rsidRPr="00F70CDB">
        <w:rPr>
          <w:rFonts w:asciiTheme="majorHAnsi" w:hAnsiTheme="majorHAnsi"/>
          <w:b/>
          <w:bCs/>
        </w:rPr>
        <w:t>provede úpravu svých porušení a přiměřeně prodlouží lhůtu pro podání nabídek v návaznosti na povahu doplnění a změnu zadávacích podmínek;</w:t>
      </w:r>
    </w:p>
    <w:p w14:paraId="564832A3" w14:textId="77777777" w:rsidR="00F70CDB" w:rsidRPr="00F70CDB" w:rsidRDefault="00F70CDB" w:rsidP="00F70CDB">
      <w:pPr>
        <w:pStyle w:val="Odstavecseseznamem"/>
        <w:numPr>
          <w:ilvl w:val="0"/>
          <w:numId w:val="11"/>
        </w:numPr>
        <w:spacing w:after="120" w:line="240" w:lineRule="auto"/>
        <w:contextualSpacing w:val="0"/>
        <w:jc w:val="both"/>
        <w:rPr>
          <w:rFonts w:asciiTheme="majorHAnsi" w:hAnsiTheme="majorHAnsi"/>
          <w:b/>
          <w:bCs/>
        </w:rPr>
      </w:pPr>
      <w:r w:rsidRPr="00F70CDB">
        <w:rPr>
          <w:rFonts w:asciiTheme="majorHAnsi" w:hAnsiTheme="majorHAnsi" w:cs="Arial"/>
          <w:b/>
          <w:bCs/>
        </w:rPr>
        <w:t>případně pokud by nebylo možné zajistit úpravu zadávacích podmínek ve smyslu písm. A, ať Zadavatel vyjme uvedenou část, resp. dotčené výrobky z plnění Veřejné zakázky nebo zajistí povinnost vybraných subjektů poskytnout plnění všem účastníkům za stejných podmínek.</w:t>
      </w:r>
    </w:p>
    <w:p w14:paraId="3DF7162D" w14:textId="77777777" w:rsidR="00F70CDB" w:rsidRDefault="00F70CDB" w:rsidP="00BD5319">
      <w:pPr>
        <w:spacing w:after="0" w:line="240" w:lineRule="auto"/>
        <w:rPr>
          <w:rFonts w:eastAsia="Calibri" w:cs="Times New Roman"/>
          <w:b/>
          <w:lang w:eastAsia="cs-CZ"/>
        </w:rPr>
      </w:pPr>
    </w:p>
    <w:p w14:paraId="6D16A484" w14:textId="71FACF7E"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0E56EE88" w14:textId="03EDAF0D" w:rsidR="00D74160" w:rsidRDefault="00E77086" w:rsidP="00B71F6E">
      <w:pPr>
        <w:spacing w:after="0" w:line="240" w:lineRule="auto"/>
        <w:jc w:val="both"/>
        <w:rPr>
          <w:rFonts w:eastAsia="Calibri" w:cs="Times New Roman"/>
          <w:lang w:eastAsia="cs-CZ"/>
        </w:rPr>
      </w:pPr>
      <w:r>
        <w:rPr>
          <w:rFonts w:eastAsia="Calibri" w:cs="Times New Roman"/>
          <w:lang w:eastAsia="cs-CZ"/>
        </w:rPr>
        <w:t>Tazatel v</w:t>
      </w:r>
      <w:r w:rsidR="004B03F1">
        <w:rPr>
          <w:rFonts w:eastAsia="Calibri" w:cs="Times New Roman"/>
          <w:lang w:eastAsia="cs-CZ"/>
        </w:rPr>
        <w:t> první části</w:t>
      </w:r>
      <w:r>
        <w:rPr>
          <w:rFonts w:eastAsia="Calibri" w:cs="Times New Roman"/>
          <w:lang w:eastAsia="cs-CZ"/>
        </w:rPr>
        <w:t xml:space="preserve"> své žádosti o objasnění navrhuje zadavateli, aby odstranil </w:t>
      </w:r>
      <w:r w:rsidRPr="001A0B04">
        <w:rPr>
          <w:rFonts w:asciiTheme="majorHAnsi" w:hAnsiTheme="majorHAnsi" w:cs="Tahoma"/>
          <w:color w:val="000000"/>
          <w:shd w:val="clear" w:color="auto" w:fill="FFFFFF"/>
        </w:rPr>
        <w:t>svůj požadavek na doložení závazku nebo smlouvy vybraných výrobců či dodavatelů ve smyslu čl. 9.1 ve spojení s čl. 19.4 Pokynů, případně umožnil jeho doložení či doložení potřebné certifikace výrobků až v rámci realizační fáze plnění Veřejné zakázky, např. v okamžiku uvádění díla do zkušebního provozu</w:t>
      </w:r>
      <w:r>
        <w:rPr>
          <w:rFonts w:asciiTheme="majorHAnsi" w:hAnsiTheme="majorHAnsi" w:cs="Tahoma"/>
          <w:color w:val="000000"/>
          <w:shd w:val="clear" w:color="auto" w:fill="FFFFFF"/>
        </w:rPr>
        <w:t xml:space="preserve">. K této části žádosti </w:t>
      </w:r>
      <w:r w:rsidR="008C4E47">
        <w:rPr>
          <w:rFonts w:eastAsia="Calibri" w:cs="Times New Roman"/>
          <w:lang w:eastAsia="cs-CZ"/>
        </w:rPr>
        <w:t>z</w:t>
      </w:r>
      <w:r w:rsidR="00D74160" w:rsidRPr="00F05B6B">
        <w:rPr>
          <w:rFonts w:eastAsia="Calibri" w:cs="Times New Roman"/>
          <w:lang w:eastAsia="cs-CZ"/>
        </w:rPr>
        <w:t xml:space="preserve">adavatel </w:t>
      </w:r>
      <w:r>
        <w:rPr>
          <w:rFonts w:eastAsia="Calibri" w:cs="Times New Roman"/>
          <w:lang w:eastAsia="cs-CZ"/>
        </w:rPr>
        <w:t xml:space="preserve">uvádí, že již </w:t>
      </w:r>
      <w:r w:rsidR="00D74160" w:rsidRPr="00F05B6B">
        <w:rPr>
          <w:rFonts w:eastAsia="Calibri" w:cs="Times New Roman"/>
          <w:lang w:eastAsia="cs-CZ"/>
        </w:rPr>
        <w:t>ve své odpovědi na dotaz č. 150</w:t>
      </w:r>
      <w:r>
        <w:rPr>
          <w:rFonts w:eastAsia="Calibri" w:cs="Times New Roman"/>
          <w:lang w:eastAsia="cs-CZ"/>
        </w:rPr>
        <w:t>, která byla poskytnuta</w:t>
      </w:r>
      <w:r w:rsidR="00D74160" w:rsidRPr="00F05B6B">
        <w:rPr>
          <w:rFonts w:eastAsia="Calibri" w:cs="Times New Roman"/>
          <w:lang w:eastAsia="cs-CZ"/>
        </w:rPr>
        <w:t xml:space="preserve"> v rámci Vysvětlení/ změny/ doplnění zadávací dokumentace č. 15</w:t>
      </w:r>
      <w:r>
        <w:rPr>
          <w:rFonts w:eastAsia="Calibri" w:cs="Times New Roman"/>
          <w:lang w:eastAsia="cs-CZ"/>
        </w:rPr>
        <w:t>, odpovídal na zcela totožný návrh</w:t>
      </w:r>
      <w:r w:rsidR="007F74FC" w:rsidRPr="00F05B6B">
        <w:rPr>
          <w:rFonts w:eastAsia="Calibri" w:cs="Times New Roman"/>
          <w:lang w:eastAsia="cs-CZ"/>
        </w:rPr>
        <w:t xml:space="preserve">. </w:t>
      </w:r>
      <w:r>
        <w:rPr>
          <w:rFonts w:eastAsia="Calibri" w:cs="Times New Roman"/>
          <w:lang w:eastAsia="cs-CZ"/>
        </w:rPr>
        <w:t>Zadavatel tedy tazatele odkazuje na uvedené objasnění, které dostatečně podrobně odůvodňuje, z jakých důvodů předmětný požadavek na součinnosti vybraného dodavatele před uzavřením smlouvy stanovil. Zadavatel n</w:t>
      </w:r>
      <w:r w:rsidR="007F74FC" w:rsidRPr="00F05B6B">
        <w:rPr>
          <w:rFonts w:eastAsia="Calibri" w:cs="Times New Roman"/>
          <w:lang w:eastAsia="cs-CZ"/>
        </w:rPr>
        <w:t xml:space="preserve">a </w:t>
      </w:r>
      <w:r>
        <w:rPr>
          <w:rFonts w:eastAsia="Calibri" w:cs="Times New Roman"/>
          <w:lang w:eastAsia="cs-CZ"/>
        </w:rPr>
        <w:t xml:space="preserve">tomto </w:t>
      </w:r>
      <w:r w:rsidR="007F74FC" w:rsidRPr="00F05B6B">
        <w:rPr>
          <w:rFonts w:eastAsia="Calibri" w:cs="Times New Roman"/>
          <w:lang w:eastAsia="cs-CZ"/>
        </w:rPr>
        <w:t>svém vyjádření trvá a neshledává</w:t>
      </w:r>
      <w:r>
        <w:rPr>
          <w:rFonts w:eastAsia="Calibri" w:cs="Times New Roman"/>
          <w:lang w:eastAsia="cs-CZ"/>
        </w:rPr>
        <w:t>, že by</w:t>
      </w:r>
      <w:r w:rsidR="007F74FC" w:rsidRPr="00F05B6B">
        <w:rPr>
          <w:rFonts w:eastAsia="Calibri" w:cs="Times New Roman"/>
          <w:lang w:eastAsia="cs-CZ"/>
        </w:rPr>
        <w:t xml:space="preserve"> znění čl. 9.1 Pokynů pro dodavatele </w:t>
      </w:r>
      <w:r>
        <w:rPr>
          <w:rFonts w:eastAsia="Calibri" w:cs="Times New Roman"/>
          <w:lang w:eastAsia="cs-CZ"/>
        </w:rPr>
        <w:t xml:space="preserve">bylo </w:t>
      </w:r>
      <w:r w:rsidR="007F74FC" w:rsidRPr="00F05B6B">
        <w:rPr>
          <w:rFonts w:eastAsia="Calibri" w:cs="Times New Roman"/>
          <w:lang w:eastAsia="cs-CZ"/>
        </w:rPr>
        <w:t xml:space="preserve">v rozporu se zásadou přiměřenosti a zákazem diskriminace. </w:t>
      </w:r>
      <w:r w:rsidR="00B93CB6">
        <w:rPr>
          <w:rFonts w:eastAsia="Calibri" w:cs="Times New Roman"/>
          <w:lang w:eastAsia="cs-CZ"/>
        </w:rPr>
        <w:t xml:space="preserve">Má za to, </w:t>
      </w:r>
      <w:r w:rsidR="00B93CB6" w:rsidRPr="00B93CB6">
        <w:rPr>
          <w:rFonts w:eastAsia="Calibri" w:cs="Times New Roman"/>
          <w:lang w:eastAsia="cs-CZ"/>
        </w:rPr>
        <w:t xml:space="preserve">že je předmětný požadavek v zadávacích podmínkách nastaven tak, aby </w:t>
      </w:r>
      <w:r>
        <w:rPr>
          <w:rFonts w:eastAsia="Calibri" w:cs="Times New Roman"/>
          <w:lang w:eastAsia="cs-CZ"/>
        </w:rPr>
        <w:t>zajišťoval objektivní potřeb</w:t>
      </w:r>
      <w:r w:rsidR="004B03F1">
        <w:rPr>
          <w:rFonts w:eastAsia="Calibri" w:cs="Times New Roman"/>
          <w:lang w:eastAsia="cs-CZ"/>
        </w:rPr>
        <w:t>u</w:t>
      </w:r>
      <w:r>
        <w:rPr>
          <w:rFonts w:eastAsia="Calibri" w:cs="Times New Roman"/>
          <w:lang w:eastAsia="cs-CZ"/>
        </w:rPr>
        <w:t xml:space="preserve"> </w:t>
      </w:r>
      <w:r w:rsidR="008C4E47">
        <w:rPr>
          <w:rFonts w:eastAsia="Calibri" w:cs="Times New Roman"/>
          <w:lang w:eastAsia="cs-CZ"/>
        </w:rPr>
        <w:t>z</w:t>
      </w:r>
      <w:r>
        <w:rPr>
          <w:rFonts w:eastAsia="Calibri" w:cs="Times New Roman"/>
          <w:lang w:eastAsia="cs-CZ"/>
        </w:rPr>
        <w:t xml:space="preserve">adavatele na řádném a včasném plnění předmětu veřejné zakázky při </w:t>
      </w:r>
      <w:r w:rsidR="004B03F1">
        <w:rPr>
          <w:rFonts w:eastAsia="Calibri" w:cs="Times New Roman"/>
          <w:lang w:eastAsia="cs-CZ"/>
        </w:rPr>
        <w:t xml:space="preserve">současném </w:t>
      </w:r>
      <w:r>
        <w:rPr>
          <w:rFonts w:eastAsia="Calibri" w:cs="Times New Roman"/>
          <w:lang w:eastAsia="cs-CZ"/>
        </w:rPr>
        <w:t xml:space="preserve">zachování </w:t>
      </w:r>
      <w:r w:rsidR="007A23DA">
        <w:rPr>
          <w:rFonts w:eastAsia="Calibri" w:cs="Times New Roman"/>
          <w:lang w:eastAsia="cs-CZ"/>
        </w:rPr>
        <w:t xml:space="preserve">veškerých nezbytných požadavků na zajištění bezpečnosti drážní dopravy, interoperability, kompatibility a jednotnosti obsluhy a aby </w:t>
      </w:r>
      <w:r w:rsidR="00990A76">
        <w:rPr>
          <w:rFonts w:eastAsia="Calibri" w:cs="Times New Roman"/>
          <w:lang w:eastAsia="cs-CZ"/>
        </w:rPr>
        <w:t xml:space="preserve">tedy </w:t>
      </w:r>
      <w:r w:rsidR="00B93CB6" w:rsidRPr="00B93CB6">
        <w:rPr>
          <w:rFonts w:eastAsia="Calibri" w:cs="Times New Roman"/>
          <w:lang w:eastAsia="cs-CZ"/>
        </w:rPr>
        <w:t xml:space="preserve">odpovídal </w:t>
      </w:r>
      <w:r w:rsidR="007A23DA">
        <w:rPr>
          <w:rFonts w:eastAsia="Calibri" w:cs="Times New Roman"/>
          <w:lang w:eastAsia="cs-CZ"/>
        </w:rPr>
        <w:t xml:space="preserve">i </w:t>
      </w:r>
      <w:r w:rsidR="00B93CB6" w:rsidRPr="00B93CB6">
        <w:rPr>
          <w:rFonts w:eastAsia="Calibri" w:cs="Times New Roman"/>
          <w:lang w:eastAsia="cs-CZ"/>
        </w:rPr>
        <w:t>současné rozhodovací praxi Úřadu pro ochranu hospodářské soutěže</w:t>
      </w:r>
      <w:r w:rsidR="00BA56EE">
        <w:rPr>
          <w:rFonts w:eastAsia="Calibri" w:cs="Times New Roman"/>
          <w:lang w:eastAsia="cs-CZ"/>
        </w:rPr>
        <w:t>.</w:t>
      </w:r>
      <w:r w:rsidR="00DE7F93">
        <w:rPr>
          <w:rFonts w:eastAsia="Calibri" w:cs="Times New Roman"/>
          <w:lang w:eastAsia="cs-CZ"/>
        </w:rPr>
        <w:t xml:space="preserve"> </w:t>
      </w:r>
    </w:p>
    <w:p w14:paraId="1129B8AD" w14:textId="77777777" w:rsidR="00DE7F93" w:rsidRDefault="00DE7F93" w:rsidP="00B71F6E">
      <w:pPr>
        <w:spacing w:after="0" w:line="240" w:lineRule="auto"/>
        <w:jc w:val="both"/>
        <w:rPr>
          <w:rFonts w:eastAsia="Calibri" w:cs="Times New Roman"/>
          <w:lang w:eastAsia="cs-CZ"/>
        </w:rPr>
      </w:pPr>
    </w:p>
    <w:p w14:paraId="589DBACE" w14:textId="691AD3FC" w:rsidR="00BA56EE" w:rsidRDefault="00BA56EE" w:rsidP="00B71F6E">
      <w:pPr>
        <w:spacing w:after="0" w:line="240" w:lineRule="auto"/>
        <w:jc w:val="both"/>
        <w:rPr>
          <w:rFonts w:eastAsia="Calibri" w:cs="Times New Roman"/>
          <w:lang w:eastAsia="cs-CZ"/>
        </w:rPr>
      </w:pPr>
      <w:r>
        <w:rPr>
          <w:rFonts w:eastAsia="Calibri" w:cs="Times New Roman"/>
          <w:lang w:eastAsia="cs-CZ"/>
        </w:rPr>
        <w:t>V druhé části své žádosti tazatel navrhuje, aby zadavatel z článku 9.1 ve spojení s článkem 19.4 Pokynů pro dodavatele vyjmul dotčené výrobky z plnění veřejné zakázky, nebo aby zajistil povinnost vybraných subjektů poskytnout plnění všem účastníkům za stejných podmínek.</w:t>
      </w:r>
      <w:r w:rsidR="00710439">
        <w:rPr>
          <w:rFonts w:eastAsia="Calibri" w:cs="Times New Roman"/>
          <w:lang w:eastAsia="cs-CZ"/>
        </w:rPr>
        <w:t xml:space="preserve"> </w:t>
      </w:r>
      <w:r>
        <w:rPr>
          <w:rFonts w:eastAsia="Calibri" w:cs="Times New Roman"/>
          <w:lang w:eastAsia="cs-CZ"/>
        </w:rPr>
        <w:t xml:space="preserve">K tomu zadavatel uvádí, že dotčené výrobky </w:t>
      </w:r>
      <w:r w:rsidR="008C4E47">
        <w:rPr>
          <w:rFonts w:eastAsia="Calibri" w:cs="Times New Roman"/>
          <w:lang w:eastAsia="cs-CZ"/>
        </w:rPr>
        <w:t xml:space="preserve">specifikované v článku 9.1 Pokynů pro dodavatele </w:t>
      </w:r>
      <w:r>
        <w:rPr>
          <w:rFonts w:eastAsia="Calibri" w:cs="Times New Roman"/>
          <w:lang w:eastAsia="cs-CZ"/>
        </w:rPr>
        <w:t xml:space="preserve">z předmětu plnění veřejné zakázky vyjmout nelze, neboť </w:t>
      </w:r>
      <w:r w:rsidR="008C4E47">
        <w:rPr>
          <w:rFonts w:eastAsia="Calibri" w:cs="Times New Roman"/>
          <w:lang w:eastAsia="cs-CZ"/>
        </w:rPr>
        <w:t xml:space="preserve">tyto výrobky jsou pro zhotovení stavby zcela nezbytné a </w:t>
      </w:r>
      <w:r>
        <w:rPr>
          <w:rFonts w:eastAsia="Calibri" w:cs="Times New Roman"/>
          <w:lang w:eastAsia="cs-CZ"/>
        </w:rPr>
        <w:t xml:space="preserve">bez nich není možné </w:t>
      </w:r>
      <w:r w:rsidR="008C4E47">
        <w:rPr>
          <w:rFonts w:eastAsia="Calibri" w:cs="Times New Roman"/>
          <w:lang w:eastAsia="cs-CZ"/>
        </w:rPr>
        <w:t>předmětnou stavbu dráhy zhotovit a uvést do provozu.</w:t>
      </w:r>
    </w:p>
    <w:p w14:paraId="19F64377" w14:textId="77777777" w:rsidR="00710439" w:rsidRPr="00F05B6B" w:rsidRDefault="00710439" w:rsidP="00B71F6E">
      <w:pPr>
        <w:spacing w:after="0" w:line="240" w:lineRule="auto"/>
        <w:jc w:val="both"/>
        <w:rPr>
          <w:rFonts w:eastAsia="Calibri" w:cs="Times New Roman"/>
          <w:lang w:eastAsia="cs-CZ"/>
        </w:rPr>
      </w:pPr>
    </w:p>
    <w:p w14:paraId="55DA4717" w14:textId="069395C6" w:rsidR="00990A76" w:rsidRDefault="008C4E47" w:rsidP="00B71F6E">
      <w:pPr>
        <w:spacing w:after="0" w:line="240" w:lineRule="auto"/>
        <w:jc w:val="both"/>
        <w:rPr>
          <w:rFonts w:eastAsia="Calibri" w:cs="Times New Roman"/>
          <w:lang w:eastAsia="cs-CZ"/>
        </w:rPr>
      </w:pPr>
      <w:r>
        <w:rPr>
          <w:rFonts w:eastAsia="Calibri" w:cs="Times New Roman"/>
          <w:lang w:eastAsia="cs-CZ"/>
        </w:rPr>
        <w:t>K požadavku tazatele, aby zadavatel zajistil, aby výrobci zařízení byli povinni poskytnou</w:t>
      </w:r>
      <w:r w:rsidR="00990A76">
        <w:rPr>
          <w:rFonts w:eastAsia="Calibri" w:cs="Times New Roman"/>
          <w:lang w:eastAsia="cs-CZ"/>
        </w:rPr>
        <w:t>t</w:t>
      </w:r>
      <w:r>
        <w:rPr>
          <w:rFonts w:eastAsia="Calibri" w:cs="Times New Roman"/>
          <w:lang w:eastAsia="cs-CZ"/>
        </w:rPr>
        <w:t xml:space="preserve"> své plnění všem účastníkům zadávacího řízení za stejných podmínek, </w:t>
      </w:r>
      <w:r w:rsidR="00990A76">
        <w:rPr>
          <w:rFonts w:eastAsia="Calibri" w:cs="Times New Roman"/>
          <w:lang w:eastAsia="cs-CZ"/>
        </w:rPr>
        <w:t>pak zadavatel uvádí, že není v jeho možnostech takovou povinnost výrobcům zařízení stanovit a zasahovat tak do volné hospodářské soutěže.</w:t>
      </w:r>
    </w:p>
    <w:p w14:paraId="239037A8" w14:textId="77777777" w:rsidR="00710439" w:rsidRDefault="00710439" w:rsidP="00B71F6E">
      <w:pPr>
        <w:spacing w:after="0" w:line="240" w:lineRule="auto"/>
        <w:jc w:val="both"/>
        <w:rPr>
          <w:rFonts w:eastAsia="Calibri" w:cs="Times New Roman"/>
          <w:lang w:eastAsia="cs-CZ"/>
        </w:rPr>
      </w:pPr>
    </w:p>
    <w:p w14:paraId="3CD90AA7" w14:textId="03E6C578" w:rsidR="00DE7F93" w:rsidRDefault="00DE7F93" w:rsidP="00B71F6E">
      <w:pPr>
        <w:spacing w:after="0" w:line="240" w:lineRule="auto"/>
        <w:jc w:val="both"/>
        <w:rPr>
          <w:rFonts w:eastAsia="Calibri" w:cs="Times New Roman"/>
          <w:color w:val="FF0000"/>
          <w:lang w:eastAsia="cs-CZ"/>
        </w:rPr>
      </w:pPr>
      <w:r>
        <w:rPr>
          <w:rFonts w:eastAsia="Calibri" w:cs="Times New Roman"/>
          <w:lang w:eastAsia="cs-CZ"/>
        </w:rPr>
        <w:t>Z</w:t>
      </w:r>
      <w:r w:rsidR="00990A76">
        <w:rPr>
          <w:rFonts w:eastAsia="Calibri" w:cs="Times New Roman"/>
          <w:lang w:eastAsia="cs-CZ"/>
        </w:rPr>
        <w:t>ávěrem z</w:t>
      </w:r>
      <w:r>
        <w:rPr>
          <w:rFonts w:eastAsia="Calibri" w:cs="Times New Roman"/>
          <w:lang w:eastAsia="cs-CZ"/>
        </w:rPr>
        <w:t xml:space="preserve">adavatel </w:t>
      </w:r>
      <w:r w:rsidR="00990A76">
        <w:rPr>
          <w:rFonts w:eastAsia="Calibri" w:cs="Times New Roman"/>
          <w:lang w:eastAsia="cs-CZ"/>
        </w:rPr>
        <w:t xml:space="preserve">opakuje, že </w:t>
      </w:r>
      <w:r>
        <w:rPr>
          <w:rFonts w:eastAsia="Calibri" w:cs="Times New Roman"/>
          <w:lang w:eastAsia="cs-CZ"/>
        </w:rPr>
        <w:t xml:space="preserve">dlouhodobě umožňuje, aby si </w:t>
      </w:r>
      <w:r w:rsidRPr="00DE7F93">
        <w:rPr>
          <w:rFonts w:eastAsia="Calibri" w:cs="Times New Roman"/>
          <w:lang w:eastAsia="cs-CZ"/>
        </w:rPr>
        <w:t xml:space="preserve">kterýkoli dodavatel včetně tazatele za podmínek stanovených ve směrnici č. 34 </w:t>
      </w:r>
      <w:r>
        <w:rPr>
          <w:rFonts w:eastAsia="Calibri" w:cs="Times New Roman"/>
          <w:lang w:eastAsia="cs-CZ"/>
        </w:rPr>
        <w:t>požádal</w:t>
      </w:r>
      <w:r w:rsidRPr="00DE7F93">
        <w:rPr>
          <w:rFonts w:eastAsia="Calibri" w:cs="Times New Roman"/>
          <w:lang w:eastAsia="cs-CZ"/>
        </w:rPr>
        <w:t xml:space="preserve"> o vydání souhlasu s použitím výrobku, který doposud nebyl pro použití na železniční dopravní cestě ve vlastnictví České republiky schválen.</w:t>
      </w:r>
    </w:p>
    <w:p w14:paraId="7FD04AA5" w14:textId="77777777" w:rsidR="00D74160" w:rsidRDefault="00D74160" w:rsidP="00B71F6E">
      <w:pPr>
        <w:spacing w:after="0" w:line="240" w:lineRule="auto"/>
        <w:jc w:val="both"/>
        <w:rPr>
          <w:rFonts w:eastAsia="Calibri" w:cs="Times New Roman"/>
          <w:lang w:eastAsia="cs-CZ"/>
        </w:rPr>
      </w:pPr>
    </w:p>
    <w:p w14:paraId="39B0A4CF" w14:textId="50B0B79E" w:rsidR="00990A76" w:rsidRPr="00B71F6E" w:rsidRDefault="00990A76" w:rsidP="00B71F6E">
      <w:pPr>
        <w:spacing w:after="0" w:line="240" w:lineRule="auto"/>
        <w:jc w:val="both"/>
        <w:rPr>
          <w:rFonts w:eastAsia="Calibri" w:cs="Times New Roman"/>
          <w:lang w:eastAsia="cs-CZ"/>
        </w:rPr>
      </w:pPr>
      <w:r>
        <w:rPr>
          <w:rFonts w:eastAsia="Calibri" w:cs="Times New Roman"/>
          <w:lang w:eastAsia="cs-CZ"/>
        </w:rPr>
        <w:t>Z uvedených důvodů se zadavatel rozhodl, že zadávací podmínky dle požadavku tazatele</w:t>
      </w:r>
      <w:r w:rsidRPr="00990A76">
        <w:rPr>
          <w:rFonts w:eastAsia="Calibri" w:cs="Times New Roman"/>
          <w:lang w:eastAsia="cs-CZ"/>
        </w:rPr>
        <w:t xml:space="preserve"> </w:t>
      </w:r>
      <w:r>
        <w:rPr>
          <w:rFonts w:eastAsia="Calibri" w:cs="Times New Roman"/>
          <w:lang w:eastAsia="cs-CZ"/>
        </w:rPr>
        <w:t>nebude měnit.</w:t>
      </w:r>
    </w:p>
    <w:p w14:paraId="740BC7F4" w14:textId="77777777" w:rsidR="00D74160" w:rsidRPr="007F74FC" w:rsidRDefault="00D74160" w:rsidP="00D74160">
      <w:pPr>
        <w:spacing w:after="0" w:line="240" w:lineRule="auto"/>
        <w:rPr>
          <w:rFonts w:eastAsia="Calibri" w:cs="Times New Roman"/>
          <w:i/>
          <w:iCs/>
          <w:color w:val="FF0000"/>
          <w:lang w:eastAsia="cs-CZ"/>
        </w:rPr>
      </w:pPr>
    </w:p>
    <w:p w14:paraId="099F8736" w14:textId="77777777" w:rsidR="00F05B6B" w:rsidRDefault="00F05B6B" w:rsidP="00BD5319">
      <w:pPr>
        <w:spacing w:after="0" w:line="240" w:lineRule="auto"/>
        <w:rPr>
          <w:rFonts w:eastAsia="Times New Roman" w:cs="Times New Roman"/>
          <w:b/>
          <w:color w:val="FF0000"/>
          <w:lang w:eastAsia="cs-CZ"/>
        </w:rPr>
      </w:pPr>
    </w:p>
    <w:p w14:paraId="67802C2B" w14:textId="1D3618B2" w:rsidR="00EF2E89" w:rsidRPr="00C87717" w:rsidRDefault="00EF2E89" w:rsidP="00EF2E89">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lastRenderedPageBreak/>
        <w:t xml:space="preserve">Vzhledem ke skutečnosti, že bylo provedeno pouze </w:t>
      </w:r>
      <w:r w:rsidRPr="00C87717">
        <w:rPr>
          <w:rFonts w:eastAsia="Times New Roman" w:cs="Times New Roman"/>
          <w:b/>
          <w:lang w:eastAsia="cs-CZ"/>
        </w:rPr>
        <w:t xml:space="preserve">vysvětlení zadávací dokumentace </w:t>
      </w:r>
      <w:r>
        <w:rPr>
          <w:rFonts w:eastAsia="Times New Roman" w:cs="Times New Roman"/>
          <w:b/>
          <w:lang w:eastAsia="cs-CZ"/>
        </w:rPr>
        <w:br/>
      </w:r>
      <w:r w:rsidRPr="00C87717">
        <w:rPr>
          <w:rFonts w:eastAsia="Times New Roman" w:cs="Times New Roman"/>
          <w:lang w:eastAsia="cs-CZ"/>
        </w:rPr>
        <w:t>dle § 98 a §99 ZZVZ, neprodlužuje zadavatel lhůtu pro podání nabídek.</w:t>
      </w:r>
    </w:p>
    <w:p w14:paraId="0DDD16C5" w14:textId="10BE2A1F" w:rsidR="00273CE2" w:rsidRDefault="00273CE2" w:rsidP="00842C9B">
      <w:pPr>
        <w:pStyle w:val="Odstavecseseznamem"/>
        <w:spacing w:after="0" w:line="240" w:lineRule="auto"/>
        <w:ind w:left="0"/>
        <w:jc w:val="both"/>
        <w:rPr>
          <w:rFonts w:eastAsia="Times New Roman" w:cs="Times New Roman"/>
          <w:lang w:eastAsia="cs-CZ"/>
        </w:rPr>
      </w:pPr>
    </w:p>
    <w:p w14:paraId="0BF30B66" w14:textId="24232788" w:rsidR="00EF2E89" w:rsidRPr="003F37CB" w:rsidRDefault="00EF2E89" w:rsidP="00EF2E89">
      <w:pPr>
        <w:spacing w:after="0" w:line="240" w:lineRule="auto"/>
        <w:rPr>
          <w:rFonts w:eastAsia="Times New Roman" w:cs="Times New Roman"/>
          <w:bCs/>
          <w:lang w:eastAsia="cs-CZ"/>
        </w:rPr>
      </w:pPr>
      <w:r w:rsidRPr="008072B2">
        <w:rPr>
          <w:rFonts w:eastAsia="Times New Roman" w:cs="Times New Roman"/>
          <w:bCs/>
          <w:lang w:eastAsia="cs-CZ"/>
        </w:rPr>
        <w:t xml:space="preserve">Dále zadavatel zohledňuje skutečnost, že </w:t>
      </w:r>
      <w:r w:rsidR="008072B2" w:rsidRPr="008072B2">
        <w:rPr>
          <w:rFonts w:eastAsia="Times New Roman" w:cs="Times New Roman"/>
          <w:bCs/>
          <w:lang w:eastAsia="cs-CZ"/>
        </w:rPr>
        <w:t>odpověď na dotaz č.175 je uveřejněna s prodlením 1 dne.</w:t>
      </w:r>
      <w:r w:rsidRPr="008072B2">
        <w:rPr>
          <w:rFonts w:eastAsia="Times New Roman" w:cs="Times New Roman"/>
          <w:bCs/>
          <w:lang w:eastAsia="cs-CZ"/>
        </w:rPr>
        <w:t xml:space="preserve"> Z tohoto důvodu zadavatel prodlužuje lhůtu pro podání nabídek v souladu s </w:t>
      </w:r>
      <w:proofErr w:type="spellStart"/>
      <w:r w:rsidRPr="008072B2">
        <w:rPr>
          <w:rFonts w:eastAsia="Times New Roman" w:cs="Times New Roman"/>
          <w:bCs/>
          <w:lang w:eastAsia="cs-CZ"/>
        </w:rPr>
        <w:t>ust</w:t>
      </w:r>
      <w:proofErr w:type="spellEnd"/>
      <w:r w:rsidRPr="008072B2">
        <w:rPr>
          <w:rFonts w:eastAsia="Times New Roman" w:cs="Times New Roman"/>
          <w:bCs/>
          <w:lang w:eastAsia="cs-CZ"/>
        </w:rPr>
        <w:t>. § 98 odst. 4 ZZVZ o 1 pracovní den.</w:t>
      </w:r>
      <w:r w:rsidRPr="003F37CB">
        <w:rPr>
          <w:rFonts w:eastAsia="Times New Roman" w:cs="Times New Roman"/>
          <w:bCs/>
          <w:lang w:eastAsia="cs-CZ"/>
        </w:rPr>
        <w:t xml:space="preserve"> </w:t>
      </w:r>
    </w:p>
    <w:p w14:paraId="6A62B329" w14:textId="77777777" w:rsidR="00EF2E89" w:rsidRDefault="00EF2E89" w:rsidP="00842C9B">
      <w:pPr>
        <w:pStyle w:val="Odstavecseseznamem"/>
        <w:spacing w:after="0" w:line="240" w:lineRule="auto"/>
        <w:ind w:left="0"/>
        <w:jc w:val="both"/>
        <w:rPr>
          <w:rFonts w:eastAsia="Times New Roman" w:cs="Times New Roman"/>
          <w:lang w:eastAsia="cs-CZ"/>
        </w:rPr>
      </w:pPr>
    </w:p>
    <w:p w14:paraId="587715CA" w14:textId="77777777" w:rsidR="00664163" w:rsidRPr="00EF2E89" w:rsidRDefault="00664163" w:rsidP="00664163">
      <w:pPr>
        <w:spacing w:after="0" w:line="240" w:lineRule="auto"/>
        <w:rPr>
          <w:rFonts w:eastAsia="Times New Roman" w:cs="Times New Roman"/>
          <w:b/>
          <w:lang w:eastAsia="cs-CZ"/>
        </w:rPr>
      </w:pPr>
    </w:p>
    <w:p w14:paraId="7118AB88" w14:textId="43BA71E9" w:rsidR="00664163" w:rsidRPr="00EF2E89" w:rsidRDefault="00664163" w:rsidP="00D9490A">
      <w:pPr>
        <w:spacing w:after="0" w:line="240" w:lineRule="auto"/>
        <w:jc w:val="both"/>
        <w:rPr>
          <w:rFonts w:eastAsia="Times New Roman" w:cs="Times New Roman"/>
          <w:lang w:eastAsia="cs-CZ"/>
        </w:rPr>
      </w:pPr>
      <w:r w:rsidRPr="00EF2E89">
        <w:rPr>
          <w:rFonts w:eastAsia="Times New Roman" w:cs="Times New Roman"/>
          <w:lang w:eastAsia="cs-CZ"/>
        </w:rPr>
        <w:t xml:space="preserve">Zadavatel je dle § 212 odst. 4 ZZVZ v případě změny informací uvedených ve formuláři povinen odeslat opravný formulář. </w:t>
      </w:r>
      <w:r w:rsidR="007F626E" w:rsidRPr="00EF2E89">
        <w:rPr>
          <w:rFonts w:eastAsia="Times New Roman" w:cs="Times New Roman"/>
          <w:lang w:eastAsia="cs-CZ"/>
        </w:rPr>
        <w:t>Opravný f</w:t>
      </w:r>
      <w:r w:rsidRPr="00EF2E89">
        <w:rPr>
          <w:rFonts w:eastAsia="Times New Roman" w:cs="Times New Roman"/>
          <w:lang w:eastAsia="cs-CZ"/>
        </w:rPr>
        <w:t xml:space="preserve">ormulář Oznámení </w:t>
      </w:r>
      <w:r w:rsidR="007F626E" w:rsidRPr="00EF2E89">
        <w:rPr>
          <w:rFonts w:eastAsia="Times New Roman" w:cs="Times New Roman"/>
          <w:lang w:eastAsia="cs-CZ"/>
        </w:rPr>
        <w:t xml:space="preserve">o zahájení zadávacího řízení </w:t>
      </w:r>
      <w:r w:rsidRPr="00EF2E89">
        <w:rPr>
          <w:rFonts w:eastAsia="Times New Roman" w:cs="Times New Roman"/>
          <w:lang w:eastAsia="cs-CZ"/>
        </w:rPr>
        <w:t xml:space="preserve">bude uveřejněn na webovém portálu </w:t>
      </w:r>
      <w:hyperlink r:id="rId11" w:history="1">
        <w:r w:rsidRPr="00EF2E89">
          <w:rPr>
            <w:rStyle w:val="Hypertextovodkaz"/>
          </w:rPr>
          <w:t>https://vvz.nipez.cz/</w:t>
        </w:r>
      </w:hyperlink>
      <w:r w:rsidRPr="00EF2E89">
        <w:t xml:space="preserve"> </w:t>
      </w:r>
      <w:r w:rsidRPr="00EF2E89">
        <w:rPr>
          <w:rFonts w:eastAsia="Times New Roman" w:cs="Times New Roman"/>
          <w:lang w:eastAsia="cs-CZ"/>
        </w:rPr>
        <w:t xml:space="preserve"> (evidenční č. VZ: </w:t>
      </w:r>
      <w:r w:rsidR="002679CE" w:rsidRPr="00EF2E89">
        <w:rPr>
          <w:rFonts w:eastAsia="Times New Roman" w:cs="Times New Roman"/>
          <w:lang w:eastAsia="cs-CZ"/>
        </w:rPr>
        <w:t>Z2024-047248</w:t>
      </w:r>
      <w:r w:rsidRPr="00EF2E89">
        <w:rPr>
          <w:rFonts w:eastAsia="Times New Roman" w:cs="Times New Roman"/>
          <w:lang w:eastAsia="cs-CZ"/>
        </w:rPr>
        <w:t>). Změny se týkají těchto ustanovení:</w:t>
      </w:r>
    </w:p>
    <w:p w14:paraId="5A7982EE" w14:textId="77777777" w:rsidR="00664163" w:rsidRPr="00EF2E89" w:rsidRDefault="00664163" w:rsidP="00664163">
      <w:pPr>
        <w:spacing w:after="0" w:line="240" w:lineRule="auto"/>
        <w:rPr>
          <w:rFonts w:eastAsia="Times New Roman" w:cs="Times New Roman"/>
          <w:lang w:eastAsia="cs-CZ"/>
        </w:rPr>
      </w:pPr>
    </w:p>
    <w:p w14:paraId="6CE5A60D" w14:textId="77777777" w:rsidR="007F626E" w:rsidRPr="00EF2E89" w:rsidRDefault="007F626E" w:rsidP="007F626E">
      <w:pPr>
        <w:spacing w:after="0" w:line="240" w:lineRule="auto"/>
        <w:rPr>
          <w:rFonts w:eastAsia="Times New Roman" w:cs="Times New Roman"/>
          <w:b/>
          <w:lang w:eastAsia="cs-CZ"/>
        </w:rPr>
      </w:pPr>
      <w:r w:rsidRPr="00EF2E89">
        <w:rPr>
          <w:rFonts w:eastAsia="Times New Roman" w:cs="Times New Roman"/>
          <w:bCs/>
          <w:lang w:eastAsia="cs-CZ"/>
        </w:rPr>
        <w:t>Část</w:t>
      </w:r>
      <w:r w:rsidRPr="00EF2E89">
        <w:rPr>
          <w:rFonts w:eastAsia="Times New Roman" w:cs="Times New Roman"/>
          <w:b/>
          <w:lang w:eastAsia="cs-CZ"/>
        </w:rPr>
        <w:t xml:space="preserve"> INFORMACE O PODÁNÍ</w:t>
      </w:r>
    </w:p>
    <w:p w14:paraId="412028A6" w14:textId="77777777" w:rsidR="007F626E" w:rsidRPr="00EF2E89" w:rsidRDefault="007F626E" w:rsidP="007F626E">
      <w:pPr>
        <w:spacing w:after="0" w:line="240" w:lineRule="auto"/>
        <w:rPr>
          <w:rFonts w:eastAsia="Times New Roman" w:cs="Times New Roman"/>
          <w:b/>
          <w:lang w:eastAsia="cs-CZ"/>
        </w:rPr>
      </w:pPr>
    </w:p>
    <w:p w14:paraId="09C43FC0" w14:textId="77777777" w:rsidR="007F626E" w:rsidRPr="00EF2E89" w:rsidRDefault="007F626E" w:rsidP="007F626E">
      <w:pPr>
        <w:spacing w:after="0" w:line="240" w:lineRule="auto"/>
        <w:rPr>
          <w:rFonts w:eastAsia="Times New Roman" w:cs="Times New Roman"/>
          <w:b/>
          <w:lang w:eastAsia="cs-CZ"/>
        </w:rPr>
      </w:pPr>
      <w:r w:rsidRPr="00EF2E89">
        <w:rPr>
          <w:rFonts w:eastAsia="Times New Roman" w:cs="Times New Roman"/>
          <w:bCs/>
          <w:lang w:eastAsia="cs-CZ"/>
        </w:rPr>
        <w:t>Oddíl</w:t>
      </w:r>
      <w:r w:rsidRPr="00EF2E89">
        <w:rPr>
          <w:rFonts w:eastAsia="Times New Roman" w:cs="Times New Roman"/>
          <w:b/>
          <w:lang w:eastAsia="cs-CZ"/>
        </w:rPr>
        <w:t xml:space="preserve"> Lhůta pro podání nabídek – den (BT-131(d)-Lot) </w:t>
      </w:r>
    </w:p>
    <w:p w14:paraId="48CE5B40" w14:textId="77157B8B" w:rsidR="007F626E" w:rsidRPr="009C7B39" w:rsidRDefault="007F626E" w:rsidP="007F626E">
      <w:pPr>
        <w:spacing w:after="0" w:line="240" w:lineRule="auto"/>
        <w:rPr>
          <w:rFonts w:eastAsia="Times New Roman" w:cs="Times New Roman"/>
          <w:color w:val="000000" w:themeColor="text1"/>
          <w:lang w:eastAsia="cs-CZ"/>
        </w:rPr>
      </w:pPr>
      <w:r w:rsidRPr="00EF2E89">
        <w:rPr>
          <w:rFonts w:eastAsia="Times New Roman" w:cs="Times New Roman"/>
          <w:lang w:eastAsia="cs-CZ"/>
        </w:rPr>
        <w:t xml:space="preserve">rušíme datum </w:t>
      </w:r>
      <w:r w:rsidR="00102948" w:rsidRPr="00EF2E89">
        <w:rPr>
          <w:rFonts w:eastAsia="Times New Roman" w:cs="Times New Roman"/>
          <w:lang w:eastAsia="cs-CZ"/>
        </w:rPr>
        <w:t>17.1</w:t>
      </w:r>
      <w:r w:rsidR="008072B2">
        <w:rPr>
          <w:rFonts w:eastAsia="Times New Roman" w:cs="Times New Roman"/>
          <w:lang w:eastAsia="cs-CZ"/>
        </w:rPr>
        <w:t>2</w:t>
      </w:r>
      <w:r w:rsidR="00102948" w:rsidRPr="00EF2E89">
        <w:rPr>
          <w:rFonts w:eastAsia="Times New Roman" w:cs="Times New Roman"/>
          <w:lang w:eastAsia="cs-CZ"/>
        </w:rPr>
        <w:t>.2024</w:t>
      </w:r>
      <w:r w:rsidRPr="00EF2E89">
        <w:rPr>
          <w:rFonts w:eastAsia="Times New Roman" w:cs="Times New Roman"/>
          <w:lang w:eastAsia="cs-CZ"/>
        </w:rPr>
        <w:t xml:space="preserve"> a </w:t>
      </w:r>
      <w:r w:rsidRPr="00EF2E89">
        <w:rPr>
          <w:rFonts w:eastAsia="Times New Roman" w:cs="Times New Roman"/>
          <w:color w:val="000000" w:themeColor="text1"/>
          <w:lang w:eastAsia="cs-CZ"/>
        </w:rPr>
        <w:t xml:space="preserve">nahrazujeme datem </w:t>
      </w:r>
      <w:r w:rsidR="00EF2E89" w:rsidRPr="00EF2E89">
        <w:rPr>
          <w:rFonts w:eastAsia="Times New Roman" w:cs="Times New Roman"/>
          <w:b/>
          <w:bCs/>
          <w:color w:val="000000" w:themeColor="text1"/>
          <w:lang w:eastAsia="cs-CZ"/>
        </w:rPr>
        <w:t>18</w:t>
      </w:r>
      <w:r w:rsidR="00102948" w:rsidRPr="00EF2E89">
        <w:rPr>
          <w:rFonts w:eastAsia="Times New Roman" w:cs="Times New Roman"/>
          <w:b/>
          <w:bCs/>
          <w:color w:val="000000" w:themeColor="text1"/>
          <w:lang w:eastAsia="cs-CZ"/>
        </w:rPr>
        <w:t>.12.2024</w:t>
      </w:r>
      <w:r w:rsidRPr="00EF2E89">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5D7DDE8" w14:textId="38D27457" w:rsidR="00664163" w:rsidRPr="00102948" w:rsidRDefault="00664163" w:rsidP="00664163">
      <w:pPr>
        <w:tabs>
          <w:tab w:val="center" w:pos="7371"/>
        </w:tabs>
        <w:spacing w:after="0" w:line="240" w:lineRule="auto"/>
        <w:rPr>
          <w:rFonts w:eastAsia="Calibri" w:cs="Times New Roman"/>
          <w:b/>
          <w:bCs/>
          <w:lang w:eastAsia="cs-CZ"/>
        </w:rPr>
      </w:pPr>
      <w:r w:rsidRPr="00102948">
        <w:rPr>
          <w:rFonts w:eastAsia="Calibri" w:cs="Times New Roman"/>
          <w:bCs/>
          <w:lang w:eastAsia="cs-CZ"/>
        </w:rPr>
        <w:fldChar w:fldCharType="begin">
          <w:ffData>
            <w:name w:val="Text1"/>
            <w:enabled/>
            <w:calcOnExit w:val="0"/>
            <w:textInput>
              <w:type w:val="date"/>
              <w:format w:val="d.M.yyyy"/>
            </w:textInput>
          </w:ffData>
        </w:fldChar>
      </w:r>
      <w:r w:rsidRPr="00102948">
        <w:rPr>
          <w:rFonts w:eastAsia="Calibri" w:cs="Times New Roman"/>
          <w:bCs/>
          <w:lang w:eastAsia="cs-CZ"/>
        </w:rPr>
        <w:instrText xml:space="preserve"> FORMTEXT </w:instrText>
      </w:r>
      <w:r w:rsidRPr="00102948">
        <w:rPr>
          <w:rFonts w:eastAsia="Calibri" w:cs="Times New Roman"/>
          <w:bCs/>
          <w:lang w:eastAsia="cs-CZ"/>
        </w:rPr>
      </w:r>
      <w:r w:rsidRPr="00102948">
        <w:rPr>
          <w:rFonts w:eastAsia="Calibri" w:cs="Times New Roman"/>
          <w:bCs/>
          <w:lang w:eastAsia="cs-CZ"/>
        </w:rPr>
        <w:fldChar w:fldCharType="separate"/>
      </w:r>
      <w:r w:rsidRPr="00102948">
        <w:rPr>
          <w:rFonts w:eastAsia="Calibri" w:cs="Times New Roman"/>
          <w:bCs/>
          <w:lang w:eastAsia="cs-CZ"/>
        </w:rPr>
        <w:t> </w:t>
      </w:r>
      <w:r w:rsidRPr="00102948">
        <w:rPr>
          <w:rFonts w:eastAsia="Calibri" w:cs="Times New Roman"/>
          <w:bCs/>
          <w:lang w:eastAsia="cs-CZ"/>
        </w:rPr>
        <w:t> </w:t>
      </w:r>
      <w:r w:rsidRPr="00102948">
        <w:rPr>
          <w:rFonts w:eastAsia="Calibri" w:cs="Times New Roman"/>
          <w:bCs/>
          <w:lang w:eastAsia="cs-CZ"/>
        </w:rPr>
        <w:t> </w:t>
      </w:r>
      <w:r w:rsidRPr="00102948">
        <w:rPr>
          <w:rFonts w:eastAsia="Calibri" w:cs="Times New Roman"/>
          <w:bCs/>
          <w:lang w:eastAsia="cs-CZ"/>
        </w:rPr>
        <w:t> </w:t>
      </w:r>
      <w:r w:rsidRPr="00102948">
        <w:rPr>
          <w:rFonts w:eastAsia="Calibri" w:cs="Times New Roman"/>
          <w:bCs/>
          <w:lang w:eastAsia="cs-CZ"/>
        </w:rPr>
        <w:t> </w:t>
      </w:r>
      <w:r w:rsidRPr="00102948">
        <w:rPr>
          <w:rFonts w:eastAsia="Calibri" w:cs="Times New Roman"/>
          <w:bCs/>
          <w:lang w:eastAsia="cs-CZ"/>
        </w:rPr>
        <w:fldChar w:fldCharType="end"/>
      </w:r>
    </w:p>
    <w:p w14:paraId="11FC1E85" w14:textId="2BF4407B" w:rsidR="00664163" w:rsidRDefault="00664163" w:rsidP="00664163">
      <w:pPr>
        <w:spacing w:after="0" w:line="240" w:lineRule="auto"/>
        <w:jc w:val="both"/>
        <w:rPr>
          <w:rFonts w:eastAsia="Calibri" w:cs="Times New Roman"/>
          <w:lang w:eastAsia="cs-CZ"/>
        </w:rPr>
      </w:pPr>
    </w:p>
    <w:p w14:paraId="545A89F2" w14:textId="77777777" w:rsidR="00102948" w:rsidRPr="00102948" w:rsidRDefault="00102948" w:rsidP="00664163">
      <w:pPr>
        <w:spacing w:after="0" w:line="240" w:lineRule="auto"/>
        <w:jc w:val="both"/>
        <w:rPr>
          <w:rFonts w:eastAsia="Calibri" w:cs="Times New Roman"/>
          <w:lang w:eastAsia="cs-CZ"/>
        </w:rPr>
      </w:pPr>
    </w:p>
    <w:p w14:paraId="102B7D61" w14:textId="682D4671" w:rsidR="00664163" w:rsidRPr="00BD5319" w:rsidRDefault="00664163" w:rsidP="00664163">
      <w:pPr>
        <w:spacing w:after="0" w:line="240" w:lineRule="auto"/>
        <w:jc w:val="both"/>
        <w:rPr>
          <w:rFonts w:eastAsia="Calibri" w:cs="Times New Roman"/>
          <w:lang w:eastAsia="cs-CZ"/>
        </w:rPr>
      </w:pPr>
      <w:r w:rsidRPr="00102948">
        <w:rPr>
          <w:rFonts w:eastAsia="Calibri" w:cs="Times New Roman"/>
          <w:lang w:eastAsia="cs-CZ"/>
        </w:rPr>
        <w:t>V Praze</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095CB07F" w:rsidR="00664163" w:rsidRDefault="00664163" w:rsidP="00664163">
      <w:pPr>
        <w:spacing w:after="0" w:line="240" w:lineRule="auto"/>
        <w:rPr>
          <w:rFonts w:eastAsia="Calibri" w:cs="Times New Roman"/>
          <w:b/>
          <w:bCs/>
          <w:lang w:eastAsia="cs-CZ"/>
        </w:rPr>
      </w:pPr>
    </w:p>
    <w:p w14:paraId="43EB9C54" w14:textId="77777777" w:rsidR="00102948" w:rsidRDefault="00102948"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Pr="00102948" w:rsidRDefault="00664163" w:rsidP="00664163">
      <w:pPr>
        <w:autoSpaceDE w:val="0"/>
        <w:autoSpaceDN w:val="0"/>
        <w:adjustRightInd w:val="0"/>
        <w:spacing w:after="0" w:line="240" w:lineRule="auto"/>
        <w:rPr>
          <w:rFonts w:ascii="Verdana,Bold" w:hAnsi="Verdana,Bold" w:cs="Verdana,Bold"/>
          <w:b/>
          <w:bCs/>
        </w:rPr>
      </w:pPr>
      <w:r w:rsidRPr="00102948">
        <w:rPr>
          <w:rFonts w:ascii="Verdana,Bold" w:hAnsi="Verdana,Bold" w:cs="Verdana,Bold"/>
          <w:b/>
          <w:bCs/>
        </w:rPr>
        <w:t>Ing. Ondřej Göpfert</w:t>
      </w:r>
    </w:p>
    <w:p w14:paraId="21338602" w14:textId="77777777" w:rsidR="00664163" w:rsidRPr="00102948" w:rsidRDefault="00664163" w:rsidP="00664163">
      <w:pPr>
        <w:autoSpaceDE w:val="0"/>
        <w:autoSpaceDN w:val="0"/>
        <w:adjustRightInd w:val="0"/>
        <w:spacing w:after="0" w:line="240" w:lineRule="auto"/>
        <w:rPr>
          <w:rFonts w:ascii="Verdana" w:hAnsi="Verdana" w:cs="Verdana"/>
        </w:rPr>
      </w:pPr>
      <w:r w:rsidRPr="00102948">
        <w:rPr>
          <w:rFonts w:ascii="Verdana" w:hAnsi="Verdana" w:cs="Verdana"/>
        </w:rPr>
        <w:t>ředitel odboru investičního</w:t>
      </w:r>
    </w:p>
    <w:p w14:paraId="50A8C07C" w14:textId="77777777" w:rsidR="00664163" w:rsidRPr="00102948" w:rsidRDefault="00664163" w:rsidP="00664163">
      <w:pPr>
        <w:autoSpaceDE w:val="0"/>
        <w:autoSpaceDN w:val="0"/>
        <w:adjustRightInd w:val="0"/>
        <w:spacing w:after="0" w:line="240" w:lineRule="auto"/>
        <w:rPr>
          <w:rFonts w:ascii="Verdana" w:hAnsi="Verdana" w:cs="Verdana"/>
        </w:rPr>
      </w:pPr>
      <w:r w:rsidRPr="00102948">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102948">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75C7C" w14:textId="77777777" w:rsidR="005D32A5" w:rsidRDefault="005D32A5" w:rsidP="00962258">
      <w:pPr>
        <w:spacing w:after="0" w:line="240" w:lineRule="auto"/>
      </w:pPr>
      <w:r>
        <w:separator/>
      </w:r>
    </w:p>
  </w:endnote>
  <w:endnote w:type="continuationSeparator" w:id="0">
    <w:p w14:paraId="30CC4B8F" w14:textId="77777777" w:rsidR="005D32A5" w:rsidRDefault="005D32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ADDDB" w14:textId="77777777" w:rsidR="005D32A5" w:rsidRDefault="005D32A5" w:rsidP="00962258">
      <w:pPr>
        <w:spacing w:after="0" w:line="240" w:lineRule="auto"/>
      </w:pPr>
      <w:r>
        <w:separator/>
      </w:r>
    </w:p>
  </w:footnote>
  <w:footnote w:type="continuationSeparator" w:id="0">
    <w:p w14:paraId="2C27B665" w14:textId="77777777" w:rsidR="005D32A5" w:rsidRDefault="005D32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A56758"/>
    <w:multiLevelType w:val="hybridMultilevel"/>
    <w:tmpl w:val="E5F47C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970F3F"/>
    <w:multiLevelType w:val="hybridMultilevel"/>
    <w:tmpl w:val="3A66B460"/>
    <w:lvl w:ilvl="0" w:tplc="100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abstractNum w:abstractNumId="10" w15:restartNumberingAfterBreak="0">
    <w:nsid w:val="7F31411F"/>
    <w:multiLevelType w:val="hybridMultilevel"/>
    <w:tmpl w:val="F2F8B508"/>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9"/>
  </w:num>
  <w:num w:numId="5">
    <w:abstractNumId w:val="0"/>
  </w:num>
  <w:num w:numId="6">
    <w:abstractNumId w:val="8"/>
  </w:num>
  <w:num w:numId="7">
    <w:abstractNumId w:val="7"/>
  </w:num>
  <w:num w:numId="8">
    <w:abstractNumId w:val="3"/>
  </w:num>
  <w:num w:numId="9">
    <w:abstractNumId w:val="10"/>
  </w:num>
  <w:num w:numId="10">
    <w:abstractNumId w:val="5"/>
  </w:num>
  <w:num w:numId="11">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35464"/>
    <w:rsid w:val="00040B56"/>
    <w:rsid w:val="00053B58"/>
    <w:rsid w:val="00066116"/>
    <w:rsid w:val="00072C1E"/>
    <w:rsid w:val="000B3A82"/>
    <w:rsid w:val="000B6C7E"/>
    <w:rsid w:val="000B7907"/>
    <w:rsid w:val="000C0429"/>
    <w:rsid w:val="000C45E8"/>
    <w:rsid w:val="000D69FC"/>
    <w:rsid w:val="000E5D23"/>
    <w:rsid w:val="00102948"/>
    <w:rsid w:val="00114472"/>
    <w:rsid w:val="001267E4"/>
    <w:rsid w:val="00146EF8"/>
    <w:rsid w:val="00170EC5"/>
    <w:rsid w:val="001747C1"/>
    <w:rsid w:val="0018596A"/>
    <w:rsid w:val="001B69C2"/>
    <w:rsid w:val="001C4DA0"/>
    <w:rsid w:val="00200B10"/>
    <w:rsid w:val="00207DF5"/>
    <w:rsid w:val="00267369"/>
    <w:rsid w:val="0026785D"/>
    <w:rsid w:val="002679CE"/>
    <w:rsid w:val="00272F95"/>
    <w:rsid w:val="00273CE2"/>
    <w:rsid w:val="00296D39"/>
    <w:rsid w:val="002A59FE"/>
    <w:rsid w:val="002C31BF"/>
    <w:rsid w:val="002E0CD7"/>
    <w:rsid w:val="002F026B"/>
    <w:rsid w:val="00303072"/>
    <w:rsid w:val="00323E92"/>
    <w:rsid w:val="00335122"/>
    <w:rsid w:val="00335732"/>
    <w:rsid w:val="00357BC6"/>
    <w:rsid w:val="0037111D"/>
    <w:rsid w:val="003756B9"/>
    <w:rsid w:val="0039072F"/>
    <w:rsid w:val="003956C6"/>
    <w:rsid w:val="003E6B9A"/>
    <w:rsid w:val="003E75CE"/>
    <w:rsid w:val="0041380F"/>
    <w:rsid w:val="00450F07"/>
    <w:rsid w:val="00451ED3"/>
    <w:rsid w:val="00453CD3"/>
    <w:rsid w:val="00455BC7"/>
    <w:rsid w:val="00460660"/>
    <w:rsid w:val="00460CCB"/>
    <w:rsid w:val="00477370"/>
    <w:rsid w:val="00486107"/>
    <w:rsid w:val="00491827"/>
    <w:rsid w:val="004926B0"/>
    <w:rsid w:val="004A0E8E"/>
    <w:rsid w:val="004A0F75"/>
    <w:rsid w:val="004A7C69"/>
    <w:rsid w:val="004B03F1"/>
    <w:rsid w:val="004C4399"/>
    <w:rsid w:val="004C69ED"/>
    <w:rsid w:val="004C787C"/>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5D32A5"/>
    <w:rsid w:val="006104F6"/>
    <w:rsid w:val="0061068E"/>
    <w:rsid w:val="00613227"/>
    <w:rsid w:val="00630DC6"/>
    <w:rsid w:val="00660AD3"/>
    <w:rsid w:val="00664163"/>
    <w:rsid w:val="006A5570"/>
    <w:rsid w:val="006A689C"/>
    <w:rsid w:val="006B3D79"/>
    <w:rsid w:val="006B7D49"/>
    <w:rsid w:val="006E0578"/>
    <w:rsid w:val="006E314D"/>
    <w:rsid w:val="006E7F06"/>
    <w:rsid w:val="007017BB"/>
    <w:rsid w:val="007021F6"/>
    <w:rsid w:val="007025C7"/>
    <w:rsid w:val="00710439"/>
    <w:rsid w:val="00710723"/>
    <w:rsid w:val="00712E5B"/>
    <w:rsid w:val="00712ED1"/>
    <w:rsid w:val="00723ED1"/>
    <w:rsid w:val="00735ED4"/>
    <w:rsid w:val="00743525"/>
    <w:rsid w:val="007531A0"/>
    <w:rsid w:val="00753DC9"/>
    <w:rsid w:val="00761090"/>
    <w:rsid w:val="0076286B"/>
    <w:rsid w:val="00764595"/>
    <w:rsid w:val="00766846"/>
    <w:rsid w:val="0077673A"/>
    <w:rsid w:val="007846E1"/>
    <w:rsid w:val="007A0EFE"/>
    <w:rsid w:val="007A23DA"/>
    <w:rsid w:val="007B570C"/>
    <w:rsid w:val="007E4A6E"/>
    <w:rsid w:val="007F56A7"/>
    <w:rsid w:val="007F626E"/>
    <w:rsid w:val="007F74FC"/>
    <w:rsid w:val="008072B2"/>
    <w:rsid w:val="00807DD0"/>
    <w:rsid w:val="00813F11"/>
    <w:rsid w:val="008154CF"/>
    <w:rsid w:val="00842C9B"/>
    <w:rsid w:val="008711EA"/>
    <w:rsid w:val="008841FB"/>
    <w:rsid w:val="0088472C"/>
    <w:rsid w:val="00891334"/>
    <w:rsid w:val="008A3568"/>
    <w:rsid w:val="008C4E47"/>
    <w:rsid w:val="008D03B9"/>
    <w:rsid w:val="008F18D6"/>
    <w:rsid w:val="00904780"/>
    <w:rsid w:val="009060D1"/>
    <w:rsid w:val="009113A8"/>
    <w:rsid w:val="00913EB1"/>
    <w:rsid w:val="00922385"/>
    <w:rsid w:val="009223DF"/>
    <w:rsid w:val="00934DC3"/>
    <w:rsid w:val="00936091"/>
    <w:rsid w:val="00940D8A"/>
    <w:rsid w:val="00945324"/>
    <w:rsid w:val="0095327E"/>
    <w:rsid w:val="00962258"/>
    <w:rsid w:val="009678B7"/>
    <w:rsid w:val="00982411"/>
    <w:rsid w:val="00990A76"/>
    <w:rsid w:val="00992D9C"/>
    <w:rsid w:val="00996CB8"/>
    <w:rsid w:val="009A46FD"/>
    <w:rsid w:val="009A7568"/>
    <w:rsid w:val="009B2E97"/>
    <w:rsid w:val="009B3C69"/>
    <w:rsid w:val="009B72CC"/>
    <w:rsid w:val="009C7B39"/>
    <w:rsid w:val="009E07F4"/>
    <w:rsid w:val="009F392E"/>
    <w:rsid w:val="00A30998"/>
    <w:rsid w:val="00A44328"/>
    <w:rsid w:val="00A509D7"/>
    <w:rsid w:val="00A6177B"/>
    <w:rsid w:val="00A66136"/>
    <w:rsid w:val="00A943B5"/>
    <w:rsid w:val="00AA4CBB"/>
    <w:rsid w:val="00AA65FA"/>
    <w:rsid w:val="00AA7351"/>
    <w:rsid w:val="00AC56A4"/>
    <w:rsid w:val="00AD056F"/>
    <w:rsid w:val="00AD2773"/>
    <w:rsid w:val="00AD6731"/>
    <w:rsid w:val="00AE1DDE"/>
    <w:rsid w:val="00AE4F49"/>
    <w:rsid w:val="00B15B5E"/>
    <w:rsid w:val="00B15D0D"/>
    <w:rsid w:val="00B23CA3"/>
    <w:rsid w:val="00B3491A"/>
    <w:rsid w:val="00B42E37"/>
    <w:rsid w:val="00B45E9E"/>
    <w:rsid w:val="00B55F9C"/>
    <w:rsid w:val="00B63079"/>
    <w:rsid w:val="00B71F6E"/>
    <w:rsid w:val="00B75EE1"/>
    <w:rsid w:val="00B77481"/>
    <w:rsid w:val="00B8518B"/>
    <w:rsid w:val="00B93CB6"/>
    <w:rsid w:val="00BA56EE"/>
    <w:rsid w:val="00BA58BC"/>
    <w:rsid w:val="00BB3740"/>
    <w:rsid w:val="00BD5319"/>
    <w:rsid w:val="00BD7E91"/>
    <w:rsid w:val="00BF374D"/>
    <w:rsid w:val="00BF6D48"/>
    <w:rsid w:val="00C02D0A"/>
    <w:rsid w:val="00C03A6E"/>
    <w:rsid w:val="00C30759"/>
    <w:rsid w:val="00C44F6A"/>
    <w:rsid w:val="00C727E5"/>
    <w:rsid w:val="00C8207D"/>
    <w:rsid w:val="00CB7B5A"/>
    <w:rsid w:val="00CC1E2B"/>
    <w:rsid w:val="00CD1FC4"/>
    <w:rsid w:val="00CE371D"/>
    <w:rsid w:val="00D02A4D"/>
    <w:rsid w:val="00D14843"/>
    <w:rsid w:val="00D21061"/>
    <w:rsid w:val="00D316A7"/>
    <w:rsid w:val="00D4108E"/>
    <w:rsid w:val="00D548C8"/>
    <w:rsid w:val="00D6163D"/>
    <w:rsid w:val="00D63009"/>
    <w:rsid w:val="00D74160"/>
    <w:rsid w:val="00D831A3"/>
    <w:rsid w:val="00D902AD"/>
    <w:rsid w:val="00D9490A"/>
    <w:rsid w:val="00DA6FFE"/>
    <w:rsid w:val="00DC3110"/>
    <w:rsid w:val="00DD46F3"/>
    <w:rsid w:val="00DD58A6"/>
    <w:rsid w:val="00DE56F2"/>
    <w:rsid w:val="00DE7F93"/>
    <w:rsid w:val="00DF116D"/>
    <w:rsid w:val="00E06AD1"/>
    <w:rsid w:val="00E10710"/>
    <w:rsid w:val="00E77086"/>
    <w:rsid w:val="00E824F1"/>
    <w:rsid w:val="00E9347D"/>
    <w:rsid w:val="00EB104F"/>
    <w:rsid w:val="00ED14BD"/>
    <w:rsid w:val="00EE2A47"/>
    <w:rsid w:val="00EF2E89"/>
    <w:rsid w:val="00F01440"/>
    <w:rsid w:val="00F05B6B"/>
    <w:rsid w:val="00F12DEC"/>
    <w:rsid w:val="00F1715C"/>
    <w:rsid w:val="00F310F8"/>
    <w:rsid w:val="00F35939"/>
    <w:rsid w:val="00F45607"/>
    <w:rsid w:val="00F64786"/>
    <w:rsid w:val="00F659EB"/>
    <w:rsid w:val="00F70CDB"/>
    <w:rsid w:val="00F804A7"/>
    <w:rsid w:val="00F8318E"/>
    <w:rsid w:val="00F862D6"/>
    <w:rsid w:val="00F86BA6"/>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Nad,Odstavec_muj,Odstavec cíl se seznamem,Odstavec se seznamem5,Odrážky,List Paragraph (Czech Tourism),xxxxx,Odrazky,Bullet List,lp1,Puce,Use Case List Paragraph,Heading2,Bullet for no #'s,Body Bullet,List bullet,List Paragraph 1,Re"/>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customStyle="1" w:styleId="OdstavecseseznamemChar">
    <w:name w:val="Odstavec se seznamem Char"/>
    <w:aliases w:val="Nad Char,Odstavec_muj Char,Odstavec cíl se seznamem Char,Odstavec se seznamem5 Char,Odrážky Char,List Paragraph (Czech Tourism) Char,xxxxx Char,Odrazky Char,Bullet List Char,lp1 Char,Puce Char,Use Case List Paragraph Char"/>
    <w:link w:val="Odstavecseseznamem"/>
    <w:uiPriority w:val="34"/>
    <w:qFormat/>
    <w:rsid w:val="00F70CDB"/>
  </w:style>
  <w:style w:type="paragraph" w:customStyle="1" w:styleId="Odrka1-1">
    <w:name w:val="_Odrážka_1-1_•"/>
    <w:basedOn w:val="Normln"/>
    <w:qFormat/>
    <w:rsid w:val="00F70CDB"/>
    <w:pPr>
      <w:numPr>
        <w:numId w:val="10"/>
      </w:numPr>
      <w:spacing w:after="120"/>
      <w:jc w:val="both"/>
    </w:pPr>
  </w:style>
  <w:style w:type="paragraph" w:customStyle="1" w:styleId="Odrka1-2-">
    <w:name w:val="_Odrážka_1-2_-"/>
    <w:basedOn w:val="Odrka1-1"/>
    <w:qFormat/>
    <w:rsid w:val="00F70CDB"/>
    <w:pPr>
      <w:numPr>
        <w:ilvl w:val="1"/>
      </w:numPr>
      <w:spacing w:after="60"/>
    </w:pPr>
  </w:style>
  <w:style w:type="paragraph" w:customStyle="1" w:styleId="Odrka1-3">
    <w:name w:val="_Odrážka_1-3_·"/>
    <w:basedOn w:val="Odrka1-2-"/>
    <w:qFormat/>
    <w:rsid w:val="00F70CDB"/>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6B36917-0FB1-4E63-B43D-90D75D95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4</Pages>
  <Words>1772</Words>
  <Characters>10460</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5</cp:revision>
  <cp:lastPrinted>2024-11-26T08:03:00Z</cp:lastPrinted>
  <dcterms:created xsi:type="dcterms:W3CDTF">2024-11-29T10:43:00Z</dcterms:created>
  <dcterms:modified xsi:type="dcterms:W3CDTF">2024-11-29T11:37:00Z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