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715FD9B" w:rsidR="00F862D6" w:rsidRPr="003E6B9A" w:rsidRDefault="00FB7AFF" w:rsidP="0037111D">
            <w:r w:rsidRPr="00FB7AFF">
              <w:rPr>
                <w:rFonts w:ascii="Helvetica" w:hAnsi="Helvetica"/>
              </w:rPr>
              <w:t>12942/2024-SŽ-SSV-Ú3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359CA" w:rsidRDefault="00F862D6" w:rsidP="0077673A">
            <w:r w:rsidRPr="006359CA">
              <w:t>Listů/příloh</w:t>
            </w:r>
          </w:p>
        </w:tc>
        <w:tc>
          <w:tcPr>
            <w:tcW w:w="2552" w:type="dxa"/>
          </w:tcPr>
          <w:p w14:paraId="333CD487" w14:textId="6BFB2162" w:rsidR="00F862D6" w:rsidRPr="006359CA" w:rsidRDefault="006359CA" w:rsidP="00CC1E2B">
            <w:r w:rsidRPr="006359CA">
              <w:t>3</w:t>
            </w:r>
            <w:r w:rsidR="003E6B9A" w:rsidRPr="006359CA">
              <w:t>/</w:t>
            </w:r>
            <w:r w:rsidRPr="006359CA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40EA08A" w:rsidR="00F862D6" w:rsidRPr="003E6B9A" w:rsidRDefault="0004091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5203912" w:rsidR="009A7568" w:rsidRPr="003E6B9A" w:rsidRDefault="0004091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743F2BAE" w:rsidR="009A7568" w:rsidRPr="003E6B9A" w:rsidRDefault="00040917" w:rsidP="006104F6">
            <w:hyperlink r:id="rId11" w:history="1">
              <w:r w:rsidRPr="002F1315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7B98F9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D35E0">
              <w:rPr>
                <w:noProof/>
              </w:rPr>
              <w:t>21.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AAED47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B7AFF">
        <w:rPr>
          <w:rFonts w:eastAsia="Times New Roman" w:cs="Times New Roman"/>
          <w:lang w:eastAsia="cs-CZ"/>
        </w:rPr>
        <w:t>3</w:t>
      </w:r>
    </w:p>
    <w:p w14:paraId="25C6ADAC" w14:textId="08C4C4BE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040917">
        <w:rPr>
          <w:rFonts w:eastAsia="Calibri" w:cs="Times New Roman"/>
          <w:b/>
          <w:bCs/>
          <w:lang w:eastAsia="cs-CZ"/>
        </w:rPr>
        <w:t xml:space="preserve">Rekonstrukce TZZ </w:t>
      </w:r>
      <w:proofErr w:type="gramStart"/>
      <w:r w:rsidR="00040917">
        <w:rPr>
          <w:rFonts w:eastAsia="Calibri" w:cs="Times New Roman"/>
          <w:b/>
          <w:bCs/>
          <w:lang w:eastAsia="cs-CZ"/>
        </w:rPr>
        <w:t>Přelouč - Prachovice</w:t>
      </w:r>
      <w:proofErr w:type="gramEnd"/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E269C09" w14:textId="601999AB" w:rsidR="005C663F" w:rsidRDefault="005C663F" w:rsidP="005C663F">
      <w:pPr>
        <w:spacing w:after="0" w:line="240" w:lineRule="auto"/>
        <w:rPr>
          <w:i/>
          <w:iCs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5C5B9636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B7AFF">
        <w:rPr>
          <w:rFonts w:eastAsia="Calibri" w:cs="Times New Roman"/>
          <w:b/>
          <w:lang w:eastAsia="cs-CZ"/>
        </w:rPr>
        <w:t>56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1FD7DA0D" w:rsidR="00BD5319" w:rsidRDefault="00FB7AFF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Geodetická část:</w:t>
      </w:r>
    </w:p>
    <w:p w14:paraId="2308D991" w14:textId="6E06ACBF" w:rsidR="00FB7AFF" w:rsidRPr="00FB7AFF" w:rsidRDefault="00FB7AFF" w:rsidP="00FB7AF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7AFF">
        <w:rPr>
          <w:rFonts w:eastAsia="Calibri" w:cs="Times New Roman"/>
          <w:bCs/>
          <w:lang w:eastAsia="cs-CZ"/>
        </w:rPr>
        <w:t xml:space="preserve">V úseku Přelouč – Heřmanův Městec, kde probíhají i práce na železničním svršku se má vybudovat ŽBP včetně zajištění koleje dle nových předpisů pro zajištění PPK na neelektrizovaných tratích (Dopis O13 k zajištění PPK na neelektrizovaných tratích). V úseku Heřmanův Městec – Práchovice probíhají pouze práce na kabelech. </w:t>
      </w:r>
      <w:r w:rsidRPr="00FB7AFF">
        <w:rPr>
          <w:rFonts w:eastAsia="Calibri" w:cs="Times New Roman"/>
          <w:bCs/>
          <w:u w:val="single"/>
          <w:lang w:eastAsia="cs-CZ"/>
        </w:rPr>
        <w:t>Domníváme se správně, že v tomto úseku nebude budováno nové ŽBP a zajištění koleje a dojde pouze k náhradě zničených bodů výkopovými pracemi na kabelových trasách, k čemuž slouží položka ve VON – VSEOB007?</w:t>
      </w:r>
    </w:p>
    <w:p w14:paraId="476F0BB5" w14:textId="77777777" w:rsidR="00FB7AFF" w:rsidRPr="00BD5319" w:rsidRDefault="00FB7AF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77AEFC3" w14:textId="77777777" w:rsidR="00E764B1" w:rsidRPr="00811F79" w:rsidRDefault="00E764B1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>V rámci výstavby kabelových tras dojde ke kolizi s ŽBP, kolizní místo je předmětem pol. VSEOB007, kde si uchazeč zohlední všechny náklady na obnovu stávajícího ŽBP.</w:t>
      </w:r>
    </w:p>
    <w:p w14:paraId="2A009BB6" w14:textId="224CE8E7" w:rsidR="00FB7AFF" w:rsidRPr="00811F79" w:rsidRDefault="00E764B1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>Bez úprav dokumentace.</w:t>
      </w:r>
    </w:p>
    <w:p w14:paraId="299282E7" w14:textId="77777777" w:rsidR="00F65415" w:rsidRDefault="00F6541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B31290" w14:textId="77777777" w:rsidR="00811F79" w:rsidRDefault="00811F7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8D299C" w14:textId="74B4B128" w:rsidR="00FB7AFF" w:rsidRDefault="00F65415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57:</w:t>
      </w:r>
    </w:p>
    <w:p w14:paraId="58CCA218" w14:textId="0139FA95" w:rsidR="00F65415" w:rsidRPr="00F65415" w:rsidRDefault="00F65415" w:rsidP="00F65415">
      <w:pPr>
        <w:spacing w:after="0" w:line="240" w:lineRule="auto"/>
        <w:rPr>
          <w:rFonts w:eastAsia="Calibri" w:cs="Times New Roman"/>
          <w:b/>
          <w:lang w:eastAsia="cs-CZ"/>
        </w:rPr>
      </w:pPr>
      <w:r w:rsidRPr="00F65415">
        <w:rPr>
          <w:rFonts w:eastAsia="Calibri" w:cs="Times New Roman"/>
          <w:b/>
          <w:lang w:eastAsia="cs-CZ"/>
        </w:rPr>
        <w:t>PS 00-02-81 (Přelouč – Kostelec u H. M., přenosové systémy)</w:t>
      </w:r>
    </w:p>
    <w:p w14:paraId="14EA6B4C" w14:textId="3D73673C" w:rsidR="00F65415" w:rsidRPr="00F65415" w:rsidRDefault="00F65415" w:rsidP="00F6541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65415">
        <w:rPr>
          <w:rFonts w:eastAsia="Calibri" w:cs="Times New Roman"/>
          <w:bCs/>
          <w:lang w:eastAsia="cs-CZ"/>
        </w:rPr>
        <w:t xml:space="preserve">Po prozkoumání výkresu 2.015 jsme došli k závěru, že v soupisu prací došlo k záměně přiřazení množství u položek č. </w:t>
      </w:r>
      <w:proofErr w:type="gramStart"/>
      <w:r w:rsidRPr="00F65415">
        <w:rPr>
          <w:rFonts w:eastAsia="Calibri" w:cs="Times New Roman"/>
          <w:bCs/>
          <w:lang w:eastAsia="cs-CZ"/>
        </w:rPr>
        <w:t>63 – 67</w:t>
      </w:r>
      <w:proofErr w:type="gramEnd"/>
      <w:r w:rsidRPr="00F65415">
        <w:rPr>
          <w:rFonts w:eastAsia="Calibri" w:cs="Times New Roman"/>
          <w:bCs/>
          <w:lang w:eastAsia="cs-CZ"/>
        </w:rPr>
        <w:t>.  Množství uvedené u 1G SFP odpovídá množství u 10G SFP a totéž platí i obráceně. Žádáme zadavatele o opravu soupisu prací.</w:t>
      </w:r>
    </w:p>
    <w:p w14:paraId="787D7D39" w14:textId="77777777" w:rsidR="00F65415" w:rsidRDefault="00F65415" w:rsidP="00F6541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88EAA6" w14:textId="7403B374" w:rsidR="00F65415" w:rsidRDefault="00F65415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8DAD5BD" w14:textId="77777777" w:rsidR="00E764B1" w:rsidRPr="00811F79" w:rsidRDefault="00E764B1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 xml:space="preserve">Soupis prací byl aktualizován na základě výkresu 2.015 zadávací dokumentace. Množství u položek č. 63–68 je upraveno následovně. U položky č. 63 zůstává množství 2 kusy. U položky č. 64 zůstává množství 8 kusů. U položky č. 65 upraveno množství na 0 kusů. U položky č. 66 upraveno množství na 12 kusů. U položky č. 67 upraveno množství na 24 kusů. U položky č. 68 upraveno množství na 46 kusů. </w:t>
      </w:r>
    </w:p>
    <w:p w14:paraId="10E8C8A5" w14:textId="66517E4B" w:rsidR="00BD5319" w:rsidRPr="00811F79" w:rsidRDefault="00E764B1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 xml:space="preserve">Provedena úprava dokumentace, doplnění soupisu </w:t>
      </w:r>
      <w:r w:rsidR="00675B2D" w:rsidRPr="00811F79">
        <w:rPr>
          <w:rFonts w:eastAsia="Calibri" w:cs="Times New Roman"/>
          <w:bCs/>
          <w:lang w:eastAsia="cs-CZ"/>
        </w:rPr>
        <w:t>prací.</w:t>
      </w:r>
    </w:p>
    <w:p w14:paraId="2A1CFAEA" w14:textId="77777777" w:rsidR="00D50B63" w:rsidRDefault="00D50B6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38B636" w14:textId="77777777" w:rsidR="00D50B63" w:rsidRPr="00D50B63" w:rsidRDefault="00D50B63" w:rsidP="00BD5319">
      <w:pPr>
        <w:spacing w:after="0" w:line="240" w:lineRule="auto"/>
        <w:rPr>
          <w:rFonts w:eastAsia="Calibri" w:cs="Times New Roman"/>
          <w:b/>
          <w:color w:val="FF0000"/>
          <w:u w:val="single"/>
          <w:lang w:eastAsia="cs-CZ"/>
        </w:rPr>
      </w:pPr>
    </w:p>
    <w:p w14:paraId="0E653EE7" w14:textId="536513F7" w:rsidR="00D50B63" w:rsidRDefault="00D50B63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č.58:</w:t>
      </w:r>
    </w:p>
    <w:p w14:paraId="33A36BDC" w14:textId="77777777" w:rsidR="003D415A" w:rsidRPr="00112017" w:rsidRDefault="003D415A" w:rsidP="003D415A">
      <w:pPr>
        <w:spacing w:after="0"/>
      </w:pPr>
      <w:r w:rsidRPr="00112017">
        <w:rPr>
          <w:b/>
        </w:rPr>
        <w:t xml:space="preserve">SO 98-98, Všeobecný objekt. </w:t>
      </w:r>
      <w:r w:rsidRPr="00112017">
        <w:t>V soupisu prací se nachází položka:</w:t>
      </w:r>
    </w:p>
    <w:tbl>
      <w:tblPr>
        <w:tblW w:w="1034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160"/>
        <w:gridCol w:w="6928"/>
        <w:gridCol w:w="567"/>
        <w:gridCol w:w="992"/>
      </w:tblGrid>
      <w:tr w:rsidR="003D415A" w:rsidRPr="00112017" w14:paraId="61617CD7" w14:textId="77777777" w:rsidTr="003D415A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F6DB572" w14:textId="77777777" w:rsidR="003D415A" w:rsidRPr="00112017" w:rsidRDefault="003D415A" w:rsidP="001B07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1201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ED6A26E" w14:textId="77777777" w:rsidR="003D415A" w:rsidRPr="00112017" w:rsidRDefault="003D415A" w:rsidP="001B07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1201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VSEOB011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1B222726" w14:textId="77777777" w:rsidR="003D415A" w:rsidRPr="00112017" w:rsidRDefault="003D415A" w:rsidP="001B07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928" w:type="dxa"/>
            <w:shd w:val="clear" w:color="auto" w:fill="auto"/>
            <w:vAlign w:val="bottom"/>
            <w:hideMark/>
          </w:tcPr>
          <w:p w14:paraId="08449C0C" w14:textId="77777777" w:rsidR="003D415A" w:rsidRPr="00112017" w:rsidRDefault="003D415A" w:rsidP="001B07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1201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POMOC PRÁCE ZŘÍZ NEBO ZAJIŠŤ OCHRANU INŽENÝRSKÝCH SÍTÍ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233786" w14:textId="77777777" w:rsidR="003D415A" w:rsidRPr="00112017" w:rsidRDefault="003D415A" w:rsidP="001B07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1201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15EE3E" w14:textId="77777777" w:rsidR="003D415A" w:rsidRPr="00112017" w:rsidRDefault="003D415A" w:rsidP="001B07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1201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1,000</w:t>
            </w:r>
          </w:p>
        </w:tc>
      </w:tr>
    </w:tbl>
    <w:p w14:paraId="73FF2669" w14:textId="77777777" w:rsidR="003D415A" w:rsidRPr="00112017" w:rsidRDefault="003D415A" w:rsidP="003D415A">
      <w:pPr>
        <w:spacing w:after="0"/>
      </w:pPr>
      <w:r w:rsidRPr="00112017">
        <w:t>V této souvislosti jsme v zadávací dokumentaci nalezli pouze obecné informace, konkrétně v ZTP, čl. 4.1.11:</w:t>
      </w:r>
    </w:p>
    <w:p w14:paraId="1E716FF9" w14:textId="77777777" w:rsidR="003D415A" w:rsidRPr="00112017" w:rsidRDefault="003D415A" w:rsidP="003D415A">
      <w:pPr>
        <w:spacing w:after="0"/>
      </w:pPr>
      <w:r w:rsidRPr="00112017">
        <w:t>„</w:t>
      </w:r>
    </w:p>
    <w:p w14:paraId="00E1779B" w14:textId="77777777" w:rsidR="003D415A" w:rsidRPr="00112017" w:rsidRDefault="003D415A" w:rsidP="003D415A">
      <w:pPr>
        <w:autoSpaceDE w:val="0"/>
        <w:autoSpaceDN w:val="0"/>
        <w:spacing w:after="0"/>
        <w:rPr>
          <w:rFonts w:ascii="Source Sans Pro Black" w:hAnsi="Source Sans Pro Black"/>
          <w:b/>
          <w:bCs/>
          <w:sz w:val="24"/>
          <w:szCs w:val="24"/>
          <w:lang w:eastAsia="cs-CZ"/>
        </w:rPr>
      </w:pPr>
      <w:r w:rsidRPr="00112017">
        <w:rPr>
          <w:rFonts w:ascii="Source Sans Pro Black" w:hAnsi="Source Sans Pro Black"/>
          <w:b/>
          <w:bCs/>
          <w:noProof/>
          <w:sz w:val="24"/>
          <w:szCs w:val="24"/>
          <w:lang w:eastAsia="cs-CZ"/>
        </w:rPr>
        <w:lastRenderedPageBreak/>
        <w:drawing>
          <wp:inline distT="0" distB="0" distL="0" distR="0" wp14:anchorId="5F744A23" wp14:editId="0B4D09EB">
            <wp:extent cx="5724939" cy="986723"/>
            <wp:effectExtent l="0" t="0" r="0" b="4445"/>
            <wp:docPr id="984228966" name="Obrázek 984228966" descr="cid:image001.png@01DB39BD.041F8B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DB39BD.041F8BA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983" cy="100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6281C" w14:textId="77777777" w:rsidR="003D415A" w:rsidRPr="00112017" w:rsidRDefault="003D415A" w:rsidP="003D415A">
      <w:pPr>
        <w:spacing w:after="0"/>
      </w:pPr>
      <w:r w:rsidRPr="00112017">
        <w:rPr>
          <w:noProof/>
          <w:lang w:eastAsia="cs-CZ"/>
        </w:rPr>
        <w:drawing>
          <wp:inline distT="0" distB="0" distL="0" distR="0" wp14:anchorId="258230BF" wp14:editId="0E94E7F5">
            <wp:extent cx="5724525" cy="350976"/>
            <wp:effectExtent l="0" t="0" r="0" b="0"/>
            <wp:docPr id="1" name="Obrázek 1" descr="cid:image002.png@01DB39BD.041F8B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id:image002.png@01DB39BD.041F8BA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601" cy="37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2017">
        <w:t>“</w:t>
      </w:r>
    </w:p>
    <w:p w14:paraId="30339830" w14:textId="3B2D99DB" w:rsidR="00D50B63" w:rsidRDefault="003D415A" w:rsidP="003D415A">
      <w:pPr>
        <w:spacing w:after="0" w:line="240" w:lineRule="auto"/>
      </w:pPr>
      <w:r w:rsidRPr="00112017">
        <w:t>Tyto informace jsou pro řádné ocenění uvedené položky nedostačující. Žádáme zadavatele o přesnou specifikaci účelu využití uvedené položky, případně (i vzhledem k existenci této položky v mnoha PS/SO) o odstranění položky č.11 ze Všeobecného objektu.</w:t>
      </w:r>
    </w:p>
    <w:p w14:paraId="3864F489" w14:textId="77777777" w:rsidR="00811F79" w:rsidRDefault="00811F79" w:rsidP="003D41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4EE866" w14:textId="5184A706" w:rsidR="00D50B63" w:rsidRDefault="00D50B63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4ABA5979" w14:textId="026CF0CC" w:rsidR="00543345" w:rsidRPr="00811F79" w:rsidRDefault="00E764B1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>Přesná specifikace</w:t>
      </w:r>
      <w:r w:rsidR="00543345" w:rsidRPr="00811F79">
        <w:rPr>
          <w:rFonts w:eastAsia="Calibri" w:cs="Times New Roman"/>
          <w:bCs/>
          <w:lang w:eastAsia="cs-CZ"/>
        </w:rPr>
        <w:t xml:space="preserve"> postupu</w:t>
      </w:r>
      <w:r w:rsidRPr="00811F79">
        <w:rPr>
          <w:rFonts w:eastAsia="Calibri" w:cs="Times New Roman"/>
          <w:bCs/>
          <w:lang w:eastAsia="cs-CZ"/>
        </w:rPr>
        <w:t xml:space="preserve"> je uvedena v ZTP čl. 4.1.11, zahrnuje veškeré náklady spojené se zajištěním ochrany </w:t>
      </w:r>
      <w:r w:rsidR="003C429C" w:rsidRPr="00811F79">
        <w:rPr>
          <w:rFonts w:eastAsia="Calibri" w:cs="Times New Roman"/>
          <w:bCs/>
          <w:lang w:eastAsia="cs-CZ"/>
        </w:rPr>
        <w:t xml:space="preserve">rozpracovaného </w:t>
      </w:r>
      <w:r w:rsidRPr="00811F79">
        <w:rPr>
          <w:rFonts w:eastAsia="Calibri" w:cs="Times New Roman"/>
          <w:bCs/>
          <w:lang w:eastAsia="cs-CZ"/>
        </w:rPr>
        <w:t>díla před vandalstvím a poškozením po dobu realizace.</w:t>
      </w:r>
      <w:r w:rsidR="00675B2D" w:rsidRPr="00811F79">
        <w:rPr>
          <w:rFonts w:eastAsia="Calibri" w:cs="Times New Roman"/>
          <w:bCs/>
          <w:lang w:eastAsia="cs-CZ"/>
        </w:rPr>
        <w:t xml:space="preserve"> Zhotovitel si tedy posoudí</w:t>
      </w:r>
      <w:r w:rsidR="00543345" w:rsidRPr="00811F79">
        <w:rPr>
          <w:rFonts w:eastAsia="Calibri" w:cs="Times New Roman"/>
          <w:bCs/>
          <w:lang w:eastAsia="cs-CZ"/>
        </w:rPr>
        <w:t xml:space="preserve"> možnou</w:t>
      </w:r>
      <w:r w:rsidR="00675B2D" w:rsidRPr="00811F79">
        <w:rPr>
          <w:rFonts w:eastAsia="Calibri" w:cs="Times New Roman"/>
          <w:bCs/>
          <w:lang w:eastAsia="cs-CZ"/>
        </w:rPr>
        <w:t xml:space="preserve"> zvolenou ostrahu, zda je efektivní a jak je uvedeno, objednatel blíže nespecifikuje prostředky pro zajištění opatření proti např. </w:t>
      </w:r>
      <w:proofErr w:type="gramStart"/>
      <w:r w:rsidR="00675B2D" w:rsidRPr="00811F79">
        <w:rPr>
          <w:rFonts w:eastAsia="Calibri" w:cs="Times New Roman"/>
          <w:bCs/>
          <w:lang w:eastAsia="cs-CZ"/>
        </w:rPr>
        <w:t>vandalizmu</w:t>
      </w:r>
      <w:proofErr w:type="gramEnd"/>
      <w:r w:rsidR="00675B2D" w:rsidRPr="00811F79">
        <w:rPr>
          <w:rFonts w:eastAsia="Calibri" w:cs="Times New Roman"/>
          <w:bCs/>
          <w:lang w:eastAsia="cs-CZ"/>
        </w:rPr>
        <w:t xml:space="preserve">, poškození a zcizení po dobu provádění díla především z důvodu eliminace </w:t>
      </w:r>
      <w:r w:rsidR="003C429C" w:rsidRPr="00811F79">
        <w:rPr>
          <w:rFonts w:eastAsia="Calibri" w:cs="Times New Roman"/>
          <w:bCs/>
          <w:lang w:eastAsia="cs-CZ"/>
        </w:rPr>
        <w:t>nežádoucích poruchových stavů na provozované infrastruktuře, nežádoucího poškozovaní nového díla. Dalším aspektem pro eliminaci může být také vhodně zvolený stavební postup při provádění, kdy zhotovením díla jako celku dojde k eliminaci např. u kabelových tras</w:t>
      </w:r>
      <w:r w:rsidR="00543345" w:rsidRPr="00811F79">
        <w:rPr>
          <w:rFonts w:eastAsia="Calibri" w:cs="Times New Roman"/>
          <w:bCs/>
          <w:lang w:eastAsia="cs-CZ"/>
        </w:rPr>
        <w:t>, kdy je v krátkém časovém intervalu proveden výkop, montáž, a i částečný zákryt, kdy je poškození i takto vhodně zvoleným postupem eliminováno. Jedná se tedy o nutná opatření v obecné rovině, které objednatel vyžaduje v rámci plnění hlavního zhotovitele i v rámci provádění koordinační činnosti</w:t>
      </w:r>
      <w:r w:rsidR="00A919E9" w:rsidRPr="00811F79">
        <w:rPr>
          <w:rFonts w:eastAsia="Calibri" w:cs="Times New Roman"/>
          <w:bCs/>
          <w:lang w:eastAsia="cs-CZ"/>
        </w:rPr>
        <w:t xml:space="preserve"> s </w:t>
      </w:r>
      <w:r w:rsidR="00543345" w:rsidRPr="00811F79">
        <w:rPr>
          <w:rFonts w:eastAsia="Calibri" w:cs="Times New Roman"/>
          <w:bCs/>
          <w:lang w:eastAsia="cs-CZ"/>
        </w:rPr>
        <w:t>možný</w:t>
      </w:r>
      <w:r w:rsidR="00A919E9" w:rsidRPr="00811F79">
        <w:rPr>
          <w:rFonts w:eastAsia="Calibri" w:cs="Times New Roman"/>
          <w:bCs/>
          <w:lang w:eastAsia="cs-CZ"/>
        </w:rPr>
        <w:t>m</w:t>
      </w:r>
      <w:r w:rsidR="00543345" w:rsidRPr="00811F79">
        <w:rPr>
          <w:rFonts w:eastAsia="Calibri" w:cs="Times New Roman"/>
          <w:bCs/>
          <w:lang w:eastAsia="cs-CZ"/>
        </w:rPr>
        <w:t xml:space="preserve"> poddodavatel</w:t>
      </w:r>
      <w:r w:rsidR="00A919E9" w:rsidRPr="00811F79">
        <w:rPr>
          <w:rFonts w:eastAsia="Calibri" w:cs="Times New Roman"/>
          <w:bCs/>
          <w:lang w:eastAsia="cs-CZ"/>
        </w:rPr>
        <w:t>em</w:t>
      </w:r>
      <w:r w:rsidR="00543345" w:rsidRPr="00811F79">
        <w:rPr>
          <w:rFonts w:eastAsia="Calibri" w:cs="Times New Roman"/>
          <w:bCs/>
          <w:lang w:eastAsia="cs-CZ"/>
        </w:rPr>
        <w:t>.</w:t>
      </w:r>
    </w:p>
    <w:p w14:paraId="31CFBC90" w14:textId="5D3B24F7" w:rsidR="00E764B1" w:rsidRPr="00811F79" w:rsidRDefault="00543345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>Co se týká položky uvedené v jednotlivých PS/SO</w:t>
      </w:r>
      <w:r w:rsidR="00A919E9" w:rsidRPr="00811F79">
        <w:rPr>
          <w:rFonts w:eastAsia="Calibri" w:cs="Times New Roman"/>
          <w:bCs/>
          <w:lang w:eastAsia="cs-CZ"/>
        </w:rPr>
        <w:t xml:space="preserve"> jedná se o ochranná opatření v místě možných křížení se stávající infrastrukturou, kde musí zhotovitel (i poddodavatel) při provádění díla dodržovat platné předpisy a normy, především po ověření skutečného stavu přijmout vhodná opatření pro ochranu a v závislosti na podmínkách vydaných vyjádření o styku provést, včetně potvrzení pro kolaudaci díla jako celku.  </w:t>
      </w:r>
    </w:p>
    <w:p w14:paraId="03F8853E" w14:textId="1E85ACC1" w:rsidR="00D50B63" w:rsidRPr="00811F79" w:rsidRDefault="00E764B1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>Doplněna specifikace položky VSEOB011 do soupisu prací.</w:t>
      </w:r>
    </w:p>
    <w:p w14:paraId="15CD49AA" w14:textId="77777777" w:rsidR="003F63D8" w:rsidRDefault="003F63D8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6A1BCE1" w14:textId="77777777" w:rsidR="00811F79" w:rsidRDefault="00811F7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8E32061" w14:textId="2F3CF682" w:rsidR="003F63D8" w:rsidRPr="003F63D8" w:rsidRDefault="003F63D8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3F63D8">
        <w:rPr>
          <w:rFonts w:eastAsia="Calibri" w:cs="Times New Roman"/>
          <w:b/>
          <w:lang w:eastAsia="cs-CZ"/>
        </w:rPr>
        <w:t>Dotaz č.59:</w:t>
      </w:r>
    </w:p>
    <w:p w14:paraId="63BD8D77" w14:textId="77777777" w:rsidR="003F63D8" w:rsidRDefault="003F63D8" w:rsidP="003F63D8">
      <w:pPr>
        <w:spacing w:after="0"/>
        <w:jc w:val="both"/>
      </w:pPr>
      <w:r>
        <w:t>V návaznosti na odpověď zadavatele č.48 se dále pro jistotu tážeme.</w:t>
      </w:r>
    </w:p>
    <w:p w14:paraId="79E90583" w14:textId="77777777" w:rsidR="003F63D8" w:rsidRDefault="003F63D8" w:rsidP="003F63D8">
      <w:pPr>
        <w:spacing w:after="0"/>
        <w:jc w:val="both"/>
        <w:rPr>
          <w:lang w:eastAsia="cs-CZ"/>
        </w:rPr>
      </w:pPr>
      <w:r>
        <w:rPr>
          <w:lang w:eastAsia="cs-CZ"/>
        </w:rPr>
        <w:t xml:space="preserve">Uvedený maximální rozměr žlabu je atypický (mimo standardní rozměry běžně používaných/zavedených žlabů). </w:t>
      </w:r>
    </w:p>
    <w:p w14:paraId="7B857962" w14:textId="77777777" w:rsidR="003F63D8" w:rsidRDefault="003F63D8" w:rsidP="003F63D8">
      <w:pPr>
        <w:jc w:val="both"/>
        <w:rPr>
          <w:lang w:eastAsia="cs-CZ"/>
        </w:rPr>
      </w:pPr>
      <w:r>
        <w:rPr>
          <w:lang w:eastAsia="cs-CZ"/>
        </w:rPr>
        <w:t>Přihlédneme-li k standardním rozměrům běžných/zavedených žlabů, rozměrově se lze pak pohybovat např.:</w:t>
      </w:r>
    </w:p>
    <w:p w14:paraId="4A8E9C1D" w14:textId="77777777" w:rsidR="003F63D8" w:rsidRDefault="003F63D8" w:rsidP="003F63D8">
      <w:r>
        <w:rPr>
          <w:noProof/>
          <w:lang w:eastAsia="cs-CZ"/>
        </w:rPr>
        <w:drawing>
          <wp:inline distT="0" distB="0" distL="0" distR="0" wp14:anchorId="293375FF" wp14:editId="36427647">
            <wp:extent cx="4667250" cy="835025"/>
            <wp:effectExtent l="0" t="0" r="0" b="3175"/>
            <wp:docPr id="41465978" name="Obrázek 41465978" descr="cid:image003.jpg@01DB3A8A.9AD48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3.jpg@01DB3A8A.9AD48B4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7D395" w14:textId="77777777" w:rsidR="003F63D8" w:rsidRDefault="003F63D8" w:rsidP="003F63D8">
      <w:r>
        <w:t>a) Chápeme správně, že uchazeč může u položky předpokládat nejbližší běžný ekvivalent požadovaných rozměrů žlabů, např. tak jak jsou uvedeny?</w:t>
      </w:r>
    </w:p>
    <w:p w14:paraId="649128BA" w14:textId="334CED2C" w:rsidR="003F63D8" w:rsidRDefault="003F63D8" w:rsidP="003F63D8">
      <w:pPr>
        <w:spacing w:after="0" w:line="240" w:lineRule="auto"/>
      </w:pPr>
      <w:r>
        <w:t>b) Může zadavatel uvést rozměry (šířku, výšku) standardně běžně používaného/zavedeného žlabu se kterým uvažoval při přípravě projektu? Protože použití atypických výrobků speciálně vyráběných na zakázku znamená enormní náklady.</w:t>
      </w:r>
    </w:p>
    <w:p w14:paraId="2F4F4255" w14:textId="77777777" w:rsidR="003F63D8" w:rsidRPr="003F63D8" w:rsidRDefault="003F63D8" w:rsidP="003F63D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149CD9" w14:textId="133E03AD" w:rsidR="003F63D8" w:rsidRPr="003F63D8" w:rsidRDefault="003F63D8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3F63D8">
        <w:rPr>
          <w:rFonts w:eastAsia="Calibri" w:cs="Times New Roman"/>
          <w:b/>
          <w:lang w:eastAsia="cs-CZ"/>
        </w:rPr>
        <w:t>Odpověď:</w:t>
      </w:r>
    </w:p>
    <w:p w14:paraId="5638AC45" w14:textId="0A983233" w:rsidR="003F63D8" w:rsidRPr="00811F79" w:rsidRDefault="00AE3C03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 xml:space="preserve">V rámci odpovědi č.9 a doplnění maximální možné velikosti uvažované pro prostorové umístění v rámci odpovědi č.48 </w:t>
      </w:r>
      <w:r w:rsidR="007951B4" w:rsidRPr="00811F79">
        <w:rPr>
          <w:rFonts w:eastAsia="Calibri" w:cs="Times New Roman"/>
          <w:bCs/>
          <w:lang w:eastAsia="cs-CZ"/>
        </w:rPr>
        <w:t xml:space="preserve">uvádí objednatel pouze obecné požadavky. V rámci realizační dokumentace musí, jak je uvedeno v ZTP dojít k do upřesnění přesných </w:t>
      </w:r>
      <w:r w:rsidR="00087D6A" w:rsidRPr="00811F79">
        <w:rPr>
          <w:rFonts w:eastAsia="Calibri" w:cs="Times New Roman"/>
          <w:bCs/>
          <w:lang w:eastAsia="cs-CZ"/>
        </w:rPr>
        <w:t>rozměrů,</w:t>
      </w:r>
      <w:r w:rsidR="007951B4" w:rsidRPr="00811F79">
        <w:rPr>
          <w:rFonts w:eastAsia="Calibri" w:cs="Times New Roman"/>
          <w:bCs/>
          <w:lang w:eastAsia="cs-CZ"/>
        </w:rPr>
        <w:t xml:space="preserve"> a to i z důvodu zvolené konkrétní technologie a k ní odpovídající kabelizaci.</w:t>
      </w:r>
    </w:p>
    <w:p w14:paraId="05956502" w14:textId="77777777" w:rsidR="00FF2096" w:rsidRPr="00811F79" w:rsidRDefault="00FF2096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 xml:space="preserve">Ad a) </w:t>
      </w:r>
      <w:r w:rsidR="008F4E80" w:rsidRPr="00811F79">
        <w:rPr>
          <w:rFonts w:eastAsia="Calibri" w:cs="Times New Roman"/>
          <w:bCs/>
          <w:lang w:eastAsia="cs-CZ"/>
        </w:rPr>
        <w:t>Uveden</w:t>
      </w:r>
      <w:r w:rsidR="001B7F2C" w:rsidRPr="00811F79">
        <w:rPr>
          <w:rFonts w:eastAsia="Calibri" w:cs="Times New Roman"/>
          <w:bCs/>
          <w:lang w:eastAsia="cs-CZ"/>
        </w:rPr>
        <w:t>ou</w:t>
      </w:r>
      <w:r w:rsidR="008F4E80" w:rsidRPr="00811F79">
        <w:rPr>
          <w:rFonts w:eastAsia="Calibri" w:cs="Times New Roman"/>
          <w:bCs/>
          <w:lang w:eastAsia="cs-CZ"/>
        </w:rPr>
        <w:t xml:space="preserve"> tabulk</w:t>
      </w:r>
      <w:r w:rsidR="001B7F2C" w:rsidRPr="00811F79">
        <w:rPr>
          <w:rFonts w:eastAsia="Calibri" w:cs="Times New Roman"/>
          <w:bCs/>
          <w:lang w:eastAsia="cs-CZ"/>
        </w:rPr>
        <w:t>u</w:t>
      </w:r>
      <w:r w:rsidR="008F4E80" w:rsidRPr="00811F79">
        <w:rPr>
          <w:rFonts w:eastAsia="Calibri" w:cs="Times New Roman"/>
          <w:bCs/>
          <w:lang w:eastAsia="cs-CZ"/>
        </w:rPr>
        <w:t xml:space="preserve"> uchazeče </w:t>
      </w:r>
      <w:r w:rsidR="001B7F2C" w:rsidRPr="00811F79">
        <w:rPr>
          <w:rFonts w:eastAsia="Calibri" w:cs="Times New Roman"/>
          <w:bCs/>
          <w:lang w:eastAsia="cs-CZ"/>
        </w:rPr>
        <w:t xml:space="preserve">lze obecně pro uvažované rozměry použít. </w:t>
      </w:r>
    </w:p>
    <w:p w14:paraId="64DBF2DF" w14:textId="64A1049D" w:rsidR="00FF2096" w:rsidRPr="00811F79" w:rsidRDefault="00FF2096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lastRenderedPageBreak/>
        <w:t xml:space="preserve">Ad b) obecně pro stanovení rozměrů lze vycházet pro traťové úseky v obecném rozměru </w:t>
      </w:r>
      <w:r w:rsidR="007903D9" w:rsidRPr="00811F79">
        <w:rPr>
          <w:rFonts w:eastAsia="Calibri" w:cs="Times New Roman"/>
          <w:bCs/>
          <w:lang w:eastAsia="cs-CZ"/>
        </w:rPr>
        <w:t>„ZEKAN4“. Pro požadavek jednotného žlabu v žst. Choltice, Heřmanův Městec a Kostelec u H.M. je v obvodu žst vždy trasa od km po km pevně navržena pro veškerou kabelizaci a lze uvažovat v obecném rozměru vyšším než „ZEKAN4“, popřípadě se nevylučuje použití vícero žlabů vedle sebe.</w:t>
      </w:r>
    </w:p>
    <w:p w14:paraId="5E7EC49A" w14:textId="77777777" w:rsidR="007903D9" w:rsidRPr="00811F79" w:rsidRDefault="007903D9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23FABC9" w14:textId="4F50ABCF" w:rsidR="008F4E80" w:rsidRPr="00811F79" w:rsidRDefault="001B7F2C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>Jak již bylo konstatováno v odpovědí dotazu č.9, objednatel uvažoval s pochozím kabelovým žlabem min. v technické úrovni žlabů pro železnici BG-</w:t>
      </w:r>
      <w:proofErr w:type="spellStart"/>
      <w:r w:rsidRPr="00811F79">
        <w:rPr>
          <w:rFonts w:eastAsia="Calibri" w:cs="Times New Roman"/>
          <w:bCs/>
          <w:lang w:eastAsia="cs-CZ"/>
        </w:rPr>
        <w:t>Rail</w:t>
      </w:r>
      <w:proofErr w:type="spellEnd"/>
      <w:r w:rsidRPr="00811F79">
        <w:rPr>
          <w:rFonts w:eastAsia="Calibri" w:cs="Times New Roman"/>
          <w:bCs/>
          <w:lang w:eastAsia="cs-CZ"/>
        </w:rPr>
        <w:t>. Uchazeč si tedy ocení předpokládané náklady výrobku v této technické úrovní žlabu pro železnici.</w:t>
      </w:r>
    </w:p>
    <w:p w14:paraId="65171DB7" w14:textId="77777777" w:rsidR="002D4859" w:rsidRPr="00811F79" w:rsidRDefault="002D4859" w:rsidP="00811F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1F79">
        <w:rPr>
          <w:rFonts w:eastAsia="Calibri" w:cs="Times New Roman"/>
          <w:bCs/>
          <w:lang w:eastAsia="cs-CZ"/>
        </w:rPr>
        <w:t>Bez úprav dokumentace.</w:t>
      </w:r>
    </w:p>
    <w:p w14:paraId="7D6991C2" w14:textId="77777777" w:rsidR="00087D6A" w:rsidRPr="00BD5319" w:rsidRDefault="00087D6A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C5D132E" w14:textId="45D7CEE4" w:rsidR="00664163" w:rsidRPr="003F37CB" w:rsidRDefault="00664163" w:rsidP="00664163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79B5B9ED" w14:textId="0328E1CA" w:rsidR="00664163" w:rsidRPr="00C87717" w:rsidRDefault="00664163" w:rsidP="00811F7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811F7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AC36670" w14:textId="2BBC93C2" w:rsidR="00AC56A4" w:rsidRDefault="00AC56A4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8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172FF08D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D35E0">
        <w:rPr>
          <w:rFonts w:eastAsia="Calibri" w:cs="Times New Roman"/>
          <w:b/>
          <w:bCs/>
          <w:lang w:eastAsia="cs-CZ"/>
        </w:rPr>
        <w:t>Příloh</w:t>
      </w:r>
      <w:r w:rsidR="00811F79" w:rsidRPr="00CD35E0">
        <w:rPr>
          <w:rFonts w:eastAsia="Calibri" w:cs="Times New Roman"/>
          <w:b/>
          <w:bCs/>
          <w:lang w:eastAsia="cs-CZ"/>
        </w:rPr>
        <w:t>y</w:t>
      </w:r>
      <w:r w:rsidRPr="00CD35E0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4F87084F" w14:textId="15BA2321" w:rsidR="00CD35E0" w:rsidRPr="00CD35E0" w:rsidRDefault="00CD35E0" w:rsidP="00CD35E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35E0">
        <w:rPr>
          <w:rFonts w:eastAsia="Calibri" w:cs="Times New Roman"/>
          <w:lang w:eastAsia="cs-CZ"/>
        </w:rPr>
        <w:t>XDC_TZZ-Pre-Pra_zm03_20241121</w:t>
      </w:r>
      <w:r>
        <w:rPr>
          <w:rFonts w:eastAsia="Calibri" w:cs="Times New Roman"/>
          <w:lang w:eastAsia="cs-CZ"/>
        </w:rPr>
        <w:t>.xml</w:t>
      </w:r>
    </w:p>
    <w:p w14:paraId="0A56A56E" w14:textId="057A793E" w:rsidR="00CD35E0" w:rsidRPr="00CD35E0" w:rsidRDefault="00CD35E0" w:rsidP="00CD35E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35E0">
        <w:rPr>
          <w:rFonts w:eastAsia="Calibri" w:cs="Times New Roman"/>
          <w:lang w:eastAsia="cs-CZ"/>
        </w:rPr>
        <w:t>XLS_TZZ-Pre-Pra_zm03_20241121</w:t>
      </w:r>
      <w:r>
        <w:rPr>
          <w:rFonts w:eastAsia="Calibri" w:cs="Times New Roman"/>
          <w:lang w:eastAsia="cs-CZ"/>
        </w:rPr>
        <w:t>.xlsx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4474ED" w14:textId="77777777" w:rsidR="00811F79" w:rsidRDefault="00811F7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7D0F6F" w14:textId="77777777" w:rsidR="006359CA" w:rsidRDefault="006359C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D1DE715" w:rsidR="00664163" w:rsidRPr="006359C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359CA">
        <w:rPr>
          <w:rFonts w:eastAsia="Calibri" w:cs="Times New Roman"/>
          <w:lang w:eastAsia="cs-CZ"/>
        </w:rPr>
        <w:t xml:space="preserve">V Olomouci dne </w:t>
      </w:r>
      <w:r w:rsidR="006359CA" w:rsidRPr="006359CA">
        <w:rPr>
          <w:rFonts w:eastAsia="Calibri" w:cs="Times New Roman"/>
          <w:lang w:eastAsia="cs-CZ"/>
        </w:rPr>
        <w:t>21. 11. 2024</w:t>
      </w:r>
    </w:p>
    <w:p w14:paraId="6F75BA64" w14:textId="77777777" w:rsidR="00664163" w:rsidRPr="006359C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6359CA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6359CA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29B42A" w14:textId="1CBE8622" w:rsidR="00664163" w:rsidRPr="006359CA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9F1990E" w14:textId="77777777" w:rsidR="00664163" w:rsidRPr="006359CA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59C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6359C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6359CA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6359CA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359CA">
        <w:rPr>
          <w:rFonts w:eastAsia="Times New Roman" w:cs="Times New Roman"/>
          <w:lang w:eastAsia="cs-CZ"/>
        </w:rPr>
        <w:t>ředitel organizační jednotky</w:t>
      </w:r>
      <w:r w:rsidRPr="006359CA">
        <w:rPr>
          <w:rFonts w:eastAsia="Times New Roman" w:cs="Times New Roman"/>
          <w:lang w:eastAsia="cs-CZ"/>
        </w:rPr>
        <w:tab/>
      </w:r>
    </w:p>
    <w:p w14:paraId="5DEDC136" w14:textId="77777777" w:rsidR="00664163" w:rsidRPr="006359CA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359CA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6359CA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3EE2C" w14:textId="77777777" w:rsidR="00185474" w:rsidRDefault="00185474" w:rsidP="00962258">
      <w:pPr>
        <w:spacing w:after="0" w:line="240" w:lineRule="auto"/>
      </w:pPr>
      <w:r>
        <w:separator/>
      </w:r>
    </w:p>
  </w:endnote>
  <w:endnote w:type="continuationSeparator" w:id="0">
    <w:p w14:paraId="123917F7" w14:textId="77777777" w:rsidR="00185474" w:rsidRDefault="001854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8AD1F" w14:textId="77777777" w:rsidR="00185474" w:rsidRDefault="00185474" w:rsidP="00962258">
      <w:pPr>
        <w:spacing w:after="0" w:line="240" w:lineRule="auto"/>
      </w:pPr>
      <w:r>
        <w:separator/>
      </w:r>
    </w:p>
  </w:footnote>
  <w:footnote w:type="continuationSeparator" w:id="0">
    <w:p w14:paraId="1A521185" w14:textId="77777777" w:rsidR="00185474" w:rsidRDefault="001854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9209A9"/>
    <w:multiLevelType w:val="hybridMultilevel"/>
    <w:tmpl w:val="6F101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75119101">
    <w:abstractNumId w:val="3"/>
  </w:num>
  <w:num w:numId="2" w16cid:durableId="645164105">
    <w:abstractNumId w:val="1"/>
  </w:num>
  <w:num w:numId="3" w16cid:durableId="807211794">
    <w:abstractNumId w:val="4"/>
  </w:num>
  <w:num w:numId="4" w16cid:durableId="1801221825">
    <w:abstractNumId w:val="7"/>
  </w:num>
  <w:num w:numId="5" w16cid:durableId="831944147">
    <w:abstractNumId w:val="0"/>
  </w:num>
  <w:num w:numId="6" w16cid:durableId="1831554014">
    <w:abstractNumId w:val="6"/>
  </w:num>
  <w:num w:numId="7" w16cid:durableId="1373531200">
    <w:abstractNumId w:val="5"/>
  </w:num>
  <w:num w:numId="8" w16cid:durableId="151757601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37AA"/>
    <w:rsid w:val="000300A8"/>
    <w:rsid w:val="00033432"/>
    <w:rsid w:val="000335CC"/>
    <w:rsid w:val="00040917"/>
    <w:rsid w:val="00057322"/>
    <w:rsid w:val="00066116"/>
    <w:rsid w:val="00072C1E"/>
    <w:rsid w:val="00087D6A"/>
    <w:rsid w:val="00091F0A"/>
    <w:rsid w:val="000A4236"/>
    <w:rsid w:val="000A5E8D"/>
    <w:rsid w:val="000B3A82"/>
    <w:rsid w:val="000B6C7E"/>
    <w:rsid w:val="000B7907"/>
    <w:rsid w:val="000C0429"/>
    <w:rsid w:val="000C45E8"/>
    <w:rsid w:val="00114472"/>
    <w:rsid w:val="001267E4"/>
    <w:rsid w:val="00146EF8"/>
    <w:rsid w:val="00170EC5"/>
    <w:rsid w:val="001747C1"/>
    <w:rsid w:val="00185474"/>
    <w:rsid w:val="0018596A"/>
    <w:rsid w:val="001929C1"/>
    <w:rsid w:val="001B69C2"/>
    <w:rsid w:val="001B7F2C"/>
    <w:rsid w:val="001C4DA0"/>
    <w:rsid w:val="001F6438"/>
    <w:rsid w:val="00207DF5"/>
    <w:rsid w:val="00267369"/>
    <w:rsid w:val="0026785D"/>
    <w:rsid w:val="00273CE2"/>
    <w:rsid w:val="00275954"/>
    <w:rsid w:val="00296D39"/>
    <w:rsid w:val="002A59FE"/>
    <w:rsid w:val="002C31BF"/>
    <w:rsid w:val="002D4859"/>
    <w:rsid w:val="002E0CD7"/>
    <w:rsid w:val="002F026B"/>
    <w:rsid w:val="00335122"/>
    <w:rsid w:val="00335732"/>
    <w:rsid w:val="00357BC6"/>
    <w:rsid w:val="0037111D"/>
    <w:rsid w:val="003756B9"/>
    <w:rsid w:val="003956C6"/>
    <w:rsid w:val="003C429C"/>
    <w:rsid w:val="003D415A"/>
    <w:rsid w:val="003E6B9A"/>
    <w:rsid w:val="003E75CE"/>
    <w:rsid w:val="003F63D8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2F3F"/>
    <w:rsid w:val="004F4B9B"/>
    <w:rsid w:val="00501654"/>
    <w:rsid w:val="00511AB9"/>
    <w:rsid w:val="00523EA7"/>
    <w:rsid w:val="00542527"/>
    <w:rsid w:val="00543345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F4A3C"/>
    <w:rsid w:val="0060280A"/>
    <w:rsid w:val="006104F6"/>
    <w:rsid w:val="0061068E"/>
    <w:rsid w:val="00630DC6"/>
    <w:rsid w:val="006359CA"/>
    <w:rsid w:val="00660AD3"/>
    <w:rsid w:val="00664163"/>
    <w:rsid w:val="00675B2D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48D"/>
    <w:rsid w:val="00764595"/>
    <w:rsid w:val="00766846"/>
    <w:rsid w:val="0077673A"/>
    <w:rsid w:val="007846E1"/>
    <w:rsid w:val="007903D9"/>
    <w:rsid w:val="007951B4"/>
    <w:rsid w:val="007A0EFE"/>
    <w:rsid w:val="007B570C"/>
    <w:rsid w:val="007E4A6E"/>
    <w:rsid w:val="007F56A7"/>
    <w:rsid w:val="007F626E"/>
    <w:rsid w:val="00807DD0"/>
    <w:rsid w:val="00811F79"/>
    <w:rsid w:val="00813F11"/>
    <w:rsid w:val="00842C9B"/>
    <w:rsid w:val="008841FB"/>
    <w:rsid w:val="0088472C"/>
    <w:rsid w:val="00891334"/>
    <w:rsid w:val="008A3568"/>
    <w:rsid w:val="008C5D68"/>
    <w:rsid w:val="008D03B9"/>
    <w:rsid w:val="008F18D6"/>
    <w:rsid w:val="008F4E80"/>
    <w:rsid w:val="00904780"/>
    <w:rsid w:val="009113A8"/>
    <w:rsid w:val="00922385"/>
    <w:rsid w:val="009223DF"/>
    <w:rsid w:val="009302BB"/>
    <w:rsid w:val="00933DBA"/>
    <w:rsid w:val="00934DC3"/>
    <w:rsid w:val="00936091"/>
    <w:rsid w:val="00940D8A"/>
    <w:rsid w:val="0095327E"/>
    <w:rsid w:val="00962258"/>
    <w:rsid w:val="009678B7"/>
    <w:rsid w:val="00982411"/>
    <w:rsid w:val="00992027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19E9"/>
    <w:rsid w:val="00A943B5"/>
    <w:rsid w:val="00AA4CBB"/>
    <w:rsid w:val="00AA65FA"/>
    <w:rsid w:val="00AA7351"/>
    <w:rsid w:val="00AB1AE0"/>
    <w:rsid w:val="00AC56A4"/>
    <w:rsid w:val="00AD056F"/>
    <w:rsid w:val="00AD2773"/>
    <w:rsid w:val="00AD6731"/>
    <w:rsid w:val="00AE1DDE"/>
    <w:rsid w:val="00AE3C03"/>
    <w:rsid w:val="00B15B5E"/>
    <w:rsid w:val="00B15D0D"/>
    <w:rsid w:val="00B23CA3"/>
    <w:rsid w:val="00B3491A"/>
    <w:rsid w:val="00B45E9E"/>
    <w:rsid w:val="00B55A54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042E"/>
    <w:rsid w:val="00C80724"/>
    <w:rsid w:val="00C8207D"/>
    <w:rsid w:val="00CB7B5A"/>
    <w:rsid w:val="00CC1E2B"/>
    <w:rsid w:val="00CD1FC4"/>
    <w:rsid w:val="00CD35E0"/>
    <w:rsid w:val="00CE371D"/>
    <w:rsid w:val="00D02A4D"/>
    <w:rsid w:val="00D21061"/>
    <w:rsid w:val="00D316A7"/>
    <w:rsid w:val="00D336CC"/>
    <w:rsid w:val="00D4108E"/>
    <w:rsid w:val="00D50B63"/>
    <w:rsid w:val="00D51148"/>
    <w:rsid w:val="00D548C8"/>
    <w:rsid w:val="00D6163D"/>
    <w:rsid w:val="00D63009"/>
    <w:rsid w:val="00D76144"/>
    <w:rsid w:val="00D831A3"/>
    <w:rsid w:val="00D902AD"/>
    <w:rsid w:val="00D9490A"/>
    <w:rsid w:val="00DA6FFE"/>
    <w:rsid w:val="00DC3110"/>
    <w:rsid w:val="00DD46F3"/>
    <w:rsid w:val="00DD58A6"/>
    <w:rsid w:val="00DE56F2"/>
    <w:rsid w:val="00DF116D"/>
    <w:rsid w:val="00E06AD1"/>
    <w:rsid w:val="00E10710"/>
    <w:rsid w:val="00E764B1"/>
    <w:rsid w:val="00E824F1"/>
    <w:rsid w:val="00E87325"/>
    <w:rsid w:val="00E9347D"/>
    <w:rsid w:val="00E94ED7"/>
    <w:rsid w:val="00EB104F"/>
    <w:rsid w:val="00EC545F"/>
    <w:rsid w:val="00ED14BD"/>
    <w:rsid w:val="00F01440"/>
    <w:rsid w:val="00F12DEC"/>
    <w:rsid w:val="00F1715C"/>
    <w:rsid w:val="00F310F8"/>
    <w:rsid w:val="00F35939"/>
    <w:rsid w:val="00F45607"/>
    <w:rsid w:val="00F64786"/>
    <w:rsid w:val="00F65415"/>
    <w:rsid w:val="00F659EB"/>
    <w:rsid w:val="00F804A7"/>
    <w:rsid w:val="00F8318E"/>
    <w:rsid w:val="00F862D6"/>
    <w:rsid w:val="00F86BA6"/>
    <w:rsid w:val="00FB7AFF"/>
    <w:rsid w:val="00FC3C36"/>
    <w:rsid w:val="00FC4B86"/>
    <w:rsid w:val="00FC6389"/>
    <w:rsid w:val="00FD2F51"/>
    <w:rsid w:val="00FE3455"/>
    <w:rsid w:val="00FF209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85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0409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png@01DB39BD.041F8BA0" TargetMode="Externa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cid:image003.jpg@01DB3A8A.9AD48B4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cid:image002.png@01DB39BD.041F8BA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713E9F8-BD69-429B-8E98-1E0C442F2F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132</TotalTime>
  <Pages>3</Pages>
  <Words>928</Words>
  <Characters>5478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14</cp:revision>
  <cp:lastPrinted>2019-02-22T13:28:00Z</cp:lastPrinted>
  <dcterms:created xsi:type="dcterms:W3CDTF">2024-11-20T06:42:00Z</dcterms:created>
  <dcterms:modified xsi:type="dcterms:W3CDTF">2024-11-21T06:16:00Z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