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3E1CC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D0CF6" w:rsidRPr="005D0CF6">
        <w:rPr>
          <w:rFonts w:ascii="Verdana" w:hAnsi="Verdana"/>
          <w:b/>
          <w:bCs/>
          <w:sz w:val="18"/>
          <w:szCs w:val="18"/>
        </w:rPr>
        <w:t>„Opravy mechanizace u OŘ PHA 2025–2026 Údržba kolejových mechanismů SEE“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E4FB1A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D0CF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5947687">
    <w:abstractNumId w:val="5"/>
  </w:num>
  <w:num w:numId="2" w16cid:durableId="1660380526">
    <w:abstractNumId w:val="1"/>
  </w:num>
  <w:num w:numId="3" w16cid:durableId="26830921">
    <w:abstractNumId w:val="2"/>
  </w:num>
  <w:num w:numId="4" w16cid:durableId="1264876914">
    <w:abstractNumId w:val="4"/>
  </w:num>
  <w:num w:numId="5" w16cid:durableId="1239973184">
    <w:abstractNumId w:val="0"/>
  </w:num>
  <w:num w:numId="6" w16cid:durableId="862477451">
    <w:abstractNumId w:val="6"/>
  </w:num>
  <w:num w:numId="7" w16cid:durableId="448091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78B7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CF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4EE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778B7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2024-10-24T12:19:00Z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