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4838F5C1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 xml:space="preserve">v souvislosti s ustanovením 3 odst. 1 zákona č. 340/2015 Sb., o zvláštních podmínkách účinnosti některých smluv, uveřejňování těchto smluv a o registru smluv (zákon </w:t>
      </w:r>
      <w:r w:rsidR="0089707B">
        <w:rPr>
          <w:rStyle w:val="Siln"/>
        </w:rPr>
        <w:br/>
      </w:r>
      <w:r w:rsidRPr="00986260">
        <w:rPr>
          <w:rStyle w:val="Siln"/>
        </w:rPr>
        <w:t>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D05F29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89707B">
        <w:rPr>
          <w:rFonts w:eastAsia="Times New Roman" w:cs="Times New Roman"/>
          <w:b/>
          <w:lang w:eastAsia="cs-CZ"/>
        </w:rPr>
        <w:t>„</w:t>
      </w:r>
      <w:bookmarkEnd w:id="0"/>
      <w:r w:rsidR="0089707B" w:rsidRPr="0089707B">
        <w:rPr>
          <w:b/>
          <w:bCs/>
        </w:rPr>
        <w:t>Opravy mechanizace u OŘ PHA 2025–2026 Údržba kolejových mechanismů SEE“</w:t>
      </w:r>
      <w:r w:rsidRPr="0089707B">
        <w:rPr>
          <w:rFonts w:eastAsia="Times New Roman" w:cs="Times New Roman"/>
          <w:lang w:eastAsia="cs-CZ"/>
        </w:rPr>
        <w:t xml:space="preserve">, č.j. </w:t>
      </w:r>
      <w:r w:rsidR="0089707B" w:rsidRPr="0089707B">
        <w:rPr>
          <w:rFonts w:eastAsia="Times New Roman" w:cs="Times New Roman"/>
          <w:lang w:eastAsia="cs-CZ"/>
        </w:rPr>
        <w:t>41700/2024-SŽ-OŘ PHA-OVZ</w:t>
      </w:r>
      <w:r w:rsidRPr="0089707B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366D733B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 w:rsidR="0089707B">
      <w:rPr>
        <w:szCs w:val="22"/>
      </w:rPr>
      <w:t>Pokynů 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778B7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9707B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61987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778B7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472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11</cp:revision>
  <cp:lastPrinted>2017-11-28T17:18:00Z</cp:lastPrinted>
  <dcterms:created xsi:type="dcterms:W3CDTF">2023-11-16T10:29:00Z</dcterms:created>
  <dcterms:modified xsi:type="dcterms:W3CDTF">2024-10-24T12:05:00Z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