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322CD7AB" w:rsidR="00826B7B" w:rsidRPr="00311BA9" w:rsidRDefault="006C2343" w:rsidP="006C2343">
      <w:pPr>
        <w:pStyle w:val="Tituldatum"/>
      </w:pPr>
      <w:r w:rsidRPr="00C02FB5">
        <w:t xml:space="preserve">Datum vydání: </w:t>
      </w:r>
      <w:r w:rsidRPr="00C02FB5">
        <w:tab/>
      </w:r>
      <w:r w:rsidR="00FA245A" w:rsidRPr="00C02FB5">
        <w:t>5</w:t>
      </w:r>
      <w:r w:rsidR="00D32F85" w:rsidRPr="00C02FB5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3B13F0C5" w14:textId="50BC2F52" w:rsidR="00AD6D2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3360" w:history="1">
        <w:r w:rsidR="00AD6D2A" w:rsidRPr="006777B9">
          <w:rPr>
            <w:rStyle w:val="Hypertextovodkaz"/>
          </w:rPr>
          <w:t>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DEFINICE POJMŮ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4A60D4">
          <w:rPr>
            <w:noProof/>
            <w:webHidden/>
          </w:rPr>
          <w:t>3</w:t>
        </w:r>
        <w:r w:rsidR="00AD6D2A">
          <w:rPr>
            <w:noProof/>
            <w:webHidden/>
          </w:rPr>
          <w:fldChar w:fldCharType="end"/>
        </w:r>
      </w:hyperlink>
    </w:p>
    <w:p w14:paraId="07088718" w14:textId="4030B360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1" w:history="1">
        <w:r w:rsidR="00AD6D2A" w:rsidRPr="006777B9">
          <w:rPr>
            <w:rStyle w:val="Hypertextovodkaz"/>
          </w:rPr>
          <w:t>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VŠEOBECNÉ POVINNOSTI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6D2A">
          <w:rPr>
            <w:noProof/>
            <w:webHidden/>
          </w:rPr>
          <w:fldChar w:fldCharType="end"/>
        </w:r>
      </w:hyperlink>
    </w:p>
    <w:p w14:paraId="6D3348CE" w14:textId="666414A2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2" w:history="1">
        <w:r w:rsidR="00AD6D2A" w:rsidRPr="006777B9">
          <w:rPr>
            <w:rStyle w:val="Hypertextovodkaz"/>
          </w:rPr>
          <w:t>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DOBA PLNĚNÍ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6D2A">
          <w:rPr>
            <w:noProof/>
            <w:webHidden/>
          </w:rPr>
          <w:fldChar w:fldCharType="end"/>
        </w:r>
      </w:hyperlink>
    </w:p>
    <w:p w14:paraId="637D03AA" w14:textId="30F1C6FD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3" w:history="1">
        <w:r w:rsidR="00AD6D2A" w:rsidRPr="006777B9">
          <w:rPr>
            <w:rStyle w:val="Hypertextovodkaz"/>
          </w:rPr>
          <w:t>4.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ZÁZNAMOVÉ A VYKAZOVACÍ POVINNOSTI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_Toc157883363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D6D2A">
          <w:rPr>
            <w:noProof/>
            <w:webHidden/>
          </w:rPr>
          <w:fldChar w:fldCharType="end"/>
        </w:r>
      </w:hyperlink>
    </w:p>
    <w:p w14:paraId="4E028246" w14:textId="2856150D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4" w:history="1">
        <w:r w:rsidR="00AD6D2A" w:rsidRPr="006777B9">
          <w:rPr>
            <w:rStyle w:val="Hypertextovodkaz"/>
          </w:rPr>
          <w:t>5.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OPRÁVNĚNÉ OSOBY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_Toc157883364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D6D2A">
          <w:rPr>
            <w:noProof/>
            <w:webHidden/>
          </w:rPr>
          <w:fldChar w:fldCharType="end"/>
        </w:r>
      </w:hyperlink>
    </w:p>
    <w:p w14:paraId="514C9863" w14:textId="024FE81D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5" w:history="1">
        <w:r w:rsidR="00AD6D2A" w:rsidRPr="006777B9">
          <w:rPr>
            <w:rStyle w:val="Hypertextovodkaz"/>
          </w:rPr>
          <w:t>6.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PRACOVNÍCI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_Toc157883365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D6D2A">
          <w:rPr>
            <w:noProof/>
            <w:webHidden/>
          </w:rPr>
          <w:fldChar w:fldCharType="end"/>
        </w:r>
      </w:hyperlink>
    </w:p>
    <w:p w14:paraId="027EE975" w14:textId="5FE63EEF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6" w:history="1">
        <w:r w:rsidR="00AD6D2A" w:rsidRPr="006777B9">
          <w:rPr>
            <w:rStyle w:val="Hypertextovodkaz"/>
          </w:rPr>
          <w:t>7.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PODDODAVATELÉ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_Toc157883366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AD6D2A">
          <w:rPr>
            <w:noProof/>
            <w:webHidden/>
          </w:rPr>
          <w:fldChar w:fldCharType="end"/>
        </w:r>
      </w:hyperlink>
    </w:p>
    <w:p w14:paraId="59CED8A9" w14:textId="410C7F5E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7" w:history="1">
        <w:r w:rsidR="00AD6D2A" w:rsidRPr="006777B9">
          <w:rPr>
            <w:rStyle w:val="Hypertextovodkaz"/>
          </w:rPr>
          <w:t>8.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BEZPEČNOST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_Toc157883367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D6D2A">
          <w:rPr>
            <w:noProof/>
            <w:webHidden/>
          </w:rPr>
          <w:fldChar w:fldCharType="end"/>
        </w:r>
      </w:hyperlink>
    </w:p>
    <w:p w14:paraId="6F5ABD36" w14:textId="7F2DFAEB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8" w:history="1">
        <w:r w:rsidR="00AD6D2A" w:rsidRPr="006777B9">
          <w:rPr>
            <w:rStyle w:val="Hypertextovodkaz"/>
          </w:rPr>
          <w:t>9.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PŘEDÁNÍ A PŘEVZETÍ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_Toc157883368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D6D2A">
          <w:rPr>
            <w:noProof/>
            <w:webHidden/>
          </w:rPr>
          <w:fldChar w:fldCharType="end"/>
        </w:r>
      </w:hyperlink>
    </w:p>
    <w:p w14:paraId="0719AE17" w14:textId="74D59115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9" w:history="1">
        <w:r w:rsidR="00AD6D2A" w:rsidRPr="006777B9">
          <w:rPr>
            <w:rStyle w:val="Hypertextovodkaz"/>
          </w:rPr>
          <w:t>10.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DOKONČENÍ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_Toc157883369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D6D2A">
          <w:rPr>
            <w:noProof/>
            <w:webHidden/>
          </w:rPr>
          <w:fldChar w:fldCharType="end"/>
        </w:r>
      </w:hyperlink>
    </w:p>
    <w:p w14:paraId="7F386A5D" w14:textId="6AFF35D0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0" w:history="1">
        <w:r w:rsidR="00AD6D2A" w:rsidRPr="006777B9">
          <w:rPr>
            <w:rStyle w:val="Hypertextovodkaz"/>
          </w:rPr>
          <w:t>11.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AKCEPTACE DOKUMENTŮ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D6D2A">
          <w:rPr>
            <w:noProof/>
            <w:webHidden/>
          </w:rPr>
          <w:fldChar w:fldCharType="end"/>
        </w:r>
      </w:hyperlink>
    </w:p>
    <w:p w14:paraId="325572F6" w14:textId="7D2B2EC7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1" w:history="1">
        <w:r w:rsidR="00AD6D2A" w:rsidRPr="006777B9">
          <w:rPr>
            <w:rStyle w:val="Hypertextovodkaz"/>
          </w:rPr>
          <w:t>12.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CENA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D6D2A">
          <w:rPr>
            <w:noProof/>
            <w:webHidden/>
          </w:rPr>
          <w:fldChar w:fldCharType="end"/>
        </w:r>
      </w:hyperlink>
    </w:p>
    <w:p w14:paraId="132826E7" w14:textId="4B338A70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2" w:history="1">
        <w:r w:rsidR="00AD6D2A" w:rsidRPr="006777B9">
          <w:rPr>
            <w:rStyle w:val="Hypertextovodkaz"/>
          </w:rPr>
          <w:t>13.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PLATEBNÍ PODMÍNKY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D6D2A">
          <w:rPr>
            <w:noProof/>
            <w:webHidden/>
          </w:rPr>
          <w:fldChar w:fldCharType="end"/>
        </w:r>
      </w:hyperlink>
    </w:p>
    <w:p w14:paraId="0669361A" w14:textId="6927C244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3" w:history="1">
        <w:r w:rsidR="00AD6D2A" w:rsidRPr="006777B9">
          <w:rPr>
            <w:rStyle w:val="Hypertextovodkaz"/>
          </w:rPr>
          <w:t>14.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BANKOVNÍ ZÁRUKA ZA PROVEDENÍ DÍLA A POJISTNÁ ZÁRUKA ZA PROVEDENÍ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_Toc157883373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D6D2A">
          <w:rPr>
            <w:noProof/>
            <w:webHidden/>
          </w:rPr>
          <w:fldChar w:fldCharType="end"/>
        </w:r>
      </w:hyperlink>
    </w:p>
    <w:p w14:paraId="0D4D302E" w14:textId="0805C7CF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4" w:history="1">
        <w:r w:rsidR="00AD6D2A" w:rsidRPr="006777B9">
          <w:rPr>
            <w:rStyle w:val="Hypertextovodkaz"/>
          </w:rPr>
          <w:t>15.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BANKOVNí ZÁRUKA ZA ODSTRANĚNÍ VAD A POJISTná záruka za odstranění vad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_Toc157883374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D6D2A">
          <w:rPr>
            <w:noProof/>
            <w:webHidden/>
          </w:rPr>
          <w:fldChar w:fldCharType="end"/>
        </w:r>
      </w:hyperlink>
    </w:p>
    <w:p w14:paraId="653E190B" w14:textId="7F45E71B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5" w:history="1">
        <w:r w:rsidR="00AD6D2A" w:rsidRPr="006777B9">
          <w:rPr>
            <w:rStyle w:val="Hypertextovodkaz"/>
          </w:rPr>
          <w:t>16.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VLASTNICKÁ PRÁVA A UŽÍVACÍ PRÁVA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_Toc157883375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D6D2A">
          <w:rPr>
            <w:noProof/>
            <w:webHidden/>
          </w:rPr>
          <w:fldChar w:fldCharType="end"/>
        </w:r>
      </w:hyperlink>
    </w:p>
    <w:p w14:paraId="1A53AE03" w14:textId="5823DA7A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6" w:history="1">
        <w:r w:rsidR="00AD6D2A" w:rsidRPr="006777B9">
          <w:rPr>
            <w:rStyle w:val="Hypertextovodkaz"/>
          </w:rPr>
          <w:t>17.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ZMĚNOVÉ ŘÍZENÍ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_Toc157883376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D6D2A">
          <w:rPr>
            <w:noProof/>
            <w:webHidden/>
          </w:rPr>
          <w:fldChar w:fldCharType="end"/>
        </w:r>
      </w:hyperlink>
    </w:p>
    <w:p w14:paraId="17477BF7" w14:textId="683E46C7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7" w:history="1">
        <w:r w:rsidR="00AD6D2A" w:rsidRPr="006777B9">
          <w:rPr>
            <w:rStyle w:val="Hypertextovodkaz"/>
          </w:rPr>
          <w:t>18.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ODPOVĚDNOST ZA ŠKODU A ZPROŠTĚNÍ POVINNOSTI K JEJÍ NÁHRADĚ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_Toc157883377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D6D2A">
          <w:rPr>
            <w:noProof/>
            <w:webHidden/>
          </w:rPr>
          <w:fldChar w:fldCharType="end"/>
        </w:r>
      </w:hyperlink>
    </w:p>
    <w:p w14:paraId="2C6B6229" w14:textId="5EDDB74B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8" w:history="1">
        <w:r w:rsidR="00AD6D2A" w:rsidRPr="006777B9">
          <w:rPr>
            <w:rStyle w:val="Hypertextovodkaz"/>
          </w:rPr>
          <w:t>19.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ODPOVĚDNOST ZA VADY A ZÁRUKY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_Toc157883378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D6D2A">
          <w:rPr>
            <w:noProof/>
            <w:webHidden/>
          </w:rPr>
          <w:fldChar w:fldCharType="end"/>
        </w:r>
      </w:hyperlink>
    </w:p>
    <w:p w14:paraId="2EA197E9" w14:textId="3E2D47DA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9" w:history="1">
        <w:r w:rsidR="00AD6D2A" w:rsidRPr="006777B9">
          <w:rPr>
            <w:rStyle w:val="Hypertextovodkaz"/>
          </w:rPr>
          <w:t>20.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SMLUVNÍ POKUTA A ÚROK Z PRODLENÍ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_Toc157883379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AD6D2A">
          <w:rPr>
            <w:noProof/>
            <w:webHidden/>
          </w:rPr>
          <w:fldChar w:fldCharType="end"/>
        </w:r>
      </w:hyperlink>
    </w:p>
    <w:p w14:paraId="084D9765" w14:textId="71C957E8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0" w:history="1">
        <w:r w:rsidR="00AD6D2A" w:rsidRPr="006777B9">
          <w:rPr>
            <w:rStyle w:val="Hypertextovodkaz"/>
          </w:rPr>
          <w:t>21.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ODSTOUPENÍ OBJEDNATELE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AD6D2A">
          <w:rPr>
            <w:noProof/>
            <w:webHidden/>
          </w:rPr>
          <w:fldChar w:fldCharType="end"/>
        </w:r>
      </w:hyperlink>
    </w:p>
    <w:p w14:paraId="23B5B7B0" w14:textId="782CA66E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1" w:history="1">
        <w:r w:rsidR="00AD6D2A" w:rsidRPr="006777B9">
          <w:rPr>
            <w:rStyle w:val="Hypertextovodkaz"/>
          </w:rPr>
          <w:t>22.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ODSTOUPENÍ ZHOTOVITELE A NÁROKY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AD6D2A">
          <w:rPr>
            <w:noProof/>
            <w:webHidden/>
          </w:rPr>
          <w:fldChar w:fldCharType="end"/>
        </w:r>
      </w:hyperlink>
    </w:p>
    <w:p w14:paraId="0D54A50C" w14:textId="7D38882E" w:rsidR="00AD6D2A" w:rsidRDefault="004A60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2" w:history="1">
        <w:r w:rsidR="00AD6D2A" w:rsidRPr="006777B9">
          <w:rPr>
            <w:rStyle w:val="Hypertextovodkaz"/>
          </w:rPr>
          <w:t>23.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ŘEŠENÍ SPORŮ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AD6D2A">
          <w:rPr>
            <w:noProof/>
            <w:webHidden/>
          </w:rPr>
          <w:fldChar w:fldCharType="end"/>
        </w:r>
      </w:hyperlink>
    </w:p>
    <w:p w14:paraId="494825E3" w14:textId="034C6321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883360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>finanční záruka ve smyslu ust.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76E8908C" w14:textId="77777777" w:rsidR="00D32F85" w:rsidRDefault="00D32F85" w:rsidP="00D32F85">
            <w:pPr>
              <w:pStyle w:val="Tabulka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3BF4607D" w14:textId="77777777" w:rsidR="00D32F85" w:rsidRPr="00E95DA9" w:rsidRDefault="00D32F85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DFA6BE1" w:rsidR="00D32F85" w:rsidRPr="00E065B7" w:rsidRDefault="00D32F85" w:rsidP="00D32F85">
            <w:pPr>
              <w:pStyle w:val="Tabulka"/>
            </w:pPr>
            <w:r>
              <w:t>je dokumentace pro povolení stavby, rámcové povolení a povolení změny využití území dle ust. § 157 odst. 2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7D5A981B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2ECACC2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0A92D6DF" w:rsidR="00525E48" w:rsidRPr="000B2BF5" w:rsidRDefault="00525E48" w:rsidP="00E95DA9">
            <w:pPr>
              <w:pStyle w:val="Tabulka"/>
            </w:pPr>
            <w:r w:rsidRPr="000B2BF5">
              <w:t>Projektovou dokumentací pro tyto OP se rozumí kompletní zadávací dokumentace ve stupni Projektové dokumentace pro provádění stavby</w:t>
            </w:r>
            <w:r w:rsidR="0002760F" w:rsidRPr="000B2BF5">
              <w:t>,</w:t>
            </w:r>
            <w:r w:rsidRPr="000B2BF5">
              <w:t xml:space="preserve"> a to včetně kompletní dokladové části </w:t>
            </w:r>
            <w:r w:rsidR="00D32F85" w:rsidRPr="000B2BF5">
              <w:t xml:space="preserve">nebo </w:t>
            </w:r>
            <w:r w:rsidR="007A1FEC" w:rsidRPr="000B2BF5">
              <w:t>D</w:t>
            </w:r>
            <w:r w:rsidR="00D32F85" w:rsidRPr="000B2BF5">
              <w:t>okumentace pro povolení záměru ve smyslu NSZ a jeho prováděcích právních předpisů</w:t>
            </w:r>
            <w:r w:rsidRPr="000B2BF5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4782FE30" w:rsidR="00DF5C51" w:rsidRPr="000B2BF5" w:rsidRDefault="001D76DF" w:rsidP="00E95DA9">
            <w:pPr>
              <w:pStyle w:val="Tabulka"/>
            </w:pPr>
            <w:r w:rsidRPr="000B2BF5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0B2BF5">
              <w:t>projednání, zejména v rámci SŽ</w:t>
            </w:r>
            <w:r w:rsidRPr="000B2BF5">
              <w:t xml:space="preserve">, </w:t>
            </w:r>
            <w:r w:rsidR="0002760F" w:rsidRPr="000B2BF5">
              <w:t xml:space="preserve">se </w:t>
            </w:r>
            <w:r w:rsidRPr="000B2BF5">
              <w:t xml:space="preserve">použijí pro zpracování této dokumentace požadavky přílohy č. </w:t>
            </w:r>
            <w:r w:rsidR="0002760F" w:rsidRPr="000B2BF5">
              <w:t>7</w:t>
            </w:r>
            <w:r w:rsidRPr="000B2BF5">
              <w:t xml:space="preserve"> Směrnice</w:t>
            </w:r>
            <w:r w:rsidR="0002760F" w:rsidRPr="000B2BF5">
              <w:t xml:space="preserve"> SM011</w:t>
            </w:r>
            <w:r w:rsidRPr="000B2BF5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51C0BA7A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stavební povolení (DSP)</w:t>
            </w:r>
            <w:r w:rsidR="00D32F85">
              <w:rPr>
                <w:b/>
              </w:rPr>
              <w:t>/Projektová dokumentace pro povolení stavby</w:t>
            </w:r>
          </w:p>
        </w:tc>
        <w:tc>
          <w:tcPr>
            <w:tcW w:w="6150" w:type="dxa"/>
            <w:shd w:val="clear" w:color="auto" w:fill="auto"/>
          </w:tcPr>
          <w:p w14:paraId="186E9BB4" w14:textId="0E35E070" w:rsidR="001D76DF" w:rsidRPr="000B2BF5" w:rsidRDefault="00932D0A" w:rsidP="00E95DA9">
            <w:pPr>
              <w:pStyle w:val="Tabulka"/>
            </w:pPr>
            <w:r w:rsidRPr="000B2BF5">
              <w:t>j</w:t>
            </w:r>
            <w:r w:rsidR="001D76DF" w:rsidRPr="000B2BF5">
              <w:t>e projektová dokumentace pro vydání stavebního povolení, která se zpracovává v členění a rozsahu přílohy č. 3 vyhlášky č.</w:t>
            </w:r>
            <w:r w:rsidR="00E95DA9" w:rsidRPr="000B2BF5">
              <w:t> </w:t>
            </w:r>
            <w:r w:rsidR="001D76DF" w:rsidRPr="000B2BF5">
              <w:t xml:space="preserve">146/2008 Sb. o rozsahu a obsahu projektové dokumentace dopravních staveb, </w:t>
            </w:r>
            <w:r w:rsidR="00D32F85" w:rsidRPr="000B2BF5">
              <w:t>nebo dokumentace</w:t>
            </w:r>
            <w:r w:rsidR="007A1FEC" w:rsidRPr="000B2BF5">
              <w:t xml:space="preserve"> </w:t>
            </w:r>
            <w:r w:rsidR="000B2BF5">
              <w:t xml:space="preserve">odpovídajícího typu </w:t>
            </w:r>
            <w:r w:rsidR="00D32F85" w:rsidRPr="000B2BF5">
              <w:t>ve smyslu NSZ a jeho prováděcích předpisů</w:t>
            </w:r>
            <w:r w:rsidR="00E75BFF" w:rsidRPr="000B2BF5">
              <w:t>.</w:t>
            </w:r>
            <w:r w:rsidR="001D76DF" w:rsidRPr="000B2BF5">
              <w:t xml:space="preserve"> </w:t>
            </w:r>
            <w:r w:rsidR="00E75BFF" w:rsidRPr="000B2BF5">
              <w:t xml:space="preserve">Pro potřeby </w:t>
            </w:r>
            <w:r w:rsidR="0094723B" w:rsidRPr="000B2BF5">
              <w:t>projednání, zejména v rámci SŽ</w:t>
            </w:r>
            <w:r w:rsidR="00E75BFF" w:rsidRPr="000B2BF5">
              <w:t xml:space="preserve">, se použijí pro zpracování této dokumentace požadavky </w:t>
            </w:r>
            <w:r w:rsidR="00D32F85" w:rsidRPr="000B2BF5">
              <w:t xml:space="preserve">dle </w:t>
            </w:r>
            <w:r w:rsidR="00E75BFF" w:rsidRPr="000B2BF5">
              <w:t xml:space="preserve">přílohy č. </w:t>
            </w:r>
            <w:r w:rsidR="00D32F85" w:rsidRPr="00C02FB5">
              <w:t>6</w:t>
            </w:r>
            <w:r w:rsidR="00E75BFF" w:rsidRPr="000B2BF5">
              <w:t xml:space="preserve"> Směrnice </w:t>
            </w:r>
            <w:r w:rsidR="00713087" w:rsidRPr="000B2BF5">
              <w:t xml:space="preserve">SM011 </w:t>
            </w:r>
            <w:r w:rsidR="00E75BFF" w:rsidRPr="000B2BF5">
              <w:t xml:space="preserve">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503E287A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 w:rsidR="00713087">
              <w:t>8</w:t>
            </w:r>
            <w:r w:rsidRPr="005E152D">
              <w:t xml:space="preserve">  Směrnice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52FBE22C" w:rsidR="001D76DF" w:rsidRPr="00E065B7" w:rsidRDefault="001D76DF" w:rsidP="00E95DA9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883361"/>
      <w:r>
        <w:lastRenderedPageBreak/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 xml:space="preserve">výkonu </w:t>
      </w:r>
      <w:r>
        <w:lastRenderedPageBreak/>
        <w:t>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5A4F250C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lastRenderedPageBreak/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09CA3C1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883362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lastRenderedPageBreak/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lastRenderedPageBreak/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lastRenderedPageBreak/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lastRenderedPageBreak/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lastRenderedPageBreak/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7" w:name="_Toc157883363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5FF380FC" w:rsidR="005F7CEA" w:rsidRDefault="005F7CEA" w:rsidP="00AB3DBB">
      <w:pPr>
        <w:pStyle w:val="Text1-2"/>
      </w:pPr>
      <w:r>
        <w:t xml:space="preserve">další údaje dle požadavků </w:t>
      </w:r>
      <w:r w:rsidR="00713087">
        <w:t xml:space="preserve">ust.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 xml:space="preserve">sídle Zhotovitele kontrolu dodržování </w:t>
      </w:r>
      <w:r>
        <w:lastRenderedPageBreak/>
        <w:t>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1BA83AAF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883364"/>
      <w:r>
        <w:t>OPRÁVNĚNÉ OSOBY</w:t>
      </w:r>
      <w:bookmarkEnd w:id="8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0DBEDB15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883365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lastRenderedPageBreak/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348990AA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0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0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lastRenderedPageBreak/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7883366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lastRenderedPageBreak/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A93F76C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7883367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lastRenderedPageBreak/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7883368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 xml:space="preserve">nebude </w:t>
      </w:r>
      <w:r>
        <w:lastRenderedPageBreak/>
        <w:t>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lastRenderedPageBreak/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7883369"/>
      <w:r>
        <w:lastRenderedPageBreak/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7883370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 xml:space="preserve">veškeré </w:t>
      </w:r>
      <w:r>
        <w:lastRenderedPageBreak/>
        <w:t>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7883371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1C7F9A02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486429BA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</w:t>
      </w:r>
      <w:r w:rsidR="00143482" w:rsidRPr="00AF479B">
        <w:t>u </w:t>
      </w:r>
      <w:r w:rsidRPr="00AF479B">
        <w:t>příslušné organizační jednotky Objednatele</w:t>
      </w:r>
      <w:r w:rsidR="00143482" w:rsidRPr="00AF479B">
        <w:t xml:space="preserve"> v </w:t>
      </w:r>
      <w:r w:rsidRPr="00AF479B">
        <w:t>rozsahu</w:t>
      </w:r>
      <w:r w:rsidR="006C7735" w:rsidRPr="00AF479B">
        <w:t xml:space="preserve"> </w:t>
      </w:r>
      <w:r w:rsidRPr="00AF479B"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 xml:space="preserve">se bude </w:t>
      </w:r>
      <w:r>
        <w:lastRenderedPageBreak/>
        <w:t>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7883372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65D961B5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>v digitální podobě do datové schránky s identifikátorem Uccchjm,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>a Pernera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lastRenderedPageBreak/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8" w:name="_Toc157883373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18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lastRenderedPageBreak/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5F865B02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19" w:name="_Toc157883374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19"/>
    </w:p>
    <w:p w14:paraId="61CAC05E" w14:textId="7998A914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lastRenderedPageBreak/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1136E64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0" w:name="_Toc157883375"/>
      <w:r>
        <w:t>VLASTNICKÁ PRÁVA A UŽÍVACÍ PRÁVA</w:t>
      </w:r>
      <w:bookmarkEnd w:id="20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lastRenderedPageBreak/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157883376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lastRenderedPageBreak/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>víceprací ve smyslu ust.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157883377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 xml:space="preserve">překonat, ho však </w:t>
      </w:r>
      <w:r>
        <w:lastRenderedPageBreak/>
        <w:t>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157883378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 xml:space="preserve">celky </w:t>
      </w:r>
      <w:r>
        <w:lastRenderedPageBreak/>
        <w:t>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 xml:space="preserve">Zhotovitel nesplní svou </w:t>
      </w:r>
      <w:r>
        <w:lastRenderedPageBreak/>
        <w:t>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vad. </w:t>
      </w:r>
      <w:r w:rsidRPr="00F37EEF">
        <w:t>.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157883379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</w:t>
      </w:r>
      <w:r w:rsidRPr="00674EA8">
        <w:lastRenderedPageBreak/>
        <w:t xml:space="preserve">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>předat Objednateli</w:t>
      </w:r>
      <w:r w:rsidR="00503C65">
        <w:t xml:space="preserve"> </w:t>
      </w:r>
      <w:r w:rsidR="00F62374">
        <w:t xml:space="preserve"> Bankovní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lastRenderedPageBreak/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Kč </w:t>
      </w:r>
      <w:r w:rsidR="00446B21">
        <w:t xml:space="preserve"> </w:t>
      </w:r>
      <w:r>
        <w:t>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1F025F77" w:rsidR="00CE43DF" w:rsidRPr="002E0EEC" w:rsidRDefault="00841113" w:rsidP="008133DD">
      <w:pPr>
        <w:pStyle w:val="Text1-1"/>
      </w:pPr>
      <w:r w:rsidRPr="00DF32B3">
        <w:t>Zhotovitel je povinen při plnění Smlouvy postupovat tak, aby nedošlo</w:t>
      </w:r>
      <w:r>
        <w:t xml:space="preserve"> 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</w:t>
      </w:r>
      <w:r w:rsidR="00CE43DF" w:rsidRPr="002E0EEC">
        <w:lastRenderedPageBreak/>
        <w:t xml:space="preserve">dráhy </w:t>
      </w:r>
      <w:r w:rsidR="008133DD" w:rsidRPr="002E0EEC">
        <w:t>níže specifikované</w:t>
      </w:r>
      <w:r>
        <w:t xml:space="preserve">. </w:t>
      </w:r>
      <w:r w:rsidR="008133DD" w:rsidRPr="002E0EEC">
        <w:t xml:space="preserve"> </w:t>
      </w:r>
      <w:r>
        <w:t xml:space="preserve">V případě porušení jakékoli povinnosti dle tohoto odstavce </w:t>
      </w:r>
      <w:r w:rsidR="008133DD" w:rsidRPr="002E0EEC">
        <w:t xml:space="preserve">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157883380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Pojistnou  záruku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lastRenderedPageBreak/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022CE413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lastRenderedPageBreak/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6" w:name="_Toc157883381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157883382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D6CBD" w14:textId="77777777" w:rsidR="00A72782" w:rsidRDefault="00A72782" w:rsidP="00962258">
      <w:pPr>
        <w:spacing w:after="0" w:line="240" w:lineRule="auto"/>
      </w:pPr>
      <w:r>
        <w:separator/>
      </w:r>
    </w:p>
  </w:endnote>
  <w:endnote w:type="continuationSeparator" w:id="0">
    <w:p w14:paraId="3AF399D2" w14:textId="77777777" w:rsidR="00A72782" w:rsidRDefault="00A727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060A2F07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0826734B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21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EE7DE" w14:textId="77777777" w:rsidR="00A72782" w:rsidRDefault="00A72782" w:rsidP="00962258">
      <w:pPr>
        <w:spacing w:after="0" w:line="240" w:lineRule="auto"/>
      </w:pPr>
      <w:r>
        <w:separator/>
      </w:r>
    </w:p>
  </w:footnote>
  <w:footnote w:type="continuationSeparator" w:id="0">
    <w:p w14:paraId="6FF2BB86" w14:textId="77777777" w:rsidR="00A72782" w:rsidRDefault="00A727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0613">
    <w:abstractNumId w:val="5"/>
  </w:num>
  <w:num w:numId="2" w16cid:durableId="1578007710">
    <w:abstractNumId w:val="4"/>
  </w:num>
  <w:num w:numId="3" w16cid:durableId="652105372">
    <w:abstractNumId w:val="2"/>
  </w:num>
  <w:num w:numId="4" w16cid:durableId="1562134731">
    <w:abstractNumId w:val="13"/>
  </w:num>
  <w:num w:numId="5" w16cid:durableId="1392457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2522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52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625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9276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47891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592351">
    <w:abstractNumId w:val="7"/>
  </w:num>
  <w:num w:numId="12" w16cid:durableId="1244604860">
    <w:abstractNumId w:val="10"/>
  </w:num>
  <w:num w:numId="13" w16cid:durableId="42558390">
    <w:abstractNumId w:val="8"/>
  </w:num>
  <w:num w:numId="14" w16cid:durableId="206112594">
    <w:abstractNumId w:val="14"/>
  </w:num>
  <w:num w:numId="15" w16cid:durableId="1354183190">
    <w:abstractNumId w:val="0"/>
  </w:num>
  <w:num w:numId="16" w16cid:durableId="980502969">
    <w:abstractNumId w:val="6"/>
  </w:num>
  <w:num w:numId="17" w16cid:durableId="974021474">
    <w:abstractNumId w:val="9"/>
  </w:num>
  <w:num w:numId="18" w16cid:durableId="1576088770">
    <w:abstractNumId w:val="11"/>
  </w:num>
  <w:num w:numId="19" w16cid:durableId="424423702">
    <w:abstractNumId w:val="1"/>
  </w:num>
  <w:num w:numId="20" w16cid:durableId="1440563602">
    <w:abstractNumId w:val="3"/>
  </w:num>
  <w:num w:numId="21" w16cid:durableId="414864532">
    <w:abstractNumId w:val="12"/>
  </w:num>
  <w:num w:numId="22" w16cid:durableId="613094980">
    <w:abstractNumId w:val="1"/>
  </w:num>
  <w:num w:numId="23" w16cid:durableId="1115520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1751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137639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52242"/>
    <w:rsid w:val="00054FC6"/>
    <w:rsid w:val="0006465A"/>
    <w:rsid w:val="0006588D"/>
    <w:rsid w:val="00066F58"/>
    <w:rsid w:val="00067A5E"/>
    <w:rsid w:val="000719BB"/>
    <w:rsid w:val="00072A65"/>
    <w:rsid w:val="00072C1E"/>
    <w:rsid w:val="00073D8C"/>
    <w:rsid w:val="00074D34"/>
    <w:rsid w:val="000A35C2"/>
    <w:rsid w:val="000B24F4"/>
    <w:rsid w:val="000B2BF5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963C4"/>
    <w:rsid w:val="004A60D4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C85"/>
    <w:rsid w:val="005736B7"/>
    <w:rsid w:val="00575E5A"/>
    <w:rsid w:val="00580245"/>
    <w:rsid w:val="0058742A"/>
    <w:rsid w:val="00590642"/>
    <w:rsid w:val="0059363D"/>
    <w:rsid w:val="005A1F44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1FEC"/>
    <w:rsid w:val="007A5172"/>
    <w:rsid w:val="007A67A0"/>
    <w:rsid w:val="007B03BB"/>
    <w:rsid w:val="007B570C"/>
    <w:rsid w:val="007B5D29"/>
    <w:rsid w:val="007C3628"/>
    <w:rsid w:val="007C751D"/>
    <w:rsid w:val="007D5E4A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1113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53DD2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911A6"/>
    <w:rsid w:val="00A92A89"/>
    <w:rsid w:val="00A94C2F"/>
    <w:rsid w:val="00A95727"/>
    <w:rsid w:val="00AA4CBB"/>
    <w:rsid w:val="00AA65FA"/>
    <w:rsid w:val="00AA7351"/>
    <w:rsid w:val="00AB3DBB"/>
    <w:rsid w:val="00AB4806"/>
    <w:rsid w:val="00AB49DD"/>
    <w:rsid w:val="00AC39E5"/>
    <w:rsid w:val="00AC6C12"/>
    <w:rsid w:val="00AD056F"/>
    <w:rsid w:val="00AD0C7B"/>
    <w:rsid w:val="00AD38D0"/>
    <w:rsid w:val="00AD5F1A"/>
    <w:rsid w:val="00AD6731"/>
    <w:rsid w:val="00AD6D2A"/>
    <w:rsid w:val="00AF0016"/>
    <w:rsid w:val="00AF24D6"/>
    <w:rsid w:val="00AF479B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53E1"/>
    <w:rsid w:val="00BD5657"/>
    <w:rsid w:val="00BD7E91"/>
    <w:rsid w:val="00BD7F0D"/>
    <w:rsid w:val="00BF75B1"/>
    <w:rsid w:val="00C02D0A"/>
    <w:rsid w:val="00C02FB5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736B"/>
    <w:rsid w:val="00C778A5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32B3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C5F4B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21B0B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72141-9C15-4C2A-B5E3-E690135CF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55A5E7-1206-4C04-BA5B-08D60C83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650</TotalTime>
  <Pages>36</Pages>
  <Words>18058</Words>
  <Characters>106547</Characters>
  <Application>Microsoft Office Word</Application>
  <DocSecurity>0</DocSecurity>
  <Lines>887</Lines>
  <Paragraphs>248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Sukup Richard, Mgr.</cp:lastModifiedBy>
  <cp:revision>72</cp:revision>
  <cp:lastPrinted>2024-08-13T12:16:00Z</cp:lastPrinted>
  <dcterms:created xsi:type="dcterms:W3CDTF">2021-12-15T17:03:00Z</dcterms:created>
  <dcterms:modified xsi:type="dcterms:W3CDTF">2024-08-13T12:17:00Z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