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1BCA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AB7E2B">
        <w:rPr>
          <w:rFonts w:ascii="Verdana" w:hAnsi="Verdana"/>
          <w:b/>
          <w:bCs/>
          <w:sz w:val="18"/>
          <w:szCs w:val="18"/>
        </w:rPr>
        <w:t>„</w:t>
      </w:r>
      <w:r w:rsidR="00AB7E2B" w:rsidRPr="00AB7E2B">
        <w:rPr>
          <w:rFonts w:ascii="Verdana" w:hAnsi="Verdana"/>
          <w:b/>
          <w:bCs/>
          <w:sz w:val="18"/>
          <w:szCs w:val="18"/>
          <w:lang w:val="en-US"/>
        </w:rPr>
        <w:t>Měření hluků a vibrací u OŘ UNL 2024-2028</w:t>
      </w:r>
      <w:r w:rsidRPr="00AB7E2B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3D9955C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7E2B" w:rsidRPr="00AB7E2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B7E2B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2018-11-26T13:52:00Z</dcterms:created>
  <dcterms:modified xsi:type="dcterms:W3CDTF">2024-10-18T06:09:00Z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