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367811" w14:paraId="555B9372" w14:textId="77777777" w:rsidTr="00F862D6">
        <w:tc>
          <w:tcPr>
            <w:tcW w:w="1020" w:type="dxa"/>
          </w:tcPr>
          <w:p w14:paraId="2D22ED84" w14:textId="77777777" w:rsidR="00367811" w:rsidRPr="003E6B9A" w:rsidRDefault="00367811" w:rsidP="00367811">
            <w:r w:rsidRPr="003E6B9A">
              <w:t>Naše zn.</w:t>
            </w:r>
          </w:p>
        </w:tc>
        <w:tc>
          <w:tcPr>
            <w:tcW w:w="2552" w:type="dxa"/>
          </w:tcPr>
          <w:p w14:paraId="2FFEACB5" w14:textId="67FD5AE1" w:rsidR="00367811" w:rsidRPr="003E6B9A" w:rsidRDefault="00DA0778" w:rsidP="00367811">
            <w:r w:rsidRPr="00DA0778">
              <w:rPr>
                <w:rFonts w:ascii="Helvetica" w:hAnsi="Helvetica"/>
              </w:rPr>
              <w:t>9767/2024-SŽ-SSV-Ú3</w:t>
            </w:r>
          </w:p>
        </w:tc>
        <w:tc>
          <w:tcPr>
            <w:tcW w:w="823" w:type="dxa"/>
          </w:tcPr>
          <w:p w14:paraId="583467BB" w14:textId="77777777" w:rsidR="00367811" w:rsidRDefault="00367811" w:rsidP="00367811"/>
        </w:tc>
        <w:tc>
          <w:tcPr>
            <w:tcW w:w="3685" w:type="dxa"/>
            <w:vMerge/>
          </w:tcPr>
          <w:p w14:paraId="6D7C51D0" w14:textId="77777777" w:rsidR="00367811" w:rsidRDefault="00367811" w:rsidP="00367811"/>
        </w:tc>
      </w:tr>
      <w:tr w:rsidR="00367811" w14:paraId="2C33C41A" w14:textId="77777777" w:rsidTr="00F862D6">
        <w:tc>
          <w:tcPr>
            <w:tcW w:w="1020" w:type="dxa"/>
          </w:tcPr>
          <w:p w14:paraId="3534520F" w14:textId="77777777" w:rsidR="00367811" w:rsidRDefault="00367811" w:rsidP="00367811">
            <w:r>
              <w:t>Listů/příloh</w:t>
            </w:r>
          </w:p>
        </w:tc>
        <w:tc>
          <w:tcPr>
            <w:tcW w:w="2552" w:type="dxa"/>
          </w:tcPr>
          <w:p w14:paraId="333CD487" w14:textId="100DE8FF" w:rsidR="00367811" w:rsidRPr="003E6B9A" w:rsidRDefault="00DA0778" w:rsidP="00367811">
            <w:r>
              <w:t>4</w:t>
            </w:r>
            <w:r w:rsidR="00367811" w:rsidRPr="00D03D26">
              <w:t>/</w:t>
            </w:r>
            <w:r>
              <w:t>7</w:t>
            </w:r>
          </w:p>
        </w:tc>
        <w:tc>
          <w:tcPr>
            <w:tcW w:w="823" w:type="dxa"/>
          </w:tcPr>
          <w:p w14:paraId="3FB21908" w14:textId="77777777" w:rsidR="00367811" w:rsidRDefault="00367811" w:rsidP="00367811"/>
        </w:tc>
        <w:tc>
          <w:tcPr>
            <w:tcW w:w="3685" w:type="dxa"/>
            <w:vMerge/>
          </w:tcPr>
          <w:p w14:paraId="2E772784" w14:textId="77777777" w:rsidR="00367811" w:rsidRDefault="00367811" w:rsidP="00367811">
            <w:pPr>
              <w:rPr>
                <w:noProof/>
              </w:rPr>
            </w:pPr>
          </w:p>
        </w:tc>
      </w:tr>
      <w:tr w:rsidR="00367811" w14:paraId="42594FDE" w14:textId="77777777" w:rsidTr="00B23CA3">
        <w:trPr>
          <w:trHeight w:val="77"/>
        </w:trPr>
        <w:tc>
          <w:tcPr>
            <w:tcW w:w="1020" w:type="dxa"/>
          </w:tcPr>
          <w:p w14:paraId="58F6E86B" w14:textId="77777777" w:rsidR="00367811" w:rsidRDefault="00367811" w:rsidP="00367811"/>
        </w:tc>
        <w:tc>
          <w:tcPr>
            <w:tcW w:w="2552" w:type="dxa"/>
          </w:tcPr>
          <w:p w14:paraId="133F3BF2" w14:textId="77777777" w:rsidR="00367811" w:rsidRPr="003E6B9A" w:rsidRDefault="00367811" w:rsidP="00367811"/>
        </w:tc>
        <w:tc>
          <w:tcPr>
            <w:tcW w:w="823" w:type="dxa"/>
          </w:tcPr>
          <w:p w14:paraId="7BEB7C0A" w14:textId="77777777" w:rsidR="00367811" w:rsidRDefault="00367811" w:rsidP="00367811"/>
        </w:tc>
        <w:tc>
          <w:tcPr>
            <w:tcW w:w="3685" w:type="dxa"/>
            <w:vMerge/>
          </w:tcPr>
          <w:p w14:paraId="140296A1" w14:textId="77777777" w:rsidR="00367811" w:rsidRDefault="00367811" w:rsidP="00367811"/>
        </w:tc>
      </w:tr>
      <w:tr w:rsidR="00367811" w14:paraId="5237532F" w14:textId="77777777" w:rsidTr="00F862D6">
        <w:tc>
          <w:tcPr>
            <w:tcW w:w="1020" w:type="dxa"/>
          </w:tcPr>
          <w:p w14:paraId="7759C605" w14:textId="77777777" w:rsidR="00367811" w:rsidRDefault="00367811" w:rsidP="00367811">
            <w:r>
              <w:t>Vyřizuje</w:t>
            </w:r>
          </w:p>
        </w:tc>
        <w:tc>
          <w:tcPr>
            <w:tcW w:w="2552" w:type="dxa"/>
          </w:tcPr>
          <w:p w14:paraId="1DDCADFD" w14:textId="77777777" w:rsidR="00367811" w:rsidRPr="000F3143" w:rsidRDefault="00367811" w:rsidP="00367811">
            <w:r w:rsidRPr="000F3143">
              <w:t>Ing. Radomíra Rečková</w:t>
            </w:r>
          </w:p>
          <w:p w14:paraId="4A0EADDE" w14:textId="77777777" w:rsidR="00367811" w:rsidRPr="003E6B9A" w:rsidRDefault="00367811" w:rsidP="00367811"/>
        </w:tc>
        <w:tc>
          <w:tcPr>
            <w:tcW w:w="823" w:type="dxa"/>
          </w:tcPr>
          <w:p w14:paraId="303107D3" w14:textId="77777777" w:rsidR="00367811" w:rsidRDefault="00367811" w:rsidP="00367811"/>
        </w:tc>
        <w:tc>
          <w:tcPr>
            <w:tcW w:w="3685" w:type="dxa"/>
            <w:vMerge/>
          </w:tcPr>
          <w:p w14:paraId="6405EBE3" w14:textId="77777777" w:rsidR="00367811" w:rsidRDefault="00367811" w:rsidP="00367811"/>
        </w:tc>
      </w:tr>
      <w:tr w:rsidR="00367811" w14:paraId="192D4EE6" w14:textId="77777777" w:rsidTr="00F862D6">
        <w:tc>
          <w:tcPr>
            <w:tcW w:w="1020" w:type="dxa"/>
          </w:tcPr>
          <w:p w14:paraId="2F7F053F" w14:textId="77777777" w:rsidR="00367811" w:rsidRDefault="00367811" w:rsidP="00367811"/>
        </w:tc>
        <w:tc>
          <w:tcPr>
            <w:tcW w:w="2552" w:type="dxa"/>
          </w:tcPr>
          <w:p w14:paraId="36F90D31" w14:textId="77777777" w:rsidR="00367811" w:rsidRPr="003E6B9A" w:rsidRDefault="00367811" w:rsidP="00367811"/>
        </w:tc>
        <w:tc>
          <w:tcPr>
            <w:tcW w:w="823" w:type="dxa"/>
          </w:tcPr>
          <w:p w14:paraId="0B7BD956" w14:textId="77777777" w:rsidR="00367811" w:rsidRDefault="00367811" w:rsidP="00367811"/>
        </w:tc>
        <w:tc>
          <w:tcPr>
            <w:tcW w:w="3685" w:type="dxa"/>
            <w:vMerge/>
          </w:tcPr>
          <w:p w14:paraId="294D6520" w14:textId="77777777" w:rsidR="00367811" w:rsidRDefault="00367811" w:rsidP="00367811"/>
        </w:tc>
      </w:tr>
      <w:tr w:rsidR="00367811" w14:paraId="635DFF9F" w14:textId="77777777" w:rsidTr="00F862D6">
        <w:tc>
          <w:tcPr>
            <w:tcW w:w="1020" w:type="dxa"/>
          </w:tcPr>
          <w:p w14:paraId="7A3891F6" w14:textId="77777777" w:rsidR="00367811" w:rsidRDefault="00367811" w:rsidP="00367811">
            <w:r>
              <w:t>Mobil</w:t>
            </w:r>
          </w:p>
        </w:tc>
        <w:tc>
          <w:tcPr>
            <w:tcW w:w="2552" w:type="dxa"/>
          </w:tcPr>
          <w:p w14:paraId="67448459" w14:textId="360B81A0" w:rsidR="00367811" w:rsidRPr="003E6B9A" w:rsidRDefault="00367811" w:rsidP="00367811">
            <w:r w:rsidRPr="000F3143">
              <w:t>+420 725 744 197</w:t>
            </w:r>
          </w:p>
        </w:tc>
        <w:tc>
          <w:tcPr>
            <w:tcW w:w="823" w:type="dxa"/>
          </w:tcPr>
          <w:p w14:paraId="4A963F72" w14:textId="77777777" w:rsidR="00367811" w:rsidRDefault="00367811" w:rsidP="00367811"/>
        </w:tc>
        <w:tc>
          <w:tcPr>
            <w:tcW w:w="3685" w:type="dxa"/>
            <w:vMerge/>
          </w:tcPr>
          <w:p w14:paraId="010CCE96" w14:textId="77777777" w:rsidR="00367811" w:rsidRDefault="00367811" w:rsidP="00367811"/>
        </w:tc>
      </w:tr>
      <w:tr w:rsidR="00367811" w14:paraId="2250880D" w14:textId="77777777" w:rsidTr="00F862D6">
        <w:tc>
          <w:tcPr>
            <w:tcW w:w="1020" w:type="dxa"/>
          </w:tcPr>
          <w:p w14:paraId="28245A45" w14:textId="77777777" w:rsidR="00367811" w:rsidRDefault="00367811" w:rsidP="00367811">
            <w:r>
              <w:t>E-mail</w:t>
            </w:r>
          </w:p>
        </w:tc>
        <w:tc>
          <w:tcPr>
            <w:tcW w:w="2552" w:type="dxa"/>
          </w:tcPr>
          <w:p w14:paraId="15A7D067" w14:textId="7278B23C" w:rsidR="00367811" w:rsidRPr="003E6B9A" w:rsidRDefault="0021493D" w:rsidP="00367811">
            <w:hyperlink r:id="rId11" w:history="1">
              <w:r w:rsidR="00367811" w:rsidRPr="00196E00">
                <w:rPr>
                  <w:rStyle w:val="Hypertextovodkaz"/>
                </w:rPr>
                <w:t>Reckova@spravazeleznic.cz</w:t>
              </w:r>
            </w:hyperlink>
          </w:p>
        </w:tc>
        <w:tc>
          <w:tcPr>
            <w:tcW w:w="823" w:type="dxa"/>
          </w:tcPr>
          <w:p w14:paraId="61F2AFE5" w14:textId="77777777" w:rsidR="00367811" w:rsidRDefault="00367811" w:rsidP="00367811"/>
        </w:tc>
        <w:tc>
          <w:tcPr>
            <w:tcW w:w="3685" w:type="dxa"/>
            <w:vMerge/>
          </w:tcPr>
          <w:p w14:paraId="3652D20A" w14:textId="77777777" w:rsidR="00367811" w:rsidRDefault="00367811" w:rsidP="00367811"/>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5FF0586C" w:rsidR="009A7568" w:rsidRPr="003E6B9A" w:rsidRDefault="009A7568" w:rsidP="009A7568">
            <w:r w:rsidRPr="003E6B9A">
              <w:fldChar w:fldCharType="begin"/>
            </w:r>
            <w:r w:rsidRPr="003E6B9A">
              <w:instrText xml:space="preserve"> DATE  \@ "d. MMMM yyyy"  \* MERGEFORMAT </w:instrText>
            </w:r>
            <w:r w:rsidRPr="003E6B9A">
              <w:fldChar w:fldCharType="separate"/>
            </w:r>
            <w:r w:rsidR="00CC4FF0">
              <w:rPr>
                <w:noProof/>
              </w:rPr>
              <w:t>6. září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23AD4FEE"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1C42EA">
        <w:rPr>
          <w:rFonts w:eastAsia="Calibri" w:cs="Times New Roman"/>
          <w:lang w:eastAsia="cs-CZ"/>
        </w:rPr>
        <w:t>2</w:t>
      </w:r>
    </w:p>
    <w:p w14:paraId="25C6ADAC" w14:textId="765431D3"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367811" w:rsidRPr="00367811">
        <w:rPr>
          <w:rFonts w:eastAsia="Calibri" w:cs="Times New Roman"/>
          <w:b/>
          <w:bCs/>
          <w:lang w:eastAsia="cs-CZ"/>
        </w:rPr>
        <w:t xml:space="preserve">Rozšíření CDP </w:t>
      </w:r>
      <w:proofErr w:type="gramStart"/>
      <w:r w:rsidR="00367811" w:rsidRPr="00367811">
        <w:rPr>
          <w:rFonts w:eastAsia="Calibri" w:cs="Times New Roman"/>
          <w:b/>
          <w:bCs/>
          <w:lang w:eastAsia="cs-CZ"/>
        </w:rPr>
        <w:t>Přerov - nová</w:t>
      </w:r>
      <w:proofErr w:type="gramEnd"/>
      <w:r w:rsidR="00367811" w:rsidRPr="00367811">
        <w:rPr>
          <w:rFonts w:eastAsia="Calibri" w:cs="Times New Roman"/>
          <w:b/>
          <w:bCs/>
          <w:lang w:eastAsia="cs-CZ"/>
        </w:rPr>
        <w:t xml:space="preserve"> budova</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3D7836DF" w14:textId="77777777" w:rsidR="005C663F" w:rsidRPr="00BD5319" w:rsidRDefault="005C663F" w:rsidP="005C663F">
      <w:pPr>
        <w:spacing w:after="0" w:line="240" w:lineRule="auto"/>
        <w:rPr>
          <w:rFonts w:eastAsia="Calibri" w:cs="Times New Roman"/>
          <w:b/>
          <w:lang w:eastAsia="cs-CZ"/>
        </w:rPr>
      </w:pPr>
    </w:p>
    <w:p w14:paraId="7D68FBD7" w14:textId="5B054D95"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E2423A">
        <w:rPr>
          <w:rFonts w:eastAsia="Calibri" w:cs="Times New Roman"/>
          <w:b/>
          <w:lang w:eastAsia="cs-CZ"/>
        </w:rPr>
        <w:t>5</w:t>
      </w:r>
      <w:r w:rsidRPr="00BD5319">
        <w:rPr>
          <w:rFonts w:eastAsia="Calibri" w:cs="Times New Roman"/>
          <w:b/>
          <w:lang w:eastAsia="cs-CZ"/>
        </w:rPr>
        <w:t>:</w:t>
      </w:r>
    </w:p>
    <w:p w14:paraId="3F925D6B" w14:textId="2DC07327" w:rsidR="00BD5319" w:rsidRPr="00367811" w:rsidRDefault="00E2423A" w:rsidP="00BA1929">
      <w:pPr>
        <w:spacing w:after="0" w:line="240" w:lineRule="auto"/>
        <w:jc w:val="both"/>
        <w:rPr>
          <w:rFonts w:eastAsia="Calibri" w:cs="Times New Roman"/>
          <w:bCs/>
          <w:lang w:eastAsia="cs-CZ"/>
        </w:rPr>
      </w:pPr>
      <w:r w:rsidRPr="00E2423A">
        <w:rPr>
          <w:rFonts w:eastAsia="Calibri" w:cs="Times New Roman"/>
          <w:bCs/>
          <w:lang w:eastAsia="cs-CZ"/>
        </w:rPr>
        <w:t xml:space="preserve">Nekorespondují spolu přehledová schémata v PS34 příloha č. 2.001 a SO 01.46 </w:t>
      </w:r>
      <w:r w:rsidRPr="007873D4">
        <w:rPr>
          <w:rFonts w:eastAsia="Calibri" w:cs="Times New Roman"/>
          <w:bCs/>
          <w:lang w:eastAsia="cs-CZ"/>
        </w:rPr>
        <w:t>příloha</w:t>
      </w:r>
      <w:r w:rsidRPr="00E2423A">
        <w:rPr>
          <w:rFonts w:eastAsia="Calibri" w:cs="Times New Roman"/>
          <w:bCs/>
          <w:lang w:eastAsia="cs-CZ"/>
        </w:rPr>
        <w:t xml:space="preserve"> č. 2.022.</w:t>
      </w:r>
    </w:p>
    <w:p w14:paraId="6D16A484" w14:textId="77777777" w:rsidR="00BD5319" w:rsidRPr="00BD5319" w:rsidRDefault="00BD5319" w:rsidP="00BA1929">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413E61B1" w14:textId="53C132BF" w:rsidR="001B59C5" w:rsidRPr="007873D4" w:rsidRDefault="001B59C5" w:rsidP="001B59C5">
      <w:pPr>
        <w:spacing w:after="0" w:line="240" w:lineRule="auto"/>
        <w:jc w:val="both"/>
        <w:rPr>
          <w:rFonts w:eastAsia="Calibri" w:cs="Times New Roman"/>
          <w:bCs/>
          <w:lang w:eastAsia="cs-CZ"/>
        </w:rPr>
      </w:pPr>
      <w:r w:rsidRPr="007873D4">
        <w:rPr>
          <w:rFonts w:eastAsia="Calibri" w:cs="Times New Roman"/>
          <w:bCs/>
          <w:lang w:eastAsia="cs-CZ"/>
        </w:rPr>
        <w:t xml:space="preserve">Schéma energocentra (SO 02) v příloze 2.022 (SO 01.46) je pouze jako doplněk pro přehlednost. Schéma energocentra platí dle projektové dokumentace PS 34. Schéma energocentra (SO 02) bylo ve výkrese 2.022 (SO 01.46) upraveno dle projektové dokumentace PS 34 a upravený výkres je přílohou tohoto </w:t>
      </w:r>
      <w:r w:rsidR="00CF7AA7" w:rsidRPr="007873D4">
        <w:rPr>
          <w:rFonts w:eastAsia="Calibri" w:cs="Times New Roman"/>
          <w:bCs/>
          <w:lang w:eastAsia="cs-CZ"/>
        </w:rPr>
        <w:t>vysvětlení</w:t>
      </w:r>
      <w:r w:rsidRPr="007873D4">
        <w:rPr>
          <w:rFonts w:eastAsia="Calibri" w:cs="Times New Roman"/>
          <w:bCs/>
          <w:lang w:eastAsia="cs-CZ"/>
        </w:rPr>
        <w:t>.</w:t>
      </w:r>
    </w:p>
    <w:p w14:paraId="5A96F7D8" w14:textId="77777777" w:rsidR="00367811" w:rsidRDefault="00367811" w:rsidP="00BA1929">
      <w:pPr>
        <w:spacing w:after="0" w:line="240" w:lineRule="auto"/>
        <w:jc w:val="both"/>
        <w:rPr>
          <w:rFonts w:eastAsia="Calibri" w:cs="Times New Roman"/>
          <w:bCs/>
          <w:color w:val="FF0000"/>
          <w:lang w:eastAsia="cs-CZ"/>
        </w:rPr>
      </w:pPr>
    </w:p>
    <w:p w14:paraId="123CA6E5" w14:textId="77777777" w:rsidR="00367811" w:rsidRPr="00367811" w:rsidRDefault="00367811" w:rsidP="00BA1929">
      <w:pPr>
        <w:spacing w:after="0" w:line="240" w:lineRule="auto"/>
        <w:jc w:val="both"/>
        <w:rPr>
          <w:rFonts w:eastAsia="Calibri" w:cs="Times New Roman"/>
          <w:bCs/>
          <w:color w:val="FF0000"/>
          <w:lang w:eastAsia="cs-CZ"/>
        </w:rPr>
      </w:pPr>
    </w:p>
    <w:p w14:paraId="09C9076C" w14:textId="06F403E0" w:rsidR="00BD5319" w:rsidRPr="00BD5319" w:rsidRDefault="00BD5319" w:rsidP="00BA1929">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E2423A">
        <w:rPr>
          <w:rFonts w:eastAsia="Calibri" w:cs="Times New Roman"/>
          <w:b/>
          <w:lang w:eastAsia="cs-CZ"/>
        </w:rPr>
        <w:t>6</w:t>
      </w:r>
      <w:r w:rsidRPr="00BD5319">
        <w:rPr>
          <w:rFonts w:eastAsia="Calibri" w:cs="Times New Roman"/>
          <w:b/>
          <w:lang w:eastAsia="cs-CZ"/>
        </w:rPr>
        <w:t>:</w:t>
      </w:r>
    </w:p>
    <w:p w14:paraId="1E7033CD" w14:textId="38B70674" w:rsidR="00367811" w:rsidRPr="00367811" w:rsidRDefault="00E2423A" w:rsidP="00BA1929">
      <w:pPr>
        <w:spacing w:after="0" w:line="240" w:lineRule="auto"/>
        <w:jc w:val="both"/>
        <w:rPr>
          <w:rFonts w:eastAsia="Calibri" w:cs="Times New Roman"/>
          <w:bCs/>
          <w:lang w:eastAsia="cs-CZ"/>
        </w:rPr>
      </w:pPr>
      <w:r w:rsidRPr="00E2423A">
        <w:rPr>
          <w:rFonts w:eastAsia="Calibri" w:cs="Times New Roman"/>
          <w:bCs/>
          <w:lang w:eastAsia="cs-CZ"/>
        </w:rPr>
        <w:t xml:space="preserve">Kabelový vývod z energocentra z RZS.A do budovy CDP rozvaděč </w:t>
      </w:r>
      <w:proofErr w:type="gramStart"/>
      <w:r w:rsidRPr="00E2423A">
        <w:rPr>
          <w:rFonts w:eastAsia="Calibri" w:cs="Times New Roman"/>
          <w:bCs/>
          <w:lang w:eastAsia="cs-CZ"/>
        </w:rPr>
        <w:t>RH.A</w:t>
      </w:r>
      <w:proofErr w:type="gramEnd"/>
      <w:r w:rsidRPr="00E2423A">
        <w:rPr>
          <w:rFonts w:eastAsia="Calibri" w:cs="Times New Roman"/>
          <w:bCs/>
          <w:lang w:eastAsia="cs-CZ"/>
        </w:rPr>
        <w:t xml:space="preserve"> je v dokumentaci PS34 a SO01.46 rozdílný. V PS34 příloha 2.011nekorespnduje kabelový vývod v poli RZSA.3-V s kabelovým přívodem v SO01.46 příloha 2.031 v poli </w:t>
      </w:r>
      <w:proofErr w:type="gramStart"/>
      <w:r w:rsidRPr="00E2423A">
        <w:rPr>
          <w:rFonts w:eastAsia="Calibri" w:cs="Times New Roman"/>
          <w:bCs/>
          <w:lang w:eastAsia="cs-CZ"/>
        </w:rPr>
        <w:t>RH.A</w:t>
      </w:r>
      <w:proofErr w:type="gramEnd"/>
      <w:r w:rsidRPr="00E2423A">
        <w:rPr>
          <w:rFonts w:eastAsia="Calibri" w:cs="Times New Roman"/>
          <w:bCs/>
          <w:lang w:eastAsia="cs-CZ"/>
        </w:rPr>
        <w:t>1. Zároveň kabelový rozvod nesouhlasí ani s SO13. Nesouhlasí průřezy kabelů a ani jejich počty.</w:t>
      </w:r>
    </w:p>
    <w:p w14:paraId="518007DA" w14:textId="77777777" w:rsidR="00367811" w:rsidRPr="00BD5319" w:rsidRDefault="00367811" w:rsidP="00BA1929">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645565F" w14:textId="244DF401" w:rsidR="001B59C5" w:rsidRPr="007873D4" w:rsidRDefault="001B59C5" w:rsidP="007873D4">
      <w:pPr>
        <w:spacing w:after="0" w:line="240" w:lineRule="auto"/>
        <w:jc w:val="both"/>
        <w:rPr>
          <w:rFonts w:eastAsia="Calibri" w:cs="Times New Roman"/>
          <w:bCs/>
          <w:lang w:eastAsia="cs-CZ"/>
        </w:rPr>
      </w:pPr>
      <w:r w:rsidRPr="007873D4">
        <w:rPr>
          <w:rFonts w:eastAsia="Calibri" w:cs="Times New Roman"/>
          <w:bCs/>
          <w:lang w:eastAsia="cs-CZ"/>
        </w:rPr>
        <w:t>V příloze 2.031 (SO 01.46) kabelový přívod chybně uveden, má být kabelové vedení dle SO 13 (4x (3x N2X2Y 1x300)). Přívodní kabelové vedení bylo ve výkresech 2.031 a 2.032 (SO 01.46) upraveno a upravené výkresy jsou přílohou tohoto vyjádření.</w:t>
      </w:r>
    </w:p>
    <w:p w14:paraId="4D0F30D3" w14:textId="7C5B668D" w:rsidR="001B59C5" w:rsidRPr="007873D4" w:rsidRDefault="00CF7AA7" w:rsidP="007873D4">
      <w:pPr>
        <w:spacing w:after="0" w:line="240" w:lineRule="auto"/>
        <w:jc w:val="both"/>
        <w:rPr>
          <w:rFonts w:eastAsia="Calibri" w:cs="Times New Roman"/>
          <w:bCs/>
          <w:lang w:eastAsia="cs-CZ"/>
        </w:rPr>
      </w:pPr>
      <w:r w:rsidRPr="007873D4">
        <w:rPr>
          <w:rFonts w:eastAsia="Calibri" w:cs="Times New Roman"/>
          <w:bCs/>
          <w:lang w:eastAsia="cs-CZ"/>
        </w:rPr>
        <w:t>P</w:t>
      </w:r>
      <w:r w:rsidR="001B59C5" w:rsidRPr="007873D4">
        <w:rPr>
          <w:rFonts w:eastAsia="Calibri" w:cs="Times New Roman"/>
          <w:bCs/>
          <w:lang w:eastAsia="cs-CZ"/>
        </w:rPr>
        <w:t xml:space="preserve">růřezy kabelů </w:t>
      </w:r>
      <w:r w:rsidRPr="007873D4">
        <w:rPr>
          <w:rFonts w:eastAsia="Calibri" w:cs="Times New Roman"/>
          <w:bCs/>
          <w:lang w:eastAsia="cs-CZ"/>
        </w:rPr>
        <w:t xml:space="preserve">byly </w:t>
      </w:r>
      <w:r w:rsidR="001B59C5" w:rsidRPr="007873D4">
        <w:rPr>
          <w:rFonts w:eastAsia="Calibri" w:cs="Times New Roman"/>
          <w:bCs/>
          <w:lang w:eastAsia="cs-CZ"/>
        </w:rPr>
        <w:t xml:space="preserve">sjednoceny, v SO13 </w:t>
      </w:r>
      <w:r w:rsidRPr="007873D4">
        <w:rPr>
          <w:rFonts w:eastAsia="Calibri" w:cs="Times New Roman"/>
          <w:bCs/>
          <w:lang w:eastAsia="cs-CZ"/>
        </w:rPr>
        <w:t xml:space="preserve">byla </w:t>
      </w:r>
      <w:r w:rsidR="001B59C5" w:rsidRPr="007873D4">
        <w:rPr>
          <w:rFonts w:eastAsia="Calibri" w:cs="Times New Roman"/>
          <w:bCs/>
          <w:lang w:eastAsia="cs-CZ"/>
        </w:rPr>
        <w:t xml:space="preserve">provedena oprava v Soupisu kabelů, Přehledovém schéma. Soupis materiálu </w:t>
      </w:r>
      <w:r w:rsidRPr="007873D4">
        <w:rPr>
          <w:rFonts w:eastAsia="Calibri" w:cs="Times New Roman"/>
          <w:bCs/>
          <w:lang w:eastAsia="cs-CZ"/>
        </w:rPr>
        <w:t xml:space="preserve">byl </w:t>
      </w:r>
      <w:r w:rsidR="001B59C5" w:rsidRPr="007873D4">
        <w:rPr>
          <w:rFonts w:eastAsia="Calibri" w:cs="Times New Roman"/>
          <w:bCs/>
          <w:lang w:eastAsia="cs-CZ"/>
        </w:rPr>
        <w:t xml:space="preserve">doplněn o tento chybějící typ kabelu. Vše </w:t>
      </w:r>
      <w:proofErr w:type="gramStart"/>
      <w:r w:rsidRPr="007873D4">
        <w:rPr>
          <w:rFonts w:eastAsia="Calibri" w:cs="Times New Roman"/>
          <w:bCs/>
          <w:lang w:eastAsia="cs-CZ"/>
        </w:rPr>
        <w:t>je  přílohou</w:t>
      </w:r>
      <w:proofErr w:type="gramEnd"/>
      <w:r w:rsidRPr="007873D4">
        <w:rPr>
          <w:rFonts w:eastAsia="Calibri" w:cs="Times New Roman"/>
          <w:bCs/>
          <w:lang w:eastAsia="cs-CZ"/>
        </w:rPr>
        <w:t xml:space="preserve"> tohoto vysvětlení</w:t>
      </w:r>
      <w:r w:rsidR="001B59C5" w:rsidRPr="007873D4">
        <w:rPr>
          <w:rFonts w:eastAsia="Calibri" w:cs="Times New Roman"/>
          <w:bCs/>
          <w:lang w:eastAsia="cs-CZ"/>
        </w:rPr>
        <w:t>. V PS 34 jsou využity pouze 3 pojistkové sady, 2 sady jsou rezerva (bez kabelů).</w:t>
      </w:r>
    </w:p>
    <w:p w14:paraId="60F8B3C5" w14:textId="77777777" w:rsidR="00A15776" w:rsidRPr="007873D4" w:rsidRDefault="00A15776" w:rsidP="007873D4">
      <w:pPr>
        <w:spacing w:after="0" w:line="240" w:lineRule="auto"/>
        <w:jc w:val="both"/>
        <w:rPr>
          <w:rFonts w:eastAsia="Calibri" w:cs="Times New Roman"/>
          <w:bCs/>
          <w:lang w:eastAsia="cs-CZ"/>
        </w:rPr>
      </w:pPr>
    </w:p>
    <w:p w14:paraId="201CBBBA" w14:textId="6DD321AD" w:rsidR="00A15776" w:rsidRPr="007873D4" w:rsidRDefault="00A15776" w:rsidP="007873D4">
      <w:pPr>
        <w:spacing w:after="0" w:line="240" w:lineRule="auto"/>
        <w:jc w:val="both"/>
        <w:rPr>
          <w:rFonts w:eastAsia="Calibri" w:cs="Times New Roman"/>
          <w:bCs/>
          <w:lang w:eastAsia="cs-CZ"/>
        </w:rPr>
      </w:pPr>
      <w:r w:rsidRPr="007873D4">
        <w:rPr>
          <w:rFonts w:eastAsia="Calibri" w:cs="Times New Roman"/>
          <w:bCs/>
          <w:lang w:eastAsia="cs-CZ"/>
        </w:rPr>
        <w:t xml:space="preserve">Do soupisu prací je doplněna položka „KABEL NN NEBO VODIČ JEDNOŽÍLOVÝ CU FLEXIBILNÍ OD 300 DO 400 MM2 SE ZVÝŠENOU TEPLOTNÍ ODOLNOSTÍ“ </w:t>
      </w:r>
      <w:proofErr w:type="gramStart"/>
      <w:r w:rsidRPr="007873D4">
        <w:rPr>
          <w:rFonts w:eastAsia="Calibri" w:cs="Times New Roman"/>
          <w:bCs/>
          <w:lang w:eastAsia="cs-CZ"/>
        </w:rPr>
        <w:t>kód :</w:t>
      </w:r>
      <w:proofErr w:type="gramEnd"/>
      <w:r w:rsidRPr="007873D4">
        <w:rPr>
          <w:rFonts w:eastAsia="Calibri" w:cs="Times New Roman"/>
          <w:bCs/>
          <w:lang w:eastAsia="cs-CZ"/>
        </w:rPr>
        <w:t xml:space="preserve"> R742F46</w:t>
      </w:r>
    </w:p>
    <w:p w14:paraId="62D13AC9" w14:textId="77777777" w:rsidR="00A15776" w:rsidRPr="007873D4" w:rsidRDefault="00A15776" w:rsidP="007873D4">
      <w:pPr>
        <w:spacing w:after="0" w:line="240" w:lineRule="auto"/>
        <w:jc w:val="both"/>
        <w:rPr>
          <w:rFonts w:eastAsia="Calibri" w:cs="Times New Roman"/>
          <w:bCs/>
          <w:lang w:eastAsia="cs-CZ"/>
        </w:rPr>
      </w:pPr>
    </w:p>
    <w:p w14:paraId="356F5CA4" w14:textId="515D0820" w:rsidR="00A15776" w:rsidRPr="007873D4" w:rsidRDefault="00A15776" w:rsidP="007873D4">
      <w:pPr>
        <w:spacing w:after="0" w:line="240" w:lineRule="auto"/>
        <w:jc w:val="both"/>
        <w:rPr>
          <w:rFonts w:eastAsia="Calibri" w:cs="Times New Roman"/>
          <w:bCs/>
          <w:lang w:eastAsia="cs-CZ"/>
        </w:rPr>
      </w:pPr>
      <w:r w:rsidRPr="007873D4">
        <w:rPr>
          <w:rFonts w:eastAsia="Calibri" w:cs="Times New Roman"/>
          <w:bCs/>
          <w:lang w:eastAsia="cs-CZ"/>
        </w:rPr>
        <w:t>Pozn.: Vlivem</w:t>
      </w:r>
      <w:r w:rsidR="00A67656" w:rsidRPr="007873D4">
        <w:rPr>
          <w:rFonts w:eastAsia="Calibri" w:cs="Times New Roman"/>
          <w:bCs/>
          <w:lang w:eastAsia="cs-CZ"/>
        </w:rPr>
        <w:t xml:space="preserve"> přidání </w:t>
      </w:r>
      <w:r w:rsidRPr="007873D4">
        <w:rPr>
          <w:rFonts w:eastAsia="Calibri" w:cs="Times New Roman"/>
          <w:bCs/>
          <w:lang w:eastAsia="cs-CZ"/>
        </w:rPr>
        <w:t>této položky došlo k posunu (přečíslování) pořadových čísel položek.</w:t>
      </w:r>
    </w:p>
    <w:p w14:paraId="547C08ED" w14:textId="77777777" w:rsidR="00A15776" w:rsidRPr="007873D4" w:rsidRDefault="00A15776" w:rsidP="007873D4">
      <w:pPr>
        <w:spacing w:after="0" w:line="240" w:lineRule="auto"/>
        <w:jc w:val="both"/>
        <w:rPr>
          <w:rFonts w:eastAsia="Calibri" w:cs="Times New Roman"/>
          <w:bCs/>
          <w:lang w:eastAsia="cs-CZ"/>
        </w:rPr>
      </w:pPr>
    </w:p>
    <w:p w14:paraId="1E89D2B6" w14:textId="77777777" w:rsidR="00E2423A" w:rsidRPr="007873D4" w:rsidRDefault="00E2423A" w:rsidP="007873D4">
      <w:pPr>
        <w:spacing w:after="0" w:line="240" w:lineRule="auto"/>
        <w:jc w:val="both"/>
        <w:rPr>
          <w:rFonts w:eastAsia="Times New Roman" w:cs="Times New Roman"/>
          <w:highlight w:val="green"/>
          <w:lang w:eastAsia="cs-CZ"/>
        </w:rPr>
      </w:pPr>
    </w:p>
    <w:p w14:paraId="32725EEC" w14:textId="34D869BA" w:rsidR="00367811" w:rsidRPr="007873D4" w:rsidRDefault="00367811" w:rsidP="007873D4">
      <w:pPr>
        <w:spacing w:after="0" w:line="240" w:lineRule="auto"/>
        <w:jc w:val="both"/>
        <w:rPr>
          <w:rFonts w:eastAsia="Calibri" w:cs="Times New Roman"/>
          <w:b/>
          <w:lang w:eastAsia="cs-CZ"/>
        </w:rPr>
      </w:pPr>
      <w:r w:rsidRPr="007873D4">
        <w:rPr>
          <w:rFonts w:eastAsia="Calibri" w:cs="Times New Roman"/>
          <w:b/>
          <w:lang w:eastAsia="cs-CZ"/>
        </w:rPr>
        <w:t xml:space="preserve">Dotaz č. </w:t>
      </w:r>
      <w:r w:rsidR="00E2423A" w:rsidRPr="007873D4">
        <w:rPr>
          <w:rFonts w:eastAsia="Calibri" w:cs="Times New Roman"/>
          <w:b/>
          <w:lang w:eastAsia="cs-CZ"/>
        </w:rPr>
        <w:t>7</w:t>
      </w:r>
      <w:r w:rsidRPr="007873D4">
        <w:rPr>
          <w:rFonts w:eastAsia="Calibri" w:cs="Times New Roman"/>
          <w:b/>
          <w:lang w:eastAsia="cs-CZ"/>
        </w:rPr>
        <w:t>:</w:t>
      </w:r>
    </w:p>
    <w:p w14:paraId="54EFC16B" w14:textId="0DEF0F59" w:rsidR="00E65CCC" w:rsidRPr="007873D4" w:rsidRDefault="00E2423A" w:rsidP="007873D4">
      <w:pPr>
        <w:spacing w:after="0" w:line="240" w:lineRule="auto"/>
        <w:jc w:val="both"/>
        <w:rPr>
          <w:rFonts w:eastAsia="Calibri" w:cs="Times New Roman"/>
          <w:bCs/>
          <w:lang w:eastAsia="cs-CZ"/>
        </w:rPr>
      </w:pPr>
      <w:r w:rsidRPr="007873D4">
        <w:rPr>
          <w:rFonts w:eastAsia="Calibri" w:cs="Times New Roman"/>
          <w:bCs/>
          <w:lang w:eastAsia="cs-CZ"/>
        </w:rPr>
        <w:t>V PS 34 příloha 2.011 rozváděč RZSA, např. hlavní vývodní jistič v poli RZSA.3-V má být nebo nemá být ve výsuvném provedení?? Ostatní vývodní jističe mají být v jakém provedení?? Prostorové uspořádání vývodových polí, např. pole RZSA.3-V není reálné.</w:t>
      </w:r>
    </w:p>
    <w:p w14:paraId="4E312289" w14:textId="350326AE" w:rsidR="00367811" w:rsidRPr="007873D4" w:rsidRDefault="00367811" w:rsidP="007873D4">
      <w:pPr>
        <w:spacing w:after="0" w:line="240" w:lineRule="auto"/>
        <w:jc w:val="both"/>
        <w:rPr>
          <w:rFonts w:eastAsia="Calibri" w:cs="Times New Roman"/>
          <w:b/>
          <w:lang w:eastAsia="cs-CZ"/>
        </w:rPr>
      </w:pPr>
      <w:r w:rsidRPr="007873D4">
        <w:rPr>
          <w:rFonts w:eastAsia="Calibri" w:cs="Times New Roman"/>
          <w:b/>
          <w:lang w:eastAsia="cs-CZ"/>
        </w:rPr>
        <w:t xml:space="preserve">Odpověď: </w:t>
      </w:r>
    </w:p>
    <w:p w14:paraId="2CB3E7B1" w14:textId="77777777" w:rsidR="001B59C5" w:rsidRPr="007873D4" w:rsidRDefault="001B59C5" w:rsidP="007873D4">
      <w:pPr>
        <w:spacing w:after="0" w:line="240" w:lineRule="auto"/>
        <w:jc w:val="both"/>
        <w:rPr>
          <w:rFonts w:eastAsia="Calibri" w:cs="Times New Roman"/>
          <w:bCs/>
          <w:lang w:eastAsia="cs-CZ"/>
        </w:rPr>
      </w:pPr>
      <w:r w:rsidRPr="007873D4">
        <w:rPr>
          <w:rFonts w:eastAsia="Calibri" w:cs="Times New Roman"/>
          <w:bCs/>
          <w:lang w:eastAsia="cs-CZ"/>
        </w:rPr>
        <w:t xml:space="preserve">Výsuvné provedení není požadováno u žádných jističů. Prostorové uspořádání rozvaděčů NN lze upravit dle konstrukčních možností výrobců rozvaděčů NN. Je nutno zpracovat realizační dokumentaci. U vývodu RZSA.3-V bude použit kabelový vývod pouze v dimenzi 4x3x1-N2X2Y 1x300 viz dotaz č.6. </w:t>
      </w:r>
    </w:p>
    <w:p w14:paraId="73104493" w14:textId="77777777" w:rsidR="00367811" w:rsidRDefault="00367811" w:rsidP="00367811">
      <w:pPr>
        <w:spacing w:after="0" w:line="240" w:lineRule="auto"/>
        <w:rPr>
          <w:rFonts w:eastAsia="Calibri" w:cs="Times New Roman"/>
          <w:bCs/>
          <w:color w:val="FF0000"/>
          <w:lang w:eastAsia="cs-CZ"/>
        </w:rPr>
      </w:pPr>
    </w:p>
    <w:p w14:paraId="65F9ABAA" w14:textId="77777777" w:rsidR="00E2423A" w:rsidRDefault="00E2423A" w:rsidP="00367811">
      <w:pPr>
        <w:spacing w:after="0" w:line="240" w:lineRule="auto"/>
        <w:rPr>
          <w:rFonts w:eastAsia="Calibri" w:cs="Times New Roman"/>
          <w:bCs/>
          <w:color w:val="FF0000"/>
          <w:lang w:eastAsia="cs-CZ"/>
        </w:rPr>
      </w:pPr>
    </w:p>
    <w:p w14:paraId="3E00F094" w14:textId="1CAB0C64" w:rsidR="00367811" w:rsidRPr="00BD5319" w:rsidRDefault="00367811" w:rsidP="00367811">
      <w:pPr>
        <w:spacing w:after="0" w:line="240" w:lineRule="auto"/>
        <w:rPr>
          <w:rFonts w:eastAsia="Calibri" w:cs="Times New Roman"/>
          <w:b/>
          <w:lang w:eastAsia="cs-CZ"/>
        </w:rPr>
      </w:pPr>
      <w:r w:rsidRPr="00BD5319">
        <w:rPr>
          <w:rFonts w:eastAsia="Calibri" w:cs="Times New Roman"/>
          <w:b/>
          <w:lang w:eastAsia="cs-CZ"/>
        </w:rPr>
        <w:t xml:space="preserve">Dotaz č. </w:t>
      </w:r>
      <w:r w:rsidR="00E2423A">
        <w:rPr>
          <w:rFonts w:eastAsia="Calibri" w:cs="Times New Roman"/>
          <w:b/>
          <w:lang w:eastAsia="cs-CZ"/>
        </w:rPr>
        <w:t>8</w:t>
      </w:r>
      <w:r w:rsidRPr="00BD5319">
        <w:rPr>
          <w:rFonts w:eastAsia="Calibri" w:cs="Times New Roman"/>
          <w:b/>
          <w:lang w:eastAsia="cs-CZ"/>
        </w:rPr>
        <w:t>:</w:t>
      </w:r>
    </w:p>
    <w:p w14:paraId="7FD9CBCF" w14:textId="4209E157" w:rsidR="00E65CCC" w:rsidRDefault="00E2423A" w:rsidP="00E65CCC">
      <w:pPr>
        <w:spacing w:after="0" w:line="240" w:lineRule="auto"/>
        <w:jc w:val="both"/>
        <w:rPr>
          <w:rFonts w:eastAsia="Calibri" w:cs="Times New Roman"/>
          <w:bCs/>
          <w:lang w:eastAsia="cs-CZ"/>
        </w:rPr>
      </w:pPr>
      <w:r w:rsidRPr="00E2423A">
        <w:rPr>
          <w:rFonts w:eastAsia="Calibri" w:cs="Times New Roman"/>
          <w:bCs/>
          <w:lang w:eastAsia="cs-CZ"/>
        </w:rPr>
        <w:t xml:space="preserve">V SO 01.46 příloha č. 2.031 rozváděč </w:t>
      </w:r>
      <w:proofErr w:type="gramStart"/>
      <w:r w:rsidRPr="00E2423A">
        <w:rPr>
          <w:rFonts w:eastAsia="Calibri" w:cs="Times New Roman"/>
          <w:bCs/>
          <w:lang w:eastAsia="cs-CZ"/>
        </w:rPr>
        <w:t>RH.A</w:t>
      </w:r>
      <w:proofErr w:type="gramEnd"/>
      <w:r w:rsidRPr="00E2423A">
        <w:rPr>
          <w:rFonts w:eastAsia="Calibri" w:cs="Times New Roman"/>
          <w:bCs/>
          <w:lang w:eastAsia="cs-CZ"/>
        </w:rPr>
        <w:t>, hlavní přívodní jistič v poli RHA.1 má být nebo nemá být ve výsuvném provedení?? Ostatní vývodní jističe mají být v jakém provedení??</w:t>
      </w:r>
    </w:p>
    <w:p w14:paraId="1969ABC5" w14:textId="6DC6D4AC" w:rsidR="00367811" w:rsidRPr="007873D4" w:rsidRDefault="00367811" w:rsidP="00E65CCC">
      <w:pPr>
        <w:spacing w:after="0" w:line="240" w:lineRule="auto"/>
        <w:rPr>
          <w:rFonts w:eastAsia="Calibri" w:cs="Times New Roman"/>
          <w:b/>
          <w:lang w:eastAsia="cs-CZ"/>
        </w:rPr>
      </w:pPr>
      <w:r w:rsidRPr="007873D4">
        <w:rPr>
          <w:rFonts w:eastAsia="Calibri" w:cs="Times New Roman"/>
          <w:b/>
          <w:lang w:eastAsia="cs-CZ"/>
        </w:rPr>
        <w:t xml:space="preserve">Odpověď: </w:t>
      </w:r>
    </w:p>
    <w:p w14:paraId="78BC9695" w14:textId="5341EA9F" w:rsidR="001B59C5" w:rsidRPr="007873D4" w:rsidRDefault="001B59C5" w:rsidP="001B59C5">
      <w:pPr>
        <w:spacing w:after="0" w:line="240" w:lineRule="auto"/>
        <w:rPr>
          <w:rFonts w:eastAsia="Calibri" w:cs="Times New Roman"/>
          <w:bCs/>
          <w:lang w:eastAsia="cs-CZ"/>
        </w:rPr>
      </w:pPr>
      <w:r w:rsidRPr="007873D4">
        <w:rPr>
          <w:rFonts w:eastAsia="Calibri" w:cs="Times New Roman"/>
          <w:bCs/>
          <w:lang w:eastAsia="cs-CZ"/>
        </w:rPr>
        <w:t>V projektové dokumentaci je uvažováno s </w:t>
      </w:r>
      <w:proofErr w:type="spellStart"/>
      <w:r w:rsidRPr="007873D4">
        <w:rPr>
          <w:rFonts w:eastAsia="Calibri" w:cs="Times New Roman"/>
          <w:bCs/>
          <w:lang w:eastAsia="cs-CZ"/>
        </w:rPr>
        <w:t>deiony</w:t>
      </w:r>
      <w:proofErr w:type="spellEnd"/>
      <w:r w:rsidRPr="007873D4">
        <w:rPr>
          <w:rFonts w:eastAsia="Calibri" w:cs="Times New Roman"/>
          <w:bCs/>
          <w:lang w:eastAsia="cs-CZ"/>
        </w:rPr>
        <w:t xml:space="preserve"> (přívodní i vývodní) v pevném provedení.</w:t>
      </w:r>
    </w:p>
    <w:p w14:paraId="02DA1EBE" w14:textId="77777777" w:rsidR="00367811" w:rsidRDefault="00367811" w:rsidP="00BD5319">
      <w:pPr>
        <w:spacing w:after="0" w:line="240" w:lineRule="auto"/>
        <w:jc w:val="both"/>
        <w:rPr>
          <w:rFonts w:eastAsia="Times New Roman" w:cs="Times New Roman"/>
          <w:color w:val="FF0000"/>
          <w:highlight w:val="green"/>
          <w:lang w:eastAsia="cs-CZ"/>
        </w:rPr>
      </w:pPr>
    </w:p>
    <w:p w14:paraId="16E84E63" w14:textId="77777777" w:rsidR="00367811" w:rsidRDefault="00367811" w:rsidP="00BD5319">
      <w:pPr>
        <w:spacing w:after="0" w:line="240" w:lineRule="auto"/>
        <w:jc w:val="both"/>
        <w:rPr>
          <w:rFonts w:eastAsia="Times New Roman" w:cs="Times New Roman"/>
          <w:color w:val="FF0000"/>
          <w:highlight w:val="green"/>
          <w:lang w:eastAsia="cs-CZ"/>
        </w:rPr>
      </w:pPr>
    </w:p>
    <w:p w14:paraId="13514D79" w14:textId="2A9C179E" w:rsidR="00A04EA5" w:rsidRPr="00BD5319" w:rsidRDefault="00A04EA5" w:rsidP="00A04EA5">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w:t>
      </w:r>
      <w:r w:rsidRPr="00BD5319">
        <w:rPr>
          <w:rFonts w:eastAsia="Calibri" w:cs="Times New Roman"/>
          <w:b/>
          <w:lang w:eastAsia="cs-CZ"/>
        </w:rPr>
        <w:t>:</w:t>
      </w:r>
    </w:p>
    <w:p w14:paraId="662AA0B4" w14:textId="673A917E" w:rsidR="00A04EA5" w:rsidRPr="00A04EA5" w:rsidRDefault="00A04EA5" w:rsidP="007873D4">
      <w:pPr>
        <w:spacing w:after="0" w:line="240" w:lineRule="auto"/>
        <w:jc w:val="both"/>
        <w:rPr>
          <w:rFonts w:eastAsia="Calibri" w:cs="Times New Roman"/>
          <w:b/>
          <w:bCs/>
          <w:lang w:eastAsia="cs-CZ"/>
        </w:rPr>
      </w:pPr>
      <w:r w:rsidRPr="00A04EA5">
        <w:rPr>
          <w:b/>
          <w:bCs/>
        </w:rPr>
        <w:t>část D.1.1 Zabezpečovací zařízení, PS 11 Technologie DOZ pro CDP_2 Přerov</w:t>
      </w:r>
    </w:p>
    <w:p w14:paraId="666FBAC2" w14:textId="77777777" w:rsidR="00A04EA5" w:rsidRDefault="00A04EA5" w:rsidP="007873D4">
      <w:pPr>
        <w:spacing w:after="0" w:line="240" w:lineRule="auto"/>
        <w:jc w:val="both"/>
        <w:rPr>
          <w:rFonts w:eastAsia="Calibri" w:cs="Times New Roman"/>
          <w:bCs/>
          <w:lang w:eastAsia="cs-CZ"/>
        </w:rPr>
      </w:pPr>
      <w:r w:rsidRPr="00A04EA5">
        <w:rPr>
          <w:rFonts w:eastAsia="Calibri" w:cs="Times New Roman"/>
          <w:bCs/>
          <w:lang w:eastAsia="cs-CZ"/>
        </w:rPr>
        <w:t xml:space="preserve">Dle požadavku zadání PS 11 TZ kapitola 3.2.12.4 Správce hardwarového přepínače by mělo být přidělování různých přístupů ke zdrojům a řízení na základě úloh a oprávnění jednotlivých dispečerů/operátorů v kompetenci dispečera DŽDC. U systému pro podporu řízení provozu je toto ale v přímém rozporu s požadavky Správy železniční telematiky, úseku kybernetické bezpečnosti, která požaduje správu přístupu přes </w:t>
      </w:r>
      <w:proofErr w:type="spellStart"/>
      <w:r w:rsidRPr="00A04EA5">
        <w:rPr>
          <w:rFonts w:eastAsia="Calibri" w:cs="Times New Roman"/>
          <w:bCs/>
          <w:lang w:eastAsia="cs-CZ"/>
        </w:rPr>
        <w:t>centralní</w:t>
      </w:r>
      <w:proofErr w:type="spellEnd"/>
      <w:r w:rsidRPr="00A04EA5">
        <w:rPr>
          <w:rFonts w:eastAsia="Calibri" w:cs="Times New Roman"/>
          <w:bCs/>
          <w:lang w:eastAsia="cs-CZ"/>
        </w:rPr>
        <w:t xml:space="preserve"> </w:t>
      </w:r>
      <w:proofErr w:type="spellStart"/>
      <w:r w:rsidRPr="00A04EA5">
        <w:rPr>
          <w:rFonts w:eastAsia="Calibri" w:cs="Times New Roman"/>
          <w:bCs/>
          <w:lang w:eastAsia="cs-CZ"/>
        </w:rPr>
        <w:t>Priveleged</w:t>
      </w:r>
      <w:proofErr w:type="spellEnd"/>
      <w:r w:rsidRPr="00A04EA5">
        <w:rPr>
          <w:rFonts w:eastAsia="Calibri" w:cs="Times New Roman"/>
          <w:bCs/>
          <w:lang w:eastAsia="cs-CZ"/>
        </w:rPr>
        <w:t xml:space="preserve"> Access Managment. Nelze tedy tuto kompetenci přenést mimo tento nástroj na někoho jiného, který by prováděl správu přes jiný nástroj. Podkladem pro toto tvrzení je například zápis z jednání k Aktivitě PAM – </w:t>
      </w:r>
      <w:proofErr w:type="spellStart"/>
      <w:r w:rsidRPr="00A04EA5">
        <w:rPr>
          <w:rFonts w:eastAsia="Calibri" w:cs="Times New Roman"/>
          <w:bCs/>
          <w:lang w:eastAsia="cs-CZ"/>
        </w:rPr>
        <w:t>Breaking-glass</w:t>
      </w:r>
      <w:proofErr w:type="spellEnd"/>
      <w:r w:rsidRPr="00A04EA5">
        <w:rPr>
          <w:rFonts w:eastAsia="Calibri" w:cs="Times New Roman"/>
          <w:bCs/>
          <w:lang w:eastAsia="cs-CZ"/>
        </w:rPr>
        <w:t xml:space="preserve"> účty ze dne 27. 2. 2024. Budou zde aplikovány požadavky Správy železniční telematiky, úseku kybernetické bezpečnosti? Má zadavatel k tomuto kladné stanovisko výše uvedeného odboru?</w:t>
      </w:r>
    </w:p>
    <w:p w14:paraId="2F54EAB3" w14:textId="1A771BBC" w:rsidR="00A04EA5" w:rsidRPr="007873D4" w:rsidRDefault="00A04EA5" w:rsidP="007873D4">
      <w:pPr>
        <w:spacing w:after="0" w:line="240" w:lineRule="auto"/>
        <w:jc w:val="both"/>
        <w:rPr>
          <w:rFonts w:eastAsia="Calibri" w:cs="Times New Roman"/>
          <w:b/>
          <w:lang w:eastAsia="cs-CZ"/>
        </w:rPr>
      </w:pPr>
      <w:r w:rsidRPr="007873D4">
        <w:rPr>
          <w:rFonts w:eastAsia="Calibri" w:cs="Times New Roman"/>
          <w:b/>
          <w:lang w:eastAsia="cs-CZ"/>
        </w:rPr>
        <w:t xml:space="preserve">Odpověď: </w:t>
      </w:r>
    </w:p>
    <w:p w14:paraId="29808B82" w14:textId="39F83246" w:rsidR="001B59C5" w:rsidRPr="007873D4" w:rsidRDefault="004F7A2A" w:rsidP="007873D4">
      <w:pPr>
        <w:spacing w:after="0" w:line="240" w:lineRule="auto"/>
        <w:jc w:val="both"/>
        <w:rPr>
          <w:rFonts w:eastAsia="Calibri" w:cs="Times New Roman"/>
          <w:bCs/>
          <w:lang w:eastAsia="cs-CZ"/>
        </w:rPr>
      </w:pPr>
      <w:r w:rsidRPr="007873D4">
        <w:rPr>
          <w:rFonts w:eastAsia="Calibri" w:cs="Times New Roman"/>
          <w:bCs/>
          <w:lang w:eastAsia="cs-CZ"/>
        </w:rPr>
        <w:t>Dokumentace byla odevzdána již v roce 2023 a tudíž nemůže obsahovat výstupy z jednání ze dne 27.2.2024. Dokumentace byla řádně projednána a schválena se všemi odbornými složkami Zadavatele.</w:t>
      </w:r>
    </w:p>
    <w:p w14:paraId="7416CD76" w14:textId="77777777" w:rsidR="004F7A2A" w:rsidRPr="007873D4" w:rsidRDefault="004F7A2A" w:rsidP="007873D4">
      <w:pPr>
        <w:spacing w:after="0" w:line="240" w:lineRule="auto"/>
        <w:jc w:val="both"/>
        <w:rPr>
          <w:rFonts w:eastAsia="Calibri" w:cs="Times New Roman"/>
          <w:bCs/>
          <w:lang w:eastAsia="cs-CZ"/>
        </w:rPr>
      </w:pPr>
    </w:p>
    <w:p w14:paraId="4374C2AF" w14:textId="77777777" w:rsidR="001B59C5" w:rsidRPr="007873D4" w:rsidRDefault="001B59C5" w:rsidP="007873D4">
      <w:pPr>
        <w:spacing w:after="0" w:line="240" w:lineRule="auto"/>
        <w:jc w:val="both"/>
        <w:rPr>
          <w:rFonts w:eastAsia="Calibri" w:cs="Times New Roman"/>
          <w:bCs/>
          <w:lang w:eastAsia="cs-CZ"/>
        </w:rPr>
      </w:pPr>
      <w:r w:rsidRPr="007873D4">
        <w:rPr>
          <w:rFonts w:eastAsia="Calibri" w:cs="Times New Roman"/>
          <w:bCs/>
          <w:lang w:eastAsia="cs-CZ"/>
        </w:rPr>
        <w:t>Nastavování grafických obrazů na VZJ, či monitorech dispečerů teoreticky si může provádět každý dispečer sám, ale na jednání bylo shodně konstatováno, že toto bude provádět dispečer DŽDC. Nejedná se o zásah do kybernetické bezpečnosti.</w:t>
      </w:r>
    </w:p>
    <w:p w14:paraId="3B56FDBF" w14:textId="77777777" w:rsidR="00A04EA5" w:rsidRDefault="00A04EA5" w:rsidP="00BD5319">
      <w:pPr>
        <w:spacing w:after="0" w:line="240" w:lineRule="auto"/>
        <w:jc w:val="both"/>
        <w:rPr>
          <w:rFonts w:eastAsia="Times New Roman" w:cs="Times New Roman"/>
          <w:color w:val="FF0000"/>
          <w:highlight w:val="green"/>
          <w:lang w:eastAsia="cs-CZ"/>
        </w:rPr>
      </w:pPr>
    </w:p>
    <w:p w14:paraId="164E4AFB" w14:textId="77777777" w:rsidR="00A04EA5" w:rsidRDefault="00A04EA5" w:rsidP="00A04EA5">
      <w:pPr>
        <w:spacing w:after="0" w:line="240" w:lineRule="auto"/>
        <w:rPr>
          <w:rFonts w:eastAsia="Calibri" w:cs="Times New Roman"/>
          <w:bCs/>
          <w:color w:val="FF0000"/>
          <w:lang w:eastAsia="cs-CZ"/>
        </w:rPr>
      </w:pPr>
    </w:p>
    <w:p w14:paraId="549F2BC4" w14:textId="45037F18" w:rsidR="00A04EA5" w:rsidRPr="00BD5319" w:rsidRDefault="00A04EA5" w:rsidP="00A04EA5">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w:t>
      </w:r>
      <w:r w:rsidRPr="00BD5319">
        <w:rPr>
          <w:rFonts w:eastAsia="Calibri" w:cs="Times New Roman"/>
          <w:b/>
          <w:lang w:eastAsia="cs-CZ"/>
        </w:rPr>
        <w:t>:</w:t>
      </w:r>
    </w:p>
    <w:p w14:paraId="7FDC9FB2" w14:textId="77777777" w:rsidR="00A04EA5" w:rsidRPr="00A04EA5" w:rsidRDefault="00A04EA5" w:rsidP="00A04EA5">
      <w:pPr>
        <w:spacing w:after="0" w:line="240" w:lineRule="auto"/>
        <w:jc w:val="both"/>
        <w:rPr>
          <w:rFonts w:eastAsia="Calibri" w:cs="Times New Roman"/>
          <w:b/>
          <w:bCs/>
          <w:lang w:eastAsia="cs-CZ"/>
        </w:rPr>
      </w:pPr>
      <w:r w:rsidRPr="00A04EA5">
        <w:rPr>
          <w:b/>
          <w:bCs/>
        </w:rPr>
        <w:t>část D.1.1 Zabezpečovací zařízení, PS 11 Technologie DOZ pro CDP_2 Přerov</w:t>
      </w:r>
    </w:p>
    <w:p w14:paraId="22799723" w14:textId="77777777" w:rsidR="00A04EA5" w:rsidRDefault="00A04EA5" w:rsidP="007873D4">
      <w:pPr>
        <w:spacing w:after="0" w:line="240" w:lineRule="auto"/>
        <w:jc w:val="both"/>
        <w:rPr>
          <w:rFonts w:eastAsia="Calibri" w:cs="Times New Roman"/>
          <w:bCs/>
          <w:lang w:eastAsia="cs-CZ"/>
        </w:rPr>
      </w:pPr>
      <w:r w:rsidRPr="00A04EA5">
        <w:rPr>
          <w:rFonts w:eastAsia="Calibri" w:cs="Times New Roman"/>
          <w:bCs/>
          <w:lang w:eastAsia="cs-CZ"/>
        </w:rPr>
        <w:t>Dle požadavku zadání Hardwarového přepínače v PS 11 by měla mít každá řízená oblast pro danou provozní aplikaci řízený prostup do dalších systémů a aplikací. Pro zvýšení kybernetické bezpečnosti je cílem minimalizovat počet těchto prostupů. V případě realizace dle uvedených požadavků, budou muset být pro každý sál vytvořeny průstupy do všech systémů, čímž by se enormně zvýšil koeficient rizika napadení. Jsou pro toto zvýšené riziko souhlasy ze strany Správy železniční telematiky, úseku kybernetické bezpečnosti a Odboru zabezpečovací a telekomunikační techniky, oddělení telekomunikační techniky a síťových aplikací? Má zadavatel k tomuto a celkové koncepci HW přepínače kladná stanoviska výše uvedených odborů? Můžeme případně požádat o formulaci těchto souhlasů?</w:t>
      </w:r>
    </w:p>
    <w:p w14:paraId="47030AA0" w14:textId="4D03B668" w:rsidR="00A04EA5" w:rsidRPr="00BD5319" w:rsidRDefault="00A04EA5" w:rsidP="00A04EA5">
      <w:pPr>
        <w:spacing w:after="0" w:line="240" w:lineRule="auto"/>
        <w:rPr>
          <w:rFonts w:eastAsia="Calibri" w:cs="Times New Roman"/>
          <w:b/>
          <w:lang w:eastAsia="cs-CZ"/>
        </w:rPr>
      </w:pPr>
      <w:r w:rsidRPr="00BD5319">
        <w:rPr>
          <w:rFonts w:eastAsia="Calibri" w:cs="Times New Roman"/>
          <w:b/>
          <w:lang w:eastAsia="cs-CZ"/>
        </w:rPr>
        <w:t xml:space="preserve">Odpověď: </w:t>
      </w:r>
    </w:p>
    <w:p w14:paraId="63842397" w14:textId="0E43FF92" w:rsidR="00A04EA5" w:rsidRPr="007873D4" w:rsidRDefault="004F7A2A" w:rsidP="00A04EA5">
      <w:pPr>
        <w:spacing w:after="0" w:line="240" w:lineRule="auto"/>
        <w:jc w:val="both"/>
        <w:rPr>
          <w:rFonts w:eastAsia="Times New Roman" w:cs="Times New Roman"/>
          <w:highlight w:val="green"/>
          <w:lang w:eastAsia="cs-CZ"/>
        </w:rPr>
      </w:pPr>
      <w:r w:rsidRPr="007873D4">
        <w:rPr>
          <w:rFonts w:eastAsia="Calibri" w:cs="Times New Roman"/>
          <w:bCs/>
          <w:lang w:eastAsia="cs-CZ"/>
        </w:rPr>
        <w:t>Dokumentace byla řádně projednána a schválena se všemi odbornými složkami Zadavatele.</w:t>
      </w:r>
    </w:p>
    <w:p w14:paraId="5F5655F5" w14:textId="77777777" w:rsidR="00A04EA5" w:rsidRDefault="00A04EA5" w:rsidP="00A04EA5">
      <w:pPr>
        <w:spacing w:after="0" w:line="240" w:lineRule="auto"/>
        <w:jc w:val="both"/>
        <w:rPr>
          <w:rFonts w:eastAsia="Times New Roman" w:cs="Times New Roman"/>
          <w:color w:val="FF0000"/>
          <w:highlight w:val="green"/>
          <w:lang w:eastAsia="cs-CZ"/>
        </w:rPr>
      </w:pPr>
    </w:p>
    <w:p w14:paraId="312966D5" w14:textId="77777777" w:rsidR="003167E9" w:rsidRDefault="003167E9" w:rsidP="00A04EA5">
      <w:pPr>
        <w:spacing w:after="0" w:line="240" w:lineRule="auto"/>
        <w:jc w:val="both"/>
        <w:rPr>
          <w:rFonts w:eastAsia="Times New Roman" w:cs="Times New Roman"/>
          <w:color w:val="FF0000"/>
          <w:highlight w:val="green"/>
          <w:lang w:eastAsia="cs-CZ"/>
        </w:rPr>
      </w:pPr>
    </w:p>
    <w:p w14:paraId="0E2C8CBF" w14:textId="7A4D18C6" w:rsidR="00A04EA5" w:rsidRPr="00BD5319" w:rsidRDefault="00A04EA5" w:rsidP="00A04EA5">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w:t>
      </w:r>
      <w:r w:rsidRPr="00BD5319">
        <w:rPr>
          <w:rFonts w:eastAsia="Calibri" w:cs="Times New Roman"/>
          <w:b/>
          <w:lang w:eastAsia="cs-CZ"/>
        </w:rPr>
        <w:t>:</w:t>
      </w:r>
    </w:p>
    <w:p w14:paraId="4DE76B12" w14:textId="77777777" w:rsidR="00A04EA5" w:rsidRPr="00A04EA5" w:rsidRDefault="00A04EA5" w:rsidP="00A04EA5">
      <w:pPr>
        <w:spacing w:after="0" w:line="240" w:lineRule="auto"/>
        <w:jc w:val="both"/>
        <w:rPr>
          <w:rFonts w:eastAsia="Calibri" w:cs="Times New Roman"/>
          <w:b/>
          <w:bCs/>
          <w:lang w:eastAsia="cs-CZ"/>
        </w:rPr>
      </w:pPr>
      <w:r w:rsidRPr="00A04EA5">
        <w:rPr>
          <w:b/>
          <w:bCs/>
        </w:rPr>
        <w:t>část D.1.1 Zabezpečovací zařízení, PS 11 Technologie DOZ pro CDP_2 Přerov</w:t>
      </w:r>
    </w:p>
    <w:p w14:paraId="7FAE5B89" w14:textId="13CD75D6" w:rsidR="00A04EA5" w:rsidRDefault="00A04EA5" w:rsidP="00A04EA5">
      <w:pPr>
        <w:spacing w:after="0" w:line="240" w:lineRule="auto"/>
        <w:jc w:val="both"/>
        <w:rPr>
          <w:rFonts w:eastAsia="Calibri" w:cs="Times New Roman"/>
          <w:bCs/>
          <w:lang w:eastAsia="cs-CZ"/>
        </w:rPr>
      </w:pPr>
      <w:r w:rsidRPr="00A04EA5">
        <w:rPr>
          <w:rFonts w:eastAsia="Calibri" w:cs="Times New Roman"/>
          <w:bCs/>
          <w:lang w:eastAsia="cs-CZ"/>
        </w:rPr>
        <w:t>V aktuálně platné Technické specifikaci SŽ, pro „Dálkové ovládání zabezpečovacího zařízení“ TS 2/2006-ZS je uvedeno, že systém DOZ musí umožnit dálkovou volbu nouzových a potvrzovacích povelů a bezpečné zobrazení indikací. Dle našeho názoru je požadavek zadání stavby na hardwarový přepínač v rozporu s výše uvedenou TS. HW přepínač nesplňuje požadavky pro dálkovou volbu nouzových a potvrzovacích povelů a bezpečné zobrazení indikací v rozsahu SIL4. K zajištění některých navrhovaných technologii a prostředků (Hardwarový přepínač) je nutné zajistit stanovisko Správy železniční telematiky, úseku kybernetické bezpečnosti, jelikož se jedná o rozpor v požadavcích na systémy, které jsou hodnoceny jako prvky kritické infrastruktury (např. GTN). Tyto požadavky jsou kladeny na vývoj těchto provozních aplikací nebo jsou dané smluvně v rámci servisu takových zařízení. Bude v rámci stavby upravena tato TS, nebo bude upraveno zadání?</w:t>
      </w:r>
    </w:p>
    <w:p w14:paraId="13ACE638" w14:textId="77777777" w:rsidR="00A04EA5" w:rsidRPr="00BD5319" w:rsidRDefault="00A04EA5" w:rsidP="00A04EA5">
      <w:pPr>
        <w:spacing w:after="0" w:line="240" w:lineRule="auto"/>
        <w:rPr>
          <w:rFonts w:eastAsia="Calibri" w:cs="Times New Roman"/>
          <w:b/>
          <w:lang w:eastAsia="cs-CZ"/>
        </w:rPr>
      </w:pPr>
      <w:r w:rsidRPr="00BD5319">
        <w:rPr>
          <w:rFonts w:eastAsia="Calibri" w:cs="Times New Roman"/>
          <w:b/>
          <w:lang w:eastAsia="cs-CZ"/>
        </w:rPr>
        <w:t xml:space="preserve">Odpověď: </w:t>
      </w:r>
    </w:p>
    <w:p w14:paraId="4374B177" w14:textId="77777777" w:rsidR="001B59C5" w:rsidRPr="007873D4" w:rsidRDefault="001B59C5" w:rsidP="007873D4">
      <w:pPr>
        <w:spacing w:after="0" w:line="240" w:lineRule="auto"/>
        <w:jc w:val="both"/>
        <w:rPr>
          <w:rFonts w:eastAsia="Calibri" w:cs="Times New Roman"/>
          <w:bCs/>
          <w:lang w:eastAsia="cs-CZ"/>
        </w:rPr>
      </w:pPr>
      <w:r w:rsidRPr="007873D4">
        <w:rPr>
          <w:rFonts w:eastAsia="Calibri" w:cs="Times New Roman"/>
          <w:bCs/>
          <w:lang w:eastAsia="cs-CZ"/>
        </w:rPr>
        <w:t>HW neupravuje ani nemění žádné vstupní signály, pouze zajišťuje jejich směrování/přepínání na jednotlivá pracoviště.</w:t>
      </w:r>
    </w:p>
    <w:p w14:paraId="46F92D83" w14:textId="77777777" w:rsidR="00A04EA5" w:rsidRDefault="00A04EA5" w:rsidP="00A04EA5">
      <w:pPr>
        <w:spacing w:after="0" w:line="240" w:lineRule="auto"/>
        <w:jc w:val="both"/>
        <w:rPr>
          <w:rFonts w:eastAsia="Times New Roman" w:cs="Times New Roman"/>
          <w:color w:val="FF0000"/>
          <w:highlight w:val="green"/>
          <w:lang w:eastAsia="cs-CZ"/>
        </w:rPr>
      </w:pPr>
    </w:p>
    <w:p w14:paraId="28DB9835" w14:textId="1C5ACA4E" w:rsidR="00A04EA5" w:rsidRDefault="003167E9" w:rsidP="00A04EA5">
      <w:pPr>
        <w:spacing w:after="0" w:line="240" w:lineRule="auto"/>
        <w:rPr>
          <w:rFonts w:eastAsia="Calibri" w:cs="Times New Roman"/>
          <w:bCs/>
          <w:color w:val="FF0000"/>
          <w:lang w:eastAsia="cs-CZ"/>
        </w:rPr>
      </w:pPr>
      <w:r>
        <w:rPr>
          <w:rFonts w:eastAsia="Calibri" w:cs="Times New Roman"/>
          <w:bCs/>
          <w:color w:val="FF0000"/>
          <w:lang w:eastAsia="cs-CZ"/>
        </w:rPr>
        <w:br/>
      </w:r>
    </w:p>
    <w:p w14:paraId="0B6AE2BA" w14:textId="6E4AC2ED" w:rsidR="00A04EA5" w:rsidRPr="00234F6F" w:rsidRDefault="00A04EA5" w:rsidP="00A04EA5">
      <w:pPr>
        <w:spacing w:after="0" w:line="240" w:lineRule="auto"/>
        <w:rPr>
          <w:rFonts w:eastAsia="Calibri" w:cs="Times New Roman"/>
          <w:b/>
          <w:lang w:eastAsia="cs-CZ"/>
        </w:rPr>
      </w:pPr>
      <w:r w:rsidRPr="00234F6F">
        <w:rPr>
          <w:rFonts w:eastAsia="Calibri" w:cs="Times New Roman"/>
          <w:b/>
          <w:lang w:eastAsia="cs-CZ"/>
        </w:rPr>
        <w:lastRenderedPageBreak/>
        <w:t>Dotaz č. 12:</w:t>
      </w:r>
    </w:p>
    <w:p w14:paraId="420371AC" w14:textId="77777777" w:rsidR="00A04EA5" w:rsidRPr="00234F6F" w:rsidRDefault="00A04EA5" w:rsidP="007873D4">
      <w:pPr>
        <w:spacing w:after="0" w:line="240" w:lineRule="auto"/>
        <w:jc w:val="both"/>
        <w:rPr>
          <w:rFonts w:eastAsia="Calibri" w:cs="Times New Roman"/>
          <w:b/>
          <w:bCs/>
          <w:lang w:eastAsia="cs-CZ"/>
        </w:rPr>
      </w:pPr>
      <w:r w:rsidRPr="00234F6F">
        <w:rPr>
          <w:b/>
          <w:bCs/>
        </w:rPr>
        <w:t>část D.1.1 Zabezpečovací zařízení, PS 11 Technologie DOZ pro CDP_2 Přerov</w:t>
      </w:r>
    </w:p>
    <w:p w14:paraId="72A2D5B7" w14:textId="6BEDB388" w:rsidR="00A04EA5" w:rsidRPr="00234F6F" w:rsidRDefault="00A04EA5" w:rsidP="007873D4">
      <w:pPr>
        <w:spacing w:after="0" w:line="240" w:lineRule="auto"/>
        <w:jc w:val="both"/>
        <w:rPr>
          <w:rFonts w:eastAsia="Calibri" w:cs="Times New Roman"/>
          <w:bCs/>
          <w:lang w:eastAsia="cs-CZ"/>
        </w:rPr>
      </w:pPr>
      <w:r w:rsidRPr="00234F6F">
        <w:rPr>
          <w:rFonts w:eastAsia="Calibri" w:cs="Times New Roman"/>
          <w:bCs/>
          <w:lang w:eastAsia="cs-CZ"/>
        </w:rPr>
        <w:t>Dle požadavku Technické specifikace SŽ pro velkoplošné zobrazení platí, že „Pro systém VEZO musí být použito zadní projekce“ a dále „Zobrazení na panelu VEZO je statické“, tzn. že jednou nastavené zobrazení podle projektu nelze měnit příkazem obsluhujícího zaměstnance. S touto TS je v rozporu zadání stavby např. v bodech TS 3.1.5 nebo 5.1.5. Bude technická specifikace SŽ pro velkoplošné zobrazení modifikována současně se stavbou stran uvedených skutečností, nebo dojde k úpravě zadání?</w:t>
      </w:r>
    </w:p>
    <w:p w14:paraId="7E3801F3" w14:textId="296A6B4B" w:rsidR="00A04EA5" w:rsidRPr="00234F6F" w:rsidRDefault="00A04EA5" w:rsidP="00A04EA5">
      <w:pPr>
        <w:spacing w:after="0" w:line="240" w:lineRule="auto"/>
        <w:rPr>
          <w:rFonts w:eastAsia="Calibri" w:cs="Times New Roman"/>
          <w:b/>
          <w:lang w:eastAsia="cs-CZ"/>
        </w:rPr>
      </w:pPr>
      <w:r w:rsidRPr="00234F6F">
        <w:rPr>
          <w:rFonts w:eastAsia="Calibri" w:cs="Times New Roman"/>
          <w:b/>
          <w:lang w:eastAsia="cs-CZ"/>
        </w:rPr>
        <w:t xml:space="preserve">Odpověď: </w:t>
      </w:r>
    </w:p>
    <w:p w14:paraId="75E9DE8C" w14:textId="3E5040AF" w:rsidR="001B59C5" w:rsidRPr="007873D4" w:rsidRDefault="001B59C5" w:rsidP="007873D4">
      <w:pPr>
        <w:spacing w:after="0" w:line="240" w:lineRule="auto"/>
        <w:jc w:val="both"/>
        <w:rPr>
          <w:rFonts w:eastAsia="Calibri" w:cs="Times New Roman"/>
          <w:bCs/>
          <w:lang w:eastAsia="cs-CZ"/>
        </w:rPr>
      </w:pPr>
      <w:r w:rsidRPr="007873D4">
        <w:rPr>
          <w:rFonts w:eastAsia="Calibri" w:cs="Times New Roman"/>
          <w:bCs/>
          <w:lang w:eastAsia="cs-CZ"/>
        </w:rPr>
        <w:t>Ano souhlasíme, jedná se však o nový koncept zobrazení. Předpokládáme, že technická specifikace bude upravena</w:t>
      </w:r>
      <w:r w:rsidR="004F7A2A" w:rsidRPr="007873D4">
        <w:rPr>
          <w:rFonts w:eastAsia="Calibri" w:cs="Times New Roman"/>
          <w:bCs/>
          <w:lang w:eastAsia="cs-CZ"/>
        </w:rPr>
        <w:t xml:space="preserve"> odbornými složkami SŽ </w:t>
      </w:r>
      <w:r w:rsidR="00083D5F" w:rsidRPr="007873D4">
        <w:rPr>
          <w:rFonts w:eastAsia="Calibri" w:cs="Times New Roman"/>
          <w:bCs/>
          <w:lang w:eastAsia="cs-CZ"/>
        </w:rPr>
        <w:t xml:space="preserve">nejpozději v době spuštění provozu technologie. </w:t>
      </w:r>
    </w:p>
    <w:p w14:paraId="00850DE4" w14:textId="77777777" w:rsidR="00A04EA5" w:rsidRDefault="00A04EA5" w:rsidP="00A04EA5">
      <w:pPr>
        <w:spacing w:after="0" w:line="240" w:lineRule="auto"/>
        <w:jc w:val="both"/>
        <w:rPr>
          <w:rFonts w:eastAsia="Times New Roman" w:cs="Times New Roman"/>
          <w:color w:val="FF0000"/>
          <w:highlight w:val="green"/>
          <w:lang w:eastAsia="cs-CZ"/>
        </w:rPr>
      </w:pPr>
    </w:p>
    <w:p w14:paraId="0B728AA5" w14:textId="77777777" w:rsidR="00A04EA5" w:rsidRDefault="00A04EA5" w:rsidP="00A04EA5">
      <w:pPr>
        <w:spacing w:after="0" w:line="240" w:lineRule="auto"/>
        <w:jc w:val="both"/>
        <w:rPr>
          <w:rFonts w:eastAsia="Times New Roman" w:cs="Times New Roman"/>
          <w:color w:val="FF0000"/>
          <w:highlight w:val="green"/>
          <w:lang w:eastAsia="cs-CZ"/>
        </w:rPr>
      </w:pPr>
    </w:p>
    <w:p w14:paraId="443D92DD" w14:textId="05507049" w:rsidR="00A04EA5" w:rsidRPr="00234F6F" w:rsidRDefault="00A04EA5" w:rsidP="00A04EA5">
      <w:pPr>
        <w:spacing w:after="0" w:line="240" w:lineRule="auto"/>
        <w:rPr>
          <w:rFonts w:eastAsia="Calibri" w:cs="Times New Roman"/>
          <w:b/>
          <w:lang w:eastAsia="cs-CZ"/>
        </w:rPr>
      </w:pPr>
      <w:r w:rsidRPr="00234F6F">
        <w:rPr>
          <w:rFonts w:eastAsia="Calibri" w:cs="Times New Roman"/>
          <w:b/>
          <w:lang w:eastAsia="cs-CZ"/>
        </w:rPr>
        <w:t>Dotaz č. 13:</w:t>
      </w:r>
    </w:p>
    <w:p w14:paraId="192CAF0D" w14:textId="77777777" w:rsidR="00A04EA5" w:rsidRPr="00234F6F" w:rsidRDefault="00A04EA5" w:rsidP="00A04EA5">
      <w:pPr>
        <w:spacing w:after="0" w:line="240" w:lineRule="auto"/>
        <w:jc w:val="both"/>
        <w:rPr>
          <w:rFonts w:eastAsia="Calibri" w:cs="Times New Roman"/>
          <w:b/>
          <w:bCs/>
          <w:lang w:eastAsia="cs-CZ"/>
        </w:rPr>
      </w:pPr>
      <w:r w:rsidRPr="00234F6F">
        <w:rPr>
          <w:b/>
          <w:bCs/>
        </w:rPr>
        <w:t>část D.1.1 Zabezpečovací zařízení, PS 11 Technologie DOZ pro CDP_2 Přerov</w:t>
      </w:r>
    </w:p>
    <w:p w14:paraId="4D8A45B5" w14:textId="77777777" w:rsidR="00A04EA5" w:rsidRPr="00234F6F" w:rsidRDefault="00A04EA5" w:rsidP="00A04EA5">
      <w:pPr>
        <w:spacing w:after="0" w:line="240" w:lineRule="auto"/>
        <w:rPr>
          <w:rFonts w:eastAsia="Calibri" w:cs="Times New Roman"/>
          <w:bCs/>
          <w:lang w:eastAsia="cs-CZ"/>
        </w:rPr>
      </w:pPr>
      <w:r w:rsidRPr="00234F6F">
        <w:rPr>
          <w:rFonts w:eastAsia="Calibri" w:cs="Times New Roman"/>
          <w:bCs/>
          <w:lang w:eastAsia="cs-CZ"/>
        </w:rPr>
        <w:t xml:space="preserve">Pro nové LED velkoplošné zobrazení je požadována </w:t>
      </w:r>
      <w:proofErr w:type="gramStart"/>
      <w:r w:rsidRPr="00234F6F">
        <w:rPr>
          <w:rFonts w:eastAsia="Calibri" w:cs="Times New Roman"/>
          <w:bCs/>
          <w:lang w:eastAsia="cs-CZ"/>
        </w:rPr>
        <w:t>certifikace  CE</w:t>
      </w:r>
      <w:proofErr w:type="gramEnd"/>
      <w:r w:rsidRPr="00234F6F">
        <w:rPr>
          <w:rFonts w:eastAsia="Calibri" w:cs="Times New Roman"/>
          <w:bCs/>
          <w:lang w:eastAsia="cs-CZ"/>
        </w:rPr>
        <w:t xml:space="preserve"> a ROHS (EU). Proč jsou požadovány také certifikace FCC, UL, EAC, které se používají ve státech mimo EU jako je Eurasie včetně Ruské federace nebo v USA? Jsou tyto certifikace závazné?</w:t>
      </w:r>
    </w:p>
    <w:p w14:paraId="474169F8" w14:textId="62B4CF86" w:rsidR="00A04EA5" w:rsidRPr="00234F6F" w:rsidRDefault="00A04EA5" w:rsidP="00A04EA5">
      <w:pPr>
        <w:spacing w:after="0" w:line="240" w:lineRule="auto"/>
        <w:rPr>
          <w:rFonts w:eastAsia="Calibri" w:cs="Times New Roman"/>
          <w:b/>
          <w:lang w:eastAsia="cs-CZ"/>
        </w:rPr>
      </w:pPr>
      <w:r w:rsidRPr="00234F6F">
        <w:rPr>
          <w:rFonts w:eastAsia="Calibri" w:cs="Times New Roman"/>
          <w:b/>
          <w:lang w:eastAsia="cs-CZ"/>
        </w:rPr>
        <w:t xml:space="preserve">Odpověď: </w:t>
      </w:r>
    </w:p>
    <w:p w14:paraId="478DAEAB" w14:textId="4D3E87FC" w:rsidR="001B59C5" w:rsidRPr="007873D4" w:rsidRDefault="00B05668" w:rsidP="001B59C5">
      <w:pPr>
        <w:spacing w:after="0" w:line="240" w:lineRule="auto"/>
        <w:rPr>
          <w:rFonts w:eastAsia="Calibri" w:cs="Times New Roman"/>
          <w:bCs/>
          <w:lang w:eastAsia="cs-CZ"/>
        </w:rPr>
      </w:pPr>
      <w:r w:rsidRPr="007873D4">
        <w:rPr>
          <w:rFonts w:eastAsia="Calibri" w:cs="Times New Roman"/>
          <w:bCs/>
          <w:lang w:eastAsia="cs-CZ"/>
        </w:rPr>
        <w:t xml:space="preserve">Postačují certifikace CE a ROHS. </w:t>
      </w:r>
    </w:p>
    <w:p w14:paraId="7A300734" w14:textId="77777777" w:rsidR="00A04EA5" w:rsidRDefault="00A04EA5" w:rsidP="00A04EA5">
      <w:pPr>
        <w:spacing w:after="0" w:line="240" w:lineRule="auto"/>
        <w:jc w:val="both"/>
        <w:rPr>
          <w:rFonts w:eastAsia="Times New Roman" w:cs="Times New Roman"/>
          <w:color w:val="FF0000"/>
          <w:highlight w:val="green"/>
          <w:lang w:eastAsia="cs-CZ"/>
        </w:rPr>
      </w:pPr>
    </w:p>
    <w:p w14:paraId="1F914FCD" w14:textId="77777777" w:rsidR="00A04EA5" w:rsidRDefault="00A04EA5" w:rsidP="00A04EA5">
      <w:pPr>
        <w:spacing w:after="0" w:line="240" w:lineRule="auto"/>
        <w:jc w:val="both"/>
        <w:rPr>
          <w:rFonts w:eastAsia="Times New Roman" w:cs="Times New Roman"/>
          <w:color w:val="FF0000"/>
          <w:highlight w:val="green"/>
          <w:lang w:eastAsia="cs-CZ"/>
        </w:rPr>
      </w:pPr>
    </w:p>
    <w:p w14:paraId="015F780A" w14:textId="0899750C" w:rsidR="00A04EA5" w:rsidRPr="00B05668" w:rsidRDefault="00A04EA5" w:rsidP="00A04EA5">
      <w:pPr>
        <w:spacing w:after="0" w:line="240" w:lineRule="auto"/>
        <w:rPr>
          <w:rFonts w:eastAsia="Calibri" w:cs="Times New Roman"/>
          <w:b/>
          <w:lang w:eastAsia="cs-CZ"/>
        </w:rPr>
      </w:pPr>
      <w:r w:rsidRPr="00B05668">
        <w:rPr>
          <w:rFonts w:eastAsia="Calibri" w:cs="Times New Roman"/>
          <w:b/>
          <w:lang w:eastAsia="cs-CZ"/>
        </w:rPr>
        <w:t>Dotaz č. 14:</w:t>
      </w:r>
    </w:p>
    <w:p w14:paraId="624437D9" w14:textId="77777777" w:rsidR="00A04EA5" w:rsidRPr="00B05668" w:rsidRDefault="00A04EA5" w:rsidP="00A04EA5">
      <w:pPr>
        <w:spacing w:after="0" w:line="240" w:lineRule="auto"/>
        <w:jc w:val="both"/>
        <w:rPr>
          <w:rFonts w:eastAsia="Calibri" w:cs="Times New Roman"/>
          <w:b/>
          <w:bCs/>
          <w:lang w:eastAsia="cs-CZ"/>
        </w:rPr>
      </w:pPr>
      <w:r w:rsidRPr="00B05668">
        <w:rPr>
          <w:b/>
          <w:bCs/>
        </w:rPr>
        <w:t>část D.1.1 Zabezpečovací zařízení, PS 11 Technologie DOZ pro CDP_2 Přerov</w:t>
      </w:r>
    </w:p>
    <w:p w14:paraId="468CBEE5" w14:textId="59AA1D22" w:rsidR="00A04EA5" w:rsidRPr="00B05668" w:rsidRDefault="00A04EA5" w:rsidP="00A04EA5">
      <w:pPr>
        <w:spacing w:after="0" w:line="240" w:lineRule="auto"/>
        <w:jc w:val="both"/>
        <w:rPr>
          <w:rFonts w:eastAsia="Calibri" w:cs="Times New Roman"/>
          <w:bCs/>
          <w:lang w:eastAsia="cs-CZ"/>
        </w:rPr>
      </w:pPr>
      <w:r w:rsidRPr="00B05668">
        <w:rPr>
          <w:rFonts w:eastAsia="Calibri" w:cs="Times New Roman"/>
          <w:bCs/>
          <w:lang w:eastAsia="cs-CZ"/>
        </w:rPr>
        <w:t>Požadované provozní teplotní parametry LED modulů pro vnitřní použití jsou v rozsahu od -40 do +60 stupňů Celsia. Většina výrobců udává provozní teplotní rozsah od -10 do +40 stupňů Celsia a pro skladování od -20 do +60 stupňů Celsia. Jsou tyto parametry skutečně požadovány, případně můžete uvést výrobce, který vámi požadovaný pracovní rozsah podporuje? Upozorňujeme, že dle „ČSN EN 50125-3 Drážní zařízení – Podmínky prostředí pro zařízení“ je rozsah teplot (pro klimatickou třídu T1) v budově s klimatickou regulací +18 až +27°</w:t>
      </w:r>
      <w:proofErr w:type="gramStart"/>
      <w:r w:rsidRPr="00B05668">
        <w:rPr>
          <w:rFonts w:eastAsia="Calibri" w:cs="Times New Roman"/>
          <w:bCs/>
          <w:lang w:eastAsia="cs-CZ"/>
        </w:rPr>
        <w:t>C  (</w:t>
      </w:r>
      <w:proofErr w:type="gramEnd"/>
      <w:r w:rsidRPr="00B05668">
        <w:rPr>
          <w:rFonts w:eastAsia="Calibri" w:cs="Times New Roman"/>
          <w:bCs/>
          <w:lang w:eastAsia="cs-CZ"/>
        </w:rPr>
        <w:t>bez klimatické regulace je to 0 až +45°C).</w:t>
      </w:r>
    </w:p>
    <w:p w14:paraId="208437ED" w14:textId="77777777" w:rsidR="00A04EA5" w:rsidRPr="00B05668" w:rsidRDefault="00A04EA5" w:rsidP="00A04EA5">
      <w:pPr>
        <w:spacing w:after="0" w:line="240" w:lineRule="auto"/>
        <w:rPr>
          <w:rFonts w:eastAsia="Calibri" w:cs="Times New Roman"/>
          <w:b/>
          <w:lang w:eastAsia="cs-CZ"/>
        </w:rPr>
      </w:pPr>
      <w:r w:rsidRPr="00B05668">
        <w:rPr>
          <w:rFonts w:eastAsia="Calibri" w:cs="Times New Roman"/>
          <w:b/>
          <w:lang w:eastAsia="cs-CZ"/>
        </w:rPr>
        <w:t xml:space="preserve">Odpověď: </w:t>
      </w:r>
    </w:p>
    <w:p w14:paraId="31E066A3" w14:textId="23BD38BC" w:rsidR="001B59C5" w:rsidRPr="007873D4" w:rsidRDefault="001B59C5" w:rsidP="007873D4">
      <w:pPr>
        <w:spacing w:after="0" w:line="240" w:lineRule="auto"/>
        <w:jc w:val="both"/>
        <w:rPr>
          <w:rFonts w:eastAsia="Calibri" w:cs="Times New Roman"/>
          <w:bCs/>
          <w:lang w:eastAsia="cs-CZ"/>
        </w:rPr>
      </w:pPr>
      <w:r w:rsidRPr="007873D4">
        <w:rPr>
          <w:rFonts w:eastAsia="Calibri" w:cs="Times New Roman"/>
          <w:bCs/>
          <w:lang w:eastAsia="cs-CZ"/>
        </w:rPr>
        <w:t xml:space="preserve">Rozsah pracovních teplot, byl skutečně nadefinován dle konkrétních systému provozovaných v dispečerských sálech a byla brána jejich striktní technická specifikace. </w:t>
      </w:r>
    </w:p>
    <w:p w14:paraId="5E73FB07" w14:textId="77777777" w:rsidR="00B05668" w:rsidRPr="007873D4" w:rsidRDefault="00B05668" w:rsidP="007873D4">
      <w:pPr>
        <w:spacing w:after="0" w:line="240" w:lineRule="auto"/>
        <w:jc w:val="both"/>
        <w:rPr>
          <w:rFonts w:eastAsia="Calibri" w:cs="Times New Roman"/>
          <w:bCs/>
          <w:lang w:eastAsia="cs-CZ"/>
        </w:rPr>
      </w:pPr>
    </w:p>
    <w:p w14:paraId="08CE45EC" w14:textId="4DFCC8D2" w:rsidR="001B59C5" w:rsidRPr="007873D4" w:rsidRDefault="001B59C5" w:rsidP="007873D4">
      <w:pPr>
        <w:spacing w:after="0" w:line="240" w:lineRule="auto"/>
        <w:jc w:val="both"/>
        <w:rPr>
          <w:rFonts w:eastAsia="Calibri" w:cs="Times New Roman"/>
          <w:b/>
          <w:lang w:eastAsia="cs-CZ"/>
        </w:rPr>
      </w:pPr>
      <w:r w:rsidRPr="007873D4">
        <w:rPr>
          <w:rFonts w:eastAsia="Calibri" w:cs="Times New Roman"/>
          <w:b/>
          <w:lang w:eastAsia="cs-CZ"/>
        </w:rPr>
        <w:t xml:space="preserve">Limit teplot </w:t>
      </w:r>
      <w:r w:rsidR="00B05668" w:rsidRPr="007873D4">
        <w:rPr>
          <w:rFonts w:eastAsia="Calibri" w:cs="Times New Roman"/>
          <w:b/>
          <w:lang w:eastAsia="cs-CZ"/>
        </w:rPr>
        <w:t>-</w:t>
      </w:r>
      <w:proofErr w:type="gramStart"/>
      <w:r w:rsidRPr="007873D4">
        <w:rPr>
          <w:rFonts w:eastAsia="Calibri" w:cs="Times New Roman"/>
          <w:b/>
          <w:lang w:eastAsia="cs-CZ"/>
        </w:rPr>
        <w:t>10°C</w:t>
      </w:r>
      <w:proofErr w:type="gramEnd"/>
      <w:r w:rsidRPr="007873D4">
        <w:rPr>
          <w:rFonts w:eastAsia="Calibri" w:cs="Times New Roman"/>
          <w:b/>
          <w:lang w:eastAsia="cs-CZ"/>
        </w:rPr>
        <w:t xml:space="preserve"> až +</w:t>
      </w:r>
      <w:r w:rsidR="00B05668" w:rsidRPr="007873D4">
        <w:rPr>
          <w:rFonts w:eastAsia="Calibri" w:cs="Times New Roman"/>
          <w:b/>
          <w:lang w:eastAsia="cs-CZ"/>
        </w:rPr>
        <w:t>40</w:t>
      </w:r>
      <w:r w:rsidRPr="007873D4">
        <w:rPr>
          <w:rFonts w:eastAsia="Calibri" w:cs="Times New Roman"/>
          <w:b/>
          <w:lang w:eastAsia="cs-CZ"/>
        </w:rPr>
        <w:t>°C je nutné držet jako minimální s ohledem jak na energetickou náročnost</w:t>
      </w:r>
      <w:r w:rsidR="00B05668" w:rsidRPr="007873D4">
        <w:rPr>
          <w:rFonts w:eastAsia="Calibri" w:cs="Times New Roman"/>
          <w:b/>
          <w:lang w:eastAsia="cs-CZ"/>
        </w:rPr>
        <w:t xml:space="preserve"> a </w:t>
      </w:r>
      <w:r w:rsidRPr="007873D4">
        <w:rPr>
          <w:rFonts w:eastAsia="Calibri" w:cs="Times New Roman"/>
          <w:b/>
          <w:lang w:eastAsia="cs-CZ"/>
        </w:rPr>
        <w:t>bezproblémovou činnost zařízení</w:t>
      </w:r>
      <w:r w:rsidR="00B05668" w:rsidRPr="007873D4">
        <w:rPr>
          <w:rFonts w:eastAsia="Calibri" w:cs="Times New Roman"/>
          <w:b/>
          <w:lang w:eastAsia="cs-CZ"/>
        </w:rPr>
        <w:t>.</w:t>
      </w:r>
    </w:p>
    <w:p w14:paraId="55CFCE4F" w14:textId="77777777" w:rsidR="00A04EA5" w:rsidRDefault="00A04EA5" w:rsidP="00A04EA5">
      <w:pPr>
        <w:spacing w:after="0" w:line="240" w:lineRule="auto"/>
        <w:jc w:val="both"/>
        <w:rPr>
          <w:rFonts w:eastAsia="Times New Roman" w:cs="Times New Roman"/>
          <w:color w:val="FF0000"/>
          <w:highlight w:val="green"/>
          <w:lang w:eastAsia="cs-CZ"/>
        </w:rPr>
      </w:pPr>
    </w:p>
    <w:p w14:paraId="202A8CAF" w14:textId="77777777" w:rsidR="00A04EA5" w:rsidRDefault="00A04EA5" w:rsidP="00A04EA5">
      <w:pPr>
        <w:spacing w:after="0" w:line="240" w:lineRule="auto"/>
        <w:jc w:val="both"/>
        <w:rPr>
          <w:rFonts w:eastAsia="Times New Roman" w:cs="Times New Roman"/>
          <w:color w:val="FF0000"/>
          <w:highlight w:val="green"/>
          <w:lang w:eastAsia="cs-CZ"/>
        </w:rPr>
      </w:pPr>
    </w:p>
    <w:p w14:paraId="1B63E334" w14:textId="335B24F6" w:rsidR="00A04EA5" w:rsidRPr="00BD5319" w:rsidRDefault="00A04EA5" w:rsidP="00A04EA5">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15</w:t>
      </w:r>
      <w:r w:rsidRPr="00BD5319">
        <w:rPr>
          <w:rFonts w:eastAsia="Calibri" w:cs="Times New Roman"/>
          <w:b/>
          <w:lang w:eastAsia="cs-CZ"/>
        </w:rPr>
        <w:t>:</w:t>
      </w:r>
    </w:p>
    <w:p w14:paraId="729464F0" w14:textId="77777777" w:rsidR="00A04EA5" w:rsidRPr="007873D4" w:rsidRDefault="00A04EA5" w:rsidP="007873D4">
      <w:pPr>
        <w:spacing w:after="0" w:line="240" w:lineRule="auto"/>
        <w:jc w:val="both"/>
        <w:rPr>
          <w:rFonts w:eastAsia="Calibri" w:cs="Times New Roman"/>
          <w:bCs/>
          <w:lang w:eastAsia="cs-CZ"/>
        </w:rPr>
      </w:pPr>
      <w:r w:rsidRPr="007873D4">
        <w:rPr>
          <w:rFonts w:eastAsia="Calibri" w:cs="Times New Roman"/>
          <w:bCs/>
          <w:lang w:eastAsia="cs-CZ"/>
        </w:rPr>
        <w:t xml:space="preserve">Vážený zadavateli. Stavba svým charakterem a požadavky je vysoce </w:t>
      </w:r>
      <w:proofErr w:type="gramStart"/>
      <w:r w:rsidRPr="007873D4">
        <w:rPr>
          <w:rFonts w:eastAsia="Calibri" w:cs="Times New Roman"/>
          <w:bCs/>
          <w:lang w:eastAsia="cs-CZ"/>
        </w:rPr>
        <w:t>komplexní - pro</w:t>
      </w:r>
      <w:proofErr w:type="gramEnd"/>
      <w:r w:rsidRPr="007873D4">
        <w:rPr>
          <w:rFonts w:eastAsia="Calibri" w:cs="Times New Roman"/>
          <w:bCs/>
          <w:lang w:eastAsia="cs-CZ"/>
        </w:rPr>
        <w:t xml:space="preserve"> přípravu náročná. Lhůta pro včasné podání žádosti o vysvětlení je definována 8 pracovních dnů před uplynutím lhůty pro podání nabídek. Vzhledem k nutnosti řádného seznámení se zadávací dokumentací, ocenění soupisu prací, oslovení/vyjádření subdodavatelů, případné potřeby dotazů včetně jejich formulace, řešení vysvětlení/odpovědí, řešení splnitelnosti termínů/lhůt/</w:t>
      </w:r>
      <w:proofErr w:type="gramStart"/>
      <w:r w:rsidRPr="007873D4">
        <w:rPr>
          <w:rFonts w:eastAsia="Calibri" w:cs="Times New Roman"/>
          <w:bCs/>
          <w:lang w:eastAsia="cs-CZ"/>
        </w:rPr>
        <w:t>harmonogramu</w:t>
      </w:r>
      <w:proofErr w:type="gramEnd"/>
      <w:r w:rsidRPr="007873D4">
        <w:rPr>
          <w:rFonts w:eastAsia="Calibri" w:cs="Times New Roman"/>
          <w:bCs/>
          <w:lang w:eastAsia="cs-CZ"/>
        </w:rPr>
        <w:t xml:space="preserve"> a i vlastního předmětu stavby, zvlášť v tomto případě si dovolujeme požádat/poprosit zadavatele nejen o prodloužení lhůty pro podání nabídek, ale i o nadstandardní/nevšední zohlednění složitosti stavby - za účelem řádného zpracování cenové nabídky.</w:t>
      </w:r>
    </w:p>
    <w:p w14:paraId="1A4D5CED" w14:textId="38781A44" w:rsidR="00A04EA5" w:rsidRPr="007873D4" w:rsidRDefault="00A04EA5" w:rsidP="007873D4">
      <w:pPr>
        <w:spacing w:after="0" w:line="240" w:lineRule="auto"/>
        <w:jc w:val="both"/>
        <w:rPr>
          <w:rFonts w:eastAsia="Calibri" w:cs="Times New Roman"/>
          <w:b/>
          <w:lang w:eastAsia="cs-CZ"/>
        </w:rPr>
      </w:pPr>
      <w:r w:rsidRPr="007873D4">
        <w:rPr>
          <w:rFonts w:eastAsia="Calibri" w:cs="Times New Roman"/>
          <w:b/>
          <w:lang w:eastAsia="cs-CZ"/>
        </w:rPr>
        <w:t xml:space="preserve">Odpověď: </w:t>
      </w:r>
    </w:p>
    <w:p w14:paraId="0C154918" w14:textId="512662CD" w:rsidR="00A04EA5" w:rsidRPr="007873D4" w:rsidRDefault="00D9664A" w:rsidP="007873D4">
      <w:pPr>
        <w:spacing w:after="0" w:line="240" w:lineRule="auto"/>
        <w:jc w:val="both"/>
        <w:rPr>
          <w:rFonts w:eastAsia="Times New Roman" w:cs="Times New Roman"/>
          <w:highlight w:val="green"/>
          <w:lang w:eastAsia="cs-CZ"/>
        </w:rPr>
      </w:pPr>
      <w:r w:rsidRPr="007873D4">
        <w:rPr>
          <w:rFonts w:eastAsia="Calibri" w:cs="Times New Roman"/>
          <w:bCs/>
          <w:lang w:eastAsia="cs-CZ"/>
        </w:rPr>
        <w:t>Zadavatel považuje stanovenou zadávací lhůtu za přiměřenou, a to i vzhledem k charakteru této stavby. Zadavatel se však rozhodl prodloužit přiměřeně lhůtu pro podání nabídek vzhledem k charakteru ostatních odpovědí v tomto vysvětlení.</w:t>
      </w:r>
    </w:p>
    <w:p w14:paraId="30619640" w14:textId="77777777" w:rsidR="00664163" w:rsidRDefault="00664163" w:rsidP="00664163">
      <w:pPr>
        <w:spacing w:after="0" w:line="240" w:lineRule="auto"/>
        <w:jc w:val="both"/>
        <w:rPr>
          <w:rFonts w:eastAsia="Times New Roman" w:cs="Times New Roman"/>
          <w:lang w:eastAsia="cs-CZ"/>
        </w:rPr>
      </w:pPr>
    </w:p>
    <w:p w14:paraId="732FCE75" w14:textId="77777777" w:rsidR="00121426" w:rsidRDefault="00121426" w:rsidP="00664163">
      <w:pPr>
        <w:spacing w:after="0" w:line="240" w:lineRule="auto"/>
        <w:jc w:val="both"/>
        <w:rPr>
          <w:rFonts w:eastAsia="Times New Roman" w:cs="Times New Roman"/>
          <w:lang w:eastAsia="cs-CZ"/>
        </w:rPr>
      </w:pPr>
    </w:p>
    <w:p w14:paraId="6C0B0C1E" w14:textId="77777777" w:rsidR="00121426" w:rsidRPr="00BD5319" w:rsidRDefault="00121426" w:rsidP="00664163">
      <w:pPr>
        <w:spacing w:after="0" w:line="240" w:lineRule="auto"/>
        <w:jc w:val="both"/>
        <w:rPr>
          <w:rFonts w:eastAsia="Times New Roman" w:cs="Times New Roman"/>
          <w:lang w:eastAsia="cs-CZ"/>
        </w:rPr>
      </w:pPr>
    </w:p>
    <w:p w14:paraId="57C0D746" w14:textId="1DBBA0C4" w:rsidR="00121426" w:rsidRPr="006B4FD4" w:rsidRDefault="00121426" w:rsidP="00121426">
      <w:pPr>
        <w:spacing w:after="0" w:line="240" w:lineRule="auto"/>
        <w:jc w:val="both"/>
        <w:rPr>
          <w:rFonts w:eastAsia="Times New Roman" w:cs="Times New Roman"/>
          <w:bCs/>
          <w:lang w:eastAsia="cs-CZ"/>
        </w:rPr>
      </w:pPr>
      <w:r w:rsidRPr="006B4FD4">
        <w:rPr>
          <w:rFonts w:eastAsia="Times New Roman" w:cs="Times New Roman"/>
          <w:bCs/>
          <w:lang w:eastAsia="cs-CZ"/>
        </w:rPr>
        <w:t xml:space="preserve">Vzhledem ke skutečnosti, že byly zadavatelem provedeny </w:t>
      </w:r>
      <w:r w:rsidRPr="006B4FD4">
        <w:rPr>
          <w:rFonts w:eastAsia="Times New Roman" w:cs="Times New Roman"/>
          <w:b/>
          <w:lang w:eastAsia="cs-CZ"/>
        </w:rPr>
        <w:t>změny/doplnění</w:t>
      </w:r>
      <w:r w:rsidRPr="006B4FD4">
        <w:rPr>
          <w:rFonts w:eastAsia="Times New Roman" w:cs="Times New Roman"/>
          <w:bCs/>
          <w:lang w:eastAsia="cs-CZ"/>
        </w:rPr>
        <w:t xml:space="preserve"> zadávací dokumentace, postupuje zadavatel v souladu s </w:t>
      </w:r>
      <w:proofErr w:type="spellStart"/>
      <w:r w:rsidRPr="006B4FD4">
        <w:rPr>
          <w:rFonts w:eastAsia="Times New Roman" w:cs="Times New Roman"/>
          <w:bCs/>
          <w:lang w:eastAsia="cs-CZ"/>
        </w:rPr>
        <w:t>ust</w:t>
      </w:r>
      <w:proofErr w:type="spellEnd"/>
      <w:r w:rsidRPr="006B4FD4">
        <w:rPr>
          <w:rFonts w:eastAsia="Times New Roman" w:cs="Times New Roman"/>
          <w:bCs/>
          <w:lang w:eastAsia="cs-CZ"/>
        </w:rPr>
        <w:t xml:space="preserve">. § 99 odst. 2 ZZVZ a prodlužuje lhůtu pro podání nabídek o </w:t>
      </w:r>
      <w:r>
        <w:rPr>
          <w:rFonts w:eastAsia="Times New Roman" w:cs="Times New Roman"/>
          <w:lang w:eastAsia="cs-CZ"/>
        </w:rPr>
        <w:t>3</w:t>
      </w:r>
      <w:r w:rsidRPr="006B4FD4">
        <w:rPr>
          <w:rFonts w:eastAsia="Times New Roman" w:cs="Times New Roman"/>
          <w:bCs/>
          <w:lang w:eastAsia="cs-CZ"/>
        </w:rPr>
        <w:t xml:space="preserve"> pracovní d</w:t>
      </w:r>
      <w:r w:rsidR="007873D4">
        <w:rPr>
          <w:rFonts w:eastAsia="Times New Roman" w:cs="Times New Roman"/>
          <w:bCs/>
          <w:lang w:eastAsia="cs-CZ"/>
        </w:rPr>
        <w:t>ny</w:t>
      </w:r>
      <w:r w:rsidRPr="006B4FD4">
        <w:rPr>
          <w:rFonts w:eastAsia="Times New Roman" w:cs="Times New Roman"/>
          <w:bCs/>
          <w:lang w:eastAsia="cs-CZ"/>
        </w:rPr>
        <w:t xml:space="preserve">. </w:t>
      </w:r>
    </w:p>
    <w:p w14:paraId="1C0F836E" w14:textId="77777777" w:rsidR="00121426" w:rsidRPr="004D3557" w:rsidRDefault="00121426" w:rsidP="00121426">
      <w:pPr>
        <w:spacing w:after="0" w:line="240" w:lineRule="auto"/>
        <w:rPr>
          <w:rFonts w:eastAsia="Times New Roman" w:cs="Times New Roman"/>
          <w:b/>
          <w:lang w:eastAsia="cs-CZ"/>
        </w:rPr>
      </w:pPr>
      <w:r w:rsidRPr="004D3557">
        <w:rPr>
          <w:rFonts w:eastAsia="Times New Roman" w:cs="Times New Roman"/>
          <w:b/>
          <w:lang w:eastAsia="cs-CZ"/>
        </w:rPr>
        <w:t xml:space="preserve"> </w:t>
      </w:r>
    </w:p>
    <w:p w14:paraId="1A31D520" w14:textId="7DE6B340" w:rsidR="00121426" w:rsidRDefault="00121426" w:rsidP="00121426">
      <w:pPr>
        <w:spacing w:after="0" w:line="240" w:lineRule="auto"/>
        <w:rPr>
          <w:rFonts w:eastAsia="Times New Roman" w:cs="Times New Roman"/>
          <w:bCs/>
          <w:lang w:eastAsia="cs-CZ"/>
        </w:rPr>
      </w:pPr>
      <w:r w:rsidRPr="00E80BFF">
        <w:rPr>
          <w:rFonts w:eastAsia="Times New Roman" w:cs="Times New Roman"/>
          <w:bCs/>
          <w:lang w:eastAsia="cs-CZ"/>
        </w:rPr>
        <w:t xml:space="preserve">Dále zadavatel zohledňuje skutečnost, že některé dotazy vyžadovaly větší časový prostor pro zpracování odpovědi a doplnění zadávací dokumentace. Z tohoto důvodu zadavatel prodlužuje lhůtu pro podání nabídek v souladu s </w:t>
      </w:r>
      <w:proofErr w:type="spellStart"/>
      <w:r w:rsidRPr="00E80BFF">
        <w:rPr>
          <w:rFonts w:eastAsia="Times New Roman" w:cs="Times New Roman"/>
          <w:bCs/>
          <w:lang w:eastAsia="cs-CZ"/>
        </w:rPr>
        <w:t>ust</w:t>
      </w:r>
      <w:proofErr w:type="spellEnd"/>
      <w:r w:rsidRPr="00E80BFF">
        <w:rPr>
          <w:rFonts w:eastAsia="Times New Roman" w:cs="Times New Roman"/>
          <w:bCs/>
          <w:lang w:eastAsia="cs-CZ"/>
        </w:rPr>
        <w:t xml:space="preserve">. § 98 odst. 4 ZZVZ o další </w:t>
      </w:r>
      <w:r w:rsidR="007873D4">
        <w:rPr>
          <w:rFonts w:eastAsia="Times New Roman" w:cs="Times New Roman"/>
          <w:bCs/>
          <w:lang w:eastAsia="cs-CZ"/>
        </w:rPr>
        <w:t>1</w:t>
      </w:r>
      <w:r w:rsidRPr="00E80BFF">
        <w:rPr>
          <w:rFonts w:eastAsia="Times New Roman" w:cs="Times New Roman"/>
          <w:bCs/>
          <w:lang w:eastAsia="cs-CZ"/>
        </w:rPr>
        <w:t xml:space="preserve"> pracovní d</w:t>
      </w:r>
      <w:r w:rsidR="007873D4">
        <w:rPr>
          <w:rFonts w:eastAsia="Times New Roman" w:cs="Times New Roman"/>
          <w:bCs/>
          <w:lang w:eastAsia="cs-CZ"/>
        </w:rPr>
        <w:t>en</w:t>
      </w:r>
      <w:r w:rsidRPr="00E80BFF">
        <w:rPr>
          <w:rFonts w:eastAsia="Times New Roman" w:cs="Times New Roman"/>
          <w:bCs/>
          <w:lang w:eastAsia="cs-CZ"/>
        </w:rPr>
        <w:t>.</w:t>
      </w:r>
      <w:r w:rsidRPr="003F37CB">
        <w:rPr>
          <w:rFonts w:eastAsia="Times New Roman" w:cs="Times New Roman"/>
          <w:bCs/>
          <w:lang w:eastAsia="cs-CZ"/>
        </w:rPr>
        <w:t xml:space="preserve">  </w:t>
      </w:r>
    </w:p>
    <w:p w14:paraId="798880F8" w14:textId="77777777" w:rsidR="007873D4" w:rsidRPr="003F37CB" w:rsidRDefault="007873D4" w:rsidP="00121426">
      <w:pPr>
        <w:spacing w:after="0" w:line="240" w:lineRule="auto"/>
        <w:rPr>
          <w:rFonts w:eastAsia="Times New Roman" w:cs="Times New Roman"/>
          <w:bCs/>
          <w:lang w:eastAsia="cs-CZ"/>
        </w:rPr>
      </w:pPr>
    </w:p>
    <w:p w14:paraId="0AF7C0D4" w14:textId="2B9DFCCE" w:rsidR="00664163" w:rsidRPr="00121426" w:rsidRDefault="00664163" w:rsidP="00664163">
      <w:pPr>
        <w:spacing w:after="0" w:line="240" w:lineRule="auto"/>
        <w:rPr>
          <w:rFonts w:eastAsia="Times New Roman" w:cs="Times New Roman"/>
          <w:b/>
          <w:bCs/>
          <w:lang w:eastAsia="cs-CZ"/>
        </w:rPr>
      </w:pPr>
      <w:r w:rsidRPr="004D3557">
        <w:rPr>
          <w:rFonts w:eastAsia="Times New Roman" w:cs="Times New Roman"/>
          <w:b/>
          <w:lang w:eastAsia="cs-CZ"/>
        </w:rPr>
        <w:t xml:space="preserve">Zadavatel tedy celkově prodlužuje lhůtu ze dne </w:t>
      </w:r>
      <w:r w:rsidR="00121426">
        <w:rPr>
          <w:rFonts w:eastAsia="Times New Roman" w:cs="Times New Roman"/>
          <w:lang w:eastAsia="cs-CZ"/>
        </w:rPr>
        <w:t xml:space="preserve">13. 9. 2024 </w:t>
      </w:r>
      <w:r w:rsidRPr="004D3557">
        <w:rPr>
          <w:rFonts w:eastAsia="Times New Roman" w:cs="Times New Roman"/>
          <w:b/>
          <w:lang w:eastAsia="cs-CZ"/>
        </w:rPr>
        <w:t xml:space="preserve">na den </w:t>
      </w:r>
      <w:r w:rsidR="00121426" w:rsidRPr="00121426">
        <w:rPr>
          <w:rFonts w:eastAsia="Times New Roman" w:cs="Times New Roman"/>
          <w:b/>
          <w:bCs/>
          <w:lang w:eastAsia="cs-CZ"/>
        </w:rPr>
        <w:t>19. 9. 2024</w:t>
      </w:r>
      <w:r w:rsidRPr="00121426">
        <w:rPr>
          <w:rFonts w:eastAsia="Times New Roman" w:cs="Times New Roman"/>
          <w:b/>
          <w:bCs/>
          <w:lang w:eastAsia="cs-CZ"/>
        </w:rPr>
        <w:t>.</w:t>
      </w:r>
    </w:p>
    <w:p w14:paraId="5A868DEB" w14:textId="77777777" w:rsidR="00121426" w:rsidRDefault="00121426" w:rsidP="00664163">
      <w:pPr>
        <w:spacing w:after="0" w:line="240" w:lineRule="auto"/>
        <w:jc w:val="both"/>
        <w:rPr>
          <w:rFonts w:eastAsia="Times New Roman" w:cs="Times New Roman"/>
          <w:lang w:eastAsia="cs-CZ"/>
        </w:rPr>
      </w:pPr>
    </w:p>
    <w:p w14:paraId="3E864BF2" w14:textId="77777777" w:rsidR="00121426" w:rsidRDefault="00121426" w:rsidP="00664163">
      <w:pPr>
        <w:spacing w:after="0" w:line="240" w:lineRule="auto"/>
        <w:jc w:val="both"/>
        <w:rPr>
          <w:rFonts w:eastAsia="Times New Roman" w:cs="Times New Roman"/>
          <w:lang w:eastAsia="cs-CZ"/>
        </w:rPr>
      </w:pPr>
    </w:p>
    <w:p w14:paraId="58F6D20B" w14:textId="64CF0036" w:rsidR="00664163" w:rsidRPr="00BD5319" w:rsidRDefault="00664163" w:rsidP="00664163">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sidR="007F626E">
        <w:rPr>
          <w:rFonts w:eastAsia="Times New Roman" w:cs="Times New Roman"/>
          <w:lang w:eastAsia="cs-CZ"/>
        </w:rPr>
        <w:t>Opravný f</w:t>
      </w:r>
      <w:r w:rsidRPr="00BD5319">
        <w:rPr>
          <w:rFonts w:eastAsia="Times New Roman" w:cs="Times New Roman"/>
          <w:lang w:eastAsia="cs-CZ"/>
        </w:rPr>
        <w:t xml:space="preserve">ormulář Oznámení </w:t>
      </w:r>
      <w:r w:rsidR="007F626E">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2"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7873D4" w:rsidRPr="007873D4">
        <w:rPr>
          <w:rFonts w:eastAsia="Times New Roman" w:cs="Times New Roman"/>
          <w:lang w:eastAsia="cs-CZ"/>
        </w:rPr>
        <w:t>Z2024-039172</w:t>
      </w:r>
      <w:r w:rsidRPr="00BD5319">
        <w:rPr>
          <w:rFonts w:eastAsia="Times New Roman" w:cs="Times New Roman"/>
          <w:lang w:eastAsia="cs-CZ"/>
        </w:rPr>
        <w:t>). Změny se týkají těchto ustanovení:</w:t>
      </w:r>
    </w:p>
    <w:p w14:paraId="0FE4E137" w14:textId="77777777" w:rsidR="00664163" w:rsidRPr="00BD5319" w:rsidRDefault="00664163" w:rsidP="00664163">
      <w:pPr>
        <w:spacing w:after="0" w:line="240" w:lineRule="auto"/>
        <w:rPr>
          <w:rFonts w:eastAsia="Times New Roman" w:cs="Times New Roman"/>
          <w:b/>
          <w:lang w:eastAsia="cs-CZ"/>
        </w:rPr>
      </w:pPr>
    </w:p>
    <w:p w14:paraId="7118AB88" w14:textId="5ADAD774" w:rsidR="00664163" w:rsidRPr="00BD5319" w:rsidRDefault="00664163" w:rsidP="00664163">
      <w:pPr>
        <w:spacing w:after="0" w:line="240" w:lineRule="auto"/>
        <w:rPr>
          <w:rFonts w:eastAsia="Times New Roman" w:cs="Times New Roman"/>
          <w:b/>
          <w:lang w:eastAsia="cs-CZ"/>
        </w:rPr>
      </w:pPr>
    </w:p>
    <w:p w14:paraId="5A7982EE" w14:textId="77777777" w:rsidR="00664163" w:rsidRDefault="00664163" w:rsidP="00664163">
      <w:pPr>
        <w:spacing w:after="0" w:line="240" w:lineRule="auto"/>
        <w:rPr>
          <w:rFonts w:eastAsia="Times New Roman" w:cs="Times New Roman"/>
          <w:lang w:eastAsia="cs-CZ"/>
        </w:rPr>
      </w:pPr>
    </w:p>
    <w:p w14:paraId="6CE5A60D" w14:textId="77777777"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121426" w:rsidRDefault="007F626E" w:rsidP="007F626E">
      <w:pPr>
        <w:spacing w:after="0" w:line="240" w:lineRule="auto"/>
        <w:rPr>
          <w:rFonts w:eastAsia="Times New Roman" w:cs="Times New Roman"/>
          <w:b/>
          <w:lang w:eastAsia="cs-CZ"/>
        </w:rPr>
      </w:pPr>
      <w:r w:rsidRPr="00121426">
        <w:rPr>
          <w:rFonts w:eastAsia="Times New Roman" w:cs="Times New Roman"/>
          <w:bCs/>
          <w:lang w:eastAsia="cs-CZ"/>
        </w:rPr>
        <w:t>Oddíl</w:t>
      </w:r>
      <w:r w:rsidRPr="00121426">
        <w:rPr>
          <w:rFonts w:eastAsia="Times New Roman" w:cs="Times New Roman"/>
          <w:b/>
          <w:lang w:eastAsia="cs-CZ"/>
        </w:rPr>
        <w:t xml:space="preserve"> Lhůta pro podání nabídek – den (BT-131(d)-Lot) </w:t>
      </w:r>
    </w:p>
    <w:p w14:paraId="48CE5B40" w14:textId="7A12D67A" w:rsidR="007F626E" w:rsidRPr="009C7B39" w:rsidRDefault="007F626E" w:rsidP="007F626E">
      <w:pPr>
        <w:spacing w:after="0" w:line="240" w:lineRule="auto"/>
        <w:rPr>
          <w:rFonts w:eastAsia="Times New Roman" w:cs="Times New Roman"/>
          <w:color w:val="000000" w:themeColor="text1"/>
          <w:lang w:eastAsia="cs-CZ"/>
        </w:rPr>
      </w:pPr>
      <w:r w:rsidRPr="00121426">
        <w:rPr>
          <w:rFonts w:eastAsia="Times New Roman" w:cs="Times New Roman"/>
          <w:lang w:eastAsia="cs-CZ"/>
        </w:rPr>
        <w:t xml:space="preserve">rušíme datum </w:t>
      </w:r>
      <w:r w:rsidR="00121426" w:rsidRPr="00121426">
        <w:rPr>
          <w:rFonts w:eastAsia="Times New Roman" w:cs="Times New Roman"/>
          <w:lang w:eastAsia="cs-CZ"/>
        </w:rPr>
        <w:t xml:space="preserve">13. 9. 2024 </w:t>
      </w:r>
      <w:r w:rsidRPr="00121426">
        <w:rPr>
          <w:rFonts w:eastAsia="Times New Roman" w:cs="Times New Roman"/>
          <w:lang w:eastAsia="cs-CZ"/>
        </w:rPr>
        <w:t xml:space="preserve">a </w:t>
      </w:r>
      <w:r w:rsidRPr="00121426">
        <w:rPr>
          <w:rFonts w:eastAsia="Times New Roman" w:cs="Times New Roman"/>
          <w:color w:val="000000" w:themeColor="text1"/>
          <w:lang w:eastAsia="cs-CZ"/>
        </w:rPr>
        <w:t xml:space="preserve">nahrazujeme datem </w:t>
      </w:r>
      <w:r w:rsidR="00121426" w:rsidRPr="00121426">
        <w:rPr>
          <w:rFonts w:eastAsia="Times New Roman" w:cs="Times New Roman"/>
          <w:b/>
          <w:bCs/>
          <w:color w:val="000000" w:themeColor="text1"/>
          <w:lang w:eastAsia="cs-CZ"/>
        </w:rPr>
        <w:t>19. 9. 2024</w:t>
      </w:r>
      <w:r w:rsidRPr="00121426">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77777777" w:rsidR="00664163" w:rsidRPr="00121426" w:rsidRDefault="00664163" w:rsidP="00664163">
      <w:pPr>
        <w:tabs>
          <w:tab w:val="center" w:pos="7371"/>
        </w:tabs>
        <w:spacing w:after="0" w:line="240" w:lineRule="auto"/>
        <w:rPr>
          <w:rFonts w:eastAsia="Calibri" w:cs="Times New Roman"/>
          <w:b/>
          <w:bCs/>
          <w:lang w:eastAsia="cs-CZ"/>
        </w:rPr>
      </w:pPr>
      <w:r w:rsidRPr="00121426">
        <w:rPr>
          <w:rFonts w:eastAsia="Calibri" w:cs="Times New Roman"/>
          <w:b/>
          <w:bCs/>
          <w:lang w:eastAsia="cs-CZ"/>
        </w:rPr>
        <w:t xml:space="preserve">Příloha: </w:t>
      </w:r>
      <w:r w:rsidRPr="00121426">
        <w:rPr>
          <w:rFonts w:eastAsia="Calibri" w:cs="Times New Roman"/>
          <w:bCs/>
          <w:lang w:eastAsia="cs-CZ"/>
        </w:rPr>
        <w:fldChar w:fldCharType="begin">
          <w:ffData>
            <w:name w:val="Text1"/>
            <w:enabled/>
            <w:calcOnExit w:val="0"/>
            <w:textInput>
              <w:type w:val="date"/>
              <w:format w:val="d.M.yyyy"/>
            </w:textInput>
          </w:ffData>
        </w:fldChar>
      </w:r>
      <w:r w:rsidRPr="00121426">
        <w:rPr>
          <w:rFonts w:eastAsia="Calibri" w:cs="Times New Roman"/>
          <w:bCs/>
          <w:lang w:eastAsia="cs-CZ"/>
        </w:rPr>
        <w:instrText xml:space="preserve"> FORMTEXT </w:instrText>
      </w:r>
      <w:r w:rsidRPr="00121426">
        <w:rPr>
          <w:rFonts w:eastAsia="Calibri" w:cs="Times New Roman"/>
          <w:bCs/>
          <w:lang w:eastAsia="cs-CZ"/>
        </w:rPr>
      </w:r>
      <w:r w:rsidRPr="00121426">
        <w:rPr>
          <w:rFonts w:eastAsia="Calibri" w:cs="Times New Roman"/>
          <w:bCs/>
          <w:lang w:eastAsia="cs-CZ"/>
        </w:rPr>
        <w:fldChar w:fldCharType="separate"/>
      </w:r>
      <w:r w:rsidRPr="00121426">
        <w:rPr>
          <w:rFonts w:eastAsia="Calibri" w:cs="Times New Roman"/>
          <w:bCs/>
          <w:lang w:eastAsia="cs-CZ"/>
        </w:rPr>
        <w:t> </w:t>
      </w:r>
      <w:r w:rsidRPr="00121426">
        <w:rPr>
          <w:rFonts w:eastAsia="Calibri" w:cs="Times New Roman"/>
          <w:bCs/>
          <w:lang w:eastAsia="cs-CZ"/>
        </w:rPr>
        <w:t> </w:t>
      </w:r>
      <w:r w:rsidRPr="00121426">
        <w:rPr>
          <w:rFonts w:eastAsia="Calibri" w:cs="Times New Roman"/>
          <w:bCs/>
          <w:lang w:eastAsia="cs-CZ"/>
        </w:rPr>
        <w:t> </w:t>
      </w:r>
      <w:r w:rsidRPr="00121426">
        <w:rPr>
          <w:rFonts w:eastAsia="Calibri" w:cs="Times New Roman"/>
          <w:bCs/>
          <w:lang w:eastAsia="cs-CZ"/>
        </w:rPr>
        <w:t> </w:t>
      </w:r>
      <w:r w:rsidRPr="00121426">
        <w:rPr>
          <w:rFonts w:eastAsia="Calibri" w:cs="Times New Roman"/>
          <w:bCs/>
          <w:lang w:eastAsia="cs-CZ"/>
        </w:rPr>
        <w:t> </w:t>
      </w:r>
      <w:r w:rsidRPr="00121426">
        <w:rPr>
          <w:rFonts w:eastAsia="Calibri" w:cs="Times New Roman"/>
          <w:bCs/>
          <w:lang w:eastAsia="cs-CZ"/>
        </w:rPr>
        <w:fldChar w:fldCharType="end"/>
      </w:r>
    </w:p>
    <w:p w14:paraId="773782CF" w14:textId="50C3C3FB" w:rsidR="005E42E7" w:rsidRPr="00121426" w:rsidRDefault="005E42E7" w:rsidP="00664163">
      <w:pPr>
        <w:spacing w:after="0" w:line="240" w:lineRule="auto"/>
        <w:jc w:val="both"/>
        <w:rPr>
          <w:rFonts w:eastAsia="Calibri" w:cs="Times New Roman"/>
          <w:lang w:eastAsia="cs-CZ"/>
        </w:rPr>
      </w:pPr>
      <w:r w:rsidRPr="00121426">
        <w:rPr>
          <w:rFonts w:eastAsia="Calibri" w:cs="Times New Roman"/>
          <w:lang w:eastAsia="cs-CZ"/>
        </w:rPr>
        <w:t>XDC-CDP-Prerov-zm02-20240904</w:t>
      </w:r>
    </w:p>
    <w:p w14:paraId="3568D690" w14:textId="548E6EA5" w:rsidR="00664163" w:rsidRPr="00121426" w:rsidRDefault="005E42E7" w:rsidP="00664163">
      <w:pPr>
        <w:spacing w:after="0" w:line="240" w:lineRule="auto"/>
        <w:jc w:val="both"/>
        <w:rPr>
          <w:rFonts w:eastAsia="Calibri" w:cs="Times New Roman"/>
          <w:lang w:eastAsia="cs-CZ"/>
        </w:rPr>
      </w:pPr>
      <w:r w:rsidRPr="00121426">
        <w:rPr>
          <w:rFonts w:eastAsia="Calibri" w:cs="Times New Roman"/>
          <w:lang w:eastAsia="cs-CZ"/>
        </w:rPr>
        <w:t>XLS-CDP-Prerov-zm02-20240904</w:t>
      </w:r>
    </w:p>
    <w:p w14:paraId="11FC1E85" w14:textId="269C9B52" w:rsidR="00664163" w:rsidRPr="00121426" w:rsidRDefault="005E42E7" w:rsidP="00664163">
      <w:pPr>
        <w:spacing w:after="0" w:line="240" w:lineRule="auto"/>
        <w:jc w:val="both"/>
        <w:rPr>
          <w:rFonts w:eastAsia="Calibri" w:cs="Times New Roman"/>
          <w:lang w:eastAsia="cs-CZ"/>
        </w:rPr>
      </w:pPr>
      <w:r w:rsidRPr="00121426">
        <w:rPr>
          <w:rFonts w:eastAsia="Calibri" w:cs="Times New Roman"/>
          <w:lang w:eastAsia="cs-CZ"/>
        </w:rPr>
        <w:t>D_2_1_1_SO13_1_001_ver_001</w:t>
      </w:r>
    </w:p>
    <w:p w14:paraId="5AA5BC52" w14:textId="5B4C7877" w:rsidR="005E42E7" w:rsidRPr="00121426" w:rsidRDefault="005E42E7" w:rsidP="00664163">
      <w:pPr>
        <w:spacing w:after="0" w:line="240" w:lineRule="auto"/>
        <w:jc w:val="both"/>
        <w:rPr>
          <w:rFonts w:eastAsia="Calibri" w:cs="Times New Roman"/>
          <w:lang w:eastAsia="cs-CZ"/>
        </w:rPr>
      </w:pPr>
      <w:r w:rsidRPr="00121426">
        <w:rPr>
          <w:rFonts w:eastAsia="Calibri" w:cs="Times New Roman"/>
          <w:lang w:eastAsia="cs-CZ"/>
        </w:rPr>
        <w:t>D_2_1_1_SO13_2_002_ver_001</w:t>
      </w:r>
    </w:p>
    <w:p w14:paraId="66516326" w14:textId="570A769C" w:rsidR="005E42E7" w:rsidRPr="00121426" w:rsidRDefault="005E42E7" w:rsidP="00664163">
      <w:pPr>
        <w:spacing w:after="0" w:line="240" w:lineRule="auto"/>
        <w:jc w:val="both"/>
        <w:rPr>
          <w:rFonts w:eastAsia="Calibri" w:cs="Times New Roman"/>
          <w:lang w:eastAsia="cs-CZ"/>
        </w:rPr>
      </w:pPr>
      <w:r w:rsidRPr="00121426">
        <w:rPr>
          <w:rFonts w:eastAsia="Calibri" w:cs="Times New Roman"/>
          <w:lang w:eastAsia="cs-CZ"/>
        </w:rPr>
        <w:t>D_2_2_1_SO01_46_2_022_ver_001</w:t>
      </w:r>
    </w:p>
    <w:p w14:paraId="452AA407" w14:textId="2BFFD586" w:rsidR="005E42E7" w:rsidRPr="00121426" w:rsidRDefault="005E42E7" w:rsidP="00664163">
      <w:pPr>
        <w:spacing w:after="0" w:line="240" w:lineRule="auto"/>
        <w:jc w:val="both"/>
        <w:rPr>
          <w:rFonts w:eastAsia="Calibri" w:cs="Times New Roman"/>
          <w:lang w:eastAsia="cs-CZ"/>
        </w:rPr>
      </w:pPr>
      <w:r w:rsidRPr="00121426">
        <w:rPr>
          <w:rFonts w:eastAsia="Calibri" w:cs="Times New Roman"/>
          <w:lang w:eastAsia="cs-CZ"/>
        </w:rPr>
        <w:t>D_2_2_1_SO01_46_2_031_ver_001</w:t>
      </w:r>
    </w:p>
    <w:p w14:paraId="5E338A32" w14:textId="2123C067" w:rsidR="005E42E7" w:rsidRPr="00121426" w:rsidRDefault="005E42E7" w:rsidP="00664163">
      <w:pPr>
        <w:spacing w:after="0" w:line="240" w:lineRule="auto"/>
        <w:jc w:val="both"/>
        <w:rPr>
          <w:rFonts w:eastAsia="Calibri" w:cs="Times New Roman"/>
          <w:lang w:eastAsia="cs-CZ"/>
        </w:rPr>
      </w:pPr>
      <w:r w:rsidRPr="00121426">
        <w:rPr>
          <w:rFonts w:eastAsia="Calibri" w:cs="Times New Roman"/>
          <w:lang w:eastAsia="cs-CZ"/>
        </w:rPr>
        <w:t>D_2_2_1_SO01_46_2_032_ver_001</w:t>
      </w:r>
    </w:p>
    <w:p w14:paraId="0DDFE42F" w14:textId="77777777" w:rsidR="005E42E7" w:rsidRPr="00121426" w:rsidRDefault="005E42E7" w:rsidP="00664163">
      <w:pPr>
        <w:spacing w:after="0" w:line="240" w:lineRule="auto"/>
        <w:jc w:val="both"/>
        <w:rPr>
          <w:rFonts w:eastAsia="Calibri" w:cs="Times New Roman"/>
          <w:lang w:eastAsia="cs-CZ"/>
        </w:rPr>
      </w:pPr>
    </w:p>
    <w:p w14:paraId="76B0DCA5" w14:textId="77777777" w:rsidR="003167E9" w:rsidRDefault="003167E9" w:rsidP="00664163">
      <w:pPr>
        <w:spacing w:after="0" w:line="240" w:lineRule="auto"/>
        <w:jc w:val="both"/>
        <w:rPr>
          <w:rFonts w:eastAsia="Calibri" w:cs="Times New Roman"/>
          <w:lang w:eastAsia="cs-CZ"/>
        </w:rPr>
      </w:pPr>
    </w:p>
    <w:p w14:paraId="102B7D61" w14:textId="019ACC3B" w:rsidR="00664163" w:rsidRPr="00121426" w:rsidRDefault="00664163" w:rsidP="00664163">
      <w:pPr>
        <w:spacing w:after="0" w:line="240" w:lineRule="auto"/>
        <w:jc w:val="both"/>
        <w:rPr>
          <w:rFonts w:eastAsia="Calibri" w:cs="Times New Roman"/>
          <w:lang w:eastAsia="cs-CZ"/>
        </w:rPr>
      </w:pPr>
      <w:r w:rsidRPr="00121426">
        <w:rPr>
          <w:rFonts w:eastAsia="Calibri" w:cs="Times New Roman"/>
          <w:lang w:eastAsia="cs-CZ"/>
        </w:rPr>
        <w:t xml:space="preserve">V Praze dne </w:t>
      </w:r>
      <w:r w:rsidR="003167E9">
        <w:rPr>
          <w:rFonts w:eastAsia="Calibri" w:cs="Times New Roman"/>
          <w:lang w:eastAsia="cs-CZ"/>
        </w:rPr>
        <w:t>6.</w:t>
      </w:r>
      <w:r w:rsidR="00B0057B">
        <w:rPr>
          <w:rFonts w:eastAsia="Calibri" w:cs="Times New Roman"/>
          <w:lang w:eastAsia="cs-CZ"/>
        </w:rPr>
        <w:t xml:space="preserve"> </w:t>
      </w:r>
      <w:r w:rsidR="003167E9">
        <w:rPr>
          <w:rFonts w:eastAsia="Calibri" w:cs="Times New Roman"/>
          <w:lang w:eastAsia="cs-CZ"/>
        </w:rPr>
        <w:t>9.</w:t>
      </w:r>
      <w:r w:rsidR="00B0057B">
        <w:rPr>
          <w:rFonts w:eastAsia="Calibri" w:cs="Times New Roman"/>
          <w:lang w:eastAsia="cs-CZ"/>
        </w:rPr>
        <w:t xml:space="preserve"> </w:t>
      </w:r>
      <w:r w:rsidR="003167E9">
        <w:rPr>
          <w:rFonts w:eastAsia="Calibri" w:cs="Times New Roman"/>
          <w:lang w:eastAsia="cs-CZ"/>
        </w:rPr>
        <w:t>2024</w:t>
      </w:r>
    </w:p>
    <w:p w14:paraId="6F75BA64" w14:textId="77777777" w:rsidR="00664163" w:rsidRPr="00121426" w:rsidRDefault="00664163" w:rsidP="00664163">
      <w:pPr>
        <w:spacing w:after="0" w:line="240" w:lineRule="auto"/>
        <w:jc w:val="both"/>
        <w:rPr>
          <w:rFonts w:eastAsia="Calibri" w:cs="Times New Roman"/>
          <w:lang w:eastAsia="cs-CZ"/>
        </w:rPr>
      </w:pPr>
    </w:p>
    <w:p w14:paraId="127C8B76" w14:textId="77777777" w:rsidR="00664163" w:rsidRPr="00121426" w:rsidRDefault="00664163" w:rsidP="00664163">
      <w:pPr>
        <w:spacing w:after="0" w:line="240" w:lineRule="auto"/>
        <w:jc w:val="both"/>
        <w:rPr>
          <w:rFonts w:eastAsia="Calibri" w:cs="Times New Roman"/>
          <w:lang w:eastAsia="cs-CZ"/>
        </w:rPr>
      </w:pPr>
    </w:p>
    <w:p w14:paraId="4EFEEE88" w14:textId="77777777" w:rsidR="00664163" w:rsidRPr="00121426" w:rsidRDefault="00664163" w:rsidP="00664163">
      <w:pPr>
        <w:spacing w:after="0" w:line="240" w:lineRule="auto"/>
        <w:rPr>
          <w:rFonts w:eastAsia="Calibri" w:cs="Times New Roman"/>
          <w:b/>
          <w:bCs/>
          <w:lang w:eastAsia="cs-CZ"/>
        </w:rPr>
      </w:pPr>
    </w:p>
    <w:p w14:paraId="5586027C" w14:textId="77777777" w:rsidR="00664163" w:rsidRPr="00121426" w:rsidRDefault="00664163" w:rsidP="00664163">
      <w:pPr>
        <w:spacing w:after="0" w:line="240" w:lineRule="auto"/>
        <w:rPr>
          <w:rFonts w:eastAsia="Calibri" w:cs="Times New Roman"/>
          <w:b/>
          <w:bCs/>
          <w:lang w:eastAsia="cs-CZ"/>
        </w:rPr>
      </w:pPr>
    </w:p>
    <w:p w14:paraId="370EF690" w14:textId="77777777" w:rsidR="00664163" w:rsidRPr="00121426" w:rsidRDefault="00664163" w:rsidP="00664163">
      <w:pPr>
        <w:spacing w:after="0" w:line="240" w:lineRule="auto"/>
        <w:rPr>
          <w:rFonts w:eastAsia="Calibri" w:cs="Times New Roman"/>
          <w:b/>
          <w:bCs/>
          <w:lang w:eastAsia="cs-CZ"/>
        </w:rPr>
      </w:pPr>
    </w:p>
    <w:p w14:paraId="0D774710" w14:textId="77777777" w:rsidR="0021493D" w:rsidRPr="0021493D" w:rsidRDefault="0021493D" w:rsidP="0021493D">
      <w:pPr>
        <w:spacing w:after="0"/>
        <w:rPr>
          <w:rFonts w:cs="Arial"/>
          <w:b/>
        </w:rPr>
      </w:pPr>
      <w:r w:rsidRPr="0021493D">
        <w:rPr>
          <w:rFonts w:cs="Arial"/>
          <w:b/>
        </w:rPr>
        <w:t>Mgr. Karolína Pavlicová</w:t>
      </w:r>
    </w:p>
    <w:p w14:paraId="33EDF885" w14:textId="77777777" w:rsidR="0021493D" w:rsidRPr="0021493D" w:rsidRDefault="0021493D" w:rsidP="0021493D">
      <w:pPr>
        <w:spacing w:after="0"/>
        <w:rPr>
          <w:rFonts w:cs="Arial"/>
          <w:bCs/>
        </w:rPr>
      </w:pPr>
      <w:r w:rsidRPr="0021493D">
        <w:rPr>
          <w:rFonts w:cs="Arial"/>
          <w:bCs/>
        </w:rPr>
        <w:t>vedoucí oddělení zadávání investic, odbor investiční</w:t>
      </w:r>
    </w:p>
    <w:p w14:paraId="4B63D9A3" w14:textId="77777777" w:rsidR="0021493D" w:rsidRPr="0021493D" w:rsidRDefault="0021493D" w:rsidP="0021493D">
      <w:pPr>
        <w:spacing w:after="0"/>
        <w:rPr>
          <w:rFonts w:cs="Arial"/>
          <w:bCs/>
        </w:rPr>
      </w:pPr>
      <w:r w:rsidRPr="0021493D">
        <w:rPr>
          <w:rFonts w:cs="Arial"/>
          <w:bCs/>
        </w:rPr>
        <w:t>na základě „Pověření“ č. 15-NM ze dne 20. 3. 2024</w:t>
      </w:r>
    </w:p>
    <w:p w14:paraId="74ED3301" w14:textId="50A11B74" w:rsidR="00664163" w:rsidRDefault="0021493D" w:rsidP="0021493D">
      <w:pPr>
        <w:spacing w:after="0" w:line="240" w:lineRule="auto"/>
        <w:rPr>
          <w:rFonts w:ascii="Verdana" w:hAnsi="Verdana" w:cs="Verdana"/>
        </w:rPr>
      </w:pPr>
      <w:r w:rsidRPr="0021493D">
        <w:rPr>
          <w:rFonts w:cs="Arial"/>
          <w:bCs/>
        </w:rPr>
        <w:t>Správa železnic, státní organizace</w:t>
      </w:r>
    </w:p>
    <w:p w14:paraId="41FF3367" w14:textId="77777777" w:rsidR="00FC4B86" w:rsidRDefault="00FC4B86" w:rsidP="00664163">
      <w:pPr>
        <w:spacing w:after="0" w:line="240" w:lineRule="auto"/>
        <w:rPr>
          <w:rFonts w:ascii="Verdana" w:hAnsi="Verdana" w:cs="Verdana"/>
        </w:rPr>
      </w:pPr>
    </w:p>
    <w:sectPr w:rsidR="00FC4B86" w:rsidSect="002A59FE">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0AA9F" w14:textId="77777777" w:rsidR="00320058" w:rsidRDefault="00320058" w:rsidP="00962258">
      <w:pPr>
        <w:spacing w:after="0" w:line="240" w:lineRule="auto"/>
      </w:pPr>
      <w:r>
        <w:separator/>
      </w:r>
    </w:p>
  </w:endnote>
  <w:endnote w:type="continuationSeparator" w:id="0">
    <w:p w14:paraId="78E3CAAA" w14:textId="77777777" w:rsidR="00320058" w:rsidRDefault="003200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49CE4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7C8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0FC51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8648D0"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C41E7" w14:textId="77777777" w:rsidR="00320058" w:rsidRDefault="00320058" w:rsidP="00962258">
      <w:pPr>
        <w:spacing w:after="0" w:line="240" w:lineRule="auto"/>
      </w:pPr>
      <w:r>
        <w:separator/>
      </w:r>
    </w:p>
  </w:footnote>
  <w:footnote w:type="continuationSeparator" w:id="0">
    <w:p w14:paraId="5183F020" w14:textId="77777777" w:rsidR="00320058" w:rsidRDefault="003200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B05D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883A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4D79555B"/>
    <w:multiLevelType w:val="hybridMultilevel"/>
    <w:tmpl w:val="2E10AA30"/>
    <w:lvl w:ilvl="0" w:tplc="67CA384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4070991"/>
    <w:multiLevelType w:val="multilevel"/>
    <w:tmpl w:val="CABE99FC"/>
    <w:numStyleLink w:val="ListNumbermultilevel"/>
  </w:abstractNum>
  <w:num w:numId="1" w16cid:durableId="401025770">
    <w:abstractNumId w:val="2"/>
  </w:num>
  <w:num w:numId="2" w16cid:durableId="506209173">
    <w:abstractNumId w:val="1"/>
  </w:num>
  <w:num w:numId="3" w16cid:durableId="358628641">
    <w:abstractNumId w:val="3"/>
  </w:num>
  <w:num w:numId="4" w16cid:durableId="1834292179">
    <w:abstractNumId w:val="7"/>
  </w:num>
  <w:num w:numId="5" w16cid:durableId="1470241154">
    <w:abstractNumId w:val="0"/>
  </w:num>
  <w:num w:numId="6" w16cid:durableId="848255171">
    <w:abstractNumId w:val="5"/>
  </w:num>
  <w:num w:numId="7" w16cid:durableId="218832763">
    <w:abstractNumId w:val="4"/>
  </w:num>
  <w:num w:numId="8" w16cid:durableId="52163196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3432"/>
    <w:rsid w:val="000335CC"/>
    <w:rsid w:val="00066116"/>
    <w:rsid w:val="00072C1E"/>
    <w:rsid w:val="00083D5F"/>
    <w:rsid w:val="000B3A82"/>
    <w:rsid w:val="000B6C7E"/>
    <w:rsid w:val="000B7907"/>
    <w:rsid w:val="000C0429"/>
    <w:rsid w:val="000C45E8"/>
    <w:rsid w:val="001011CE"/>
    <w:rsid w:val="00114472"/>
    <w:rsid w:val="00115CC2"/>
    <w:rsid w:val="00121426"/>
    <w:rsid w:val="001249EF"/>
    <w:rsid w:val="001267E4"/>
    <w:rsid w:val="00146701"/>
    <w:rsid w:val="00160159"/>
    <w:rsid w:val="00170EC5"/>
    <w:rsid w:val="00171F29"/>
    <w:rsid w:val="001747C1"/>
    <w:rsid w:val="0018596A"/>
    <w:rsid w:val="001B59C5"/>
    <w:rsid w:val="001B69C2"/>
    <w:rsid w:val="001C42EA"/>
    <w:rsid w:val="001C4DA0"/>
    <w:rsid w:val="00207DF5"/>
    <w:rsid w:val="0021493D"/>
    <w:rsid w:val="00227EC6"/>
    <w:rsid w:val="00234F6F"/>
    <w:rsid w:val="00267369"/>
    <w:rsid w:val="0026785D"/>
    <w:rsid w:val="00273CE2"/>
    <w:rsid w:val="00296D39"/>
    <w:rsid w:val="002A59FE"/>
    <w:rsid w:val="002C31BF"/>
    <w:rsid w:val="002E0CD7"/>
    <w:rsid w:val="002F026B"/>
    <w:rsid w:val="003167E9"/>
    <w:rsid w:val="00320058"/>
    <w:rsid w:val="00335122"/>
    <w:rsid w:val="00335732"/>
    <w:rsid w:val="00357BC6"/>
    <w:rsid w:val="00367811"/>
    <w:rsid w:val="0037111D"/>
    <w:rsid w:val="003756B9"/>
    <w:rsid w:val="003956C6"/>
    <w:rsid w:val="003C692B"/>
    <w:rsid w:val="003E6B9A"/>
    <w:rsid w:val="003E75CE"/>
    <w:rsid w:val="0041380F"/>
    <w:rsid w:val="00450F07"/>
    <w:rsid w:val="00453CD3"/>
    <w:rsid w:val="00455BC7"/>
    <w:rsid w:val="00460660"/>
    <w:rsid w:val="00460CCB"/>
    <w:rsid w:val="00477370"/>
    <w:rsid w:val="00486107"/>
    <w:rsid w:val="00491827"/>
    <w:rsid w:val="004926B0"/>
    <w:rsid w:val="004A0F75"/>
    <w:rsid w:val="004A7C69"/>
    <w:rsid w:val="004B36F3"/>
    <w:rsid w:val="004C4399"/>
    <w:rsid w:val="004C69ED"/>
    <w:rsid w:val="004C787C"/>
    <w:rsid w:val="004F4B9B"/>
    <w:rsid w:val="004F7A2A"/>
    <w:rsid w:val="00501654"/>
    <w:rsid w:val="00511AB9"/>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5EE9"/>
    <w:rsid w:val="005C663F"/>
    <w:rsid w:val="005E42E7"/>
    <w:rsid w:val="006104F6"/>
    <w:rsid w:val="0061068E"/>
    <w:rsid w:val="00630DC6"/>
    <w:rsid w:val="00660AD3"/>
    <w:rsid w:val="00664163"/>
    <w:rsid w:val="006A5570"/>
    <w:rsid w:val="006A689C"/>
    <w:rsid w:val="006B3D79"/>
    <w:rsid w:val="006B7D49"/>
    <w:rsid w:val="006E0578"/>
    <w:rsid w:val="006E314D"/>
    <w:rsid w:val="006E7F06"/>
    <w:rsid w:val="00710723"/>
    <w:rsid w:val="00712ED1"/>
    <w:rsid w:val="00715873"/>
    <w:rsid w:val="00723ED1"/>
    <w:rsid w:val="00735ED4"/>
    <w:rsid w:val="00743525"/>
    <w:rsid w:val="007531A0"/>
    <w:rsid w:val="00753DC9"/>
    <w:rsid w:val="00761171"/>
    <w:rsid w:val="0076286B"/>
    <w:rsid w:val="00764595"/>
    <w:rsid w:val="00766846"/>
    <w:rsid w:val="0077673A"/>
    <w:rsid w:val="007846E1"/>
    <w:rsid w:val="007873D4"/>
    <w:rsid w:val="007A0EFE"/>
    <w:rsid w:val="007B570C"/>
    <w:rsid w:val="007E4A6E"/>
    <w:rsid w:val="007F56A7"/>
    <w:rsid w:val="007F626E"/>
    <w:rsid w:val="00807DD0"/>
    <w:rsid w:val="00813F11"/>
    <w:rsid w:val="00842C9B"/>
    <w:rsid w:val="008841FB"/>
    <w:rsid w:val="0088472C"/>
    <w:rsid w:val="00891334"/>
    <w:rsid w:val="008A3568"/>
    <w:rsid w:val="008D03B9"/>
    <w:rsid w:val="008F1629"/>
    <w:rsid w:val="008F18D6"/>
    <w:rsid w:val="008F7A4F"/>
    <w:rsid w:val="00904780"/>
    <w:rsid w:val="009113A8"/>
    <w:rsid w:val="00922385"/>
    <w:rsid w:val="009223DF"/>
    <w:rsid w:val="00934DC3"/>
    <w:rsid w:val="00936091"/>
    <w:rsid w:val="00940D8A"/>
    <w:rsid w:val="0095327E"/>
    <w:rsid w:val="00962258"/>
    <w:rsid w:val="009678B7"/>
    <w:rsid w:val="00982411"/>
    <w:rsid w:val="00992D9C"/>
    <w:rsid w:val="00996CB8"/>
    <w:rsid w:val="009A46FD"/>
    <w:rsid w:val="009A7568"/>
    <w:rsid w:val="009B2E97"/>
    <w:rsid w:val="009B3C69"/>
    <w:rsid w:val="009B72CC"/>
    <w:rsid w:val="009C7B39"/>
    <w:rsid w:val="009E07F4"/>
    <w:rsid w:val="009F392E"/>
    <w:rsid w:val="009F6C14"/>
    <w:rsid w:val="00A04EA5"/>
    <w:rsid w:val="00A054DE"/>
    <w:rsid w:val="00A15776"/>
    <w:rsid w:val="00A44328"/>
    <w:rsid w:val="00A54BBD"/>
    <w:rsid w:val="00A6177B"/>
    <w:rsid w:val="00A66136"/>
    <w:rsid w:val="00A67656"/>
    <w:rsid w:val="00A72CB0"/>
    <w:rsid w:val="00A74E5B"/>
    <w:rsid w:val="00A823B7"/>
    <w:rsid w:val="00A931F6"/>
    <w:rsid w:val="00A943B5"/>
    <w:rsid w:val="00AA4CBB"/>
    <w:rsid w:val="00AA65FA"/>
    <w:rsid w:val="00AA7351"/>
    <w:rsid w:val="00AD056F"/>
    <w:rsid w:val="00AD2773"/>
    <w:rsid w:val="00AD6731"/>
    <w:rsid w:val="00AE1DDE"/>
    <w:rsid w:val="00AF6350"/>
    <w:rsid w:val="00B0057B"/>
    <w:rsid w:val="00B05668"/>
    <w:rsid w:val="00B15B5E"/>
    <w:rsid w:val="00B15D0D"/>
    <w:rsid w:val="00B17633"/>
    <w:rsid w:val="00B23CA3"/>
    <w:rsid w:val="00B3491A"/>
    <w:rsid w:val="00B45E9E"/>
    <w:rsid w:val="00B55F9C"/>
    <w:rsid w:val="00B664E5"/>
    <w:rsid w:val="00B75EE1"/>
    <w:rsid w:val="00B77481"/>
    <w:rsid w:val="00B8518B"/>
    <w:rsid w:val="00BA1929"/>
    <w:rsid w:val="00BB3740"/>
    <w:rsid w:val="00BD5319"/>
    <w:rsid w:val="00BD7E91"/>
    <w:rsid w:val="00BF374D"/>
    <w:rsid w:val="00BF6D48"/>
    <w:rsid w:val="00C02D0A"/>
    <w:rsid w:val="00C03A6E"/>
    <w:rsid w:val="00C30759"/>
    <w:rsid w:val="00C44F6A"/>
    <w:rsid w:val="00C727E5"/>
    <w:rsid w:val="00C8207D"/>
    <w:rsid w:val="00CB7B5A"/>
    <w:rsid w:val="00CC1E2B"/>
    <w:rsid w:val="00CC4FF0"/>
    <w:rsid w:val="00CD1FC4"/>
    <w:rsid w:val="00CE371D"/>
    <w:rsid w:val="00CF7AA7"/>
    <w:rsid w:val="00D02A4D"/>
    <w:rsid w:val="00D21061"/>
    <w:rsid w:val="00D22AC2"/>
    <w:rsid w:val="00D316A7"/>
    <w:rsid w:val="00D4108E"/>
    <w:rsid w:val="00D548C8"/>
    <w:rsid w:val="00D6163D"/>
    <w:rsid w:val="00D63009"/>
    <w:rsid w:val="00D806D4"/>
    <w:rsid w:val="00D831A3"/>
    <w:rsid w:val="00D902AD"/>
    <w:rsid w:val="00D9664A"/>
    <w:rsid w:val="00DA0778"/>
    <w:rsid w:val="00DA6FFE"/>
    <w:rsid w:val="00DC3110"/>
    <w:rsid w:val="00DC7CF6"/>
    <w:rsid w:val="00DD46F3"/>
    <w:rsid w:val="00DD58A6"/>
    <w:rsid w:val="00DE56F2"/>
    <w:rsid w:val="00DF116D"/>
    <w:rsid w:val="00E10710"/>
    <w:rsid w:val="00E2423A"/>
    <w:rsid w:val="00E508D9"/>
    <w:rsid w:val="00E558BC"/>
    <w:rsid w:val="00E65CCC"/>
    <w:rsid w:val="00E824F1"/>
    <w:rsid w:val="00E8319D"/>
    <w:rsid w:val="00E9347D"/>
    <w:rsid w:val="00EB104F"/>
    <w:rsid w:val="00ED14BD"/>
    <w:rsid w:val="00F01440"/>
    <w:rsid w:val="00F12DEC"/>
    <w:rsid w:val="00F1715C"/>
    <w:rsid w:val="00F21D02"/>
    <w:rsid w:val="00F310F8"/>
    <w:rsid w:val="00F35939"/>
    <w:rsid w:val="00F45607"/>
    <w:rsid w:val="00F50F40"/>
    <w:rsid w:val="00F64786"/>
    <w:rsid w:val="00F659EB"/>
    <w:rsid w:val="00F75A8B"/>
    <w:rsid w:val="00F804A7"/>
    <w:rsid w:val="00F862D6"/>
    <w:rsid w:val="00F86BA6"/>
    <w:rsid w:val="00FA52CB"/>
    <w:rsid w:val="00FC3C36"/>
    <w:rsid w:val="00FC4B86"/>
    <w:rsid w:val="00FC6389"/>
    <w:rsid w:val="00FD2F51"/>
    <w:rsid w:val="00FE3455"/>
    <w:rsid w:val="00FF43F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paragraph" w:styleId="Pedmtkomente">
    <w:name w:val="annotation subject"/>
    <w:basedOn w:val="Textkomente"/>
    <w:next w:val="Textkomente"/>
    <w:link w:val="PedmtkomenteChar"/>
    <w:uiPriority w:val="99"/>
    <w:semiHidden/>
    <w:unhideWhenUsed/>
    <w:rsid w:val="00D806D4"/>
    <w:rPr>
      <w:b/>
      <w:bCs/>
    </w:rPr>
  </w:style>
  <w:style w:type="character" w:customStyle="1" w:styleId="PedmtkomenteChar">
    <w:name w:val="Předmět komentáře Char"/>
    <w:basedOn w:val="TextkomenteChar"/>
    <w:link w:val="Pedmtkomente"/>
    <w:uiPriority w:val="99"/>
    <w:semiHidden/>
    <w:rsid w:val="00D806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32</TotalTime>
  <Pages>4</Pages>
  <Words>1616</Words>
  <Characters>9538</Characters>
  <Application>Microsoft Office Word</Application>
  <DocSecurity>0</DocSecurity>
  <Lines>79</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9</cp:revision>
  <cp:lastPrinted>2019-02-22T13:28:00Z</cp:lastPrinted>
  <dcterms:created xsi:type="dcterms:W3CDTF">2024-09-06T07:56:00Z</dcterms:created>
  <dcterms:modified xsi:type="dcterms:W3CDTF">2024-09-06T08:28:00Z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