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CC107E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AD2877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AD287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D2877" w:rsidRPr="00AD2877">
        <w:rPr>
          <w:rFonts w:eastAsia="Times New Roman" w:cs="Times New Roman"/>
          <w:b/>
          <w:sz w:val="18"/>
          <w:szCs w:val="18"/>
          <w:lang w:eastAsia="cs-CZ"/>
        </w:rPr>
        <w:t>Štěpkova na pásovém podvozku</w:t>
      </w:r>
      <w:r w:rsidR="00B83E9A" w:rsidRPr="00AD287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D2877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AD2877" w:rsidRPr="00AD2877">
        <w:rPr>
          <w:rFonts w:eastAsia="Times New Roman" w:cs="Times New Roman"/>
          <w:sz w:val="18"/>
          <w:szCs w:val="18"/>
          <w:lang w:eastAsia="cs-CZ"/>
        </w:rPr>
        <w:t>35186/2024-SŽ-OŘ OVA-NPI</w:t>
      </w:r>
      <w:r w:rsidR="0060521D" w:rsidRPr="00AD2877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AD287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AD287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D287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D2877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AD2877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AD2877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AD287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D2877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436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19</cp:revision>
  <dcterms:created xsi:type="dcterms:W3CDTF">2022-04-17T17:33:00Z</dcterms:created>
  <dcterms:modified xsi:type="dcterms:W3CDTF">2024-08-28T09:06:00Z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