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16316ED4"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B42FA6" w:rsidRPr="00C45E2D">
        <w:rPr>
          <w:rFonts w:ascii="Verdana" w:hAnsi="Verdana"/>
          <w:b/>
          <w:bCs/>
          <w:sz w:val="18"/>
          <w:szCs w:val="18"/>
        </w:rPr>
        <w:t>Reprofilace příkopů a výřez vegetace u ST HKR</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C45E2D"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C45E2D"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C45E2D"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 xml:space="preserve">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 xml:space="preserve">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 xml:space="preserve">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 xml:space="preserve">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w:t>
      </w:r>
      <w:r w:rsidRPr="007722BE">
        <w:rPr>
          <w:rFonts w:ascii="Verdana" w:hAnsi="Verdana" w:cstheme="minorHAnsi"/>
          <w:sz w:val="16"/>
          <w:szCs w:val="16"/>
        </w:rPr>
        <w:t>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Pr="00CD701B">
        <w:rPr>
          <w:rFonts w:ascii="Calibri" w:hAnsi="Calibri" w:cs="Calibri"/>
          <w:sz w:val="16"/>
          <w:szCs w:val="16"/>
        </w:rPr>
        <w:t xml:space="preserve">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66389"/>
    <w:rsid w:val="0048168E"/>
    <w:rsid w:val="0048463D"/>
    <w:rsid w:val="004964BE"/>
    <w:rsid w:val="004F678B"/>
    <w:rsid w:val="005A270F"/>
    <w:rsid w:val="005B58EC"/>
    <w:rsid w:val="005D0B22"/>
    <w:rsid w:val="006850D5"/>
    <w:rsid w:val="007D0343"/>
    <w:rsid w:val="008638D7"/>
    <w:rsid w:val="00901E2C"/>
    <w:rsid w:val="00A5407A"/>
    <w:rsid w:val="00A56AB2"/>
    <w:rsid w:val="00A6772A"/>
    <w:rsid w:val="00A976A0"/>
    <w:rsid w:val="00AE2C06"/>
    <w:rsid w:val="00B42FA6"/>
    <w:rsid w:val="00B4475B"/>
    <w:rsid w:val="00B502C9"/>
    <w:rsid w:val="00B54276"/>
    <w:rsid w:val="00BF6A6B"/>
    <w:rsid w:val="00C45E2D"/>
    <w:rsid w:val="00D238C6"/>
    <w:rsid w:val="00D27977"/>
    <w:rsid w:val="00D73092"/>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D0B22"/>
    <w:rsid w:val="005F51C4"/>
    <w:rsid w:val="0074402E"/>
    <w:rsid w:val="00761D92"/>
    <w:rsid w:val="007B54A2"/>
    <w:rsid w:val="007D0343"/>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0897D63-4158-41B0-9F46-58420D78763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1342</Words>
  <Characters>7921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26</cp:revision>
  <dcterms:created xsi:type="dcterms:W3CDTF">2018-11-26T13:29:00Z</dcterms:created>
  <dcterms:modified xsi:type="dcterms:W3CDTF">2024-06-21T06:37:00Z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