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FAB3C2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0873D8" w:rsidRPr="000873D8">
        <w:rPr>
          <w:rFonts w:ascii="Verdana" w:hAnsi="Verdana"/>
          <w:b/>
          <w:sz w:val="18"/>
          <w:szCs w:val="18"/>
        </w:rPr>
        <w:t>„</w:t>
      </w:r>
      <w:r w:rsidR="000873D8" w:rsidRPr="000873D8">
        <w:rPr>
          <w:rFonts w:ascii="Verdana" w:eastAsia="Verdana" w:hAnsi="Verdana"/>
          <w:b/>
          <w:sz w:val="18"/>
          <w:szCs w:val="18"/>
          <w:lang w:eastAsia="en-US"/>
        </w:rPr>
        <w:t>Nákup sloupových vrtaček pro OŘ PHA 2024</w:t>
      </w:r>
      <w:r w:rsidRPr="000873D8">
        <w:rPr>
          <w:rFonts w:ascii="Verdana" w:hAnsi="Verdana"/>
          <w:b/>
          <w:sz w:val="18"/>
          <w:szCs w:val="18"/>
        </w:rPr>
        <w:t>“</w:t>
      </w:r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73D8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62F339-B343-4C2C-AECF-D1453C7B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2442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2024-05-31T08:54:00Z</dcterms:created>
  <dcterms:modified xsi:type="dcterms:W3CDTF">2024-05-31T08:54:00Z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