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33FF5F66"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D610A8">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D610A8">
        <w:rPr>
          <w:b/>
          <w:highlight w:val="yellow"/>
        </w:rPr>
        <w:t>:</w:t>
      </w:r>
      <w:r w:rsidRPr="00F65C01">
        <w:rPr>
          <w:b/>
          <w:highlight w:val="yellow"/>
        </w:rPr>
        <w:t xml:space="preserve"> </w:t>
      </w:r>
      <w:r w:rsidR="008B24C9" w:rsidRPr="00F65C01">
        <w:rPr>
          <w:rFonts w:ascii="Verdana" w:hAnsi="Verdana"/>
          <w:highlight w:val="yellow"/>
        </w:rPr>
        <w:t>[DOPLNÍ POSKYTOVATEL]</w:t>
      </w:r>
    </w:p>
    <w:p w14:paraId="66FB8E37" w14:textId="77777777" w:rsidR="00A32B94" w:rsidRDefault="00A32B94" w:rsidP="00721C4A">
      <w:pPr>
        <w:widowControl w:val="0"/>
        <w:spacing w:after="0" w:line="276" w:lineRule="auto"/>
        <w:rPr>
          <w:rFonts w:ascii="Verdana" w:hAnsi="Verdana"/>
          <w:highlight w:val="yellow"/>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03A8EC46" w:rsidR="006062F9" w:rsidRPr="006062F9" w:rsidRDefault="004E1498" w:rsidP="00495753">
      <w:pPr>
        <w:widowControl w:val="0"/>
        <w:spacing w:after="120"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D610A8" w:rsidRPr="00D610A8">
        <w:rPr>
          <w:rFonts w:eastAsia="Times New Roman" w:cs="Times New Roman"/>
          <w:b/>
          <w:lang w:eastAsia="cs-CZ"/>
        </w:rPr>
        <w:t>„Oprava mostu v km 19,608 na trati Kácov - Světlá nad Sázavou – inspekční činnost“</w:t>
      </w:r>
      <w:r w:rsidR="006062F9" w:rsidRPr="006062F9">
        <w:rPr>
          <w:rFonts w:eastAsia="Times New Roman" w:cs="Times New Roman"/>
          <w:lang w:eastAsia="cs-CZ"/>
        </w:rPr>
        <w:t>, č. j. veřejné zakázky</w:t>
      </w:r>
      <w:r w:rsidR="006062F9" w:rsidRPr="00D610A8">
        <w:rPr>
          <w:rFonts w:ascii="Verdana" w:eastAsia="Times New Roman" w:hAnsi="Verdana" w:cs="Times New Roman"/>
          <w:lang w:eastAsia="cs-CZ"/>
        </w:rPr>
        <w:t xml:space="preserve">: </w:t>
      </w:r>
      <w:r w:rsidR="00D610A8" w:rsidRPr="00D610A8">
        <w:rPr>
          <w:rStyle w:val="FontStyle38"/>
          <w:rFonts w:ascii="Verdana" w:hAnsi="Verdana"/>
          <w:sz w:val="18"/>
          <w:szCs w:val="18"/>
        </w:rPr>
        <w:t>18288/2024-SŽ-OŘ PHA-OVZ</w:t>
      </w:r>
      <w:r w:rsidR="00D610A8" w:rsidRPr="006062F9">
        <w:rPr>
          <w:rFonts w:eastAsia="Times New Roman" w:cs="Times New Roman"/>
          <w:lang w:eastAsia="cs-CZ"/>
        </w:rPr>
        <w:t xml:space="preserve"> </w:t>
      </w:r>
      <w:r w:rsidR="006062F9" w:rsidRPr="006062F9">
        <w:rPr>
          <w:rFonts w:eastAsia="Times New Roman" w:cs="Times New Roman"/>
          <w:lang w:eastAsia="cs-CZ"/>
        </w:rPr>
        <w:t>(dále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495753">
      <w:pPr>
        <w:pStyle w:val="Nadpis1"/>
        <w:widowControl w:val="0"/>
        <w:suppressAutoHyphens w:val="0"/>
        <w:spacing w:before="240"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lastRenderedPageBreak/>
        <w:t>Předmět služeb</w:t>
      </w:r>
    </w:p>
    <w:p w14:paraId="22EA97B0" w14:textId="379BD653" w:rsidR="00D610A8" w:rsidRPr="00D610A8" w:rsidRDefault="004E1498" w:rsidP="00D610A8">
      <w:pPr>
        <w:pStyle w:val="Nadpis2"/>
        <w:widowControl w:val="0"/>
        <w:spacing w:after="120" w:line="276" w:lineRule="auto"/>
        <w:rPr>
          <w:rFonts w:ascii="Verdana" w:eastAsia="Verdana" w:hAnsi="Verdana"/>
          <w:bCs/>
          <w:noProof/>
        </w:rPr>
      </w:pPr>
      <w:r w:rsidRPr="006062F9">
        <w:t xml:space="preserve">Předmětem </w:t>
      </w:r>
      <w:r w:rsidR="00E73DA0" w:rsidRPr="006062F9">
        <w:t>služeb</w:t>
      </w:r>
      <w:r w:rsidR="00D610A8">
        <w:t xml:space="preserve"> je</w:t>
      </w:r>
      <w:r w:rsidRPr="006062F9">
        <w:t xml:space="preserve"> </w:t>
      </w:r>
      <w:r w:rsidR="00D610A8">
        <w:t>p</w:t>
      </w:r>
      <w:r w:rsidR="00D610A8" w:rsidRPr="00D610A8">
        <w:rPr>
          <w:rFonts w:ascii="Verdana" w:eastAsia="Verdana" w:hAnsi="Verdana"/>
          <w:bCs/>
          <w:noProof/>
        </w:rPr>
        <w:t>rovádění inspekční činnosti a nezávislého dozoru při zhotovení protikorozní ochrany ocelových konstrukcí při opravě mostu v km 19,608 na trati Kácov – Světlá nad Sázavou – po celou dobu provádění stavby dle obecně platných předpisů a</w:t>
      </w:r>
      <w:r w:rsidR="00D610A8">
        <w:rPr>
          <w:rFonts w:ascii="Verdana" w:eastAsia="Verdana" w:hAnsi="Verdana"/>
          <w:bCs/>
          <w:noProof/>
        </w:rPr>
        <w:t> </w:t>
      </w:r>
      <w:r w:rsidR="00D610A8" w:rsidRPr="00D610A8">
        <w:rPr>
          <w:rFonts w:ascii="Verdana" w:eastAsia="Verdana" w:hAnsi="Verdana"/>
          <w:bCs/>
          <w:noProof/>
        </w:rPr>
        <w:t>norem v souladu s TKP železničních staveb, kapitola 25, a to včetně dopravného, ubytování, diet, protokolů inspekčních prací a fotodokumentace tak, aby úspěšně proběhla realizace stavby včetně přejímacího řízení a vydání kolaudačního rozhodnutí. Součástí dokladové části vypracované cenové nabídky na provedení inspekční činnosti a nezávislého dozoru při zhotovení protikorozní ochrany nové OK stavby bude též součinnost při projednání a schválení technologických postupů PKO a vydání závěrečného protokolu.</w:t>
      </w:r>
    </w:p>
    <w:p w14:paraId="1CC9F35C" w14:textId="77777777" w:rsidR="00D610A8" w:rsidRPr="00D610A8" w:rsidRDefault="00D610A8" w:rsidP="00D610A8">
      <w:pPr>
        <w:widowControl w:val="0"/>
        <w:spacing w:after="120"/>
        <w:ind w:left="567"/>
        <w:jc w:val="both"/>
        <w:rPr>
          <w:b/>
        </w:rPr>
      </w:pPr>
      <w:r w:rsidRPr="00D610A8">
        <w:rPr>
          <w:b/>
        </w:rPr>
        <w:t>Rozsah prací:</w:t>
      </w:r>
    </w:p>
    <w:p w14:paraId="0A89E1A6" w14:textId="77777777" w:rsidR="00D610A8" w:rsidRPr="00D610A8" w:rsidRDefault="00D610A8" w:rsidP="00D610A8">
      <w:pPr>
        <w:spacing w:after="120"/>
        <w:ind w:left="851" w:hanging="283"/>
        <w:jc w:val="both"/>
      </w:pPr>
      <w:r w:rsidRPr="00D610A8">
        <w:t>a)</w:t>
      </w:r>
      <w:r w:rsidRPr="00D610A8">
        <w:tab/>
        <w:t>Provedení inspekční činnosti a nezávislého dozoru při zhotovení protikorozní ochrany vyzískaných OK ve smyslu vydané ČSN EN ISO 12944-7.</w:t>
      </w:r>
    </w:p>
    <w:p w14:paraId="66A24CE2" w14:textId="6F83CBDD" w:rsidR="00D610A8" w:rsidRPr="00D610A8" w:rsidRDefault="00D610A8" w:rsidP="00D610A8">
      <w:pPr>
        <w:spacing w:after="120"/>
        <w:ind w:left="851" w:hanging="283"/>
        <w:jc w:val="both"/>
      </w:pPr>
      <w:r w:rsidRPr="00D610A8">
        <w:t>b) Provedení a vyhodnocení zkoušek komp</w:t>
      </w:r>
      <w:r w:rsidR="00577CF1">
        <w:t>ati</w:t>
      </w:r>
      <w:r w:rsidRPr="00D610A8">
        <w:t>bility se stávající PKO u SO 01, 02 dle ČSN EN ISO 12944-8.</w:t>
      </w:r>
    </w:p>
    <w:p w14:paraId="7B6C610D" w14:textId="77777777" w:rsidR="00D610A8" w:rsidRPr="00D610A8" w:rsidRDefault="00D610A8" w:rsidP="00D610A8">
      <w:pPr>
        <w:spacing w:after="0"/>
        <w:ind w:left="851" w:hanging="283"/>
        <w:jc w:val="both"/>
      </w:pPr>
      <w:r w:rsidRPr="00D610A8">
        <w:t xml:space="preserve">c) Rozsah dozoru PKO je stanoven v ČSN EN ISO 12944-7, čl. 6, 7. </w:t>
      </w:r>
      <w:r w:rsidRPr="00D610A8">
        <w:tab/>
      </w:r>
    </w:p>
    <w:p w14:paraId="07D41F98" w14:textId="77777777" w:rsidR="00D610A8" w:rsidRPr="00D610A8" w:rsidRDefault="00D610A8" w:rsidP="00D610A8">
      <w:pPr>
        <w:spacing w:after="120"/>
        <w:ind w:left="851"/>
        <w:jc w:val="both"/>
      </w:pPr>
      <w:r w:rsidRPr="00D610A8">
        <w:t>Závěrečný protokol PKO bude zpracován ve smyslu ČSN EN ISO 12944-8 a předpisu S5/4.</w:t>
      </w:r>
    </w:p>
    <w:p w14:paraId="6FCCC509" w14:textId="77777777" w:rsidR="00D610A8" w:rsidRPr="00D610A8" w:rsidRDefault="00D610A8" w:rsidP="00D610A8">
      <w:pPr>
        <w:widowControl w:val="0"/>
        <w:spacing w:after="120"/>
        <w:ind w:left="567"/>
        <w:jc w:val="both"/>
      </w:pPr>
      <w:r w:rsidRPr="00D610A8">
        <w:rPr>
          <w:b/>
        </w:rPr>
        <w:t>Rozsah zkoušek</w:t>
      </w:r>
      <w:r w:rsidRPr="00D610A8">
        <w:t xml:space="preserve"> (viz tabulka č. 1):</w:t>
      </w:r>
    </w:p>
    <w:p w14:paraId="1DAFDAAA" w14:textId="77777777" w:rsidR="00D610A8" w:rsidRPr="00D610A8" w:rsidRDefault="00D610A8" w:rsidP="00D610A8">
      <w:pPr>
        <w:spacing w:after="120"/>
        <w:ind w:left="851" w:hanging="283"/>
        <w:jc w:val="both"/>
      </w:pPr>
      <w:r w:rsidRPr="00D610A8">
        <w:t>1. Kontrola očištění podkladu na SA 2,5</w:t>
      </w:r>
    </w:p>
    <w:p w14:paraId="115DA772" w14:textId="2DEF2CCF" w:rsidR="00D610A8" w:rsidRPr="00D610A8" w:rsidRDefault="00D610A8" w:rsidP="00D610A8">
      <w:pPr>
        <w:ind w:left="851" w:hanging="283"/>
        <w:jc w:val="both"/>
      </w:pPr>
      <w:r w:rsidRPr="00D610A8">
        <w:t>2. Měření tlouštěk jednotlivých vrstev</w:t>
      </w:r>
    </w:p>
    <w:p w14:paraId="50ED716B" w14:textId="77777777" w:rsidR="00D610A8" w:rsidRPr="00D610A8" w:rsidRDefault="00D610A8" w:rsidP="00D610A8">
      <w:pPr>
        <w:widowControl w:val="0"/>
        <w:spacing w:after="120"/>
        <w:ind w:left="567"/>
        <w:jc w:val="both"/>
      </w:pPr>
      <w:r w:rsidRPr="00D610A8">
        <w:t>Tabulka č. 1</w:t>
      </w:r>
    </w:p>
    <w:tbl>
      <w:tblPr>
        <w:tblW w:w="7167"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166"/>
        <w:gridCol w:w="1669"/>
        <w:gridCol w:w="2190"/>
      </w:tblGrid>
      <w:tr w:rsidR="00D610A8" w:rsidRPr="00D610A8" w14:paraId="0D28C0A6" w14:textId="77777777" w:rsidTr="00203061">
        <w:trPr>
          <w:trHeight w:hRule="exact" w:val="567"/>
        </w:trPr>
        <w:tc>
          <w:tcPr>
            <w:tcW w:w="2142" w:type="dxa"/>
            <w:shd w:val="clear" w:color="auto" w:fill="auto"/>
            <w:noWrap/>
            <w:vAlign w:val="center"/>
          </w:tcPr>
          <w:p w14:paraId="4024E7C5" w14:textId="77777777" w:rsidR="00D610A8" w:rsidRPr="00D610A8" w:rsidRDefault="00D610A8" w:rsidP="007C19BF">
            <w:pPr>
              <w:spacing w:after="0"/>
            </w:pPr>
            <w:r w:rsidRPr="00D610A8">
              <w:t>Stavební objekt</w:t>
            </w:r>
          </w:p>
        </w:tc>
        <w:tc>
          <w:tcPr>
            <w:tcW w:w="1166" w:type="dxa"/>
            <w:shd w:val="clear" w:color="auto" w:fill="auto"/>
            <w:noWrap/>
            <w:vAlign w:val="center"/>
          </w:tcPr>
          <w:p w14:paraId="62DC387F" w14:textId="77777777" w:rsidR="00D610A8" w:rsidRPr="00D610A8" w:rsidRDefault="00D610A8" w:rsidP="007C19BF">
            <w:pPr>
              <w:spacing w:after="0"/>
            </w:pPr>
            <w:r w:rsidRPr="00D610A8">
              <w:t>Typ NK</w:t>
            </w:r>
          </w:p>
        </w:tc>
        <w:tc>
          <w:tcPr>
            <w:tcW w:w="1669" w:type="dxa"/>
            <w:shd w:val="clear" w:color="auto" w:fill="auto"/>
            <w:noWrap/>
            <w:vAlign w:val="center"/>
          </w:tcPr>
          <w:p w14:paraId="3570485D" w14:textId="77777777" w:rsidR="00D610A8" w:rsidRPr="00D610A8" w:rsidRDefault="00D610A8" w:rsidP="007C19BF">
            <w:pPr>
              <w:spacing w:after="0"/>
            </w:pPr>
            <w:r w:rsidRPr="00D610A8">
              <w:t>OK</w:t>
            </w:r>
          </w:p>
          <w:p w14:paraId="2F94E4AA" w14:textId="77777777" w:rsidR="00D610A8" w:rsidRPr="00D610A8" w:rsidRDefault="00D610A8" w:rsidP="007C19BF">
            <w:pPr>
              <w:spacing w:after="0"/>
            </w:pPr>
            <w:r w:rsidRPr="00D610A8">
              <w:t>Nátěrová plocha</w:t>
            </w:r>
          </w:p>
          <w:p w14:paraId="7E150F2B" w14:textId="77777777" w:rsidR="00D610A8" w:rsidRPr="00D610A8" w:rsidRDefault="00D610A8" w:rsidP="007C19BF">
            <w:pPr>
              <w:spacing w:after="0"/>
            </w:pPr>
          </w:p>
        </w:tc>
        <w:tc>
          <w:tcPr>
            <w:tcW w:w="2190" w:type="dxa"/>
            <w:shd w:val="clear" w:color="auto" w:fill="auto"/>
            <w:noWrap/>
            <w:vAlign w:val="center"/>
          </w:tcPr>
          <w:p w14:paraId="08F3D46B" w14:textId="77777777" w:rsidR="00D610A8" w:rsidRPr="00D610A8" w:rsidRDefault="00D610A8" w:rsidP="007C19BF">
            <w:pPr>
              <w:spacing w:after="0"/>
            </w:pPr>
            <w:r w:rsidRPr="00D610A8">
              <w:t>Provádění a rozsah zkoušek</w:t>
            </w:r>
          </w:p>
        </w:tc>
      </w:tr>
      <w:tr w:rsidR="00D610A8" w:rsidRPr="00D610A8" w14:paraId="2205D6A4" w14:textId="77777777" w:rsidTr="007C19BF">
        <w:trPr>
          <w:trHeight w:hRule="exact" w:val="567"/>
        </w:trPr>
        <w:tc>
          <w:tcPr>
            <w:tcW w:w="2142" w:type="dxa"/>
            <w:shd w:val="clear" w:color="auto" w:fill="auto"/>
            <w:noWrap/>
            <w:vAlign w:val="center"/>
          </w:tcPr>
          <w:p w14:paraId="0B420A23" w14:textId="77777777" w:rsidR="007C19BF" w:rsidRPr="007C19BF" w:rsidRDefault="007C19BF" w:rsidP="007C19BF">
            <w:pPr>
              <w:spacing w:after="0"/>
              <w:ind w:left="210" w:right="-57"/>
            </w:pPr>
            <w:r w:rsidRPr="007C19BF">
              <w:t xml:space="preserve">Žel. </w:t>
            </w:r>
            <w:proofErr w:type="gramStart"/>
            <w:r w:rsidRPr="007C19BF">
              <w:t>most</w:t>
            </w:r>
            <w:proofErr w:type="gramEnd"/>
          </w:p>
          <w:p w14:paraId="7F8B95B0" w14:textId="77777777" w:rsidR="007C19BF" w:rsidRPr="007C19BF" w:rsidRDefault="007C19BF" w:rsidP="007C19BF">
            <w:pPr>
              <w:spacing w:after="0"/>
              <w:ind w:left="210" w:right="-57"/>
            </w:pPr>
            <w:r w:rsidRPr="007C19BF">
              <w:t>v ev. km 19,608</w:t>
            </w:r>
          </w:p>
          <w:p w14:paraId="30CAC63A" w14:textId="77777777" w:rsidR="00D610A8" w:rsidRPr="00D610A8" w:rsidRDefault="00D610A8" w:rsidP="007C19BF">
            <w:pPr>
              <w:ind w:left="567"/>
            </w:pPr>
          </w:p>
        </w:tc>
        <w:tc>
          <w:tcPr>
            <w:tcW w:w="1166" w:type="dxa"/>
            <w:shd w:val="clear" w:color="auto" w:fill="auto"/>
            <w:noWrap/>
            <w:vAlign w:val="center"/>
          </w:tcPr>
          <w:p w14:paraId="6E2363B4" w14:textId="77777777" w:rsidR="00D610A8" w:rsidRPr="00D610A8" w:rsidRDefault="00D610A8" w:rsidP="007C19BF">
            <w:pPr>
              <w:ind w:left="334"/>
            </w:pPr>
            <w:r w:rsidRPr="00D610A8">
              <w:t>OK</w:t>
            </w:r>
          </w:p>
        </w:tc>
        <w:tc>
          <w:tcPr>
            <w:tcW w:w="1669" w:type="dxa"/>
            <w:shd w:val="clear" w:color="auto" w:fill="auto"/>
            <w:noWrap/>
            <w:vAlign w:val="center"/>
          </w:tcPr>
          <w:p w14:paraId="5EB4D8EA" w14:textId="77777777" w:rsidR="00D610A8" w:rsidRPr="00D610A8" w:rsidRDefault="00D610A8" w:rsidP="007C19BF">
            <w:pPr>
              <w:spacing w:before="120"/>
              <w:ind w:left="567"/>
            </w:pPr>
            <w:r w:rsidRPr="00D610A8">
              <w:t>3 535m2</w:t>
            </w:r>
          </w:p>
        </w:tc>
        <w:tc>
          <w:tcPr>
            <w:tcW w:w="2190" w:type="dxa"/>
            <w:shd w:val="clear" w:color="auto" w:fill="auto"/>
            <w:noWrap/>
            <w:vAlign w:val="center"/>
          </w:tcPr>
          <w:p w14:paraId="5AF271D5" w14:textId="77777777" w:rsidR="00D610A8" w:rsidRPr="00D610A8" w:rsidRDefault="00D610A8" w:rsidP="007C19BF">
            <w:pPr>
              <w:spacing w:before="120"/>
              <w:ind w:left="567"/>
            </w:pPr>
            <w:r w:rsidRPr="00D610A8">
              <w:t>1, 2</w:t>
            </w:r>
          </w:p>
        </w:tc>
      </w:tr>
    </w:tbl>
    <w:p w14:paraId="73C8F978" w14:textId="77777777" w:rsidR="00D610A8" w:rsidRDefault="00B75DAD" w:rsidP="00D610A8">
      <w:pPr>
        <w:pStyle w:val="Nadpis2"/>
        <w:widowControl w:val="0"/>
        <w:numPr>
          <w:ilvl w:val="0"/>
          <w:numId w:val="0"/>
        </w:numPr>
        <w:spacing w:line="276" w:lineRule="auto"/>
      </w:pPr>
      <w:r>
        <w:t xml:space="preserve"> </w:t>
      </w:r>
    </w:p>
    <w:p w14:paraId="03F039C6" w14:textId="65EA97A8" w:rsidR="004E1498" w:rsidRPr="006062F9" w:rsidRDefault="00B75DAD" w:rsidP="007C19BF">
      <w:pPr>
        <w:pStyle w:val="Nadpis2"/>
        <w:widowControl w:val="0"/>
        <w:numPr>
          <w:ilvl w:val="0"/>
          <w:numId w:val="0"/>
        </w:numPr>
        <w:spacing w:after="120" w:line="276" w:lineRule="auto"/>
      </w:pPr>
      <w:r w:rsidRPr="006062F9">
        <w:t>(dále jen „</w:t>
      </w:r>
      <w:r>
        <w:rPr>
          <w:b/>
        </w:rPr>
        <w:t>Dílo, Předmět služeb</w:t>
      </w:r>
      <w:r w:rsidRPr="006062F9">
        <w:t>“)</w:t>
      </w:r>
    </w:p>
    <w:p w14:paraId="31E5226B" w14:textId="184FA1B9" w:rsidR="004E1498" w:rsidRPr="00D610A8" w:rsidRDefault="004E1498" w:rsidP="007C19BF">
      <w:pPr>
        <w:pStyle w:val="Nadpis2"/>
        <w:widowControl w:val="0"/>
        <w:spacing w:before="240" w:line="276" w:lineRule="auto"/>
        <w:ind w:left="578" w:hanging="578"/>
        <w:contextualSpacing w:val="0"/>
        <w:rPr>
          <w:rFonts w:asciiTheme="majorHAnsi" w:hAnsiTheme="majorHAnsi"/>
        </w:rPr>
      </w:pPr>
      <w:r w:rsidRPr="00D610A8">
        <w:t xml:space="preserve">Předmět </w:t>
      </w:r>
      <w:r w:rsidR="00E73DA0" w:rsidRPr="00D610A8">
        <w:t>služeb</w:t>
      </w:r>
      <w:r w:rsidRPr="00D610A8">
        <w:t xml:space="preserve"> je blíže specifikován v</w:t>
      </w:r>
      <w:r w:rsidR="00015EB1">
        <w:t xml:space="preserve"> příloze č. 2 </w:t>
      </w:r>
      <w:proofErr w:type="gramStart"/>
      <w:r w:rsidR="00015EB1">
        <w:t>této</w:t>
      </w:r>
      <w:proofErr w:type="gramEnd"/>
      <w:r w:rsidR="00015EB1">
        <w:t xml:space="preserve"> smlouvy – Protokol o podrobné prohlídce.</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5D0C679" w14:textId="3EB3D472" w:rsidR="009945D6" w:rsidRPr="007C19BF" w:rsidRDefault="009945D6" w:rsidP="007C19BF">
      <w:pPr>
        <w:pStyle w:val="Nadpis2"/>
        <w:spacing w:after="120" w:line="276" w:lineRule="auto"/>
        <w:rPr>
          <w:rFonts w:eastAsia="Verdana"/>
          <w:noProof/>
          <w:highlight w:val="yellow"/>
        </w:rPr>
      </w:pPr>
      <w:r w:rsidRPr="007C19BF">
        <w:rPr>
          <w:rFonts w:eastAsia="Verdana"/>
          <w:noProof/>
          <w:highlight w:val="yellow"/>
        </w:rPr>
        <w:t xml:space="preserve">Cena </w:t>
      </w:r>
      <w:r w:rsidR="00721C4A" w:rsidRPr="007C19BF">
        <w:rPr>
          <w:rFonts w:eastAsia="Verdana"/>
          <w:noProof/>
          <w:highlight w:val="yellow"/>
        </w:rPr>
        <w:t>za předmět služeb činí:</w:t>
      </w:r>
      <w:r w:rsidRPr="007C19BF">
        <w:rPr>
          <w:rFonts w:eastAsia="Verdana"/>
          <w:noProof/>
          <w:highlight w:val="yellow"/>
        </w:rPr>
        <w:t xml:space="preserve"> </w:t>
      </w:r>
    </w:p>
    <w:p w14:paraId="455AE6B9" w14:textId="77777777" w:rsidR="009945D6" w:rsidRPr="007C19BF" w:rsidRDefault="009945D6" w:rsidP="00A318B6">
      <w:pPr>
        <w:pStyle w:val="Odstavecseseznamem"/>
        <w:tabs>
          <w:tab w:val="left" w:pos="5670"/>
        </w:tabs>
        <w:spacing w:after="0" w:line="276" w:lineRule="auto"/>
        <w:ind w:left="1004"/>
        <w:contextualSpacing w:val="0"/>
        <w:rPr>
          <w:highlight w:val="yellow"/>
        </w:rPr>
      </w:pPr>
      <w:r w:rsidRPr="007C19BF">
        <w:rPr>
          <w:highlight w:val="yellow"/>
        </w:rPr>
        <w:t>Cena bez DPH:</w:t>
      </w:r>
      <w:r w:rsidRPr="007C19BF">
        <w:rPr>
          <w:highlight w:val="yellow"/>
        </w:rPr>
        <w:tab/>
        <w:t>Kč</w:t>
      </w:r>
    </w:p>
    <w:p w14:paraId="4B522E15" w14:textId="77777777" w:rsidR="009945D6" w:rsidRPr="007C19BF" w:rsidRDefault="009945D6" w:rsidP="00A318B6">
      <w:pPr>
        <w:pStyle w:val="Odstavecseseznamem"/>
        <w:tabs>
          <w:tab w:val="left" w:pos="5670"/>
        </w:tabs>
        <w:spacing w:after="0" w:line="276" w:lineRule="auto"/>
        <w:ind w:left="1004"/>
        <w:contextualSpacing w:val="0"/>
        <w:rPr>
          <w:highlight w:val="yellow"/>
        </w:rPr>
      </w:pPr>
      <w:r w:rsidRPr="007C19BF">
        <w:rPr>
          <w:highlight w:val="yellow"/>
        </w:rPr>
        <w:t>DPH:</w:t>
      </w:r>
      <w:r w:rsidRPr="007C19BF">
        <w:rPr>
          <w:highlight w:val="yellow"/>
        </w:rPr>
        <w:tab/>
        <w:t>Kč</w:t>
      </w:r>
    </w:p>
    <w:p w14:paraId="2ABEC488" w14:textId="77777777" w:rsidR="009945D6" w:rsidRPr="007C19BF" w:rsidRDefault="009945D6" w:rsidP="00A318B6">
      <w:pPr>
        <w:pStyle w:val="Odstavecseseznamem"/>
        <w:tabs>
          <w:tab w:val="left" w:pos="5670"/>
        </w:tabs>
        <w:spacing w:after="0" w:line="276" w:lineRule="auto"/>
        <w:ind w:left="1004"/>
        <w:contextualSpacing w:val="0"/>
        <w:rPr>
          <w:highlight w:val="yellow"/>
        </w:rPr>
      </w:pPr>
      <w:r w:rsidRPr="007C19BF">
        <w:rPr>
          <w:highlight w:val="yellow"/>
        </w:rPr>
        <w:t>Cena s DPH:</w:t>
      </w:r>
      <w:r w:rsidRPr="007C19BF">
        <w:rPr>
          <w:highlight w:val="yellow"/>
        </w:rPr>
        <w:tab/>
        <w:t>Kč</w:t>
      </w:r>
    </w:p>
    <w:p w14:paraId="73865445" w14:textId="77777777" w:rsidR="009945D6" w:rsidRPr="007C19BF" w:rsidRDefault="009945D6" w:rsidP="00A318B6">
      <w:pPr>
        <w:pStyle w:val="Odstavecseseznamem"/>
        <w:tabs>
          <w:tab w:val="left" w:pos="5670"/>
        </w:tabs>
        <w:spacing w:after="0" w:line="276" w:lineRule="auto"/>
        <w:ind w:left="1004"/>
        <w:contextualSpacing w:val="0"/>
        <w:rPr>
          <w:highlight w:val="yellow"/>
        </w:rPr>
      </w:pPr>
    </w:p>
    <w:p w14:paraId="00E85E33" w14:textId="3DADC0EC" w:rsidR="007C19BF" w:rsidRPr="007C19BF" w:rsidRDefault="009945D6" w:rsidP="007C19BF">
      <w:pPr>
        <w:pStyle w:val="Odstavecseseznamem"/>
        <w:tabs>
          <w:tab w:val="left" w:pos="5670"/>
        </w:tabs>
        <w:spacing w:line="276" w:lineRule="auto"/>
        <w:ind w:left="1004"/>
        <w:contextualSpacing w:val="0"/>
        <w:rPr>
          <w:highlight w:val="yellow"/>
        </w:rPr>
      </w:pPr>
      <w:r w:rsidRPr="007C19BF">
        <w:rPr>
          <w:highlight w:val="yellow"/>
        </w:rPr>
        <w:t xml:space="preserve">Cena za dílo bez DPH slovy:  </w:t>
      </w:r>
      <w:r w:rsidRPr="007C19BF">
        <w:rPr>
          <w:highlight w:val="yellow"/>
        </w:rPr>
        <w:tab/>
        <w:t>Kč</w:t>
      </w:r>
    </w:p>
    <w:p w14:paraId="23A2FF24" w14:textId="77777777" w:rsidR="006062F9" w:rsidRPr="006062F9" w:rsidRDefault="006062F9" w:rsidP="00A318B6">
      <w:pPr>
        <w:pStyle w:val="Nadpis1"/>
        <w:spacing w:line="276" w:lineRule="auto"/>
      </w:pPr>
      <w:r w:rsidRPr="006062F9">
        <w:t xml:space="preserve">Fakturace </w:t>
      </w:r>
    </w:p>
    <w:p w14:paraId="0993D276" w14:textId="7185C8AD" w:rsidR="00AA6E01" w:rsidRDefault="007C19BF" w:rsidP="007C19BF">
      <w:pPr>
        <w:pStyle w:val="Nadpis2"/>
        <w:spacing w:line="276" w:lineRule="auto"/>
        <w:ind w:left="578" w:hanging="578"/>
        <w:rPr>
          <w:rFonts w:ascii="Verdana" w:eastAsia="Verdana" w:hAnsi="Verdana"/>
          <w:noProof/>
        </w:rPr>
      </w:pPr>
      <w:r w:rsidRPr="007C19BF">
        <w:rPr>
          <w:rFonts w:eastAsia="Verdana"/>
          <w:noProof/>
        </w:rPr>
        <w:t>Fakturace</w:t>
      </w:r>
      <w:r w:rsidRPr="007D53EA">
        <w:rPr>
          <w:rFonts w:ascii="Verdana" w:eastAsia="Verdana" w:hAnsi="Verdana"/>
          <w:noProof/>
        </w:rPr>
        <w:t xml:space="preserve"> bude probíhat na základě vykonavatelem vystaveného daňového dokladu (faktura s náležitostí daňového dokladu), který bude vystaven po provedení a předání prací. Faktura bude vystavena do 15 dní od předání díla a doručena na fakturační adresu objednatele. Součástí faktury bude příloha soupisu provedených prací a dodaného materiálu.</w:t>
      </w:r>
    </w:p>
    <w:p w14:paraId="34707D99" w14:textId="7A4C2F5A" w:rsidR="00216322" w:rsidRDefault="00216322" w:rsidP="00216322">
      <w:pPr>
        <w:rPr>
          <w:lang w:eastAsia="cs-CZ"/>
        </w:rPr>
      </w:pPr>
    </w:p>
    <w:p w14:paraId="57C18C9A" w14:textId="18F40D6F" w:rsidR="00216322" w:rsidRDefault="00216322" w:rsidP="00216322">
      <w:pPr>
        <w:rPr>
          <w:lang w:eastAsia="cs-CZ"/>
        </w:rPr>
      </w:pPr>
    </w:p>
    <w:p w14:paraId="65B418FD" w14:textId="77777777" w:rsidR="00A32B94" w:rsidRPr="00216322" w:rsidRDefault="00A32B94" w:rsidP="00216322">
      <w:pPr>
        <w:rPr>
          <w:lang w:eastAsia="cs-CZ"/>
        </w:rPr>
      </w:pP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lastRenderedPageBreak/>
        <w:t>Místo a doba plnění</w:t>
      </w:r>
    </w:p>
    <w:p w14:paraId="3555E66C" w14:textId="77777777" w:rsidR="007C19BF" w:rsidRPr="007C19BF" w:rsidRDefault="004E1498" w:rsidP="00E243D9">
      <w:pPr>
        <w:pStyle w:val="Nadpis2"/>
        <w:widowControl w:val="0"/>
        <w:spacing w:after="120" w:line="276" w:lineRule="auto"/>
        <w:rPr>
          <w:rFonts w:ascii="Verdana" w:eastAsia="Verdana" w:hAnsi="Verdana"/>
          <w:noProof/>
        </w:rPr>
      </w:pPr>
      <w:r w:rsidRPr="00E243D9">
        <w:t>Místem plnění</w:t>
      </w:r>
      <w:r w:rsidRPr="006062F9">
        <w:t xml:space="preserve"> je</w:t>
      </w:r>
      <w:r w:rsidR="006062F9" w:rsidRPr="006062F9">
        <w:t xml:space="preserve"> </w:t>
      </w:r>
      <w:r w:rsidR="007C19BF" w:rsidRPr="007C19BF">
        <w:rPr>
          <w:rFonts w:ascii="Verdana" w:eastAsia="Verdana" w:hAnsi="Verdana"/>
          <w:noProof/>
        </w:rPr>
        <w:t>most v km 19,608 na trati Kácov - Světlá nad Sázavou</w:t>
      </w:r>
    </w:p>
    <w:p w14:paraId="3B75998C" w14:textId="77777777" w:rsidR="007C19BF" w:rsidRPr="007C19BF" w:rsidRDefault="007C19BF" w:rsidP="00F57CFC">
      <w:pPr>
        <w:spacing w:after="0"/>
        <w:ind w:left="567"/>
        <w:jc w:val="both"/>
        <w:rPr>
          <w:rFonts w:ascii="Verdana" w:eastAsia="Verdana" w:hAnsi="Verdana" w:cs="Times New Roman"/>
          <w:noProof/>
        </w:rPr>
      </w:pPr>
      <w:r w:rsidRPr="007C19BF">
        <w:rPr>
          <w:rFonts w:ascii="Verdana" w:eastAsia="Verdana" w:hAnsi="Verdana" w:cs="Times New Roman"/>
          <w:noProof/>
        </w:rPr>
        <w:t>•</w:t>
      </w:r>
      <w:r w:rsidRPr="007C19BF">
        <w:rPr>
          <w:rFonts w:ascii="Verdana" w:eastAsia="Verdana" w:hAnsi="Verdana" w:cs="Times New Roman"/>
          <w:noProof/>
        </w:rPr>
        <w:tab/>
        <w:t>Kraj - Středočeský</w:t>
      </w:r>
    </w:p>
    <w:p w14:paraId="2990614F" w14:textId="77777777" w:rsidR="007C19BF" w:rsidRPr="007C19BF" w:rsidRDefault="007C19BF" w:rsidP="00F57CFC">
      <w:pPr>
        <w:spacing w:after="0"/>
        <w:ind w:left="567"/>
        <w:jc w:val="both"/>
        <w:rPr>
          <w:rFonts w:ascii="Verdana" w:eastAsia="Verdana" w:hAnsi="Verdana" w:cs="Times New Roman"/>
          <w:noProof/>
        </w:rPr>
      </w:pPr>
      <w:r w:rsidRPr="007C19BF">
        <w:rPr>
          <w:rFonts w:ascii="Verdana" w:eastAsia="Verdana" w:hAnsi="Verdana" w:cs="Times New Roman"/>
          <w:noProof/>
        </w:rPr>
        <w:t>•</w:t>
      </w:r>
      <w:r w:rsidRPr="007C19BF">
        <w:rPr>
          <w:rFonts w:ascii="Verdana" w:eastAsia="Verdana" w:hAnsi="Verdana" w:cs="Times New Roman"/>
          <w:noProof/>
        </w:rPr>
        <w:tab/>
        <w:t>Okres - Kutná Hora</w:t>
      </w:r>
    </w:p>
    <w:p w14:paraId="22F1D830" w14:textId="77777777" w:rsidR="007C19BF" w:rsidRPr="007C19BF" w:rsidRDefault="007C19BF" w:rsidP="00F57CFC">
      <w:pPr>
        <w:spacing w:after="0"/>
        <w:ind w:left="567"/>
        <w:jc w:val="both"/>
        <w:rPr>
          <w:rFonts w:ascii="Verdana" w:eastAsia="Verdana" w:hAnsi="Verdana" w:cs="Times New Roman"/>
          <w:noProof/>
        </w:rPr>
      </w:pPr>
      <w:r w:rsidRPr="007C19BF">
        <w:rPr>
          <w:rFonts w:ascii="Verdana" w:eastAsia="Verdana" w:hAnsi="Verdana" w:cs="Times New Roman"/>
          <w:noProof/>
        </w:rPr>
        <w:t>•</w:t>
      </w:r>
      <w:r w:rsidRPr="007C19BF">
        <w:rPr>
          <w:rFonts w:ascii="Verdana" w:eastAsia="Verdana" w:hAnsi="Verdana" w:cs="Times New Roman"/>
          <w:noProof/>
        </w:rPr>
        <w:tab/>
        <w:t>TUDU - 173308</w:t>
      </w:r>
    </w:p>
    <w:p w14:paraId="32FF5DAA" w14:textId="77777777" w:rsidR="007C19BF" w:rsidRPr="007C19BF" w:rsidRDefault="007C19BF" w:rsidP="00F57CFC">
      <w:pPr>
        <w:spacing w:after="0"/>
        <w:ind w:left="567"/>
        <w:jc w:val="both"/>
        <w:rPr>
          <w:rFonts w:ascii="Verdana" w:eastAsia="Verdana" w:hAnsi="Verdana" w:cs="Times New Roman"/>
          <w:noProof/>
        </w:rPr>
      </w:pPr>
      <w:r w:rsidRPr="007C19BF">
        <w:rPr>
          <w:rFonts w:ascii="Verdana" w:eastAsia="Verdana" w:hAnsi="Verdana" w:cs="Times New Roman"/>
          <w:noProof/>
        </w:rPr>
        <w:t>•</w:t>
      </w:r>
      <w:r w:rsidRPr="007C19BF">
        <w:rPr>
          <w:rFonts w:ascii="Verdana" w:eastAsia="Verdana" w:hAnsi="Verdana" w:cs="Times New Roman"/>
          <w:noProof/>
        </w:rPr>
        <w:tab/>
        <w:t xml:space="preserve">Most - km 19,608 </w:t>
      </w:r>
    </w:p>
    <w:p w14:paraId="09B90D64" w14:textId="77777777" w:rsidR="007C19BF" w:rsidRPr="007C19BF" w:rsidRDefault="007C19BF" w:rsidP="00F57CFC">
      <w:pPr>
        <w:spacing w:after="0"/>
        <w:ind w:left="567"/>
        <w:jc w:val="both"/>
        <w:rPr>
          <w:rFonts w:ascii="Verdana" w:eastAsia="Verdana" w:hAnsi="Verdana" w:cs="Times New Roman"/>
          <w:noProof/>
        </w:rPr>
      </w:pPr>
      <w:r w:rsidRPr="007C19BF">
        <w:rPr>
          <w:rFonts w:ascii="Verdana" w:eastAsia="Verdana" w:hAnsi="Verdana" w:cs="Times New Roman"/>
          <w:noProof/>
        </w:rPr>
        <w:t>•</w:t>
      </w:r>
      <w:r w:rsidRPr="007C19BF">
        <w:rPr>
          <w:rFonts w:ascii="Verdana" w:eastAsia="Verdana" w:hAnsi="Verdana" w:cs="Times New Roman"/>
          <w:noProof/>
        </w:rPr>
        <w:tab/>
        <w:t>Číslo trati dle KJŘ - 212</w:t>
      </w:r>
    </w:p>
    <w:p w14:paraId="1B436582" w14:textId="77777777" w:rsidR="007C19BF" w:rsidRPr="007C19BF" w:rsidRDefault="007C19BF" w:rsidP="00F57CFC">
      <w:pPr>
        <w:spacing w:after="0"/>
        <w:ind w:left="567"/>
        <w:jc w:val="both"/>
        <w:rPr>
          <w:rFonts w:ascii="Verdana" w:eastAsia="Verdana" w:hAnsi="Verdana" w:cs="Times New Roman"/>
          <w:noProof/>
        </w:rPr>
      </w:pPr>
      <w:r w:rsidRPr="007C19BF">
        <w:rPr>
          <w:rFonts w:ascii="Verdana" w:eastAsia="Verdana" w:hAnsi="Verdana" w:cs="Times New Roman"/>
          <w:noProof/>
        </w:rPr>
        <w:t>•</w:t>
      </w:r>
      <w:r w:rsidRPr="007C19BF">
        <w:rPr>
          <w:rFonts w:ascii="Verdana" w:eastAsia="Verdana" w:hAnsi="Verdana" w:cs="Times New Roman"/>
          <w:noProof/>
        </w:rPr>
        <w:tab/>
        <w:t>Číslo trati dle Prohlášení o dráze - 305</w:t>
      </w:r>
    </w:p>
    <w:p w14:paraId="4DCCF507" w14:textId="0399FE34" w:rsidR="004E1498" w:rsidRDefault="007C19BF" w:rsidP="00F57CFC">
      <w:pPr>
        <w:spacing w:after="120"/>
        <w:ind w:left="567"/>
        <w:jc w:val="both"/>
      </w:pPr>
      <w:r w:rsidRPr="007C19BF">
        <w:rPr>
          <w:rFonts w:ascii="Verdana" w:hAnsi="Verdana"/>
          <w:noProof/>
        </w:rPr>
        <w:t>•</w:t>
      </w:r>
      <w:r w:rsidRPr="007C19BF">
        <w:rPr>
          <w:rFonts w:ascii="Verdana" w:hAnsi="Verdana"/>
          <w:noProof/>
        </w:rPr>
        <w:tab/>
      </w:r>
      <w:r w:rsidRPr="00F57CFC">
        <w:rPr>
          <w:rFonts w:ascii="Verdana" w:eastAsia="Verdana" w:hAnsi="Verdana" w:cs="Times New Roman"/>
          <w:noProof/>
        </w:rPr>
        <w:t>Označení</w:t>
      </w:r>
      <w:r w:rsidRPr="007C19BF">
        <w:rPr>
          <w:rFonts w:ascii="Verdana" w:hAnsi="Verdana"/>
          <w:noProof/>
        </w:rPr>
        <w:t xml:space="preserve"> trati dle Tabulek traťových poměrů - 516</w:t>
      </w:r>
    </w:p>
    <w:p w14:paraId="5C67A5BA" w14:textId="77733EBC" w:rsidR="00652A2B" w:rsidRPr="00652A2B" w:rsidRDefault="00F57CFC" w:rsidP="00A318B6">
      <w:pPr>
        <w:pStyle w:val="Nadpis2"/>
        <w:widowControl w:val="0"/>
        <w:spacing w:line="276" w:lineRule="auto"/>
      </w:pPr>
      <w:r w:rsidRPr="00F57CFC">
        <w:rPr>
          <w:rFonts w:ascii="Verdana" w:eastAsia="Verdana" w:hAnsi="Verdana"/>
          <w:noProof/>
        </w:rPr>
        <w:t>Poskytovatel se zavazuje provést předmět služeb podle této smlouvy řádným ukončením a předáním objednateli v</w:t>
      </w:r>
      <w:r w:rsidR="00E243D9">
        <w:rPr>
          <w:rFonts w:ascii="Verdana" w:eastAsia="Verdana" w:hAnsi="Verdana"/>
          <w:noProof/>
        </w:rPr>
        <w:t> </w:t>
      </w:r>
      <w:r w:rsidRPr="00F57CFC">
        <w:rPr>
          <w:rFonts w:ascii="Verdana" w:eastAsia="Verdana" w:hAnsi="Verdana"/>
          <w:noProof/>
        </w:rPr>
        <w:t>termínu</w:t>
      </w:r>
      <w:r w:rsidR="00E243D9">
        <w:t>:</w:t>
      </w:r>
      <w:r w:rsidR="00B75DAD" w:rsidRPr="00F57CFC">
        <w:t xml:space="preserve"> </w:t>
      </w:r>
    </w:p>
    <w:p w14:paraId="5A0B229D" w14:textId="1A420A93" w:rsidR="00F57CFC" w:rsidRDefault="00F57CFC" w:rsidP="00F57CFC">
      <w:pPr>
        <w:pStyle w:val="Odstavecseseznamem"/>
        <w:spacing w:before="120"/>
        <w:ind w:left="1134"/>
        <w:jc w:val="both"/>
        <w:rPr>
          <w:b/>
        </w:rPr>
      </w:pPr>
      <w:r>
        <w:t xml:space="preserve">Zahájení </w:t>
      </w:r>
      <w:r w:rsidR="00E243D9">
        <w:t>díla</w:t>
      </w:r>
      <w:r w:rsidRPr="002454B8">
        <w:t>:</w:t>
      </w:r>
      <w:r>
        <w:t xml:space="preserve"> </w:t>
      </w:r>
      <w:r>
        <w:rPr>
          <w:rFonts w:ascii="Verdana" w:hAnsi="Verdana"/>
          <w:b/>
          <w:bCs/>
        </w:rPr>
        <w:t xml:space="preserve">uveřejněním smlouvy v Registru smluv </w:t>
      </w:r>
    </w:p>
    <w:p w14:paraId="783BD53F" w14:textId="77777777" w:rsidR="00F57CFC" w:rsidRPr="002454B8" w:rsidRDefault="00F57CFC" w:rsidP="00F57CFC">
      <w:pPr>
        <w:pStyle w:val="Odstavecseseznamem"/>
        <w:spacing w:before="120"/>
        <w:ind w:left="1134" w:hanging="567"/>
        <w:jc w:val="both"/>
        <w:rPr>
          <w:b/>
        </w:rPr>
      </w:pPr>
    </w:p>
    <w:p w14:paraId="2A70C787" w14:textId="7E2F0568" w:rsidR="00F57CFC" w:rsidRPr="007C3D26" w:rsidRDefault="00F57CFC" w:rsidP="00F57CFC">
      <w:pPr>
        <w:pStyle w:val="Odstavecseseznamem"/>
        <w:ind w:left="1134"/>
        <w:jc w:val="both"/>
        <w:rPr>
          <w:rFonts w:ascii="Verdana" w:hAnsi="Verdana"/>
          <w:b/>
          <w:bCs/>
        </w:rPr>
      </w:pPr>
      <w:r>
        <w:t xml:space="preserve">Ukončení </w:t>
      </w:r>
      <w:r w:rsidR="00E243D9">
        <w:t>díla</w:t>
      </w:r>
      <w:r w:rsidRPr="007C3D26">
        <w:t>:</w:t>
      </w:r>
      <w:r w:rsidRPr="007C3D26">
        <w:rPr>
          <w:b/>
        </w:rPr>
        <w:t xml:space="preserve"> </w:t>
      </w:r>
      <w:r w:rsidRPr="007C3D26">
        <w:rPr>
          <w:rFonts w:ascii="Verdana" w:hAnsi="Verdana"/>
          <w:b/>
          <w:bCs/>
        </w:rPr>
        <w:t xml:space="preserve">31. 05. 2025 (včetně předání protokolů inspekčních prací </w:t>
      </w:r>
    </w:p>
    <w:p w14:paraId="2431F24F" w14:textId="13900F57" w:rsidR="00B75DAD" w:rsidRDefault="00F57CFC" w:rsidP="00F57CFC">
      <w:pPr>
        <w:pStyle w:val="Odstavecseseznamem"/>
        <w:spacing w:line="276" w:lineRule="auto"/>
        <w:ind w:left="1004"/>
        <w:rPr>
          <w:rFonts w:ascii="Verdana" w:hAnsi="Verdana"/>
          <w:b/>
          <w:bCs/>
        </w:rPr>
      </w:pPr>
      <w:r w:rsidRPr="007C3D26">
        <w:rPr>
          <w:rFonts w:ascii="Verdana" w:hAnsi="Verdana"/>
          <w:b/>
          <w:bCs/>
        </w:rPr>
        <w:tab/>
        <w:t xml:space="preserve">                     a fotodokumentace</w:t>
      </w:r>
      <w:r w:rsidR="00E243D9" w:rsidRPr="007C3D26">
        <w:rPr>
          <w:rFonts w:ascii="Verdana" w:hAnsi="Verdana"/>
          <w:b/>
          <w:bCs/>
        </w:rPr>
        <w:t>)</w:t>
      </w:r>
    </w:p>
    <w:tbl>
      <w:tblPr>
        <w:tblW w:w="8647" w:type="dxa"/>
        <w:tblInd w:w="416" w:type="dxa"/>
        <w:tblCellMar>
          <w:top w:w="28" w:type="dxa"/>
          <w:left w:w="57" w:type="dxa"/>
          <w:bottom w:w="28" w:type="dxa"/>
          <w:right w:w="57" w:type="dxa"/>
        </w:tblCellMar>
        <w:tblLook w:val="04A0" w:firstRow="1" w:lastRow="0" w:firstColumn="1" w:lastColumn="0" w:noHBand="0" w:noVBand="1"/>
      </w:tblPr>
      <w:tblGrid>
        <w:gridCol w:w="1322"/>
        <w:gridCol w:w="3229"/>
        <w:gridCol w:w="1652"/>
        <w:gridCol w:w="2444"/>
      </w:tblGrid>
      <w:tr w:rsidR="00E243D9" w:rsidRPr="00E243D9" w14:paraId="0DA2CFC1" w14:textId="77777777" w:rsidTr="00E243D9">
        <w:tc>
          <w:tcPr>
            <w:tcW w:w="1322"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905FE10"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postup</w:t>
            </w:r>
          </w:p>
        </w:tc>
        <w:tc>
          <w:tcPr>
            <w:tcW w:w="3229" w:type="dxa"/>
            <w:tcBorders>
              <w:top w:val="single" w:sz="8" w:space="0" w:color="auto"/>
              <w:left w:val="nil"/>
              <w:bottom w:val="single" w:sz="8" w:space="0" w:color="auto"/>
              <w:right w:val="single" w:sz="8" w:space="0" w:color="auto"/>
            </w:tcBorders>
            <w:shd w:val="clear" w:color="000000" w:fill="FFFFFF"/>
            <w:vAlign w:val="center"/>
            <w:hideMark/>
          </w:tcPr>
          <w:p w14:paraId="15F06223"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činnost</w:t>
            </w:r>
          </w:p>
        </w:tc>
        <w:tc>
          <w:tcPr>
            <w:tcW w:w="1652" w:type="dxa"/>
            <w:tcBorders>
              <w:top w:val="single" w:sz="8" w:space="0" w:color="auto"/>
              <w:left w:val="nil"/>
              <w:bottom w:val="single" w:sz="8" w:space="0" w:color="auto"/>
              <w:right w:val="single" w:sz="8" w:space="0" w:color="auto"/>
            </w:tcBorders>
            <w:shd w:val="clear" w:color="000000" w:fill="FFFFFF"/>
            <w:vAlign w:val="center"/>
            <w:hideMark/>
          </w:tcPr>
          <w:p w14:paraId="41F1A6A4"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typ výluky</w:t>
            </w:r>
          </w:p>
        </w:tc>
        <w:tc>
          <w:tcPr>
            <w:tcW w:w="2444" w:type="dxa"/>
            <w:tcBorders>
              <w:top w:val="single" w:sz="8" w:space="0" w:color="auto"/>
              <w:left w:val="nil"/>
              <w:bottom w:val="single" w:sz="8" w:space="0" w:color="auto"/>
              <w:right w:val="single" w:sz="8" w:space="0" w:color="auto"/>
            </w:tcBorders>
            <w:shd w:val="clear" w:color="000000" w:fill="FFFFFF"/>
            <w:vAlign w:val="center"/>
            <w:hideMark/>
          </w:tcPr>
          <w:p w14:paraId="6E92B7D1"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doba trvání</w:t>
            </w:r>
          </w:p>
        </w:tc>
      </w:tr>
      <w:tr w:rsidR="00E243D9" w:rsidRPr="00E243D9" w14:paraId="4C62FB68" w14:textId="77777777" w:rsidTr="00E243D9">
        <w:tc>
          <w:tcPr>
            <w:tcW w:w="1322" w:type="dxa"/>
            <w:tcBorders>
              <w:top w:val="nil"/>
              <w:left w:val="single" w:sz="8" w:space="0" w:color="auto"/>
              <w:bottom w:val="single" w:sz="8" w:space="0" w:color="auto"/>
              <w:right w:val="single" w:sz="8" w:space="0" w:color="auto"/>
            </w:tcBorders>
            <w:shd w:val="clear" w:color="000000" w:fill="FFFFFF"/>
            <w:vAlign w:val="center"/>
            <w:hideMark/>
          </w:tcPr>
          <w:p w14:paraId="3A08D849" w14:textId="77777777" w:rsidR="00E243D9" w:rsidRPr="00E243D9" w:rsidRDefault="00E243D9" w:rsidP="00E243D9">
            <w:pPr>
              <w:tabs>
                <w:tab w:val="left" w:pos="964"/>
              </w:tabs>
              <w:spacing w:after="0" w:line="240" w:lineRule="auto"/>
              <w:rPr>
                <w:rFonts w:eastAsia="Calibri" w:cs="Arial"/>
                <w:b/>
                <w:color w:val="FF0000"/>
              </w:rPr>
            </w:pPr>
            <w:r w:rsidRPr="00E243D9">
              <w:rPr>
                <w:rFonts w:eastAsia="Calibri" w:cs="Arial"/>
                <w:b/>
                <w:color w:val="FF0000"/>
              </w:rPr>
              <w:t> </w:t>
            </w:r>
          </w:p>
        </w:tc>
        <w:tc>
          <w:tcPr>
            <w:tcW w:w="3229" w:type="dxa"/>
            <w:tcBorders>
              <w:top w:val="nil"/>
              <w:left w:val="nil"/>
              <w:bottom w:val="single" w:sz="8" w:space="0" w:color="auto"/>
              <w:right w:val="single" w:sz="8" w:space="0" w:color="auto"/>
            </w:tcBorders>
            <w:shd w:val="clear" w:color="000000" w:fill="FFFFFF"/>
            <w:vAlign w:val="center"/>
            <w:hideMark/>
          </w:tcPr>
          <w:p w14:paraId="005E32B4"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zahájení stavby</w:t>
            </w:r>
          </w:p>
        </w:tc>
        <w:tc>
          <w:tcPr>
            <w:tcW w:w="1652" w:type="dxa"/>
            <w:tcBorders>
              <w:top w:val="nil"/>
              <w:left w:val="nil"/>
              <w:bottom w:val="single" w:sz="8" w:space="0" w:color="auto"/>
              <w:right w:val="single" w:sz="8" w:space="0" w:color="auto"/>
            </w:tcBorders>
            <w:shd w:val="clear" w:color="000000" w:fill="FFFFFF"/>
            <w:vAlign w:val="center"/>
            <w:hideMark/>
          </w:tcPr>
          <w:p w14:paraId="38CBD020" w14:textId="77777777" w:rsidR="00E243D9" w:rsidRPr="00E243D9" w:rsidRDefault="00E243D9" w:rsidP="00E243D9">
            <w:pPr>
              <w:tabs>
                <w:tab w:val="left" w:pos="964"/>
              </w:tabs>
              <w:spacing w:after="0" w:line="240" w:lineRule="auto"/>
              <w:rPr>
                <w:rFonts w:eastAsia="Calibri" w:cs="Arial"/>
              </w:rPr>
            </w:pPr>
          </w:p>
        </w:tc>
        <w:tc>
          <w:tcPr>
            <w:tcW w:w="2444" w:type="dxa"/>
            <w:tcBorders>
              <w:top w:val="nil"/>
              <w:left w:val="nil"/>
              <w:bottom w:val="single" w:sz="8" w:space="0" w:color="auto"/>
              <w:right w:val="single" w:sz="8" w:space="0" w:color="auto"/>
            </w:tcBorders>
            <w:shd w:val="clear" w:color="000000" w:fill="FFFFFF"/>
            <w:vAlign w:val="center"/>
            <w:hideMark/>
          </w:tcPr>
          <w:p w14:paraId="7DFC1FF5" w14:textId="77777777" w:rsidR="00E243D9" w:rsidRPr="00E243D9" w:rsidRDefault="00E243D9" w:rsidP="00E243D9">
            <w:pPr>
              <w:tabs>
                <w:tab w:val="left" w:pos="964"/>
              </w:tabs>
              <w:spacing w:after="0" w:line="240" w:lineRule="auto"/>
              <w:rPr>
                <w:rFonts w:eastAsia="Calibri" w:cs="Arial"/>
              </w:rPr>
            </w:pPr>
            <w:proofErr w:type="spellStart"/>
            <w:r w:rsidRPr="00E243D9">
              <w:rPr>
                <w:rFonts w:eastAsia="Calibri" w:cs="Arial"/>
              </w:rPr>
              <w:t>čevenec</w:t>
            </w:r>
            <w:proofErr w:type="spellEnd"/>
            <w:r w:rsidRPr="00E243D9">
              <w:rPr>
                <w:rFonts w:eastAsia="Calibri" w:cs="Arial"/>
              </w:rPr>
              <w:t xml:space="preserve"> 2024</w:t>
            </w:r>
          </w:p>
        </w:tc>
      </w:tr>
      <w:tr w:rsidR="00E243D9" w:rsidRPr="00E243D9" w14:paraId="56CA69D0" w14:textId="77777777" w:rsidTr="00E243D9">
        <w:tc>
          <w:tcPr>
            <w:tcW w:w="1322" w:type="dxa"/>
            <w:tcBorders>
              <w:top w:val="nil"/>
              <w:left w:val="single" w:sz="8" w:space="0" w:color="auto"/>
              <w:bottom w:val="single" w:sz="8" w:space="0" w:color="auto"/>
              <w:right w:val="single" w:sz="8" w:space="0" w:color="auto"/>
            </w:tcBorders>
            <w:shd w:val="clear" w:color="000000" w:fill="FFFFFF"/>
            <w:vAlign w:val="center"/>
            <w:hideMark/>
          </w:tcPr>
          <w:p w14:paraId="0C5392EF"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 xml:space="preserve">1. </w:t>
            </w:r>
            <w:r w:rsidRPr="00E243D9">
              <w:rPr>
                <w:rFonts w:eastAsia="Calibri" w:cs="Arial"/>
              </w:rPr>
              <w:t>Stavební postup/Etapa</w:t>
            </w:r>
          </w:p>
        </w:tc>
        <w:tc>
          <w:tcPr>
            <w:tcW w:w="3229" w:type="dxa"/>
            <w:tcBorders>
              <w:top w:val="nil"/>
              <w:left w:val="nil"/>
              <w:bottom w:val="single" w:sz="8" w:space="0" w:color="auto"/>
              <w:right w:val="single" w:sz="8" w:space="0" w:color="auto"/>
            </w:tcBorders>
            <w:shd w:val="clear" w:color="000000" w:fill="FFFFFF"/>
            <w:vAlign w:val="center"/>
            <w:hideMark/>
          </w:tcPr>
          <w:p w14:paraId="7D389F9B"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přípravné práce (zajištění materiálu, montáž lešení, vypracování výrobní dokumentace)</w:t>
            </w:r>
          </w:p>
        </w:tc>
        <w:tc>
          <w:tcPr>
            <w:tcW w:w="1652" w:type="dxa"/>
            <w:tcBorders>
              <w:top w:val="nil"/>
              <w:left w:val="nil"/>
              <w:bottom w:val="single" w:sz="8" w:space="0" w:color="auto"/>
              <w:right w:val="single" w:sz="8" w:space="0" w:color="auto"/>
            </w:tcBorders>
            <w:shd w:val="clear" w:color="000000" w:fill="FFFFFF"/>
            <w:vAlign w:val="center"/>
            <w:hideMark/>
          </w:tcPr>
          <w:p w14:paraId="004FF3C6"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bez výluky</w:t>
            </w:r>
          </w:p>
        </w:tc>
        <w:tc>
          <w:tcPr>
            <w:tcW w:w="2444" w:type="dxa"/>
            <w:tcBorders>
              <w:top w:val="nil"/>
              <w:left w:val="nil"/>
              <w:bottom w:val="single" w:sz="8" w:space="0" w:color="auto"/>
              <w:right w:val="single" w:sz="8" w:space="0" w:color="auto"/>
            </w:tcBorders>
            <w:shd w:val="clear" w:color="000000" w:fill="FFFFFF"/>
            <w:vAlign w:val="center"/>
            <w:hideMark/>
          </w:tcPr>
          <w:p w14:paraId="1647AD27" w14:textId="77777777" w:rsidR="00E243D9" w:rsidRPr="00E243D9" w:rsidRDefault="00E243D9" w:rsidP="00E243D9">
            <w:pPr>
              <w:tabs>
                <w:tab w:val="left" w:pos="964"/>
              </w:tabs>
              <w:spacing w:after="0" w:line="240" w:lineRule="auto"/>
              <w:ind w:right="-56"/>
              <w:rPr>
                <w:rFonts w:eastAsia="Calibri" w:cs="Arial"/>
              </w:rPr>
            </w:pPr>
            <w:r w:rsidRPr="00E243D9">
              <w:rPr>
                <w:rFonts w:eastAsia="Calibri" w:cs="Arial"/>
              </w:rPr>
              <w:t>Červenec – 01. 09. 2024</w:t>
            </w:r>
          </w:p>
        </w:tc>
      </w:tr>
      <w:tr w:rsidR="00E243D9" w:rsidRPr="00E243D9" w14:paraId="012C7B1B" w14:textId="77777777" w:rsidTr="00E243D9">
        <w:tc>
          <w:tcPr>
            <w:tcW w:w="1322" w:type="dxa"/>
            <w:tcBorders>
              <w:top w:val="nil"/>
              <w:left w:val="single" w:sz="8" w:space="0" w:color="auto"/>
              <w:bottom w:val="single" w:sz="8" w:space="0" w:color="auto"/>
              <w:right w:val="single" w:sz="8" w:space="0" w:color="auto"/>
            </w:tcBorders>
            <w:shd w:val="clear" w:color="000000" w:fill="FFFFFF"/>
            <w:vAlign w:val="center"/>
            <w:hideMark/>
          </w:tcPr>
          <w:p w14:paraId="2E4A450F"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 xml:space="preserve">2. </w:t>
            </w:r>
            <w:r w:rsidRPr="00E243D9">
              <w:rPr>
                <w:rFonts w:eastAsia="Calibri" w:cs="Arial"/>
              </w:rPr>
              <w:t>Stavební postup/Etapa</w:t>
            </w:r>
          </w:p>
        </w:tc>
        <w:tc>
          <w:tcPr>
            <w:tcW w:w="3229" w:type="dxa"/>
            <w:tcBorders>
              <w:top w:val="nil"/>
              <w:left w:val="nil"/>
              <w:bottom w:val="single" w:sz="8" w:space="0" w:color="auto"/>
              <w:right w:val="single" w:sz="8" w:space="0" w:color="auto"/>
            </w:tcBorders>
            <w:shd w:val="clear" w:color="000000" w:fill="FFFFFF"/>
            <w:vAlign w:val="center"/>
            <w:hideMark/>
          </w:tcPr>
          <w:p w14:paraId="72481D19" w14:textId="393DC0DA" w:rsidR="00E243D9" w:rsidRPr="00E243D9" w:rsidRDefault="00E243D9" w:rsidP="004056D4">
            <w:pPr>
              <w:tabs>
                <w:tab w:val="left" w:pos="964"/>
              </w:tabs>
              <w:spacing w:after="0" w:line="240" w:lineRule="auto"/>
              <w:rPr>
                <w:rFonts w:eastAsia="Calibri" w:cs="Arial"/>
              </w:rPr>
            </w:pPr>
            <w:r w:rsidRPr="00E243D9">
              <w:rPr>
                <w:rFonts w:eastAsia="Calibri" w:cs="Arial"/>
              </w:rPr>
              <w:t>Opravné práce na nosné ocelové konstrukci (výměna a zesílení prvků OK), provedení protikorozní ochrany (PKO) prvků mostovky, výměna mostnic, demont</w:t>
            </w:r>
            <w:r w:rsidR="004056D4">
              <w:rPr>
                <w:rFonts w:eastAsia="Calibri" w:cs="Arial"/>
              </w:rPr>
              <w:t>áž</w:t>
            </w:r>
            <w:r w:rsidRPr="00E243D9">
              <w:rPr>
                <w:rFonts w:eastAsia="Calibri" w:cs="Arial"/>
              </w:rPr>
              <w:t xml:space="preserve"> a mont</w:t>
            </w:r>
            <w:r w:rsidR="004056D4">
              <w:rPr>
                <w:rFonts w:eastAsia="Calibri" w:cs="Arial"/>
              </w:rPr>
              <w:t>áž</w:t>
            </w:r>
            <w:r w:rsidRPr="00E243D9">
              <w:rPr>
                <w:rFonts w:eastAsia="Calibri" w:cs="Arial"/>
              </w:rPr>
              <w:t xml:space="preserve"> žel. </w:t>
            </w:r>
            <w:proofErr w:type="gramStart"/>
            <w:r w:rsidRPr="00E243D9">
              <w:rPr>
                <w:rFonts w:eastAsia="Calibri" w:cs="Arial"/>
              </w:rPr>
              <w:t>svršku</w:t>
            </w:r>
            <w:proofErr w:type="gramEnd"/>
            <w:r w:rsidRPr="00E243D9">
              <w:rPr>
                <w:rFonts w:eastAsia="Calibri" w:cs="Arial"/>
              </w:rPr>
              <w:t>, úprava GPK ASP</w:t>
            </w:r>
          </w:p>
        </w:tc>
        <w:tc>
          <w:tcPr>
            <w:tcW w:w="1652" w:type="dxa"/>
            <w:tcBorders>
              <w:top w:val="nil"/>
              <w:left w:val="nil"/>
              <w:bottom w:val="single" w:sz="8" w:space="0" w:color="auto"/>
              <w:right w:val="single" w:sz="8" w:space="0" w:color="auto"/>
            </w:tcBorders>
            <w:shd w:val="clear" w:color="000000" w:fill="FFFFFF"/>
            <w:vAlign w:val="center"/>
            <w:hideMark/>
          </w:tcPr>
          <w:p w14:paraId="53914151"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103N</w:t>
            </w:r>
          </w:p>
        </w:tc>
        <w:tc>
          <w:tcPr>
            <w:tcW w:w="2444" w:type="dxa"/>
            <w:tcBorders>
              <w:top w:val="nil"/>
              <w:left w:val="nil"/>
              <w:bottom w:val="single" w:sz="8" w:space="0" w:color="auto"/>
              <w:right w:val="single" w:sz="8" w:space="0" w:color="auto"/>
            </w:tcBorders>
            <w:shd w:val="clear" w:color="000000" w:fill="FFFFFF"/>
            <w:vAlign w:val="center"/>
            <w:hideMark/>
          </w:tcPr>
          <w:p w14:paraId="0683965F" w14:textId="77777777" w:rsidR="00E243D9" w:rsidRPr="00E243D9" w:rsidRDefault="00E243D9" w:rsidP="00E243D9">
            <w:pPr>
              <w:tabs>
                <w:tab w:val="left" w:pos="964"/>
              </w:tabs>
              <w:spacing w:after="0" w:line="240" w:lineRule="auto"/>
              <w:contextualSpacing/>
              <w:rPr>
                <w:rFonts w:eastAsia="Calibri" w:cs="Arial"/>
              </w:rPr>
            </w:pPr>
            <w:r w:rsidRPr="00E243D9">
              <w:rPr>
                <w:rFonts w:eastAsia="Calibri" w:cs="Arial"/>
              </w:rPr>
              <w:t>02. 09. – 13. 12. 2024</w:t>
            </w:r>
          </w:p>
        </w:tc>
      </w:tr>
      <w:tr w:rsidR="00E243D9" w:rsidRPr="00E243D9" w14:paraId="305E1EE1" w14:textId="77777777" w:rsidTr="00E243D9">
        <w:tc>
          <w:tcPr>
            <w:tcW w:w="1322" w:type="dxa"/>
            <w:tcBorders>
              <w:top w:val="nil"/>
              <w:left w:val="single" w:sz="8" w:space="0" w:color="auto"/>
              <w:bottom w:val="single" w:sz="8" w:space="0" w:color="auto"/>
              <w:right w:val="single" w:sz="8" w:space="0" w:color="auto"/>
            </w:tcBorders>
            <w:shd w:val="clear" w:color="000000" w:fill="FFFFFF"/>
            <w:vAlign w:val="center"/>
            <w:hideMark/>
          </w:tcPr>
          <w:p w14:paraId="227B5DF4"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 xml:space="preserve">3. </w:t>
            </w:r>
            <w:r w:rsidRPr="00E243D9">
              <w:rPr>
                <w:rFonts w:eastAsia="Calibri" w:cs="Arial"/>
              </w:rPr>
              <w:t>Stavební postup/Etapa</w:t>
            </w:r>
          </w:p>
        </w:tc>
        <w:tc>
          <w:tcPr>
            <w:tcW w:w="3229" w:type="dxa"/>
            <w:tcBorders>
              <w:top w:val="nil"/>
              <w:left w:val="nil"/>
              <w:bottom w:val="single" w:sz="8" w:space="0" w:color="auto"/>
              <w:right w:val="single" w:sz="8" w:space="0" w:color="auto"/>
            </w:tcBorders>
            <w:shd w:val="clear" w:color="000000" w:fill="FFFFFF"/>
            <w:vAlign w:val="center"/>
            <w:hideMark/>
          </w:tcPr>
          <w:p w14:paraId="71D01462"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Zpracování DSPS, technologická přestávka</w:t>
            </w:r>
          </w:p>
        </w:tc>
        <w:tc>
          <w:tcPr>
            <w:tcW w:w="1652" w:type="dxa"/>
            <w:tcBorders>
              <w:top w:val="nil"/>
              <w:left w:val="nil"/>
              <w:bottom w:val="single" w:sz="8" w:space="0" w:color="auto"/>
              <w:right w:val="single" w:sz="8" w:space="0" w:color="auto"/>
            </w:tcBorders>
            <w:shd w:val="clear" w:color="000000" w:fill="FFFFFF"/>
            <w:vAlign w:val="center"/>
            <w:hideMark/>
          </w:tcPr>
          <w:p w14:paraId="56AAE887" w14:textId="77777777" w:rsidR="00E243D9" w:rsidRPr="00E243D9" w:rsidRDefault="00E243D9" w:rsidP="00E243D9">
            <w:pPr>
              <w:tabs>
                <w:tab w:val="left" w:pos="964"/>
              </w:tabs>
              <w:spacing w:after="0" w:line="240" w:lineRule="auto"/>
              <w:rPr>
                <w:rFonts w:eastAsia="Calibri" w:cs="Arial"/>
              </w:rPr>
            </w:pPr>
          </w:p>
        </w:tc>
        <w:tc>
          <w:tcPr>
            <w:tcW w:w="2444" w:type="dxa"/>
            <w:tcBorders>
              <w:top w:val="nil"/>
              <w:left w:val="nil"/>
              <w:bottom w:val="single" w:sz="8" w:space="0" w:color="auto"/>
              <w:right w:val="single" w:sz="8" w:space="0" w:color="auto"/>
            </w:tcBorders>
            <w:shd w:val="clear" w:color="000000" w:fill="FFFFFF"/>
            <w:vAlign w:val="center"/>
            <w:hideMark/>
          </w:tcPr>
          <w:p w14:paraId="75A75B15"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14. 12. 2024 -14. 03. 2025</w:t>
            </w:r>
          </w:p>
        </w:tc>
      </w:tr>
      <w:tr w:rsidR="00E243D9" w:rsidRPr="00E243D9" w14:paraId="015C655A" w14:textId="77777777" w:rsidTr="00E243D9">
        <w:tc>
          <w:tcPr>
            <w:tcW w:w="1322" w:type="dxa"/>
            <w:tcBorders>
              <w:top w:val="nil"/>
              <w:left w:val="single" w:sz="8" w:space="0" w:color="auto"/>
              <w:bottom w:val="single" w:sz="8" w:space="0" w:color="auto"/>
              <w:right w:val="single" w:sz="8" w:space="0" w:color="auto"/>
            </w:tcBorders>
            <w:shd w:val="clear" w:color="000000" w:fill="FFFFFF"/>
            <w:vAlign w:val="center"/>
          </w:tcPr>
          <w:p w14:paraId="25D36718"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 xml:space="preserve">4. </w:t>
            </w:r>
            <w:r w:rsidRPr="00E243D9">
              <w:rPr>
                <w:rFonts w:eastAsia="Calibri" w:cs="Arial"/>
              </w:rPr>
              <w:t>Stavební postup/Etapa</w:t>
            </w:r>
          </w:p>
        </w:tc>
        <w:tc>
          <w:tcPr>
            <w:tcW w:w="3229" w:type="dxa"/>
            <w:tcBorders>
              <w:top w:val="nil"/>
              <w:left w:val="nil"/>
              <w:bottom w:val="single" w:sz="8" w:space="0" w:color="auto"/>
              <w:right w:val="single" w:sz="8" w:space="0" w:color="auto"/>
            </w:tcBorders>
            <w:shd w:val="clear" w:color="000000" w:fill="FFFFFF"/>
            <w:vAlign w:val="center"/>
          </w:tcPr>
          <w:p w14:paraId="3A26D6E4"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Odevzdání DSPS ke kontrole, Obnova protikorozní ochrany ocelové konstrukce, demontáž lešení</w:t>
            </w:r>
          </w:p>
        </w:tc>
        <w:tc>
          <w:tcPr>
            <w:tcW w:w="1652" w:type="dxa"/>
            <w:tcBorders>
              <w:top w:val="nil"/>
              <w:left w:val="nil"/>
              <w:bottom w:val="single" w:sz="8" w:space="0" w:color="auto"/>
              <w:right w:val="single" w:sz="8" w:space="0" w:color="auto"/>
            </w:tcBorders>
            <w:shd w:val="clear" w:color="000000" w:fill="FFFFFF"/>
            <w:vAlign w:val="center"/>
          </w:tcPr>
          <w:p w14:paraId="7F0EB421"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 xml:space="preserve">bez výluky </w:t>
            </w:r>
          </w:p>
        </w:tc>
        <w:tc>
          <w:tcPr>
            <w:tcW w:w="2444" w:type="dxa"/>
            <w:tcBorders>
              <w:top w:val="nil"/>
              <w:left w:val="nil"/>
              <w:bottom w:val="single" w:sz="8" w:space="0" w:color="auto"/>
              <w:right w:val="single" w:sz="8" w:space="0" w:color="auto"/>
            </w:tcBorders>
            <w:shd w:val="clear" w:color="000000" w:fill="FFFFFF"/>
            <w:vAlign w:val="center"/>
          </w:tcPr>
          <w:p w14:paraId="722144E1"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15. 03. - 30. 04. 2025</w:t>
            </w:r>
          </w:p>
        </w:tc>
      </w:tr>
      <w:tr w:rsidR="00E243D9" w:rsidRPr="00E243D9" w14:paraId="1993BFBC" w14:textId="77777777" w:rsidTr="00E243D9">
        <w:tc>
          <w:tcPr>
            <w:tcW w:w="1322" w:type="dxa"/>
            <w:tcBorders>
              <w:top w:val="nil"/>
              <w:left w:val="single" w:sz="8" w:space="0" w:color="auto"/>
              <w:bottom w:val="single" w:sz="8" w:space="0" w:color="auto"/>
              <w:right w:val="single" w:sz="8" w:space="0" w:color="auto"/>
            </w:tcBorders>
            <w:shd w:val="clear" w:color="000000" w:fill="FFFFFF"/>
            <w:vAlign w:val="center"/>
          </w:tcPr>
          <w:p w14:paraId="50A8D9AD"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 xml:space="preserve">5. </w:t>
            </w:r>
            <w:r w:rsidRPr="00E243D9">
              <w:rPr>
                <w:rFonts w:eastAsia="Calibri" w:cs="Arial"/>
              </w:rPr>
              <w:t>Stavební postup/Etapa</w:t>
            </w:r>
          </w:p>
        </w:tc>
        <w:tc>
          <w:tcPr>
            <w:tcW w:w="3229" w:type="dxa"/>
            <w:tcBorders>
              <w:top w:val="nil"/>
              <w:left w:val="nil"/>
              <w:bottom w:val="single" w:sz="8" w:space="0" w:color="auto"/>
              <w:right w:val="single" w:sz="8" w:space="0" w:color="auto"/>
            </w:tcBorders>
            <w:shd w:val="clear" w:color="000000" w:fill="FFFFFF"/>
            <w:vAlign w:val="center"/>
          </w:tcPr>
          <w:p w14:paraId="78B3B396"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Dokončující práce (zrušení a úklid staveniště)</w:t>
            </w:r>
          </w:p>
        </w:tc>
        <w:tc>
          <w:tcPr>
            <w:tcW w:w="1652" w:type="dxa"/>
            <w:tcBorders>
              <w:top w:val="nil"/>
              <w:left w:val="nil"/>
              <w:bottom w:val="single" w:sz="8" w:space="0" w:color="auto"/>
              <w:right w:val="single" w:sz="8" w:space="0" w:color="auto"/>
            </w:tcBorders>
            <w:shd w:val="clear" w:color="000000" w:fill="FFFFFF"/>
            <w:vAlign w:val="center"/>
          </w:tcPr>
          <w:p w14:paraId="20FD82D2"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bez výluky</w:t>
            </w:r>
          </w:p>
        </w:tc>
        <w:tc>
          <w:tcPr>
            <w:tcW w:w="2444" w:type="dxa"/>
            <w:tcBorders>
              <w:top w:val="nil"/>
              <w:left w:val="nil"/>
              <w:bottom w:val="single" w:sz="8" w:space="0" w:color="auto"/>
              <w:right w:val="single" w:sz="8" w:space="0" w:color="auto"/>
            </w:tcBorders>
            <w:shd w:val="clear" w:color="000000" w:fill="FFFFFF"/>
            <w:vAlign w:val="center"/>
          </w:tcPr>
          <w:p w14:paraId="3890798C" w14:textId="0B7B24D5" w:rsidR="00E243D9" w:rsidRPr="00E243D9" w:rsidRDefault="00E243D9" w:rsidP="00E243D9">
            <w:pPr>
              <w:tabs>
                <w:tab w:val="left" w:pos="964"/>
              </w:tabs>
              <w:spacing w:after="0" w:line="240" w:lineRule="auto"/>
              <w:rPr>
                <w:rFonts w:eastAsia="Calibri" w:cs="Arial"/>
              </w:rPr>
            </w:pPr>
            <w:r w:rsidRPr="00E243D9">
              <w:rPr>
                <w:rFonts w:eastAsia="Calibri" w:cs="Arial"/>
              </w:rPr>
              <w:t>30.</w:t>
            </w:r>
            <w:r>
              <w:rPr>
                <w:rFonts w:eastAsia="Calibri" w:cs="Arial"/>
              </w:rPr>
              <w:t xml:space="preserve"> </w:t>
            </w:r>
            <w:r w:rsidRPr="00E243D9">
              <w:rPr>
                <w:rFonts w:eastAsia="Calibri" w:cs="Arial"/>
              </w:rPr>
              <w:t>04. - 31. 05. 2025</w:t>
            </w:r>
          </w:p>
        </w:tc>
      </w:tr>
      <w:tr w:rsidR="00E243D9" w:rsidRPr="00E243D9" w14:paraId="00D6612B" w14:textId="77777777" w:rsidTr="00E243D9">
        <w:tc>
          <w:tcPr>
            <w:tcW w:w="1322" w:type="dxa"/>
            <w:tcBorders>
              <w:top w:val="nil"/>
              <w:left w:val="single" w:sz="8" w:space="0" w:color="auto"/>
              <w:bottom w:val="single" w:sz="8" w:space="0" w:color="auto"/>
              <w:right w:val="single" w:sz="8" w:space="0" w:color="auto"/>
            </w:tcBorders>
            <w:shd w:val="clear" w:color="000000" w:fill="FFFFFF"/>
            <w:vAlign w:val="center"/>
            <w:hideMark/>
          </w:tcPr>
          <w:p w14:paraId="542F5AE6" w14:textId="77777777" w:rsidR="00E243D9" w:rsidRPr="00E243D9" w:rsidRDefault="00E243D9" w:rsidP="00E243D9">
            <w:pPr>
              <w:tabs>
                <w:tab w:val="left" w:pos="964"/>
              </w:tabs>
              <w:spacing w:after="0" w:line="240" w:lineRule="auto"/>
              <w:rPr>
                <w:rFonts w:eastAsia="Calibri" w:cs="Arial"/>
                <w:b/>
              </w:rPr>
            </w:pPr>
            <w:r w:rsidRPr="00E243D9">
              <w:rPr>
                <w:rFonts w:eastAsia="Calibri" w:cs="Arial"/>
                <w:b/>
              </w:rPr>
              <w:t> </w:t>
            </w:r>
          </w:p>
        </w:tc>
        <w:tc>
          <w:tcPr>
            <w:tcW w:w="3229" w:type="dxa"/>
            <w:tcBorders>
              <w:top w:val="nil"/>
              <w:left w:val="nil"/>
              <w:bottom w:val="single" w:sz="8" w:space="0" w:color="auto"/>
              <w:right w:val="single" w:sz="8" w:space="0" w:color="auto"/>
            </w:tcBorders>
            <w:shd w:val="clear" w:color="000000" w:fill="FFFFFF"/>
            <w:vAlign w:val="center"/>
            <w:hideMark/>
          </w:tcPr>
          <w:p w14:paraId="37BF0DF6"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ukončení stavby, předání finální verze DSPS</w:t>
            </w:r>
          </w:p>
        </w:tc>
        <w:tc>
          <w:tcPr>
            <w:tcW w:w="1652" w:type="dxa"/>
            <w:tcBorders>
              <w:top w:val="nil"/>
              <w:left w:val="nil"/>
              <w:bottom w:val="single" w:sz="8" w:space="0" w:color="auto"/>
              <w:right w:val="single" w:sz="8" w:space="0" w:color="auto"/>
            </w:tcBorders>
            <w:shd w:val="clear" w:color="000000" w:fill="FFFFFF"/>
            <w:vAlign w:val="center"/>
            <w:hideMark/>
          </w:tcPr>
          <w:p w14:paraId="37875921" w14:textId="77777777" w:rsidR="00E243D9" w:rsidRPr="00E243D9" w:rsidRDefault="00E243D9" w:rsidP="00E243D9">
            <w:pPr>
              <w:tabs>
                <w:tab w:val="left" w:pos="964"/>
              </w:tabs>
              <w:spacing w:after="0" w:line="240" w:lineRule="auto"/>
              <w:rPr>
                <w:rFonts w:eastAsia="Calibri" w:cs="Arial"/>
              </w:rPr>
            </w:pPr>
          </w:p>
        </w:tc>
        <w:tc>
          <w:tcPr>
            <w:tcW w:w="2444" w:type="dxa"/>
            <w:tcBorders>
              <w:top w:val="nil"/>
              <w:left w:val="nil"/>
              <w:bottom w:val="single" w:sz="8" w:space="0" w:color="auto"/>
              <w:right w:val="single" w:sz="8" w:space="0" w:color="auto"/>
            </w:tcBorders>
            <w:shd w:val="clear" w:color="000000" w:fill="FFFFFF"/>
            <w:vAlign w:val="center"/>
            <w:hideMark/>
          </w:tcPr>
          <w:p w14:paraId="5E731AC2" w14:textId="77777777" w:rsidR="00E243D9" w:rsidRPr="00E243D9" w:rsidRDefault="00E243D9" w:rsidP="00E243D9">
            <w:pPr>
              <w:tabs>
                <w:tab w:val="left" w:pos="964"/>
              </w:tabs>
              <w:spacing w:after="0" w:line="240" w:lineRule="auto"/>
              <w:rPr>
                <w:rFonts w:eastAsia="Calibri" w:cs="Arial"/>
              </w:rPr>
            </w:pPr>
            <w:r w:rsidRPr="00E243D9">
              <w:rPr>
                <w:rFonts w:eastAsia="Calibri" w:cs="Arial"/>
              </w:rPr>
              <w:t>31. 05. 2025</w:t>
            </w:r>
          </w:p>
        </w:tc>
      </w:tr>
    </w:tbl>
    <w:p w14:paraId="60F4047B" w14:textId="77777777" w:rsidR="00E243D9" w:rsidRPr="00362E19" w:rsidRDefault="00E243D9" w:rsidP="00E243D9">
      <w:pPr>
        <w:pStyle w:val="Odstavecseseznamem"/>
        <w:spacing w:line="276" w:lineRule="auto"/>
        <w:ind w:left="1004" w:right="-512"/>
        <w:rPr>
          <w:b/>
        </w:rPr>
      </w:pPr>
    </w:p>
    <w:p w14:paraId="700C0934"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Poddodavatelé</w:t>
      </w:r>
    </w:p>
    <w:p w14:paraId="1F8D502E" w14:textId="241EC3B3"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 xml:space="preserve">dodavatelé </w:t>
      </w:r>
      <w:r w:rsidRPr="00A32B94">
        <w:t xml:space="preserve">uvedení v příloze </w:t>
      </w:r>
      <w:r w:rsidR="00E243D9" w:rsidRPr="00A32B94">
        <w:t xml:space="preserve">č. </w:t>
      </w:r>
      <w:r w:rsidR="00A32B94">
        <w:t>4</w:t>
      </w:r>
      <w:r w:rsidRPr="00A32B94">
        <w:t xml:space="preserve"> </w:t>
      </w:r>
      <w:proofErr w:type="gramStart"/>
      <w:r w:rsidRPr="00A32B94">
        <w:t>této</w:t>
      </w:r>
      <w:proofErr w:type="gramEnd"/>
      <w:r>
        <w:t xml:space="preserve"> S</w:t>
      </w:r>
      <w:r w:rsidRPr="004E1498">
        <w:t xml:space="preserve">mlouvy. </w:t>
      </w:r>
    </w:p>
    <w:p w14:paraId="0B49AA5D" w14:textId="6798DF21" w:rsidR="00B66E16" w:rsidRDefault="00B66E16" w:rsidP="00E243D9">
      <w:pPr>
        <w:widowControl w:val="0"/>
        <w:spacing w:after="12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w:t>
      </w:r>
      <w:r w:rsidR="00A32B94">
        <w:rPr>
          <w:rFonts w:eastAsia="Times New Roman" w:cs="Times New Roman"/>
          <w:highlight w:val="yellow"/>
          <w:lang w:eastAsia="cs-CZ"/>
        </w:rPr>
        <w:t>“</w:t>
      </w:r>
      <w:r>
        <w:rPr>
          <w:rFonts w:eastAsia="Times New Roman" w:cs="Times New Roman"/>
          <w:highlight w:val="yellow"/>
          <w:lang w:eastAsia="cs-CZ"/>
        </w:rPr>
        <w:t xml:space="preserve"> </w:t>
      </w:r>
      <w:r w:rsidRPr="00A32B94">
        <w:rPr>
          <w:rFonts w:eastAsia="Times New Roman" w:cs="Times New Roman"/>
          <w:highlight w:val="yellow"/>
          <w:lang w:eastAsia="cs-CZ"/>
        </w:rPr>
        <w:t xml:space="preserve">a </w:t>
      </w:r>
      <w:r w:rsidR="00A32B94" w:rsidRPr="00A32B94">
        <w:rPr>
          <w:rFonts w:eastAsia="Times New Roman" w:cs="Times New Roman"/>
          <w:highlight w:val="yellow"/>
          <w:lang w:eastAsia="cs-CZ"/>
        </w:rPr>
        <w:t xml:space="preserve">do seznamu příloh napíše: </w:t>
      </w:r>
      <w:r w:rsidR="004056D4">
        <w:rPr>
          <w:rFonts w:eastAsia="Times New Roman" w:cs="Times New Roman"/>
          <w:highlight w:val="yellow"/>
          <w:lang w:eastAsia="cs-CZ"/>
        </w:rPr>
        <w:t>„</w:t>
      </w:r>
      <w:r w:rsidR="00A32B94" w:rsidRPr="00A32B94">
        <w:rPr>
          <w:rFonts w:eastAsia="Times New Roman" w:cs="Times New Roman"/>
          <w:highlight w:val="yellow"/>
          <w:lang w:eastAsia="cs-CZ"/>
        </w:rPr>
        <w:t>Neobsazeno</w:t>
      </w:r>
      <w:r w:rsidR="004056D4">
        <w:rPr>
          <w:rFonts w:eastAsia="Times New Roman" w:cs="Times New Roman"/>
          <w:highlight w:val="yellow"/>
          <w:lang w:eastAsia="cs-CZ"/>
        </w:rPr>
        <w:t>“</w:t>
      </w:r>
      <w:r w:rsidR="00A32B94" w:rsidRPr="00A32B94">
        <w:rPr>
          <w:rFonts w:eastAsia="Times New Roman" w:cs="Times New Roman"/>
          <w:highlight w:val="yellow"/>
          <w:lang w:eastAsia="cs-CZ"/>
        </w:rPr>
        <w:t>.</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7BF2717D" w14:textId="2B59BFD3" w:rsidR="00843A05" w:rsidRPr="00843A05" w:rsidRDefault="00E73DA0" w:rsidP="00843A05">
      <w:pPr>
        <w:pStyle w:val="Nadpis2"/>
        <w:widowControl w:val="0"/>
        <w:spacing w:after="120" w:line="276" w:lineRule="auto"/>
        <w:ind w:left="578" w:hanging="578"/>
        <w:contextualSpacing w:val="0"/>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34385069" w14:textId="0945629E" w:rsidR="00A32B94" w:rsidRDefault="00A32B94" w:rsidP="00A32B94">
      <w:pPr>
        <w:rPr>
          <w:lang w:eastAsia="cs-CZ"/>
        </w:rPr>
      </w:pPr>
    </w:p>
    <w:p w14:paraId="45E4EFA3" w14:textId="77777777" w:rsidR="00A32B94" w:rsidRPr="00A32B94" w:rsidRDefault="00A32B94" w:rsidP="00A32B94">
      <w:pPr>
        <w:rPr>
          <w:lang w:eastAsia="cs-CZ"/>
        </w:rPr>
      </w:pPr>
    </w:p>
    <w:p w14:paraId="7EDF1044" w14:textId="0232782A" w:rsidR="004E1498" w:rsidRPr="008B24C9" w:rsidRDefault="004E1498" w:rsidP="00E243D9">
      <w:pPr>
        <w:pStyle w:val="Nadpis2"/>
        <w:widowControl w:val="0"/>
        <w:spacing w:after="120" w:line="276" w:lineRule="auto"/>
        <w:ind w:left="578" w:hanging="578"/>
        <w:contextualSpacing w:val="0"/>
      </w:pPr>
      <w:r w:rsidRPr="008B24C9">
        <w:lastRenderedPageBreak/>
        <w:t>Kontaktními osobami smluvních stran jsou</w:t>
      </w:r>
      <w:r w:rsidR="00A32B94">
        <w:t>:</w:t>
      </w:r>
    </w:p>
    <w:p w14:paraId="0824F5DA" w14:textId="77777777" w:rsidR="00C4696C" w:rsidRPr="00C4696C" w:rsidRDefault="00C4696C" w:rsidP="00C4696C">
      <w:pPr>
        <w:pStyle w:val="Nadpis3"/>
        <w:widowControl w:val="0"/>
        <w:spacing w:after="60"/>
      </w:pPr>
      <w:r w:rsidRPr="00C4696C">
        <w:rPr>
          <w:u w:val="single"/>
        </w:rPr>
        <w:t>za Objednatele ve věcech smluvních a technických:</w:t>
      </w:r>
    </w:p>
    <w:p w14:paraId="68A6B794" w14:textId="48B57236" w:rsidR="00C4696C" w:rsidRDefault="004E1498" w:rsidP="004056D4">
      <w:pPr>
        <w:pStyle w:val="Nadpis3"/>
        <w:widowControl w:val="0"/>
        <w:numPr>
          <w:ilvl w:val="0"/>
          <w:numId w:val="0"/>
        </w:numPr>
        <w:spacing w:after="120"/>
        <w:ind w:left="720"/>
        <w:jc w:val="left"/>
      </w:pPr>
      <w:r w:rsidRPr="00321172">
        <w:t xml:space="preserve">p. </w:t>
      </w:r>
      <w:r w:rsidR="00C4696C">
        <w:t>Jan Abel – vedoucí provozního oddělení</w:t>
      </w:r>
      <w:r w:rsidR="0086114C" w:rsidRPr="00321172">
        <w:t>,</w:t>
      </w:r>
      <w:r w:rsidR="004056D4">
        <w:t xml:space="preserve"> tel. +420 728 542 </w:t>
      </w:r>
      <w:r w:rsidR="00C4696C">
        <w:t>021</w:t>
      </w:r>
      <w:r w:rsidR="0086114C" w:rsidRPr="00321172">
        <w:t>,</w:t>
      </w:r>
      <w:r w:rsidR="004056D4">
        <w:t xml:space="preserve"> email: </w:t>
      </w:r>
      <w:hyperlink r:id="rId11" w:history="1">
        <w:r w:rsidR="00C4696C" w:rsidRPr="004750DC">
          <w:rPr>
            <w:rStyle w:val="Hypertextovodkaz"/>
          </w:rPr>
          <w:t>abelj@spravazeleznic.cz</w:t>
        </w:r>
      </w:hyperlink>
      <w:r w:rsidR="0086114C" w:rsidRPr="00321172">
        <w:t>,</w:t>
      </w:r>
    </w:p>
    <w:p w14:paraId="5B5FD03C" w14:textId="1E385EC8" w:rsidR="00C4696C" w:rsidRPr="00C4696C" w:rsidRDefault="00C4696C" w:rsidP="00C4696C">
      <w:pPr>
        <w:spacing w:after="60"/>
        <w:rPr>
          <w:u w:val="single"/>
          <w:lang w:eastAsia="cs-CZ"/>
        </w:rPr>
      </w:pPr>
      <w:r>
        <w:rPr>
          <w:lang w:eastAsia="cs-CZ"/>
        </w:rPr>
        <w:tab/>
      </w:r>
      <w:r w:rsidRPr="00C4696C">
        <w:rPr>
          <w:u w:val="single"/>
          <w:lang w:eastAsia="cs-CZ"/>
        </w:rPr>
        <w:t xml:space="preserve">za Objednatele </w:t>
      </w:r>
      <w:r>
        <w:rPr>
          <w:u w:val="single"/>
          <w:lang w:eastAsia="cs-CZ"/>
        </w:rPr>
        <w:t>stavební dozor</w:t>
      </w:r>
      <w:r w:rsidRPr="00C4696C">
        <w:rPr>
          <w:u w:val="single"/>
          <w:lang w:eastAsia="cs-CZ"/>
        </w:rPr>
        <w:t>:</w:t>
      </w:r>
    </w:p>
    <w:p w14:paraId="1A16D9F2" w14:textId="6F281562" w:rsidR="00C4696C" w:rsidRPr="00C4696C" w:rsidRDefault="00C4696C" w:rsidP="00C4696C">
      <w:pPr>
        <w:ind w:left="709"/>
        <w:rPr>
          <w:u w:val="single"/>
          <w:lang w:eastAsia="cs-CZ"/>
        </w:rPr>
      </w:pPr>
      <w:r w:rsidRPr="00C4696C">
        <w:rPr>
          <w:lang w:eastAsia="cs-CZ"/>
        </w:rPr>
        <w:t xml:space="preserve">p. </w:t>
      </w:r>
      <w:r>
        <w:rPr>
          <w:lang w:eastAsia="cs-CZ"/>
        </w:rPr>
        <w:t>Jiří Hubka</w:t>
      </w:r>
      <w:r w:rsidRPr="00C4696C">
        <w:rPr>
          <w:lang w:eastAsia="cs-CZ"/>
        </w:rPr>
        <w:t xml:space="preserve">, tel. </w:t>
      </w:r>
      <w:r w:rsidRPr="006A697A">
        <w:t>+420 728 541 880</w:t>
      </w:r>
      <w:r w:rsidRPr="00C4696C">
        <w:rPr>
          <w:lang w:eastAsia="cs-CZ"/>
        </w:rPr>
        <w:t>, email</w:t>
      </w:r>
      <w:r>
        <w:rPr>
          <w:lang w:eastAsia="cs-CZ"/>
        </w:rPr>
        <w:t>:</w:t>
      </w:r>
      <w:r w:rsidRPr="00C4696C">
        <w:rPr>
          <w:lang w:eastAsia="cs-CZ"/>
        </w:rPr>
        <w:t xml:space="preserve"> </w:t>
      </w:r>
      <w:r w:rsidRPr="006A697A">
        <w:t>Hubka@spravazeleznic.cz</w:t>
      </w:r>
    </w:p>
    <w:p w14:paraId="1C513CD4" w14:textId="28EEB51C" w:rsidR="004E1498" w:rsidRPr="00A32B94" w:rsidRDefault="004E1498" w:rsidP="00C4696C">
      <w:pPr>
        <w:pStyle w:val="Nadpis3"/>
        <w:widowControl w:val="0"/>
        <w:spacing w:after="120"/>
        <w:rPr>
          <w:rFonts w:ascii="Verdana" w:hAnsi="Verdana"/>
        </w:rPr>
      </w:pPr>
      <w:r w:rsidRPr="00A32B94">
        <w:rPr>
          <w:u w:val="single"/>
        </w:rPr>
        <w:t xml:space="preserve">za </w:t>
      </w:r>
      <w:r w:rsidR="00E73DA0" w:rsidRPr="00A32B94">
        <w:rPr>
          <w:u w:val="single"/>
        </w:rPr>
        <w:t>Poskytovatel</w:t>
      </w:r>
      <w:r w:rsidRPr="00A32B94">
        <w:rPr>
          <w:u w:val="single"/>
        </w:rPr>
        <w:t>e</w:t>
      </w:r>
      <w:r w:rsidRPr="00A32B94">
        <w:t xml:space="preserve"> p. </w:t>
      </w:r>
      <w:r w:rsidR="008B24C9" w:rsidRPr="00A32B94">
        <w:rPr>
          <w:rFonts w:ascii="Verdana" w:hAnsi="Verdana"/>
          <w:highlight w:val="yellow"/>
        </w:rPr>
        <w:t>[DOPLNÍ POSKYTOVATEL]</w:t>
      </w:r>
      <w:r w:rsidR="008B24C9" w:rsidRPr="00A32B94">
        <w:rPr>
          <w:rFonts w:ascii="Verdana" w:hAnsi="Verdana"/>
        </w:rPr>
        <w:t>.</w:t>
      </w:r>
    </w:p>
    <w:p w14:paraId="7220A22D" w14:textId="72F81AF1" w:rsidR="00721C4A" w:rsidRDefault="00721C4A" w:rsidP="00C4696C">
      <w:pPr>
        <w:pStyle w:val="Nadpis2"/>
        <w:widowControl w:val="0"/>
        <w:spacing w:after="120" w:line="276" w:lineRule="auto"/>
        <w:ind w:left="578" w:hanging="578"/>
        <w:contextualSpacing w:val="0"/>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sidRPr="00C4696C">
        <w:t>Smlouvy</w:t>
      </w:r>
      <w:r w:rsidRPr="006062F9">
        <w:rPr>
          <w:rFonts w:eastAsia="Calibri"/>
        </w:rPr>
        <w:t xml:space="preserve">, jeho ceně či hodnotě a datu uzavření této </w:t>
      </w:r>
      <w:r>
        <w:rPr>
          <w:rFonts w:eastAsia="Calibri"/>
        </w:rPr>
        <w:t>Smlou</w:t>
      </w:r>
      <w:r w:rsidRPr="006062F9">
        <w:rPr>
          <w:rFonts w:eastAsia="Calibri"/>
        </w:rPr>
        <w:t>vy.</w:t>
      </w:r>
    </w:p>
    <w:p w14:paraId="15BAA5B1" w14:textId="77777777" w:rsidR="00721C4A" w:rsidRPr="006062F9" w:rsidRDefault="00721C4A" w:rsidP="00C4696C">
      <w:pPr>
        <w:pStyle w:val="Nadpis2"/>
        <w:widowControl w:val="0"/>
        <w:spacing w:after="120" w:line="276" w:lineRule="auto"/>
        <w:ind w:left="578" w:hanging="578"/>
        <w:contextualSpacing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 xml:space="preserve">va zaslána k uveřejnění a/nebo uveřejněna prostřednictvím registru smluv, není žádná ze smluvních stran oprávněna požadovat po druhé smluvní straně náhradu škody ani jiné újmy, která by jí v této souvislosti vznikla </w:t>
      </w:r>
      <w:r w:rsidRPr="00C4696C">
        <w:t>nebo</w:t>
      </w:r>
      <w:r w:rsidRPr="006062F9">
        <w:rPr>
          <w:rFonts w:eastAsia="Calibri"/>
        </w:rPr>
        <w:t xml:space="preserve"> vzniknout mohla.</w:t>
      </w:r>
    </w:p>
    <w:p w14:paraId="34732E26" w14:textId="77777777" w:rsidR="00721C4A" w:rsidRPr="006062F9" w:rsidRDefault="00721C4A" w:rsidP="00C4696C">
      <w:pPr>
        <w:pStyle w:val="Nadpis2"/>
        <w:widowControl w:val="0"/>
        <w:spacing w:after="120" w:line="276" w:lineRule="auto"/>
        <w:ind w:left="578" w:hanging="578"/>
        <w:contextualSpacing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 „</w:t>
      </w:r>
      <w:r w:rsidRPr="00A54330">
        <w:rPr>
          <w:rStyle w:val="Kurzvatun"/>
          <w:rFonts w:eastAsia="Calibri"/>
        </w:rPr>
        <w:t>obchodní tajemství</w:t>
      </w:r>
      <w:r w:rsidRPr="006062F9">
        <w:rPr>
          <w:rFonts w:eastAsia="Calibri"/>
        </w:rPr>
        <w:t xml:space="preserve">“), a že se nejedná ani o informace, které nemohou být v registru </w:t>
      </w:r>
      <w:r w:rsidRPr="00C4696C">
        <w:t>smluv</w:t>
      </w:r>
      <w:r w:rsidRPr="006062F9">
        <w:rPr>
          <w:rFonts w:eastAsia="Calibri"/>
        </w:rPr>
        <w:t xml:space="preserve">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C4696C">
      <w:pPr>
        <w:pStyle w:val="Nadpis2"/>
        <w:widowControl w:val="0"/>
        <w:spacing w:after="120" w:line="276" w:lineRule="auto"/>
        <w:ind w:left="578" w:hanging="578"/>
        <w:contextualSpacing w:val="0"/>
        <w:rPr>
          <w:rFonts w:eastAsia="Calibri"/>
        </w:rPr>
      </w:pPr>
      <w:r w:rsidRPr="00721C4A">
        <w:rPr>
          <w:rFonts w:eastAsia="Calibri"/>
        </w:rPr>
        <w:t xml:space="preserve">Osoby uzavírající tuto Smlouvu za Smluvní strany souhlasí s uveřejněním svých osobních údajů, které jsou uvedeny v této Smlouvě, spolu se Smlouvou v registru smluv. Tento souhlas </w:t>
      </w:r>
      <w:r w:rsidRPr="00C4696C">
        <w:t>je</w:t>
      </w:r>
      <w:r w:rsidRPr="00721C4A">
        <w:rPr>
          <w:rFonts w:eastAsia="Calibri"/>
        </w:rPr>
        <w:t xml:space="preserv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0B715499" w:rsidR="00721C4A" w:rsidRDefault="00721C4A" w:rsidP="004056D4">
      <w:pPr>
        <w:pStyle w:val="Nadpis2"/>
        <w:widowControl w:val="0"/>
      </w:pPr>
      <w:proofErr w:type="gramStart"/>
      <w:r>
        <w:rPr>
          <w:rFonts w:eastAsia="Calibri"/>
        </w:rPr>
        <w:t>Poskytovatel</w:t>
      </w:r>
      <w:proofErr w:type="gramEnd"/>
      <w:r w:rsidRPr="004056D4">
        <w:rPr>
          <w:rFonts w:eastAsia="Calibri"/>
        </w:rPr>
        <w:t xml:space="preserve"> prohlašuje, že není obchodní společností, ve které veřejný funkcionář uvedený v </w:t>
      </w:r>
      <w:proofErr w:type="spellStart"/>
      <w:proofErr w:type="gramStart"/>
      <w:r w:rsidRPr="004056D4">
        <w:rPr>
          <w:rFonts w:eastAsia="Calibri"/>
        </w:rPr>
        <w:t>ust</w:t>
      </w:r>
      <w:proofErr w:type="spellEnd"/>
      <w:r w:rsidRPr="004056D4">
        <w:rPr>
          <w:rFonts w:eastAsia="Calibri"/>
        </w:rPr>
        <w:t>.</w:t>
      </w:r>
      <w:proofErr w:type="gramEnd"/>
      <w:r w:rsidRPr="004056D4">
        <w:rPr>
          <w:rFonts w:eastAsia="Calibri"/>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056D4">
        <w:rPr>
          <w:rFonts w:eastAsia="Calibri"/>
        </w:rPr>
        <w:t>ust</w:t>
      </w:r>
      <w:proofErr w:type="spellEnd"/>
      <w:r w:rsidRPr="004056D4">
        <w:rPr>
          <w:rFonts w:eastAsia="Calibri"/>
        </w:rPr>
        <w:t>. § 2 odst. 1 písm.</w:t>
      </w:r>
      <w:r w:rsidR="00E32D70" w:rsidRPr="004056D4">
        <w:rPr>
          <w:rFonts w:eastAsia="Calibri"/>
        </w:rPr>
        <w:t> </w:t>
      </w:r>
      <w:r w:rsidRPr="004056D4">
        <w:rPr>
          <w:rFonts w:eastAsia="Calibri"/>
        </w:rPr>
        <w:t>c) Zákona o střetu zájmů nebo jím ovládaná osoba vlastní podíl představující alespoň 25</w:t>
      </w:r>
      <w:r w:rsidR="00E32D70" w:rsidRPr="004056D4">
        <w:rPr>
          <w:rFonts w:eastAsia="Calibri"/>
        </w:rPr>
        <w:t> </w:t>
      </w:r>
      <w:r w:rsidRPr="004056D4">
        <w:rPr>
          <w:rFonts w:eastAsia="Calibri"/>
        </w:rPr>
        <w:t>% účasti společníka v obchodní společnosti.</w:t>
      </w:r>
    </w:p>
    <w:p w14:paraId="37E8B21D" w14:textId="37A17BF4" w:rsidR="00721C4A" w:rsidRDefault="00721C4A" w:rsidP="00721C4A">
      <w:pPr>
        <w:spacing w:after="0"/>
        <w:rPr>
          <w:lang w:eastAsia="cs-CZ"/>
        </w:rPr>
      </w:pPr>
    </w:p>
    <w:p w14:paraId="491D1C1A" w14:textId="77777777" w:rsidR="00A32B94" w:rsidRPr="00721C4A" w:rsidRDefault="00A32B94"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lastRenderedPageBreak/>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77777777" w:rsidR="00721C4A" w:rsidRPr="003B16F0"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365B6509" w14:textId="24F12A16" w:rsidR="00721C4A" w:rsidRPr="003A6968"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proofErr w:type="gramStart"/>
      <w:r w:rsidRPr="003B16F0">
        <w:t xml:space="preserve">odstavci </w:t>
      </w:r>
      <w:r>
        <w:fldChar w:fldCharType="begin"/>
      </w:r>
      <w:r>
        <w:instrText xml:space="preserve"> REF _Ref156815329 \r \h </w:instrText>
      </w:r>
      <w:r>
        <w:fldChar w:fldCharType="separate"/>
      </w:r>
      <w:r w:rsidR="00015EB1">
        <w:t>8.5</w:t>
      </w:r>
      <w:r>
        <w:fldChar w:fldCharType="end"/>
      </w:r>
      <w:r w:rsidRPr="003B16F0">
        <w:t xml:space="preserve"> této</w:t>
      </w:r>
      <w:proofErr w:type="gramEnd"/>
      <w:r w:rsidRPr="003B16F0">
        <w:t xml:space="preserve"> Smlouvy (dále jen „</w:t>
      </w:r>
      <w:r w:rsidRPr="0063745A">
        <w:rPr>
          <w:rStyle w:val="Kurzvatun"/>
          <w:rFonts w:eastAsiaTheme="minorHAnsi"/>
        </w:rPr>
        <w:t>Sankční seznamy</w:t>
      </w:r>
      <w:r w:rsidRPr="003B16F0">
        <w:t>“)</w:t>
      </w:r>
      <w:r w:rsidRPr="003A6968">
        <w:t>.</w:t>
      </w:r>
    </w:p>
    <w:p w14:paraId="6B3FEA8D" w14:textId="13138F94" w:rsidR="00721C4A" w:rsidRDefault="00721C4A" w:rsidP="00C4696C">
      <w:pPr>
        <w:pStyle w:val="Nadpis2"/>
        <w:widowControl w:val="0"/>
        <w:spacing w:after="120" w:line="276" w:lineRule="auto"/>
        <w:ind w:left="578" w:hanging="578"/>
        <w:contextualSpacing w:val="0"/>
      </w:pPr>
      <w:r w:rsidRPr="00A453A2">
        <w:t xml:space="preserve">Je-li </w:t>
      </w:r>
      <w:r>
        <w:t>Poskytovatelem</w:t>
      </w:r>
      <w:r w:rsidRPr="00A72529">
        <w:t xml:space="preserve"> </w:t>
      </w:r>
      <w:r>
        <w:t xml:space="preserve">sdružení více osob, platí podmínky dle odstavce </w:t>
      </w:r>
      <w:r w:rsidR="00E32D70">
        <w:t>8</w:t>
      </w:r>
      <w:r>
        <w:t xml:space="preserve">.1 a </w:t>
      </w:r>
      <w:r w:rsidR="00E32D70">
        <w:t>8</w:t>
      </w:r>
      <w:r>
        <w:t xml:space="preserve">.2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C4696C">
      <w:pPr>
        <w:pStyle w:val="Nadpis2"/>
        <w:widowControl w:val="0"/>
        <w:spacing w:after="120" w:line="276" w:lineRule="auto"/>
        <w:ind w:left="578" w:hanging="578"/>
        <w:contextualSpacing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C4696C">
      <w:pPr>
        <w:pStyle w:val="Nadpis2"/>
        <w:widowControl w:val="0"/>
        <w:spacing w:after="120" w:line="276" w:lineRule="auto"/>
        <w:ind w:left="578" w:hanging="578"/>
        <w:contextualSpacing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C4696C">
      <w:pPr>
        <w:pStyle w:val="Nadpis2"/>
        <w:widowControl w:val="0"/>
        <w:spacing w:after="120" w:line="276" w:lineRule="auto"/>
        <w:ind w:left="578" w:hanging="578"/>
        <w:contextualSpacing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1E11547F" w14:textId="7AD53826"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povinen zaplatit za každé jednotlivé porušení povinností dle předchozí věty smluvní pokutu ve </w:t>
      </w:r>
      <w:r w:rsidRPr="00E32D70">
        <w:t>výši 5 %</w:t>
      </w:r>
      <w:r>
        <w:t xml:space="preserve"> procent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E32D70">
      <w:pPr>
        <w:pStyle w:val="Nadpis1"/>
        <w:spacing w:before="120"/>
        <w:rPr>
          <w:rFonts w:eastAsia="Times New Roman"/>
          <w:lang w:eastAsia="cs-CZ"/>
        </w:rPr>
      </w:pPr>
      <w:proofErr w:type="spellStart"/>
      <w:r w:rsidRPr="006B223E">
        <w:t>Compliance</w:t>
      </w:r>
      <w:proofErr w:type="spellEnd"/>
    </w:p>
    <w:p w14:paraId="265EF114" w14:textId="77777777" w:rsidR="00721C4A" w:rsidRDefault="00721C4A" w:rsidP="00C4696C">
      <w:pPr>
        <w:pStyle w:val="Nadpis2"/>
        <w:widowControl w:val="0"/>
        <w:spacing w:after="120" w:line="276" w:lineRule="auto"/>
        <w:ind w:left="578" w:hanging="578"/>
        <w:contextualSpacing w:val="0"/>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w:t>
      </w:r>
      <w:r>
        <w:lastRenderedPageBreak/>
        <w:t>stránkách smluvních stran.</w:t>
      </w:r>
    </w:p>
    <w:p w14:paraId="235358EB" w14:textId="77777777" w:rsidR="00721C4A" w:rsidRDefault="00721C4A" w:rsidP="00C4696C">
      <w:pPr>
        <w:pStyle w:val="Nadpis2"/>
        <w:widowControl w:val="0"/>
        <w:spacing w:after="120" w:line="276" w:lineRule="auto"/>
        <w:ind w:left="578" w:hanging="578"/>
        <w:contextualSpacing w:val="0"/>
      </w:pPr>
      <w:r>
        <w:t xml:space="preserve">Správa železnic, státní organizace, má výše uvedené dokumenty k dispozici na webových stránkách: </w:t>
      </w:r>
      <w:hyperlink r:id="rId12" w:history="1">
        <w:r w:rsidRPr="00604869">
          <w:rPr>
            <w:rStyle w:val="Hypertextovodkaz"/>
          </w:rPr>
          <w:t>https://www.spravazeleznic.cz/o-nas/nazadouci-jednani-a-boj-s-korupci</w:t>
        </w:r>
      </w:hyperlink>
      <w:r>
        <w:t>.</w:t>
      </w:r>
    </w:p>
    <w:p w14:paraId="3EE6B1E1" w14:textId="1DDFC247" w:rsidR="00721C4A" w:rsidRPr="00721C4A" w:rsidRDefault="00721C4A" w:rsidP="006B223E">
      <w:pPr>
        <w:pStyle w:val="Nadpis2"/>
      </w:pPr>
      <w:r>
        <w:t>Poskytovatel má výše uvedené dokumenty k dispozici na webov</w:t>
      </w:r>
      <w:bookmarkStart w:id="3" w:name="_GoBack"/>
      <w:bookmarkEnd w:id="3"/>
      <w:r>
        <w:t>ých stránkách:</w:t>
      </w:r>
      <w:r w:rsidR="00A32B94" w:rsidRPr="00A32B94">
        <w:t xml:space="preserve"> </w:t>
      </w:r>
      <w:r w:rsidRPr="00A32B94">
        <w:rPr>
          <w:highlight w:val="yellow"/>
        </w:rPr>
        <w:t xml:space="preserve">[doplní Poskytovatel x nemá-li Poskytovatel výše uvedené dokumenty, celý bod </w:t>
      </w:r>
      <w:r w:rsidR="00B8365C">
        <w:rPr>
          <w:highlight w:val="yellow"/>
        </w:rPr>
        <w:t>9</w:t>
      </w:r>
      <w:r w:rsidRPr="00A32B94">
        <w:rPr>
          <w:highlight w:val="yellow"/>
        </w:rPr>
        <w:t>.3 odstraní]</w:t>
      </w:r>
      <w:r>
        <w:t>.</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C4696C">
      <w:pPr>
        <w:pStyle w:val="Nadpis2"/>
        <w:widowControl w:val="0"/>
        <w:spacing w:after="120" w:line="276" w:lineRule="auto"/>
        <w:ind w:left="578" w:hanging="578"/>
        <w:contextualSpacing w:val="0"/>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C4696C">
      <w:pPr>
        <w:pStyle w:val="Nadpis2"/>
        <w:widowControl w:val="0"/>
        <w:spacing w:after="120" w:line="276" w:lineRule="auto"/>
        <w:ind w:left="578" w:hanging="578"/>
        <w:contextualSpacing w:val="0"/>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38062BDC" w14:textId="185BCBCD" w:rsidR="00A318B6" w:rsidRPr="00A318B6" w:rsidRDefault="00D24836" w:rsidP="00E32D70">
      <w:pPr>
        <w:pStyle w:val="Nadpis3"/>
      </w:pPr>
      <w:r>
        <w:t>Poskytovatel</w:t>
      </w:r>
      <w:r w:rsidR="00974FD8" w:rsidRPr="00AC3138">
        <w:t xml:space="preserve"> se zavazuje uhradit smluvní pokutu ve výši 10.000</w:t>
      </w:r>
      <w:r w:rsidR="00974FD8">
        <w:t>,-</w:t>
      </w:r>
      <w:r w:rsidR="00974FD8" w:rsidRPr="00AC3138">
        <w:t xml:space="preserve"> Kč za každý byť i</w:t>
      </w:r>
      <w:r w:rsidR="00E32D70">
        <w:t> </w:t>
      </w:r>
      <w:r w:rsidR="00974FD8" w:rsidRPr="00AC3138">
        <w:t xml:space="preserve">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každý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w:t>
      </w:r>
      <w:r w:rsidR="00E32D70">
        <w:t> </w:t>
      </w:r>
      <w:r w:rsidR="00974FD8" w:rsidRPr="00AC3138">
        <w:t xml:space="preserve">případě postupného porušení obou povinností </w:t>
      </w:r>
      <w:r>
        <w:t>Poskytovatele</w:t>
      </w:r>
      <w:r w:rsidR="00974FD8" w:rsidRPr="00AC3138">
        <w:t xml:space="preserve"> sčítat.</w:t>
      </w:r>
    </w:p>
    <w:p w14:paraId="7ACA4F45" w14:textId="1236324D" w:rsidR="004E1498" w:rsidRPr="004E1498" w:rsidRDefault="004E1498" w:rsidP="00E32D70">
      <w:pPr>
        <w:pStyle w:val="Nadpis1"/>
        <w:widowControl w:val="0"/>
        <w:suppressAutoHyphens w:val="0"/>
        <w:spacing w:before="240"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E32D70">
      <w:pPr>
        <w:pStyle w:val="Nadpis2"/>
        <w:widowControl w:val="0"/>
        <w:spacing w:after="120" w:line="276" w:lineRule="auto"/>
        <w:ind w:left="578" w:hanging="578"/>
        <w:contextualSpacing w:val="0"/>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216322">
      <w:pPr>
        <w:pStyle w:val="Nadpis2"/>
        <w:widowControl w:val="0"/>
        <w:spacing w:after="120" w:line="276" w:lineRule="auto"/>
        <w:ind w:left="578" w:hanging="578"/>
        <w:contextualSpacing w:val="0"/>
      </w:pPr>
      <w:r w:rsidRPr="00701C1B">
        <w:t>Poskytovatel</w:t>
      </w:r>
      <w:r w:rsidR="004E1498" w:rsidRPr="00701C1B">
        <w:t xml:space="preserve"> prohlašuje, že </w:t>
      </w:r>
    </w:p>
    <w:p w14:paraId="7633B164" w14:textId="77777777" w:rsidR="004E1498" w:rsidRPr="00701C1B" w:rsidRDefault="004E1498" w:rsidP="00216322">
      <w:pPr>
        <w:pStyle w:val="Nadpis3"/>
        <w:widowControl w:val="0"/>
        <w:spacing w:after="120"/>
      </w:pPr>
      <w:r w:rsidRPr="00701C1B">
        <w:t>se zněním Obchodních podmínek se před podpisem této smlouvy seznámil,</w:t>
      </w:r>
    </w:p>
    <w:p w14:paraId="382930A8" w14:textId="77777777" w:rsidR="004E1498" w:rsidRPr="004E1498" w:rsidRDefault="004E1498" w:rsidP="00E32D70">
      <w:pPr>
        <w:pStyle w:val="Nadpis3"/>
        <w:widowControl w:val="0"/>
        <w:spacing w:after="12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09C0B4E4" w:rsidR="00F3415C" w:rsidRPr="00F3415C" w:rsidRDefault="00F3415C" w:rsidP="00E32D70">
      <w:pPr>
        <w:pStyle w:val="Nadpis2"/>
        <w:spacing w:after="120" w:line="276" w:lineRule="auto"/>
        <w:ind w:left="578" w:hanging="578"/>
        <w:contextualSpacing w:val="0"/>
      </w:pPr>
      <w:r w:rsidRPr="00F3415C">
        <w:t>Tato smlouva je vyhotovena v</w:t>
      </w:r>
      <w:r w:rsidR="00E32D70">
        <w:t>e</w:t>
      </w:r>
      <w:r w:rsidRPr="00F3415C">
        <w:t xml:space="preserve"> </w:t>
      </w:r>
      <w:r w:rsidR="00E32D70" w:rsidRPr="00F1202E">
        <w:rPr>
          <w:b/>
          <w:highlight w:val="yellow"/>
        </w:rPr>
        <w:t>4</w:t>
      </w:r>
      <w:r w:rsidRPr="00E32D70">
        <w:rPr>
          <w:highlight w:val="yellow"/>
        </w:rPr>
        <w:t xml:space="preserve"> (</w:t>
      </w:r>
      <w:r w:rsidR="00E32D70">
        <w:rPr>
          <w:highlight w:val="yellow"/>
        </w:rPr>
        <w:t>čtyřech</w:t>
      </w:r>
      <w:r w:rsidRPr="00E32D70">
        <w:rPr>
          <w:highlight w:val="yellow"/>
        </w:rPr>
        <w:t>)</w:t>
      </w:r>
      <w:r w:rsidRPr="00F3415C">
        <w:t xml:space="preserve"> stejnopisech s příslušnými přílohami, které jsou její nedílnou součástí. Každé vyhotovení má platnost originálu. Po podpisu obou smluvních stran objednatel obdrží </w:t>
      </w:r>
      <w:r w:rsidRPr="00E32D70">
        <w:rPr>
          <w:b/>
        </w:rPr>
        <w:t>2</w:t>
      </w:r>
      <w:r w:rsidRPr="00F3415C">
        <w:t xml:space="preserve"> vyhotovení smlouvy a </w:t>
      </w:r>
      <w:r>
        <w:t xml:space="preserve">Poskytovatel </w:t>
      </w:r>
      <w:r w:rsidRPr="00E32D70">
        <w:rPr>
          <w:highlight w:val="yellow"/>
        </w:rPr>
        <w:t>2 vyhotovení</w:t>
      </w:r>
      <w:r w:rsidRPr="00F3415C">
        <w:t xml:space="preserve"> smlouvy.</w:t>
      </w:r>
    </w:p>
    <w:p w14:paraId="6AB23CD3" w14:textId="75E7FA05" w:rsidR="004E1498" w:rsidRPr="00701C1B" w:rsidRDefault="004E1498" w:rsidP="00E32D70">
      <w:pPr>
        <w:pStyle w:val="Nadpis2"/>
        <w:spacing w:after="120" w:line="276" w:lineRule="auto"/>
        <w:ind w:left="578" w:hanging="578"/>
        <w:contextualSpacing w:val="0"/>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E32D70">
      <w:pPr>
        <w:pStyle w:val="Nadpis2"/>
        <w:spacing w:after="120" w:line="276" w:lineRule="auto"/>
        <w:ind w:left="578" w:hanging="578"/>
        <w:contextualSpacing w:val="0"/>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E32D70">
      <w:pPr>
        <w:pStyle w:val="Nadpis2"/>
        <w:spacing w:after="120" w:line="276" w:lineRule="auto"/>
        <w:ind w:left="578" w:hanging="578"/>
        <w:contextualSpacing w:val="0"/>
      </w:pPr>
      <w:r w:rsidRPr="004E1498">
        <w:lastRenderedPageBreak/>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E32D70">
      <w:pPr>
        <w:pStyle w:val="Nadpis2"/>
        <w:spacing w:after="120" w:line="276" w:lineRule="auto"/>
        <w:ind w:left="578" w:hanging="578"/>
        <w:contextualSpacing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E32D70">
      <w:pPr>
        <w:pStyle w:val="Nadpis2"/>
        <w:spacing w:after="120" w:line="276" w:lineRule="auto"/>
        <w:ind w:left="578" w:hanging="578"/>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E32D70">
      <w:pPr>
        <w:pStyle w:val="Nadpis2"/>
        <w:spacing w:after="120" w:line="276" w:lineRule="auto"/>
        <w:ind w:left="578" w:hanging="578"/>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E32D70" w:rsidRDefault="00B66E16" w:rsidP="00A318B6">
      <w:pPr>
        <w:pStyle w:val="Nadpis2"/>
        <w:widowControl w:val="0"/>
        <w:spacing w:line="276" w:lineRule="auto"/>
        <w:ind w:left="567" w:hanging="567"/>
      </w:pPr>
      <w:r w:rsidRPr="00E32D70">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E32D70">
      <w:pPr>
        <w:widowControl w:val="0"/>
        <w:overflowPunct w:val="0"/>
        <w:autoSpaceDE w:val="0"/>
        <w:autoSpaceDN w:val="0"/>
        <w:adjustRightInd w:val="0"/>
        <w:spacing w:after="12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1D944D0" w14:textId="385F1FF4" w:rsidR="00B66E16" w:rsidRDefault="00F1202E"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Protokol o podrobné prohlídce</w:t>
      </w:r>
    </w:p>
    <w:p w14:paraId="74C74E47" w14:textId="3495E184" w:rsidR="00A32B94" w:rsidRDefault="00A32B94" w:rsidP="00A32B94">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E32D70">
        <w:rPr>
          <w:rFonts w:eastAsia="Times New Roman" w:cs="Times New Roman"/>
          <w:lang w:eastAsia="cs-CZ"/>
        </w:rPr>
        <w:t>Seznam požadovaných pojištění</w:t>
      </w:r>
      <w:r w:rsidRPr="00E32D70" w:rsidDel="000710A8">
        <w:rPr>
          <w:rFonts w:eastAsia="Times New Roman" w:cs="Times New Roman"/>
          <w:lang w:eastAsia="cs-CZ"/>
        </w:rPr>
        <w:t xml:space="preserve"> </w:t>
      </w:r>
    </w:p>
    <w:p w14:paraId="7A37E83C" w14:textId="330A4DA5" w:rsidR="00A32B94" w:rsidRPr="00A32B94" w:rsidRDefault="00A32B94" w:rsidP="00A32B94">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Seznam poddodavatelů</w:t>
      </w:r>
    </w:p>
    <w:p w14:paraId="50498493" w14:textId="77777777" w:rsidR="00A32B94" w:rsidRPr="00216322" w:rsidRDefault="00A32B94" w:rsidP="00A32B94">
      <w:pPr>
        <w:pStyle w:val="BodyText31"/>
        <w:numPr>
          <w:ilvl w:val="0"/>
          <w:numId w:val="7"/>
        </w:numPr>
        <w:tabs>
          <w:tab w:val="clear" w:pos="2268"/>
          <w:tab w:val="clear" w:pos="4536"/>
        </w:tabs>
        <w:spacing w:line="276" w:lineRule="auto"/>
        <w:jc w:val="left"/>
        <w:rPr>
          <w:rFonts w:asciiTheme="minorHAnsi" w:hAnsiTheme="minorHAnsi"/>
          <w:sz w:val="18"/>
          <w:szCs w:val="18"/>
        </w:rPr>
      </w:pPr>
      <w:r w:rsidRPr="00216322">
        <w:rPr>
          <w:rFonts w:asciiTheme="minorHAnsi" w:hAnsiTheme="minorHAnsi"/>
          <w:sz w:val="18"/>
          <w:szCs w:val="18"/>
        </w:rPr>
        <w:t>Analýza nebezpečí a hodnocení rizik pracovních činností</w:t>
      </w:r>
    </w:p>
    <w:p w14:paraId="493D2406" w14:textId="77777777" w:rsidR="00A32B94" w:rsidRDefault="00A32B94" w:rsidP="00A32B94">
      <w:pPr>
        <w:pStyle w:val="BodyText31"/>
        <w:numPr>
          <w:ilvl w:val="0"/>
          <w:numId w:val="7"/>
        </w:numPr>
        <w:tabs>
          <w:tab w:val="left" w:pos="708"/>
        </w:tabs>
        <w:spacing w:line="276" w:lineRule="auto"/>
        <w:jc w:val="left"/>
        <w:textAlignment w:val="auto"/>
        <w:rPr>
          <w:rFonts w:asciiTheme="minorHAnsi" w:hAnsiTheme="minorHAnsi"/>
          <w:sz w:val="18"/>
          <w:szCs w:val="18"/>
        </w:rPr>
      </w:pPr>
      <w:r>
        <w:rPr>
          <w:rFonts w:asciiTheme="minorHAnsi" w:hAnsiTheme="minorHAnsi" w:cs="Times New Roman"/>
          <w:sz w:val="18"/>
          <w:szCs w:val="18"/>
        </w:rPr>
        <w:t>Opatření pro postup v případě anonymního oznámení</w:t>
      </w:r>
      <w:r>
        <w:rPr>
          <w:rFonts w:asciiTheme="minorHAnsi" w:hAnsiTheme="minorHAnsi"/>
          <w:sz w:val="18"/>
          <w:szCs w:val="18"/>
        </w:rPr>
        <w:t xml:space="preserve"> o NVS</w:t>
      </w:r>
    </w:p>
    <w:p w14:paraId="382F56DC" w14:textId="35D1C2A8" w:rsidR="00A32B94" w:rsidRDefault="00A32B94" w:rsidP="00A32B94">
      <w:pPr>
        <w:pStyle w:val="Odstavecseseznamem"/>
        <w:widowControl w:val="0"/>
        <w:numPr>
          <w:ilvl w:val="0"/>
          <w:numId w:val="7"/>
        </w:numPr>
        <w:overflowPunct w:val="0"/>
        <w:autoSpaceDE w:val="0"/>
        <w:autoSpaceDN w:val="0"/>
        <w:adjustRightInd w:val="0"/>
        <w:spacing w:after="0" w:line="276" w:lineRule="auto"/>
        <w:jc w:val="both"/>
        <w:textAlignment w:val="baseline"/>
        <w:rPr>
          <w:rFonts w:eastAsia="Times New Roman" w:cs="Times New Roman"/>
          <w:lang w:eastAsia="cs-CZ"/>
        </w:rPr>
      </w:pPr>
      <w:r w:rsidRPr="00E32D70">
        <w:rPr>
          <w:rFonts w:eastAsia="Times New Roman" w:cs="Times New Roman"/>
          <w:lang w:eastAsia="cs-CZ"/>
        </w:rPr>
        <w:t>Plná moc (pouze v případě zastoupení Poskytovatele osobou na základě plné moci)</w:t>
      </w:r>
    </w:p>
    <w:p w14:paraId="4B258A76" w14:textId="7C9F012B" w:rsidR="00F1202E" w:rsidRDefault="00F1202E" w:rsidP="00F1202E">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AFCC2AF" w14:textId="2EDF32DD" w:rsidR="00F1202E" w:rsidRDefault="00F1202E" w:rsidP="00F1202E">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3AF0248" w14:textId="77777777" w:rsidR="00F1202E" w:rsidRPr="00F1202E" w:rsidRDefault="00F1202E" w:rsidP="00F1202E">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4B3F63" w14:textId="0C511485" w:rsidR="0029192E" w:rsidRP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00F1202E">
        <w:rPr>
          <w:rFonts w:asciiTheme="majorHAnsi" w:hAnsiTheme="majorHAnsi"/>
        </w:rPr>
        <w:t> Praze dne………</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00F1202E">
        <w:rPr>
          <w:rFonts w:asciiTheme="majorHAnsi" w:hAnsiTheme="majorHAnsi"/>
        </w:rPr>
        <w:t>V …… dne………</w:t>
      </w:r>
    </w:p>
    <w:p w14:paraId="3EA93F21" w14:textId="6E6D8D62" w:rsidR="00D101A7" w:rsidRDefault="00D101A7" w:rsidP="00A318B6">
      <w:pPr>
        <w:pStyle w:val="Textbezodsazen"/>
        <w:spacing w:line="276" w:lineRule="auto"/>
        <w:ind w:left="720"/>
      </w:pPr>
    </w:p>
    <w:p w14:paraId="7BD5E863" w14:textId="732A8C77" w:rsidR="00216322" w:rsidRDefault="00216322" w:rsidP="00A318B6">
      <w:pPr>
        <w:pStyle w:val="Textbezodsazen"/>
        <w:spacing w:line="276" w:lineRule="auto"/>
        <w:ind w:left="720"/>
      </w:pPr>
    </w:p>
    <w:p w14:paraId="425BB3D5" w14:textId="00A75E42" w:rsidR="00216322" w:rsidRDefault="00216322" w:rsidP="00A318B6">
      <w:pPr>
        <w:pStyle w:val="Textbezodsazen"/>
        <w:spacing w:line="276" w:lineRule="auto"/>
        <w:ind w:left="720"/>
      </w:pPr>
    </w:p>
    <w:p w14:paraId="2FD7C88B" w14:textId="77777777" w:rsidR="00216322" w:rsidRDefault="00216322"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4718E423"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rsidR="00216322">
        <w:tab/>
      </w:r>
      <w:r w:rsidR="00216322">
        <w:tab/>
      </w:r>
      <w:r w:rsidR="00216322">
        <w:tab/>
      </w:r>
      <w:r w:rsidR="00216322" w:rsidRPr="00C429B2">
        <w:rPr>
          <w:highlight w:val="yellow"/>
        </w:rPr>
        <w:t>[DOPLNÍ 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26082BE5" w14:textId="366E7F69" w:rsidR="00D101A7" w:rsidRDefault="00D101A7" w:rsidP="00A318B6">
      <w:pPr>
        <w:pStyle w:val="Textbezodsazen"/>
        <w:spacing w:line="276" w:lineRule="auto"/>
        <w:ind w:left="720"/>
      </w:pPr>
    </w:p>
    <w:p w14:paraId="481AB889" w14:textId="755CF9A8" w:rsidR="00216322" w:rsidRDefault="00216322" w:rsidP="00A318B6">
      <w:pPr>
        <w:pStyle w:val="Textbezodsazen"/>
        <w:spacing w:line="276" w:lineRule="auto"/>
        <w:ind w:left="720"/>
      </w:pPr>
    </w:p>
    <w:p w14:paraId="0AE28AEF" w14:textId="375670EB" w:rsidR="00216322" w:rsidRDefault="00216322" w:rsidP="00A318B6">
      <w:pPr>
        <w:pStyle w:val="Textbezodsazen"/>
        <w:spacing w:line="276" w:lineRule="auto"/>
        <w:ind w:left="720"/>
      </w:pPr>
    </w:p>
    <w:p w14:paraId="2F74053A" w14:textId="5ACC614F" w:rsidR="00216322" w:rsidRDefault="00216322" w:rsidP="00A318B6">
      <w:pPr>
        <w:pStyle w:val="Textbezodsazen"/>
        <w:spacing w:line="276" w:lineRule="auto"/>
        <w:ind w:left="720"/>
      </w:pPr>
    </w:p>
    <w:p w14:paraId="09F2DE48" w14:textId="77777777" w:rsidR="00216322" w:rsidRDefault="00216322"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216322">
      <w:headerReference w:type="default" r:id="rId13"/>
      <w:footerReference w:type="default" r:id="rId14"/>
      <w:headerReference w:type="first" r:id="rId15"/>
      <w:footerReference w:type="first" r:id="rId16"/>
      <w:pgSz w:w="11906" w:h="16838" w:code="9"/>
      <w:pgMar w:top="1049" w:right="1134" w:bottom="851"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53C927" w16cex:dateUtc="2024-01-25T09:07:00Z"/>
  <w16cex:commentExtensible w16cex:durableId="55389BC7" w16cex:dateUtc="2023-10-03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A78557" w16cid:durableId="6953C927"/>
  <w16cid:commentId w16cid:paraId="3391A19B" w16cid:durableId="7BEA97A4"/>
  <w16cid:commentId w16cid:paraId="02B26051" w16cid:durableId="4DD27FE0"/>
  <w16cid:commentId w16cid:paraId="1025C3F1" w16cid:durableId="51F5A365"/>
  <w16cid:commentId w16cid:paraId="06FDB424" w16cid:durableId="609362CE"/>
  <w16cid:commentId w16cid:paraId="45E5945F" w16cid:durableId="4EF3EDEE"/>
  <w16cid:commentId w16cid:paraId="3C38E836" w16cid:durableId="55389BC7"/>
  <w16cid:commentId w16cid:paraId="17C9B255" w16cid:durableId="7BE7CB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0D721" w14:textId="77777777" w:rsidR="007D386F" w:rsidRDefault="007D386F" w:rsidP="00962258">
      <w:pPr>
        <w:spacing w:after="0" w:line="240" w:lineRule="auto"/>
      </w:pPr>
      <w:r>
        <w:separator/>
      </w:r>
    </w:p>
  </w:endnote>
  <w:endnote w:type="continuationSeparator" w:id="0">
    <w:p w14:paraId="0C21B9E7" w14:textId="77777777" w:rsidR="007D386F" w:rsidRDefault="007D38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251B51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EB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5EB1">
            <w:rPr>
              <w:rStyle w:val="slostrnky"/>
              <w:noProof/>
            </w:rPr>
            <w:t>7</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F68C50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5EB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5EB1">
            <w:rPr>
              <w:rStyle w:val="slostrnky"/>
              <w:noProof/>
            </w:rPr>
            <w:t>7</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58DE3" w14:textId="77777777" w:rsidR="007D386F" w:rsidRDefault="007D386F" w:rsidP="00962258">
      <w:pPr>
        <w:spacing w:after="0" w:line="240" w:lineRule="auto"/>
      </w:pPr>
      <w:r>
        <w:separator/>
      </w:r>
    </w:p>
  </w:footnote>
  <w:footnote w:type="continuationSeparator" w:id="0">
    <w:p w14:paraId="614D0B90" w14:textId="77777777" w:rsidR="007D386F" w:rsidRDefault="007D38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4B9A0CDA"/>
    <w:multiLevelType w:val="multilevel"/>
    <w:tmpl w:val="59DA8C3E"/>
    <w:lvl w:ilvl="0">
      <w:start w:val="2"/>
      <w:numFmt w:val="decimal"/>
      <w:lvlText w:val="%1."/>
      <w:lvlJc w:val="left"/>
      <w:pPr>
        <w:ind w:left="644"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776" w:hanging="2160"/>
      </w:pPr>
      <w:rPr>
        <w:rFonts w:hint="default"/>
      </w:rPr>
    </w:lvl>
  </w:abstractNum>
  <w:abstractNum w:abstractNumId="9" w15:restartNumberingAfterBreak="0">
    <w:nsid w:val="6EE751E0"/>
    <w:multiLevelType w:val="multilevel"/>
    <w:tmpl w:val="06264EB0"/>
    <w:lvl w:ilvl="0">
      <w:start w:val="1"/>
      <w:numFmt w:val="decimal"/>
      <w:lvlText w:val="%1."/>
      <w:lvlJc w:val="left"/>
      <w:pPr>
        <w:ind w:left="720" w:hanging="360"/>
      </w:pPr>
      <w:rPr>
        <w:rFonts w:cs="Times New Roman" w:hint="default"/>
        <w:i w:val="0"/>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1"/>
  </w:num>
  <w:num w:numId="3">
    <w:abstractNumId w:val="4"/>
  </w:num>
  <w:num w:numId="4">
    <w:abstractNumId w:val="10"/>
  </w:num>
  <w:num w:numId="5">
    <w:abstractNumId w:val="5"/>
  </w:num>
  <w:num w:numId="6">
    <w:abstractNumId w:val="2"/>
  </w:num>
  <w:num w:numId="7">
    <w:abstractNumId w:val="9"/>
  </w:num>
  <w:num w:numId="8">
    <w:abstractNumId w:val="0"/>
  </w:num>
  <w:num w:numId="9">
    <w:abstractNumId w:val="6"/>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8"/>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5EB1"/>
    <w:rsid w:val="0003023D"/>
    <w:rsid w:val="00040B7E"/>
    <w:rsid w:val="000612CF"/>
    <w:rsid w:val="00072C1E"/>
    <w:rsid w:val="00073A69"/>
    <w:rsid w:val="00080EC4"/>
    <w:rsid w:val="000838F5"/>
    <w:rsid w:val="000A1088"/>
    <w:rsid w:val="000A13BC"/>
    <w:rsid w:val="000A3F85"/>
    <w:rsid w:val="000C2D37"/>
    <w:rsid w:val="000D1A0F"/>
    <w:rsid w:val="000E23A7"/>
    <w:rsid w:val="000F4F6A"/>
    <w:rsid w:val="0010693F"/>
    <w:rsid w:val="00107E5E"/>
    <w:rsid w:val="00111F39"/>
    <w:rsid w:val="00114472"/>
    <w:rsid w:val="0013379C"/>
    <w:rsid w:val="001550BC"/>
    <w:rsid w:val="001605B9"/>
    <w:rsid w:val="00170EC5"/>
    <w:rsid w:val="001747C1"/>
    <w:rsid w:val="0018287F"/>
    <w:rsid w:val="00184743"/>
    <w:rsid w:val="001F32C9"/>
    <w:rsid w:val="001F7617"/>
    <w:rsid w:val="00207DF5"/>
    <w:rsid w:val="00216322"/>
    <w:rsid w:val="00280E07"/>
    <w:rsid w:val="0029192E"/>
    <w:rsid w:val="002A6874"/>
    <w:rsid w:val="002C31BF"/>
    <w:rsid w:val="002D08B1"/>
    <w:rsid w:val="002D65B2"/>
    <w:rsid w:val="002E0CD7"/>
    <w:rsid w:val="002F4B54"/>
    <w:rsid w:val="00300080"/>
    <w:rsid w:val="003013FA"/>
    <w:rsid w:val="003071BD"/>
    <w:rsid w:val="00321172"/>
    <w:rsid w:val="00341DCF"/>
    <w:rsid w:val="003452CE"/>
    <w:rsid w:val="003557CB"/>
    <w:rsid w:val="00357BC6"/>
    <w:rsid w:val="00364455"/>
    <w:rsid w:val="003956C6"/>
    <w:rsid w:val="003A4D59"/>
    <w:rsid w:val="003B39EC"/>
    <w:rsid w:val="003C5291"/>
    <w:rsid w:val="003D12BD"/>
    <w:rsid w:val="003D703A"/>
    <w:rsid w:val="003E082D"/>
    <w:rsid w:val="003F20D8"/>
    <w:rsid w:val="004056D4"/>
    <w:rsid w:val="00441430"/>
    <w:rsid w:val="00450F07"/>
    <w:rsid w:val="00453CD3"/>
    <w:rsid w:val="00460660"/>
    <w:rsid w:val="00477FCC"/>
    <w:rsid w:val="004860FC"/>
    <w:rsid w:val="00486107"/>
    <w:rsid w:val="00490CF1"/>
    <w:rsid w:val="00491827"/>
    <w:rsid w:val="00492DAB"/>
    <w:rsid w:val="00493B1B"/>
    <w:rsid w:val="00494F81"/>
    <w:rsid w:val="00495753"/>
    <w:rsid w:val="004A519A"/>
    <w:rsid w:val="004A6222"/>
    <w:rsid w:val="004B348C"/>
    <w:rsid w:val="004C4399"/>
    <w:rsid w:val="004C728D"/>
    <w:rsid w:val="004C787C"/>
    <w:rsid w:val="004E143C"/>
    <w:rsid w:val="004E1498"/>
    <w:rsid w:val="004E3A53"/>
    <w:rsid w:val="004E7B39"/>
    <w:rsid w:val="004F4B9B"/>
    <w:rsid w:val="004F5497"/>
    <w:rsid w:val="00501FCD"/>
    <w:rsid w:val="00503B7A"/>
    <w:rsid w:val="00511AB9"/>
    <w:rsid w:val="00522467"/>
    <w:rsid w:val="00523EA7"/>
    <w:rsid w:val="00527421"/>
    <w:rsid w:val="005368BB"/>
    <w:rsid w:val="00537B7A"/>
    <w:rsid w:val="00553375"/>
    <w:rsid w:val="00556D90"/>
    <w:rsid w:val="005736B7"/>
    <w:rsid w:val="00575E5A"/>
    <w:rsid w:val="00577CF1"/>
    <w:rsid w:val="00592757"/>
    <w:rsid w:val="00597E84"/>
    <w:rsid w:val="005B76DD"/>
    <w:rsid w:val="005D5624"/>
    <w:rsid w:val="005E7A24"/>
    <w:rsid w:val="005F1404"/>
    <w:rsid w:val="0060520C"/>
    <w:rsid w:val="006062F9"/>
    <w:rsid w:val="0061068E"/>
    <w:rsid w:val="00614F76"/>
    <w:rsid w:val="00652A2B"/>
    <w:rsid w:val="00660AD3"/>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21C4A"/>
    <w:rsid w:val="00723ED1"/>
    <w:rsid w:val="00735431"/>
    <w:rsid w:val="00743525"/>
    <w:rsid w:val="00744CF6"/>
    <w:rsid w:val="007510DD"/>
    <w:rsid w:val="0076286B"/>
    <w:rsid w:val="00766846"/>
    <w:rsid w:val="0077673A"/>
    <w:rsid w:val="007846E1"/>
    <w:rsid w:val="007A0C04"/>
    <w:rsid w:val="007A27FA"/>
    <w:rsid w:val="007B570C"/>
    <w:rsid w:val="007C19BF"/>
    <w:rsid w:val="007C589B"/>
    <w:rsid w:val="007D386F"/>
    <w:rsid w:val="007E4A6E"/>
    <w:rsid w:val="007F133A"/>
    <w:rsid w:val="007F328C"/>
    <w:rsid w:val="007F3523"/>
    <w:rsid w:val="007F56A7"/>
    <w:rsid w:val="00807DD0"/>
    <w:rsid w:val="00810E9B"/>
    <w:rsid w:val="008124E5"/>
    <w:rsid w:val="00843A05"/>
    <w:rsid w:val="0086114C"/>
    <w:rsid w:val="008659F3"/>
    <w:rsid w:val="008819E9"/>
    <w:rsid w:val="00886D4B"/>
    <w:rsid w:val="00895406"/>
    <w:rsid w:val="008A3568"/>
    <w:rsid w:val="008B24C9"/>
    <w:rsid w:val="008D03B9"/>
    <w:rsid w:val="008E1E86"/>
    <w:rsid w:val="008F18D6"/>
    <w:rsid w:val="008F3BC6"/>
    <w:rsid w:val="008F7DFE"/>
    <w:rsid w:val="00904780"/>
    <w:rsid w:val="00922385"/>
    <w:rsid w:val="009223DF"/>
    <w:rsid w:val="00936091"/>
    <w:rsid w:val="00940D8A"/>
    <w:rsid w:val="009438E4"/>
    <w:rsid w:val="00950C1F"/>
    <w:rsid w:val="00962258"/>
    <w:rsid w:val="009678B7"/>
    <w:rsid w:val="00974FD8"/>
    <w:rsid w:val="009833E1"/>
    <w:rsid w:val="00992D9C"/>
    <w:rsid w:val="009945D6"/>
    <w:rsid w:val="00996CB8"/>
    <w:rsid w:val="009A0078"/>
    <w:rsid w:val="009A396A"/>
    <w:rsid w:val="009A47BA"/>
    <w:rsid w:val="009B14A9"/>
    <w:rsid w:val="009B2E97"/>
    <w:rsid w:val="009C651E"/>
    <w:rsid w:val="009D3556"/>
    <w:rsid w:val="009E07F4"/>
    <w:rsid w:val="009F392E"/>
    <w:rsid w:val="00A02EE7"/>
    <w:rsid w:val="00A0719E"/>
    <w:rsid w:val="00A07644"/>
    <w:rsid w:val="00A318B6"/>
    <w:rsid w:val="00A32B94"/>
    <w:rsid w:val="00A52B36"/>
    <w:rsid w:val="00A6177B"/>
    <w:rsid w:val="00A63FD5"/>
    <w:rsid w:val="00A66136"/>
    <w:rsid w:val="00A6738F"/>
    <w:rsid w:val="00AA4CBB"/>
    <w:rsid w:val="00AA65FA"/>
    <w:rsid w:val="00AA6E01"/>
    <w:rsid w:val="00AA7351"/>
    <w:rsid w:val="00AB241E"/>
    <w:rsid w:val="00AB53C9"/>
    <w:rsid w:val="00AB6759"/>
    <w:rsid w:val="00AD056F"/>
    <w:rsid w:val="00AD6731"/>
    <w:rsid w:val="00AE74AE"/>
    <w:rsid w:val="00B15D0D"/>
    <w:rsid w:val="00B34A8A"/>
    <w:rsid w:val="00B354A6"/>
    <w:rsid w:val="00B54C16"/>
    <w:rsid w:val="00B63C48"/>
    <w:rsid w:val="00B66E16"/>
    <w:rsid w:val="00B75DAD"/>
    <w:rsid w:val="00B75EE1"/>
    <w:rsid w:val="00B77481"/>
    <w:rsid w:val="00B8365C"/>
    <w:rsid w:val="00B8518B"/>
    <w:rsid w:val="00BB184D"/>
    <w:rsid w:val="00BB202D"/>
    <w:rsid w:val="00BB647B"/>
    <w:rsid w:val="00BC3B69"/>
    <w:rsid w:val="00BD7E91"/>
    <w:rsid w:val="00BF5E64"/>
    <w:rsid w:val="00C02D0A"/>
    <w:rsid w:val="00C03A6E"/>
    <w:rsid w:val="00C25494"/>
    <w:rsid w:val="00C44F6A"/>
    <w:rsid w:val="00C4696C"/>
    <w:rsid w:val="00C47AE3"/>
    <w:rsid w:val="00C50A9C"/>
    <w:rsid w:val="00C61E20"/>
    <w:rsid w:val="00C916C5"/>
    <w:rsid w:val="00CD1FC4"/>
    <w:rsid w:val="00CE287A"/>
    <w:rsid w:val="00CF484D"/>
    <w:rsid w:val="00D07EFE"/>
    <w:rsid w:val="00D101A7"/>
    <w:rsid w:val="00D21061"/>
    <w:rsid w:val="00D24836"/>
    <w:rsid w:val="00D4108E"/>
    <w:rsid w:val="00D45DE0"/>
    <w:rsid w:val="00D610A8"/>
    <w:rsid w:val="00D6163D"/>
    <w:rsid w:val="00D61CD5"/>
    <w:rsid w:val="00D831A3"/>
    <w:rsid w:val="00D85C5B"/>
    <w:rsid w:val="00DB295F"/>
    <w:rsid w:val="00DC75F3"/>
    <w:rsid w:val="00DD23FB"/>
    <w:rsid w:val="00DD46F3"/>
    <w:rsid w:val="00DE1EBF"/>
    <w:rsid w:val="00DE56F2"/>
    <w:rsid w:val="00DE6A6E"/>
    <w:rsid w:val="00DF116D"/>
    <w:rsid w:val="00DF12E7"/>
    <w:rsid w:val="00E174B0"/>
    <w:rsid w:val="00E243D9"/>
    <w:rsid w:val="00E2730E"/>
    <w:rsid w:val="00E32D70"/>
    <w:rsid w:val="00E64568"/>
    <w:rsid w:val="00E718BC"/>
    <w:rsid w:val="00E73DA0"/>
    <w:rsid w:val="00E85E32"/>
    <w:rsid w:val="00EB104F"/>
    <w:rsid w:val="00EC4A73"/>
    <w:rsid w:val="00ED14BD"/>
    <w:rsid w:val="00EF1804"/>
    <w:rsid w:val="00F0533E"/>
    <w:rsid w:val="00F076A0"/>
    <w:rsid w:val="00F1048D"/>
    <w:rsid w:val="00F1202E"/>
    <w:rsid w:val="00F12DEC"/>
    <w:rsid w:val="00F1715C"/>
    <w:rsid w:val="00F310F8"/>
    <w:rsid w:val="00F3415C"/>
    <w:rsid w:val="00F35939"/>
    <w:rsid w:val="00F45607"/>
    <w:rsid w:val="00F57CFC"/>
    <w:rsid w:val="00F659EB"/>
    <w:rsid w:val="00F65C01"/>
    <w:rsid w:val="00F81B99"/>
    <w:rsid w:val="00F86BA6"/>
    <w:rsid w:val="00F94ADB"/>
    <w:rsid w:val="00F969C4"/>
    <w:rsid w:val="00FC6389"/>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customStyle="1" w:styleId="UnresolvedMention">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 w:type="character" w:customStyle="1" w:styleId="FontStyle38">
    <w:name w:val="Font Style38"/>
    <w:uiPriority w:val="99"/>
    <w:rsid w:val="00D610A8"/>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034165">
      <w:bodyDiv w:val="1"/>
      <w:marLeft w:val="0"/>
      <w:marRight w:val="0"/>
      <w:marTop w:val="0"/>
      <w:marBottom w:val="0"/>
      <w:divBdr>
        <w:top w:val="none" w:sz="0" w:space="0" w:color="auto"/>
        <w:left w:val="none" w:sz="0" w:space="0" w:color="auto"/>
        <w:bottom w:val="none" w:sz="0" w:space="0" w:color="auto"/>
        <w:right w:val="none" w:sz="0" w:space="0" w:color="auto"/>
      </w:divBdr>
    </w:div>
    <w:div w:id="281427276">
      <w:bodyDiv w:val="1"/>
      <w:marLeft w:val="0"/>
      <w:marRight w:val="0"/>
      <w:marTop w:val="0"/>
      <w:marBottom w:val="0"/>
      <w:divBdr>
        <w:top w:val="none" w:sz="0" w:space="0" w:color="auto"/>
        <w:left w:val="none" w:sz="0" w:space="0" w:color="auto"/>
        <w:bottom w:val="none" w:sz="0" w:space="0" w:color="auto"/>
        <w:right w:val="none" w:sz="0" w:space="0" w:color="auto"/>
      </w:divBdr>
    </w:div>
    <w:div w:id="557713099">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468889036">
      <w:bodyDiv w:val="1"/>
      <w:marLeft w:val="0"/>
      <w:marRight w:val="0"/>
      <w:marTop w:val="0"/>
      <w:marBottom w:val="0"/>
      <w:divBdr>
        <w:top w:val="none" w:sz="0" w:space="0" w:color="auto"/>
        <w:left w:val="none" w:sz="0" w:space="0" w:color="auto"/>
        <w:bottom w:val="none" w:sz="0" w:space="0" w:color="auto"/>
        <w:right w:val="none" w:sz="0" w:space="0" w:color="auto"/>
      </w:divBdr>
    </w:div>
    <w:div w:id="209901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belj@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2F3E00-4B72-4B22-87BD-C6152DA3A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7</Pages>
  <Words>2837</Words>
  <Characters>16742</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46</cp:revision>
  <cp:lastPrinted>2024-05-29T12:43:00Z</cp:lastPrinted>
  <dcterms:created xsi:type="dcterms:W3CDTF">2023-07-12T06:48:00Z</dcterms:created>
  <dcterms:modified xsi:type="dcterms:W3CDTF">2024-05-29T12:44:00Z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