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9A22B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B2F7C" w:rsidRPr="00F547A3">
        <w:rPr>
          <w:rFonts w:ascii="Verdana" w:hAnsi="Verdana"/>
          <w:b/>
          <w:sz w:val="18"/>
          <w:szCs w:val="18"/>
        </w:rPr>
        <w:t>„</w:t>
      </w:r>
      <w:r w:rsidR="001B2F7C" w:rsidRPr="00F547A3">
        <w:rPr>
          <w:rFonts w:ascii="Verdana" w:hAnsi="Verdana" w:cs="Arial"/>
          <w:b/>
          <w:sz w:val="18"/>
          <w:szCs w:val="18"/>
        </w:rPr>
        <w:t>Zajištění provozu a oprav plynových kotelen a výměníkových stanic v obvodu OŘ PHA 2024-2026</w:t>
      </w:r>
      <w:r w:rsidR="001B2F7C" w:rsidRPr="00F547A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7B638EA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2F7C" w:rsidRPr="001B2F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2F7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7C0912-F3B4-45A0-B2DC-E0282E1A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2024-05-09T08:42:00Z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