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Default="00B90EAE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Bližší specifikace </w:t>
      </w:r>
      <w:r w:rsidR="00E50038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díla</w:t>
      </w:r>
    </w:p>
    <w:p w:rsidR="002C0049" w:rsidRPr="00035A8E" w:rsidRDefault="002C0049" w:rsidP="00CE5A7F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035A8E"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Charakteristický popis:</w:t>
      </w:r>
    </w:p>
    <w:p w:rsidR="00035A8E" w:rsidRPr="00035A8E" w:rsidRDefault="00035A8E" w:rsidP="00035A8E">
      <w:p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  <w:r w:rsidRPr="00035A8E">
        <w:rPr>
          <w:rFonts w:eastAsia="Verdana" w:cs="Arial"/>
          <w:sz w:val="18"/>
          <w:szCs w:val="18"/>
        </w:rPr>
        <w:t>Předmětem plnění je zajištění provozu a oprav</w:t>
      </w:r>
      <w:r w:rsidR="0011215D">
        <w:rPr>
          <w:rFonts w:eastAsia="Verdana" w:cs="Arial"/>
          <w:sz w:val="18"/>
          <w:szCs w:val="18"/>
        </w:rPr>
        <w:t xml:space="preserve"> určených technických zařízení</w:t>
      </w:r>
      <w:r w:rsidRPr="00035A8E">
        <w:rPr>
          <w:rFonts w:eastAsia="Verdana" w:cs="Arial"/>
          <w:sz w:val="18"/>
          <w:szCs w:val="18"/>
        </w:rPr>
        <w:t xml:space="preserve"> včetně</w:t>
      </w:r>
      <w:r w:rsidR="0011215D">
        <w:rPr>
          <w:rFonts w:eastAsia="Verdana" w:cs="Arial"/>
          <w:sz w:val="18"/>
          <w:szCs w:val="18"/>
        </w:rPr>
        <w:t xml:space="preserve"> dodávky vybraných</w:t>
      </w:r>
      <w:r w:rsidRPr="00035A8E">
        <w:rPr>
          <w:rFonts w:eastAsia="Verdana" w:cs="Arial"/>
          <w:sz w:val="18"/>
          <w:szCs w:val="18"/>
        </w:rPr>
        <w:t xml:space="preserve"> náhradních dílů a navazujících komponent v objektech železničních stanic v obvodu Oblastního ředitelství Praha</w:t>
      </w:r>
      <w:r w:rsidR="00DB3AB5">
        <w:rPr>
          <w:rFonts w:eastAsia="Verdana" w:cs="Arial"/>
          <w:sz w:val="18"/>
          <w:szCs w:val="18"/>
        </w:rPr>
        <w:t xml:space="preserve"> (viz Soupis jednotkových cen)</w:t>
      </w:r>
      <w:r w:rsidR="00333387">
        <w:rPr>
          <w:rFonts w:eastAsia="Verdana" w:cs="Arial"/>
          <w:sz w:val="18"/>
          <w:szCs w:val="18"/>
        </w:rPr>
        <w:t xml:space="preserve"> a zároveň </w:t>
      </w:r>
      <w:r w:rsidR="00333387" w:rsidRPr="00333387">
        <w:rPr>
          <w:rFonts w:eastAsia="Verdana" w:cs="Arial"/>
          <w:b/>
          <w:sz w:val="18"/>
          <w:szCs w:val="18"/>
        </w:rPr>
        <w:t>z</w:t>
      </w:r>
      <w:r w:rsidRPr="00035A8E">
        <w:rPr>
          <w:rFonts w:eastAsia="Verdana" w:cs="Arial"/>
          <w:b/>
          <w:sz w:val="18"/>
          <w:szCs w:val="18"/>
        </w:rPr>
        <w:t>ajištění povinnosti provozovatele</w:t>
      </w:r>
      <w:r w:rsidR="003C36D9">
        <w:rPr>
          <w:rFonts w:eastAsia="Verdana" w:cs="Arial"/>
          <w:b/>
          <w:sz w:val="18"/>
          <w:szCs w:val="18"/>
        </w:rPr>
        <w:t xml:space="preserve"> </w:t>
      </w:r>
      <w:r w:rsidR="00333387">
        <w:rPr>
          <w:rFonts w:eastAsia="Verdana" w:cs="Arial"/>
          <w:b/>
          <w:sz w:val="18"/>
          <w:szCs w:val="18"/>
        </w:rPr>
        <w:t>dodržovat postup</w:t>
      </w:r>
      <w:r w:rsidRPr="00035A8E">
        <w:rPr>
          <w:rFonts w:eastAsia="Verdana" w:cs="Arial"/>
          <w:b/>
          <w:sz w:val="18"/>
          <w:szCs w:val="18"/>
        </w:rPr>
        <w:t xml:space="preserve"> dle vyhlášky ČÚB</w:t>
      </w:r>
      <w:bookmarkStart w:id="0" w:name="_GoBack"/>
      <w:bookmarkEnd w:id="0"/>
      <w:r w:rsidRPr="00035A8E">
        <w:rPr>
          <w:rFonts w:eastAsia="Verdana" w:cs="Arial"/>
          <w:b/>
          <w:sz w:val="18"/>
          <w:szCs w:val="18"/>
        </w:rPr>
        <w:t>P č.91/1993 Sb., §12 a ČSN 07 0703</w:t>
      </w:r>
      <w:r w:rsidRPr="00035A8E">
        <w:rPr>
          <w:rFonts w:eastAsia="Verdana" w:cs="Arial"/>
          <w:sz w:val="18"/>
          <w:szCs w:val="18"/>
        </w:rPr>
        <w:t>.</w:t>
      </w:r>
    </w:p>
    <w:p w:rsidR="00035A8E" w:rsidRPr="00035A8E" w:rsidRDefault="00035A8E" w:rsidP="00035A8E">
      <w:p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sz w:val="18"/>
          <w:szCs w:val="18"/>
        </w:rPr>
      </w:pPr>
    </w:p>
    <w:p w:rsidR="00035A8E" w:rsidRPr="00035A8E" w:rsidRDefault="00035A8E" w:rsidP="00035A8E">
      <w:pPr>
        <w:tabs>
          <w:tab w:val="left" w:pos="1418"/>
        </w:tabs>
        <w:spacing w:before="60" w:after="60" w:line="264" w:lineRule="auto"/>
        <w:ind w:right="764"/>
        <w:jc w:val="both"/>
        <w:rPr>
          <w:rFonts w:eastAsia="Verdana" w:cs="Arial"/>
          <w:noProof/>
          <w:sz w:val="18"/>
          <w:szCs w:val="18"/>
        </w:rPr>
      </w:pPr>
      <w:r w:rsidRPr="00035A8E">
        <w:rPr>
          <w:rFonts w:eastAsia="Verdana" w:cs="Arial"/>
          <w:noProof/>
          <w:sz w:val="18"/>
          <w:szCs w:val="18"/>
        </w:rPr>
        <w:t>Zajištění pohotovostních činností pro servisní zásahy v následujících časových lhůtách:</w:t>
      </w:r>
    </w:p>
    <w:p w:rsidR="00F63783" w:rsidRPr="00F63783" w:rsidRDefault="00F63783" w:rsidP="00F63783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contextualSpacing/>
        <w:jc w:val="both"/>
        <w:rPr>
          <w:rFonts w:eastAsia="Verdana" w:cs="Arial"/>
          <w:b/>
          <w:noProof/>
          <w:sz w:val="18"/>
          <w:szCs w:val="18"/>
        </w:rPr>
      </w:pPr>
      <w:r w:rsidRPr="00F63783">
        <w:rPr>
          <w:rFonts w:eastAsia="Verdana" w:cs="Arial"/>
          <w:noProof/>
          <w:sz w:val="18"/>
          <w:szCs w:val="18"/>
        </w:rPr>
        <w:t xml:space="preserve">Nástup k práci a předložení cenové nabídky do </w:t>
      </w:r>
      <w:r w:rsidRPr="00F63783">
        <w:rPr>
          <w:rFonts w:eastAsia="Verdana" w:cs="Arial"/>
          <w:b/>
          <w:noProof/>
          <w:sz w:val="18"/>
          <w:szCs w:val="18"/>
        </w:rPr>
        <w:t>24 hodin od nahlášení závady.</w:t>
      </w:r>
    </w:p>
    <w:p w:rsidR="00F63783" w:rsidRPr="00F63783" w:rsidRDefault="00F63783" w:rsidP="00F63783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contextualSpacing/>
        <w:jc w:val="both"/>
        <w:rPr>
          <w:rFonts w:eastAsia="Verdana" w:cs="Arial"/>
          <w:sz w:val="18"/>
          <w:szCs w:val="18"/>
        </w:rPr>
      </w:pPr>
      <w:r w:rsidRPr="00F63783">
        <w:rPr>
          <w:rFonts w:eastAsia="Verdana" w:cs="Arial"/>
          <w:noProof/>
          <w:sz w:val="18"/>
          <w:szCs w:val="18"/>
        </w:rPr>
        <w:t xml:space="preserve">Havarijní výjezd v případě mimořádnosti (např. nouzové zajištění zařízení, havárie) do </w:t>
      </w:r>
      <w:r w:rsidRPr="00F63783">
        <w:rPr>
          <w:rFonts w:eastAsia="Verdana" w:cs="Arial"/>
          <w:b/>
          <w:noProof/>
          <w:sz w:val="18"/>
          <w:szCs w:val="18"/>
        </w:rPr>
        <w:t>2h od nahlášení závady.</w:t>
      </w:r>
    </w:p>
    <w:p w:rsidR="00F63783" w:rsidRDefault="00F63783" w:rsidP="00F63783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contextualSpacing/>
        <w:jc w:val="both"/>
        <w:rPr>
          <w:rFonts w:eastAsia="Verdana" w:cs="Arial"/>
          <w:sz w:val="18"/>
          <w:szCs w:val="18"/>
        </w:rPr>
      </w:pPr>
      <w:r w:rsidRPr="00F63783">
        <w:rPr>
          <w:rFonts w:eastAsia="Verdana" w:cs="Arial"/>
          <w:noProof/>
          <w:sz w:val="18"/>
          <w:szCs w:val="18"/>
        </w:rPr>
        <w:t xml:space="preserve">Akceptace objednávky do </w:t>
      </w:r>
      <w:r w:rsidRPr="00F63783">
        <w:rPr>
          <w:rFonts w:eastAsia="Verdana" w:cs="Arial"/>
          <w:b/>
          <w:noProof/>
          <w:sz w:val="18"/>
          <w:szCs w:val="18"/>
        </w:rPr>
        <w:t>24h od doručení</w:t>
      </w:r>
      <w:r w:rsidRPr="00F63783">
        <w:rPr>
          <w:rFonts w:eastAsia="Verdana" w:cs="Arial"/>
          <w:noProof/>
          <w:sz w:val="18"/>
          <w:szCs w:val="18"/>
        </w:rPr>
        <w:t>.</w:t>
      </w:r>
    </w:p>
    <w:p w:rsidR="00035A8E" w:rsidRPr="00F63783" w:rsidRDefault="00F63783" w:rsidP="00F63783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contextualSpacing/>
        <w:jc w:val="both"/>
        <w:rPr>
          <w:rFonts w:eastAsia="Verdana" w:cs="Arial"/>
          <w:sz w:val="18"/>
          <w:szCs w:val="18"/>
        </w:rPr>
      </w:pPr>
      <w:r w:rsidRPr="00F63783">
        <w:rPr>
          <w:rFonts w:eastAsia="Verdana" w:cs="Arial"/>
          <w:noProof/>
          <w:sz w:val="18"/>
          <w:szCs w:val="18"/>
        </w:rPr>
        <w:t xml:space="preserve">Ukončení celkové opravy včetně dodání materiálu do </w:t>
      </w:r>
      <w:r w:rsidRPr="00F63783">
        <w:rPr>
          <w:rFonts w:eastAsia="Verdana" w:cs="Arial"/>
          <w:b/>
          <w:noProof/>
          <w:sz w:val="18"/>
          <w:szCs w:val="18"/>
        </w:rPr>
        <w:t>30 kalendářních  dnů od akceptace objednávky.</w:t>
      </w:r>
    </w:p>
    <w:p w:rsidR="00035A8E" w:rsidRDefault="00035A8E" w:rsidP="00035A8E">
      <w:pPr>
        <w:spacing w:before="360" w:after="240" w:line="240" w:lineRule="auto"/>
        <w:outlineLvl w:val="0"/>
        <w:rPr>
          <w:rFonts w:eastAsia="Verdana" w:cs="Arial"/>
          <w:noProof/>
          <w:sz w:val="18"/>
          <w:szCs w:val="18"/>
        </w:rPr>
      </w:pPr>
    </w:p>
    <w:p w:rsidR="00035A8E" w:rsidRDefault="00035A8E" w:rsidP="008A34D6">
      <w:pPr>
        <w:spacing w:after="480" w:line="240" w:lineRule="auto"/>
        <w:jc w:val="center"/>
        <w:outlineLvl w:val="0"/>
        <w:rPr>
          <w:rFonts w:eastAsia="Verdana" w:cs="Arial"/>
          <w:b/>
          <w:noProof/>
          <w:sz w:val="24"/>
          <w:szCs w:val="24"/>
        </w:rPr>
      </w:pPr>
      <w:r w:rsidRPr="00035A8E">
        <w:rPr>
          <w:rFonts w:eastAsia="Verdana" w:cs="Arial"/>
          <w:b/>
          <w:noProof/>
          <w:sz w:val="24"/>
          <w:szCs w:val="24"/>
        </w:rPr>
        <w:t>ROZSAH ČINNOSTÍ</w:t>
      </w:r>
    </w:p>
    <w:p w:rsidR="00035A8E" w:rsidRDefault="00035A8E" w:rsidP="008777A3">
      <w:pPr>
        <w:pStyle w:val="Odstavecseseznamem"/>
        <w:numPr>
          <w:ilvl w:val="0"/>
          <w:numId w:val="4"/>
        </w:numPr>
        <w:spacing w:before="360" w:after="240" w:line="240" w:lineRule="auto"/>
        <w:ind w:left="426"/>
        <w:outlineLvl w:val="0"/>
        <w:rPr>
          <w:rFonts w:eastAsia="Verdana" w:cs="Arial"/>
          <w:b/>
          <w:noProof/>
          <w:sz w:val="18"/>
          <w:szCs w:val="18"/>
        </w:rPr>
      </w:pPr>
      <w:r w:rsidRPr="00035A8E">
        <w:rPr>
          <w:rFonts w:eastAsia="Verdana" w:cs="Arial"/>
          <w:b/>
          <w:noProof/>
          <w:sz w:val="18"/>
          <w:szCs w:val="18"/>
        </w:rPr>
        <w:t>O</w:t>
      </w:r>
      <w:r>
        <w:rPr>
          <w:rFonts w:eastAsia="Verdana" w:cs="Arial"/>
          <w:b/>
          <w:noProof/>
          <w:sz w:val="18"/>
          <w:szCs w:val="18"/>
        </w:rPr>
        <w:t>bsluha Zařízení:</w:t>
      </w:r>
    </w:p>
    <w:p w:rsidR="00035A8E" w:rsidRPr="008F2CDE" w:rsidRDefault="00035A8E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 w:rsidRPr="008F2CDE">
        <w:rPr>
          <w:rFonts w:eastAsia="Verdana" w:cs="Arial"/>
          <w:noProof/>
          <w:sz w:val="18"/>
          <w:szCs w:val="18"/>
        </w:rPr>
        <w:t>Uvedení Zařízení do provozu a jeho odstavení (i v rámci započetí a ukončení topné sezóny).</w:t>
      </w:r>
    </w:p>
    <w:p w:rsidR="00035A8E" w:rsidRDefault="00035A8E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 w:rsidRPr="008F2CDE">
        <w:rPr>
          <w:rFonts w:eastAsia="Verdana" w:cs="Arial"/>
          <w:noProof/>
          <w:sz w:val="18"/>
          <w:szCs w:val="18"/>
        </w:rPr>
        <w:t>Vlastní obsluha – zajištění optimální funkce Zařízení ve smyslu provozních řádů dle technické dokumentace</w:t>
      </w:r>
      <w:r w:rsidR="008F2CDE" w:rsidRPr="008F2CDE">
        <w:rPr>
          <w:rFonts w:eastAsia="Verdana" w:cs="Arial"/>
          <w:noProof/>
          <w:sz w:val="18"/>
          <w:szCs w:val="18"/>
        </w:rPr>
        <w:t xml:space="preserve"> výrobce/výrobců Zařízení a zásahy do provozu za účelem změny provozních parametrů dle potřeby budovy.</w:t>
      </w:r>
    </w:p>
    <w:p w:rsidR="008F2CDE" w:rsidRDefault="008F2CDE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Kontrola technického stavu Zařízení.</w:t>
      </w:r>
    </w:p>
    <w:p w:rsidR="008F2CDE" w:rsidRDefault="008F2CDE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Kontrola funkce regulačních prvků a měření.</w:t>
      </w:r>
    </w:p>
    <w:p w:rsidR="008F2CDE" w:rsidRDefault="008F2CDE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Úklid a čištění vlastního Zařízení a vnitřních prostorů kolem Zařízení.</w:t>
      </w:r>
    </w:p>
    <w:p w:rsidR="00EA5F57" w:rsidRDefault="00EA5F57" w:rsidP="008777A3">
      <w:pPr>
        <w:pStyle w:val="Odstavecseseznamem"/>
        <w:numPr>
          <w:ilvl w:val="0"/>
          <w:numId w:val="5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Práce související s provozem Zařízení a práce podmiňující provoz Zařízení.</w:t>
      </w:r>
    </w:p>
    <w:p w:rsidR="00EA5F57" w:rsidRDefault="00EA5F57" w:rsidP="00EA5F57">
      <w:pPr>
        <w:pStyle w:val="Odstavecseseznamem"/>
        <w:spacing w:before="360" w:after="240" w:line="240" w:lineRule="auto"/>
        <w:outlineLvl w:val="0"/>
        <w:rPr>
          <w:rFonts w:eastAsia="Verdana" w:cs="Arial"/>
          <w:noProof/>
          <w:sz w:val="18"/>
          <w:szCs w:val="18"/>
        </w:rPr>
      </w:pPr>
    </w:p>
    <w:p w:rsidR="00EA5F57" w:rsidRDefault="00EA5F57" w:rsidP="008777A3">
      <w:pPr>
        <w:pStyle w:val="Odstavecseseznamem"/>
        <w:numPr>
          <w:ilvl w:val="0"/>
          <w:numId w:val="4"/>
        </w:numPr>
        <w:spacing w:before="360" w:after="240" w:line="240" w:lineRule="auto"/>
        <w:ind w:left="426"/>
        <w:outlineLvl w:val="0"/>
        <w:rPr>
          <w:rFonts w:eastAsia="Verdana" w:cs="Arial"/>
          <w:b/>
          <w:noProof/>
          <w:sz w:val="18"/>
          <w:szCs w:val="18"/>
        </w:rPr>
      </w:pPr>
      <w:r>
        <w:rPr>
          <w:rFonts w:eastAsia="Verdana" w:cs="Arial"/>
          <w:b/>
          <w:noProof/>
          <w:sz w:val="18"/>
          <w:szCs w:val="18"/>
        </w:rPr>
        <w:t>Údržba kotelny a splnění legislativních nároků na provozování:</w:t>
      </w:r>
    </w:p>
    <w:p w:rsidR="00EA5F57" w:rsidRP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 w:rsidRPr="00EA5F57">
        <w:rPr>
          <w:rFonts w:eastAsia="Verdana" w:cs="Arial"/>
          <w:noProof/>
          <w:sz w:val="18"/>
          <w:szCs w:val="18"/>
        </w:rPr>
        <w:t>Opravy ucpávek, odstraňování netěsností přírubových a závitových spojů.</w:t>
      </w:r>
    </w:p>
    <w:p w:rsid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 w:rsidRPr="00EA5F57">
        <w:rPr>
          <w:rFonts w:eastAsia="Verdana" w:cs="Arial"/>
          <w:noProof/>
          <w:sz w:val="18"/>
          <w:szCs w:val="18"/>
        </w:rPr>
        <w:t>Výměna a zajištění opravy armatur, ventilů a šoupat.</w:t>
      </w:r>
    </w:p>
    <w:p w:rsid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Výměna a zajištění oprav čerpadel.</w:t>
      </w:r>
    </w:p>
    <w:p w:rsid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Výměna a zajištění oprav servopohonů a jejich částí.</w:t>
      </w:r>
    </w:p>
    <w:p w:rsid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Údržba a zajištění opravy ohříváků, nádrží, nádob, jímek apod., pokud to předpisy a normy dovolují.</w:t>
      </w:r>
    </w:p>
    <w:p w:rsidR="00EA5F57" w:rsidRDefault="00EA5F57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Opravy potrubních rozvodů</w:t>
      </w:r>
      <w:r w:rsidR="0076096E">
        <w:rPr>
          <w:rFonts w:eastAsia="Verdana" w:cs="Arial"/>
          <w:noProof/>
          <w:sz w:val="18"/>
          <w:szCs w:val="18"/>
        </w:rPr>
        <w:t xml:space="preserve"> tepla a vody v dohodnutých prostorách.</w:t>
      </w:r>
    </w:p>
    <w:p w:rsidR="0076096E" w:rsidRDefault="0076096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Opravy a údržba tepelných izolací.</w:t>
      </w:r>
    </w:p>
    <w:p w:rsidR="0076096E" w:rsidRDefault="0076096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Doplňování tabletové soli do změkčovacího zařízení.</w:t>
      </w:r>
    </w:p>
    <w:p w:rsidR="0076096E" w:rsidRDefault="0076096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Oprava a seřizování čidel, rozvodů a vyhodnocovacích prvků měření a regulace.</w:t>
      </w:r>
    </w:p>
    <w:p w:rsidR="0076096E" w:rsidRDefault="0076096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Údržba a oprava elektrických silových obvodů.</w:t>
      </w:r>
    </w:p>
    <w:p w:rsidR="0076096E" w:rsidRDefault="0076096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Periodická údržba závislá na odstavení Zařízení v době jeho letní odstávky a údržba související s přípravou na topné období.</w:t>
      </w:r>
    </w:p>
    <w:p w:rsidR="009078C0" w:rsidRDefault="009078C0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Servis kotlů periodický technikem výrobce Zařízení, 1x za 12 měsíců dle legislativy.</w:t>
      </w:r>
    </w:p>
    <w:p w:rsidR="009078C0" w:rsidRDefault="009078C0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Měření emisí instalovaných zdrojů dle platné legislativy.</w:t>
      </w:r>
    </w:p>
    <w:p w:rsidR="009078C0" w:rsidRDefault="009078C0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Havarijní výjezdy pro odstranění poruch a havárií způsobených provozem technologie kotelny.</w:t>
      </w:r>
    </w:p>
    <w:p w:rsidR="009078C0" w:rsidRDefault="009078C0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Zajištění doprovodu a součinnosti orgánům státního požárního dozoru a inspektorátu bezpečnosti práce.</w:t>
      </w:r>
    </w:p>
    <w:p w:rsidR="009078C0" w:rsidRDefault="00420ED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Zajištění nepřetržitého sledování provozu a poruchových stavů kotelny přes GSM bránu nebo centrální dispečink. Pokud není dálková správa zřízena, bude zřízena v režii dodavatele (obsluhovatele kotelny).</w:t>
      </w:r>
    </w:p>
    <w:p w:rsidR="00420EDE" w:rsidRDefault="00420EDE" w:rsidP="008777A3">
      <w:pPr>
        <w:pStyle w:val="Odstavecseseznamem"/>
        <w:numPr>
          <w:ilvl w:val="0"/>
          <w:numId w:val="7"/>
        </w:numPr>
        <w:spacing w:before="360" w:after="240" w:line="240" w:lineRule="auto"/>
        <w:ind w:left="709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t>Vedení provozního deníku kotelny.</w:t>
      </w:r>
    </w:p>
    <w:p w:rsidR="003C36D9" w:rsidRPr="003C36D9" w:rsidRDefault="003C36D9" w:rsidP="003C36D9">
      <w:pPr>
        <w:spacing w:before="360" w:after="240" w:line="240" w:lineRule="auto"/>
        <w:outlineLvl w:val="0"/>
        <w:rPr>
          <w:rFonts w:eastAsia="Verdana" w:cs="Arial"/>
          <w:noProof/>
          <w:sz w:val="18"/>
          <w:szCs w:val="18"/>
        </w:rPr>
      </w:pPr>
      <w:r>
        <w:rPr>
          <w:rFonts w:eastAsia="Verdana" w:cs="Arial"/>
          <w:noProof/>
          <w:sz w:val="18"/>
          <w:szCs w:val="18"/>
        </w:rPr>
        <w:lastRenderedPageBreak/>
        <w:t>Vyzískaný železný šrot bude předán zadavateli včetně odvozu a uložení v okruhu 100 km dle pokynů zástupce investora.</w:t>
      </w:r>
    </w:p>
    <w:p w:rsidR="00035A8E" w:rsidRPr="00E50038" w:rsidRDefault="00035A8E" w:rsidP="00035A8E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highlight w:val="green"/>
          <w:u w:val="single"/>
          <w:lang w:eastAsia="x-none"/>
        </w:rPr>
      </w:pPr>
    </w:p>
    <w:sectPr w:rsidR="00035A8E" w:rsidRPr="00E500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90EAE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Pr="00477F47" w:rsidRDefault="00B90EAE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 xml:space="preserve">Bližší specifikace </w:t>
    </w:r>
    <w:r w:rsidR="00E50038">
      <w:rPr>
        <w:rFonts w:eastAsia="Calibri" w:cstheme="minorHAnsi"/>
        <w:sz w:val="18"/>
        <w:szCs w:val="18"/>
        <w:lang w:eastAsia="cs-CZ"/>
      </w:rPr>
      <w:t>díla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31079"/>
    <w:multiLevelType w:val="hybridMultilevel"/>
    <w:tmpl w:val="E3003916"/>
    <w:lvl w:ilvl="0" w:tplc="4B9AEA4A">
      <w:start w:val="1"/>
      <w:numFmt w:val="upperLetter"/>
      <w:lvlText w:val="%1.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374D2"/>
    <w:multiLevelType w:val="hybridMultilevel"/>
    <w:tmpl w:val="B654501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E25162C"/>
    <w:multiLevelType w:val="hybridMultilevel"/>
    <w:tmpl w:val="B64056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06F89"/>
    <w:multiLevelType w:val="hybridMultilevel"/>
    <w:tmpl w:val="7AE8B7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35A8E"/>
    <w:rsid w:val="000F4D55"/>
    <w:rsid w:val="0011215D"/>
    <w:rsid w:val="00127826"/>
    <w:rsid w:val="002C0049"/>
    <w:rsid w:val="002E564C"/>
    <w:rsid w:val="00333387"/>
    <w:rsid w:val="003727EC"/>
    <w:rsid w:val="003C36D9"/>
    <w:rsid w:val="00420EDE"/>
    <w:rsid w:val="00477F47"/>
    <w:rsid w:val="0076096E"/>
    <w:rsid w:val="008777A3"/>
    <w:rsid w:val="008A34D6"/>
    <w:rsid w:val="008E43C9"/>
    <w:rsid w:val="008F2CDE"/>
    <w:rsid w:val="009078C0"/>
    <w:rsid w:val="009B3726"/>
    <w:rsid w:val="00A64579"/>
    <w:rsid w:val="00AB2B82"/>
    <w:rsid w:val="00B03F10"/>
    <w:rsid w:val="00B11718"/>
    <w:rsid w:val="00B76BCA"/>
    <w:rsid w:val="00B90EAE"/>
    <w:rsid w:val="00BF6A6B"/>
    <w:rsid w:val="00C564F4"/>
    <w:rsid w:val="00CE5A7F"/>
    <w:rsid w:val="00DB3AB5"/>
    <w:rsid w:val="00E50038"/>
    <w:rsid w:val="00EA5F57"/>
    <w:rsid w:val="00F63783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A781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18</cp:revision>
  <cp:lastPrinted>2023-03-30T10:53:00Z</cp:lastPrinted>
  <dcterms:created xsi:type="dcterms:W3CDTF">2023-03-30T09:40:00Z</dcterms:created>
  <dcterms:modified xsi:type="dcterms:W3CDTF">2024-05-13T07:19:00Z</dcterms:modified>
</cp:coreProperties>
</file>