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F00F7" w14:textId="77777777" w:rsidR="00DD29C3" w:rsidRPr="00DD29C3" w:rsidRDefault="00A1153A" w:rsidP="00DD29C3">
      <w:pPr>
        <w:spacing w:before="120" w:line="240" w:lineRule="auto"/>
        <w:jc w:val="both"/>
        <w:rPr>
          <w:rFonts w:asciiTheme="majorHAnsi" w:eastAsia="Times New Roman" w:hAnsiTheme="majorHAnsi" w:cs="Times New Roman"/>
          <w:lang w:eastAsia="cs-CZ"/>
        </w:rPr>
      </w:pPr>
      <w:bookmarkStart w:id="0" w:name="_GoBack"/>
      <w:bookmarkEnd w:id="0"/>
      <w:r w:rsidRPr="009A2714">
        <w:rPr>
          <w:rFonts w:asciiTheme="majorHAnsi" w:eastAsia="Times New Roman" w:hAnsiTheme="majorHAnsi" w:cs="Times New Roman"/>
          <w:lang w:eastAsia="cs-CZ"/>
        </w:rPr>
        <w:t xml:space="preserve">Příloha č. </w:t>
      </w:r>
      <w:r w:rsidR="0033628E">
        <w:rPr>
          <w:rFonts w:asciiTheme="majorHAnsi" w:eastAsia="Times New Roman" w:hAnsiTheme="majorHAnsi" w:cs="Times New Roman"/>
          <w:lang w:eastAsia="cs-CZ"/>
        </w:rPr>
        <w:t>1</w:t>
      </w:r>
      <w:r w:rsidR="00DD29C3" w:rsidRPr="009A2714">
        <w:rPr>
          <w:rFonts w:asciiTheme="majorHAnsi" w:eastAsia="Times New Roman" w:hAnsiTheme="majorHAnsi" w:cs="Times New Roman"/>
          <w:lang w:eastAsia="cs-CZ"/>
        </w:rPr>
        <w:t xml:space="preserve"> Smlouvy</w:t>
      </w:r>
    </w:p>
    <w:p w14:paraId="4C64CCEF" w14:textId="77777777" w:rsidR="00DD29C3" w:rsidRPr="0033628E" w:rsidRDefault="0033628E" w:rsidP="00DD29C3">
      <w:pPr>
        <w:spacing w:before="120" w:line="240" w:lineRule="auto"/>
        <w:jc w:val="both"/>
        <w:rPr>
          <w:rFonts w:asciiTheme="majorHAnsi" w:eastAsia="Times New Roman" w:hAnsiTheme="majorHAnsi" w:cs="Times New Roman"/>
          <w:b/>
          <w:color w:val="FF5200"/>
          <w:sz w:val="32"/>
          <w:szCs w:val="32"/>
          <w:lang w:eastAsia="cs-CZ"/>
        </w:rPr>
      </w:pPr>
      <w:r w:rsidRPr="0033628E">
        <w:rPr>
          <w:rFonts w:asciiTheme="majorHAnsi" w:eastAsia="Times New Roman" w:hAnsiTheme="majorHAnsi" w:cs="Times New Roman"/>
          <w:b/>
          <w:color w:val="FF5200"/>
          <w:sz w:val="32"/>
          <w:szCs w:val="32"/>
          <w:lang w:eastAsia="cs-CZ"/>
        </w:rPr>
        <w:t xml:space="preserve">Bližší specifikace </w:t>
      </w:r>
    </w:p>
    <w:p w14:paraId="5216D86C" w14:textId="77777777" w:rsidR="0033628E" w:rsidRPr="008243A3" w:rsidRDefault="0033628E" w:rsidP="0033628E">
      <w:pPr>
        <w:rPr>
          <w:b/>
          <w:bCs/>
          <w:color w:val="002B59" w:themeColor="accent1"/>
          <w:sz w:val="28"/>
          <w:szCs w:val="28"/>
        </w:rPr>
      </w:pPr>
      <w:r w:rsidRPr="008243A3">
        <w:rPr>
          <w:b/>
          <w:bCs/>
          <w:color w:val="002B59" w:themeColor="accent1"/>
          <w:sz w:val="28"/>
          <w:szCs w:val="28"/>
        </w:rPr>
        <w:t>Popis logiky programu v SAP pro automatizaci přenosu údajů pro zdanění budov SŽ pro zadávací dokumentaci výběrového řízení dodavatele</w:t>
      </w:r>
    </w:p>
    <w:p w14:paraId="51797AC7" w14:textId="77777777" w:rsidR="0033628E" w:rsidRDefault="0033628E" w:rsidP="0033628E">
      <w:r>
        <w:t>Poznámky na úvod:</w:t>
      </w:r>
    </w:p>
    <w:p w14:paraId="3C681270" w14:textId="77777777" w:rsidR="0033628E" w:rsidRPr="00B34E2D" w:rsidRDefault="0033628E" w:rsidP="0033628E">
      <w:pPr>
        <w:pStyle w:val="Odstavecseseznamem"/>
        <w:numPr>
          <w:ilvl w:val="0"/>
          <w:numId w:val="40"/>
        </w:numPr>
        <w:spacing w:after="0" w:line="240" w:lineRule="auto"/>
      </w:pPr>
      <w:r>
        <w:t xml:space="preserve">Slovy daň / zdanění je myšleno: Daň z nemovitých věcí Správy železnic – pro zdanitelné nemovité věci SŽ na základě </w:t>
      </w:r>
      <w:r w:rsidRPr="002F1262">
        <w:rPr>
          <w:b/>
        </w:rPr>
        <w:t xml:space="preserve">Zákona </w:t>
      </w:r>
      <w:r w:rsidRPr="002F1262">
        <w:rPr>
          <w:b/>
          <w:bCs/>
        </w:rPr>
        <w:t>č. 338/1992</w:t>
      </w:r>
      <w:r w:rsidRPr="00B34E2D">
        <w:rPr>
          <w:b/>
          <w:bCs/>
        </w:rPr>
        <w:t xml:space="preserve"> Sb.</w:t>
      </w:r>
      <w:r w:rsidRPr="00EF0ABD">
        <w:t>,</w:t>
      </w:r>
      <w:r w:rsidRPr="00B34E2D">
        <w:rPr>
          <w:b/>
          <w:bCs/>
        </w:rPr>
        <w:t xml:space="preserve"> </w:t>
      </w:r>
      <w:r w:rsidRPr="00EF0ABD">
        <w:t>o dani z nemovitých věcí</w:t>
      </w:r>
      <w:r>
        <w:t xml:space="preserve"> v platném znění k 1. 1. 2025 + Vyhláška </w:t>
      </w:r>
      <w:r w:rsidRPr="00B34E2D">
        <w:rPr>
          <w:color w:val="43494D"/>
        </w:rPr>
        <w:t>č. 328/2023 Sb.</w:t>
      </w:r>
      <w:r>
        <w:rPr>
          <w:color w:val="43494D"/>
        </w:rPr>
        <w:t xml:space="preserve"> platná k 1. 1. 2025</w:t>
      </w:r>
    </w:p>
    <w:p w14:paraId="7F982CF9" w14:textId="77777777" w:rsidR="0033628E" w:rsidRPr="00B34E2D" w:rsidRDefault="0033628E" w:rsidP="0033628E">
      <w:pPr>
        <w:pStyle w:val="Odstavecseseznamem"/>
        <w:numPr>
          <w:ilvl w:val="0"/>
          <w:numId w:val="40"/>
        </w:numPr>
        <w:spacing w:after="0" w:line="240" w:lineRule="auto"/>
      </w:pPr>
      <w:r>
        <w:t>V</w:t>
      </w:r>
      <w:r w:rsidRPr="00B34E2D">
        <w:t>eškerá kmenová data včetně aktualizovaných dat z Katastru nemovitostí (KN) jsou dostupná v systému SAP (SAP RE)</w:t>
      </w:r>
    </w:p>
    <w:p w14:paraId="0C0247F1" w14:textId="77777777" w:rsidR="0033628E" w:rsidRDefault="0033628E" w:rsidP="0033628E">
      <w:pPr>
        <w:pStyle w:val="Odstavecseseznamem"/>
        <w:numPr>
          <w:ilvl w:val="0"/>
          <w:numId w:val="40"/>
        </w:numPr>
        <w:spacing w:after="0" w:line="240" w:lineRule="auto"/>
      </w:pPr>
      <w:r>
        <w:t xml:space="preserve">Program se bude týkat budov </w:t>
      </w:r>
      <w:r w:rsidRPr="006C067F">
        <w:t>Správy železnic, státní organizace</w:t>
      </w:r>
      <w:r>
        <w:t xml:space="preserve"> (SŽ) (nepožadujeme řešit pozemky SŽ, avšak je třeba vyřešit kombinaci budovy a pozemku v jedné nájemní smlouvě)</w:t>
      </w:r>
    </w:p>
    <w:p w14:paraId="4E8EA937" w14:textId="77777777" w:rsidR="0033628E" w:rsidRDefault="0033628E" w:rsidP="0033628E">
      <w:pPr>
        <w:pStyle w:val="Odstavecseseznamem"/>
        <w:numPr>
          <w:ilvl w:val="0"/>
          <w:numId w:val="40"/>
        </w:numPr>
        <w:spacing w:after="0" w:line="240" w:lineRule="auto"/>
      </w:pPr>
      <w:r>
        <w:t xml:space="preserve">Program bude spouštět Oddělení daní „z ruky“ na základě přiděleného oprávnění pro Oddělení daní, </w:t>
      </w:r>
      <w:r w:rsidRPr="006C067F">
        <w:t>Odbor ekonomiky</w:t>
      </w:r>
      <w:r>
        <w:t xml:space="preserve">, </w:t>
      </w:r>
      <w:r w:rsidRPr="006C067F">
        <w:t>Generální ředitelství Správy železnic, státní organizace</w:t>
      </w:r>
      <w:r>
        <w:t xml:space="preserve"> (GŘ) (cca 3 oprávnění)</w:t>
      </w:r>
    </w:p>
    <w:p w14:paraId="51FE7374" w14:textId="77777777" w:rsidR="0033628E" w:rsidRDefault="0033628E" w:rsidP="0033628E">
      <w:pPr>
        <w:pStyle w:val="Odstavecseseznamem"/>
        <w:numPr>
          <w:ilvl w:val="0"/>
          <w:numId w:val="40"/>
        </w:numPr>
        <w:spacing w:after="0" w:line="240" w:lineRule="auto"/>
      </w:pPr>
      <w:r>
        <w:t>Odpovědnost za transakci: transakce je kryta oprávněním viz výše</w:t>
      </w:r>
    </w:p>
    <w:p w14:paraId="29A00621" w14:textId="77777777" w:rsidR="0033628E" w:rsidRPr="00C61AC8" w:rsidRDefault="0033628E" w:rsidP="0033628E">
      <w:pPr>
        <w:pStyle w:val="Odstavecseseznamem"/>
        <w:numPr>
          <w:ilvl w:val="0"/>
          <w:numId w:val="40"/>
        </w:numPr>
        <w:spacing w:after="0" w:line="240" w:lineRule="auto"/>
      </w:pPr>
      <w:r>
        <w:t>Simulační běh: Transakce bude spouštěna v lednu. Před ostrým spuštěním požadujeme simulační běh, který odhalí chyby – včetně kontrolního protokolu chyb.</w:t>
      </w:r>
    </w:p>
    <w:p w14:paraId="7B17E36C" w14:textId="77777777" w:rsidR="0033628E" w:rsidRDefault="0033628E" w:rsidP="0033628E"/>
    <w:p w14:paraId="5E7C925B" w14:textId="77777777" w:rsidR="0033628E" w:rsidRPr="00E36686" w:rsidRDefault="0033628E" w:rsidP="0033628E">
      <w:pPr>
        <w:rPr>
          <w:b/>
          <w:bCs/>
          <w:color w:val="002B59" w:themeColor="accent1"/>
          <w:sz w:val="28"/>
          <w:szCs w:val="28"/>
        </w:rPr>
      </w:pPr>
      <w:r w:rsidRPr="00E36686">
        <w:rPr>
          <w:b/>
          <w:bCs/>
          <w:color w:val="002B59" w:themeColor="accent1"/>
          <w:sz w:val="28"/>
          <w:szCs w:val="28"/>
        </w:rPr>
        <w:t>OBSAH:</w:t>
      </w:r>
    </w:p>
    <w:p w14:paraId="6C078B17" w14:textId="77777777" w:rsidR="0033628E" w:rsidRDefault="0033628E" w:rsidP="0033628E">
      <w:pPr>
        <w:spacing w:line="240" w:lineRule="auto"/>
      </w:pPr>
      <w:r>
        <w:t xml:space="preserve">1.  Cíl programu automatizace </w:t>
      </w:r>
    </w:p>
    <w:p w14:paraId="786FEFFB" w14:textId="77777777" w:rsidR="0033628E" w:rsidRDefault="0033628E" w:rsidP="0033628E">
      <w:pPr>
        <w:spacing w:line="240" w:lineRule="auto"/>
      </w:pPr>
      <w:r>
        <w:t>2.  Podstata programu</w:t>
      </w:r>
    </w:p>
    <w:p w14:paraId="79566F7C" w14:textId="77777777" w:rsidR="0033628E" w:rsidRDefault="0033628E" w:rsidP="0033628E">
      <w:pPr>
        <w:spacing w:line="240" w:lineRule="auto"/>
      </w:pPr>
      <w:r>
        <w:t>3.  Zdůvodnění</w:t>
      </w:r>
    </w:p>
    <w:p w14:paraId="03FFD944" w14:textId="77777777" w:rsidR="0033628E" w:rsidRDefault="0033628E" w:rsidP="0033628E">
      <w:pPr>
        <w:spacing w:line="240" w:lineRule="auto"/>
      </w:pPr>
      <w:r>
        <w:t>4.  Legislativní podstata programu</w:t>
      </w:r>
    </w:p>
    <w:p w14:paraId="093ECADE" w14:textId="77777777" w:rsidR="0033628E" w:rsidRDefault="0033628E" w:rsidP="0033628E">
      <w:pPr>
        <w:spacing w:line="240" w:lineRule="auto"/>
      </w:pPr>
      <w:r>
        <w:t>5.  Popis běhu programu</w:t>
      </w:r>
    </w:p>
    <w:p w14:paraId="48F94CDD" w14:textId="77777777" w:rsidR="0033628E" w:rsidRPr="00AD2331" w:rsidRDefault="0033628E" w:rsidP="0033628E">
      <w:pPr>
        <w:spacing w:line="240" w:lineRule="auto"/>
        <w:rPr>
          <w:b/>
          <w:bCs/>
        </w:rPr>
      </w:pPr>
      <w:r>
        <w:t xml:space="preserve">6.  </w:t>
      </w:r>
      <w:r w:rsidRPr="004C54D4">
        <w:t>Algoritmus výpočtu osvobozených / zdaněných ploch</w:t>
      </w:r>
    </w:p>
    <w:p w14:paraId="1F068631" w14:textId="77777777" w:rsidR="0033628E" w:rsidRDefault="0033628E" w:rsidP="0033628E">
      <w:pPr>
        <w:spacing w:line="240" w:lineRule="auto"/>
      </w:pPr>
      <w:r>
        <w:t>7.  Problematické otázky k řešení</w:t>
      </w:r>
    </w:p>
    <w:p w14:paraId="5856B95A" w14:textId="77777777" w:rsidR="0033628E" w:rsidRPr="004C54D4" w:rsidRDefault="0033628E" w:rsidP="0033628E">
      <w:pPr>
        <w:spacing w:line="240" w:lineRule="auto"/>
      </w:pPr>
      <w:r>
        <w:t xml:space="preserve">8.  </w:t>
      </w:r>
      <w:r w:rsidRPr="004C54D4">
        <w:t>Testování a zaškolení uživatelů v prostředí SŽ</w:t>
      </w:r>
      <w:r>
        <w:t>, manuály a dokumentace</w:t>
      </w:r>
    </w:p>
    <w:p w14:paraId="12118A57" w14:textId="77777777" w:rsidR="0033628E" w:rsidRPr="004C54D4" w:rsidRDefault="0033628E" w:rsidP="0033628E">
      <w:pPr>
        <w:spacing w:line="240" w:lineRule="auto"/>
      </w:pPr>
      <w:r w:rsidRPr="004C54D4">
        <w:t>9.  Termíny a místo plnění (GŘ Praha + MS TEAMS) pro dodavatele</w:t>
      </w:r>
    </w:p>
    <w:p w14:paraId="45F4DA83" w14:textId="77777777" w:rsidR="0033628E" w:rsidRDefault="0033628E" w:rsidP="0033628E">
      <w:pPr>
        <w:spacing w:line="240" w:lineRule="auto"/>
      </w:pPr>
      <w:r>
        <w:t>10. Vytvoření kontrolních reportů</w:t>
      </w:r>
    </w:p>
    <w:p w14:paraId="5D6FA230" w14:textId="77777777" w:rsidR="0033628E" w:rsidRDefault="0033628E" w:rsidP="0033628E">
      <w:pPr>
        <w:spacing w:line="240" w:lineRule="auto"/>
      </w:pPr>
      <w:r>
        <w:t>11. Transakce a oprávnění</w:t>
      </w:r>
    </w:p>
    <w:p w14:paraId="1EADFA09" w14:textId="77777777" w:rsidR="0033628E" w:rsidRDefault="0033628E" w:rsidP="0033628E">
      <w:r>
        <w:t>12. Dodávka konzultantských a programátorských prací</w:t>
      </w:r>
    </w:p>
    <w:p w14:paraId="135DE2A5" w14:textId="77777777" w:rsidR="0033628E" w:rsidRPr="00870742" w:rsidRDefault="0033628E" w:rsidP="0033628E">
      <w:pPr>
        <w:pStyle w:val="Odstavecseseznamem"/>
        <w:numPr>
          <w:ilvl w:val="0"/>
          <w:numId w:val="41"/>
        </w:numPr>
        <w:spacing w:after="0" w:line="240" w:lineRule="auto"/>
        <w:rPr>
          <w:b/>
          <w:bCs/>
          <w:color w:val="002B59" w:themeColor="accent1"/>
          <w:sz w:val="28"/>
          <w:szCs w:val="28"/>
        </w:rPr>
      </w:pPr>
      <w:r w:rsidRPr="00870742">
        <w:rPr>
          <w:b/>
          <w:bCs/>
          <w:color w:val="002B59" w:themeColor="accent1"/>
          <w:sz w:val="28"/>
          <w:szCs w:val="28"/>
        </w:rPr>
        <w:lastRenderedPageBreak/>
        <w:t>Cíl</w:t>
      </w:r>
      <w:r>
        <w:rPr>
          <w:b/>
          <w:bCs/>
          <w:color w:val="002B59" w:themeColor="accent1"/>
          <w:sz w:val="28"/>
          <w:szCs w:val="28"/>
        </w:rPr>
        <w:t xml:space="preserve"> programu</w:t>
      </w:r>
      <w:r w:rsidRPr="00870742">
        <w:rPr>
          <w:b/>
          <w:bCs/>
          <w:color w:val="002B59" w:themeColor="accent1"/>
          <w:sz w:val="28"/>
          <w:szCs w:val="28"/>
        </w:rPr>
        <w:t>:</w:t>
      </w:r>
    </w:p>
    <w:p w14:paraId="13CC9056" w14:textId="77777777" w:rsidR="0033628E" w:rsidRDefault="0033628E" w:rsidP="0033628E">
      <w:r>
        <w:rPr>
          <w:b/>
          <w:bCs/>
        </w:rPr>
        <w:t>C</w:t>
      </w:r>
      <w:r w:rsidRPr="00FA2233">
        <w:rPr>
          <w:b/>
          <w:bCs/>
        </w:rPr>
        <w:t xml:space="preserve">ílem programu </w:t>
      </w:r>
      <w:r>
        <w:rPr>
          <w:b/>
          <w:bCs/>
        </w:rPr>
        <w:t xml:space="preserve">v SAP pro </w:t>
      </w:r>
      <w:r w:rsidRPr="00FA2233">
        <w:rPr>
          <w:b/>
          <w:bCs/>
        </w:rPr>
        <w:t>automatizac</w:t>
      </w:r>
      <w:r>
        <w:rPr>
          <w:b/>
          <w:bCs/>
        </w:rPr>
        <w:t xml:space="preserve">i přenosu údajů </w:t>
      </w:r>
      <w:r>
        <w:t>je správně vyplněné přiznání k dani z nemovitých věcí Správy železnic pro rok 2025 (k 31. 1. 2025) a roky následující pro zdanitelné stavby a budovy SŽ</w:t>
      </w:r>
    </w:p>
    <w:p w14:paraId="29C9F628" w14:textId="77777777" w:rsidR="0033628E" w:rsidRDefault="0033628E" w:rsidP="0033628E">
      <w:pPr>
        <w:pStyle w:val="Odstavecseseznamem"/>
        <w:numPr>
          <w:ilvl w:val="0"/>
          <w:numId w:val="35"/>
        </w:numPr>
        <w:spacing w:after="0" w:line="240" w:lineRule="auto"/>
      </w:pPr>
      <w:r>
        <w:t xml:space="preserve">předpoklad a požadavek na dodavatele – zadávací dokumentace a program automatizace vychází a bude splňovat všechny požadavky pro formulář Přiznání k DzNV dle aktuálně platné Vyhlášky </w:t>
      </w:r>
      <w:r w:rsidRPr="00B82328">
        <w:rPr>
          <w:color w:val="43494D"/>
        </w:rPr>
        <w:t xml:space="preserve">č. </w:t>
      </w:r>
      <w:r w:rsidRPr="00F65B2C">
        <w:t>328/2023 Sb.</w:t>
      </w:r>
      <w:r>
        <w:t xml:space="preserve"> a Pokynů k vyplnění přiznání k dani z NV od zdaňovacího období roku 2025</w:t>
      </w:r>
    </w:p>
    <w:p w14:paraId="43F517E0" w14:textId="77777777" w:rsidR="0033628E" w:rsidRDefault="0033628E" w:rsidP="0033628E">
      <w:pPr>
        <w:pStyle w:val="Odstavecseseznamem"/>
        <w:numPr>
          <w:ilvl w:val="1"/>
          <w:numId w:val="35"/>
        </w:numPr>
        <w:spacing w:after="0" w:line="240" w:lineRule="auto"/>
      </w:pPr>
      <w:r>
        <w:t>bude-li daná vyhláška nově aktualizována – novelizována – s účinností k 1. 1. 2025, dodavatel zajistí příslušnou aktualizaci programu automatizace, bude-li to vyžadováno zadavatelem</w:t>
      </w:r>
    </w:p>
    <w:p w14:paraId="2CA1C0D2" w14:textId="77777777" w:rsidR="0033628E" w:rsidRDefault="0033628E" w:rsidP="0033628E">
      <w:pPr>
        <w:pStyle w:val="Odstavecseseznamem"/>
        <w:numPr>
          <w:ilvl w:val="0"/>
          <w:numId w:val="35"/>
        </w:numPr>
        <w:spacing w:after="0" w:line="240" w:lineRule="auto"/>
      </w:pPr>
      <w:r>
        <w:t xml:space="preserve">předpoklad a požadavek na dodavatele – zadávací dokumentace a program automatizace vychází a bude splňovat všechny požadavky závazné pro Správu železnic ze zákona </w:t>
      </w:r>
      <w:r w:rsidRPr="00EF0ABD">
        <w:t xml:space="preserve">Zákon </w:t>
      </w:r>
      <w:r w:rsidRPr="00EF0ABD">
        <w:rPr>
          <w:b/>
          <w:bCs/>
        </w:rPr>
        <w:t>č. 338/1992 Sb.</w:t>
      </w:r>
      <w:r w:rsidRPr="00EF0ABD">
        <w:t>,</w:t>
      </w:r>
      <w:r w:rsidRPr="00EF0ABD">
        <w:rPr>
          <w:b/>
          <w:bCs/>
        </w:rPr>
        <w:t xml:space="preserve"> </w:t>
      </w:r>
      <w:r w:rsidRPr="00EF0ABD">
        <w:t>o dani z nemovitých věcí</w:t>
      </w:r>
      <w:r>
        <w:t xml:space="preserve"> v platném znění k 1. 1. 2025 a to zejména s odkazem na ustanovení popsaná v bodu 4 níže </w:t>
      </w:r>
    </w:p>
    <w:p w14:paraId="546F06F6" w14:textId="77777777" w:rsidR="0033628E" w:rsidRPr="009959AC" w:rsidRDefault="0033628E" w:rsidP="0033628E">
      <w:pPr>
        <w:pStyle w:val="Odstavecseseznamem"/>
        <w:numPr>
          <w:ilvl w:val="1"/>
          <w:numId w:val="35"/>
        </w:numPr>
        <w:spacing w:after="0" w:line="240" w:lineRule="auto"/>
      </w:pPr>
      <w:r>
        <w:t xml:space="preserve">bude-li </w:t>
      </w:r>
      <w:r>
        <w:rPr>
          <w:b/>
        </w:rPr>
        <w:t>Z</w:t>
      </w:r>
      <w:r w:rsidRPr="002F1262">
        <w:rPr>
          <w:b/>
        </w:rPr>
        <w:t xml:space="preserve">ákon </w:t>
      </w:r>
      <w:r w:rsidRPr="00EF0ABD">
        <w:rPr>
          <w:b/>
          <w:bCs/>
        </w:rPr>
        <w:t>č. 338/1992 Sb.</w:t>
      </w:r>
      <w:r w:rsidRPr="00EF0ABD">
        <w:t>,</w:t>
      </w:r>
      <w:r w:rsidRPr="00EF0ABD">
        <w:rPr>
          <w:b/>
          <w:bCs/>
        </w:rPr>
        <w:t xml:space="preserve"> </w:t>
      </w:r>
      <w:r w:rsidRPr="00EF0ABD">
        <w:t>o dani z nemovitých věcí</w:t>
      </w:r>
      <w:r>
        <w:t xml:space="preserve">, opětovně aktualizován – novelizován s účinností k 1. 1. 2025, dodavatel zajistí příslušnou </w:t>
      </w:r>
      <w:r w:rsidRPr="009959AC">
        <w:t>aktualizaci programu automatizace, bude-li to vyžadováno zadavatelem</w:t>
      </w:r>
    </w:p>
    <w:p w14:paraId="426B00EE" w14:textId="16BDE389" w:rsidR="0033628E" w:rsidRPr="009959AC" w:rsidRDefault="0033628E" w:rsidP="0033628E">
      <w:pPr>
        <w:pStyle w:val="Odstavecseseznamem"/>
        <w:numPr>
          <w:ilvl w:val="0"/>
          <w:numId w:val="35"/>
        </w:numPr>
        <w:spacing w:after="0" w:line="240" w:lineRule="auto"/>
        <w:rPr>
          <w:u w:val="single"/>
        </w:rPr>
      </w:pPr>
      <w:r w:rsidRPr="009959AC">
        <w:rPr>
          <w:u w:val="single"/>
        </w:rPr>
        <w:t xml:space="preserve">program automatizace bude také v souladu s metodikou GFŘ – </w:t>
      </w:r>
      <w:r w:rsidR="00366B48" w:rsidRPr="009959AC">
        <w:rPr>
          <w:u w:val="single"/>
        </w:rPr>
        <w:t>tvoří přílohu č. </w:t>
      </w:r>
      <w:r w:rsidR="00EE1A11" w:rsidRPr="009959AC">
        <w:rPr>
          <w:u w:val="single"/>
        </w:rPr>
        <w:t>1 této Bližší specifikace</w:t>
      </w:r>
      <w:r w:rsidRPr="009959AC">
        <w:rPr>
          <w:u w:val="single"/>
        </w:rPr>
        <w:t xml:space="preserve"> </w:t>
      </w:r>
    </w:p>
    <w:p w14:paraId="1E0F8414" w14:textId="77777777" w:rsidR="0033628E" w:rsidRDefault="0033628E" w:rsidP="0033628E"/>
    <w:p w14:paraId="544AB008" w14:textId="77777777" w:rsidR="0033628E" w:rsidRDefault="0033628E" w:rsidP="0033628E">
      <w:r>
        <w:t xml:space="preserve">Poznámka: program automatizace přenosu údajů pro zdanění pozemků SŽ byl implementován pro rok 2024 (k 1. 1. 2024).  Je spouštěn samostatnou transakcí. </w:t>
      </w:r>
    </w:p>
    <w:p w14:paraId="505008A8" w14:textId="77777777" w:rsidR="0033628E" w:rsidRDefault="0033628E" w:rsidP="0033628E"/>
    <w:p w14:paraId="2969087F" w14:textId="77777777" w:rsidR="0033628E" w:rsidRPr="00870742" w:rsidRDefault="0033628E" w:rsidP="0033628E">
      <w:pPr>
        <w:pStyle w:val="Odstavecseseznamem"/>
        <w:numPr>
          <w:ilvl w:val="0"/>
          <w:numId w:val="41"/>
        </w:numPr>
        <w:spacing w:after="0" w:line="240" w:lineRule="auto"/>
        <w:rPr>
          <w:b/>
          <w:bCs/>
          <w:color w:val="002B59" w:themeColor="accent1"/>
          <w:sz w:val="28"/>
          <w:szCs w:val="28"/>
        </w:rPr>
      </w:pPr>
      <w:r w:rsidRPr="00870742">
        <w:rPr>
          <w:b/>
          <w:bCs/>
          <w:color w:val="002B59" w:themeColor="accent1"/>
          <w:sz w:val="28"/>
          <w:szCs w:val="28"/>
        </w:rPr>
        <w:t>Podstata programu SAP pro automatizaci přenosu údajů:</w:t>
      </w:r>
    </w:p>
    <w:p w14:paraId="3D77C674" w14:textId="77777777" w:rsidR="0033628E" w:rsidRPr="003073B8" w:rsidRDefault="0033628E" w:rsidP="0033628E">
      <w:pPr>
        <w:rPr>
          <w:b/>
          <w:bCs/>
        </w:rPr>
      </w:pPr>
      <w:r>
        <w:rPr>
          <w:b/>
          <w:bCs/>
        </w:rPr>
        <w:t>Poznámka: veškerá kmenová data včetně aktualizovaných dat z Katastru nemovitostí (KN) jsou dostupná v systému SAP (SAP RE)</w:t>
      </w:r>
    </w:p>
    <w:p w14:paraId="37053392" w14:textId="77777777" w:rsidR="0033628E" w:rsidRPr="00E16D1A" w:rsidRDefault="0033628E" w:rsidP="0033628E">
      <w:r w:rsidRPr="00E16D1A">
        <w:t>Zajistit</w:t>
      </w:r>
      <w:r>
        <w:t xml:space="preserve"> pro budovy programové řešení v rámci prostředí SAP, které automaticky načte požadované údaje z označených Nájemních smluv a nájemních objektů a přenese tyto údaje na příslušné karty na budově v SAP RE. Dále zajistit automatické vyplnění všech požadovaných údajů na kartě Daně z nemovitostí na budově včetně aktuálních dat katastru nemovitostí k dané budově a pozemku, na kterém budova leží (data KN jsou k dispozici na dalších kartách v SAP).</w:t>
      </w:r>
    </w:p>
    <w:p w14:paraId="5D98434D" w14:textId="77777777" w:rsidR="0033628E" w:rsidRDefault="0033628E" w:rsidP="0033628E">
      <w:pPr>
        <w:rPr>
          <w:b/>
          <w:bCs/>
        </w:rPr>
      </w:pPr>
    </w:p>
    <w:p w14:paraId="355AC3F4" w14:textId="77777777" w:rsidR="0033628E" w:rsidRPr="00870742" w:rsidRDefault="0033628E" w:rsidP="0033628E">
      <w:pPr>
        <w:pStyle w:val="Odstavecseseznamem"/>
        <w:numPr>
          <w:ilvl w:val="0"/>
          <w:numId w:val="41"/>
        </w:numPr>
        <w:spacing w:after="0" w:line="240" w:lineRule="auto"/>
        <w:rPr>
          <w:b/>
          <w:bCs/>
          <w:color w:val="002B59" w:themeColor="accent1"/>
          <w:sz w:val="28"/>
          <w:szCs w:val="28"/>
        </w:rPr>
      </w:pPr>
      <w:r w:rsidRPr="00870742">
        <w:rPr>
          <w:b/>
          <w:bCs/>
          <w:color w:val="002B59" w:themeColor="accent1"/>
          <w:sz w:val="28"/>
          <w:szCs w:val="28"/>
        </w:rPr>
        <w:t>Zdůvodnění:</w:t>
      </w:r>
    </w:p>
    <w:p w14:paraId="761C3F74" w14:textId="77777777" w:rsidR="0033628E" w:rsidRPr="003073B8" w:rsidRDefault="0033628E" w:rsidP="0033628E">
      <w:pPr>
        <w:rPr>
          <w:b/>
          <w:bCs/>
        </w:rPr>
      </w:pPr>
      <w:r>
        <w:rPr>
          <w:b/>
          <w:bCs/>
        </w:rPr>
        <w:t>Aktuální stav k 1. 1. 2024</w:t>
      </w:r>
    </w:p>
    <w:p w14:paraId="34BB40D9" w14:textId="77777777" w:rsidR="0033628E" w:rsidRDefault="0033628E" w:rsidP="0033628E">
      <w:r>
        <w:t xml:space="preserve">Aktuálně jsou stavby (budovy) SŽ osvobozené plně od daně z nemovitých věcí – právní stav k 1. 1. 2024 - je osvobozena celá stavba (budova) i přesto, že v ní jsou zdanitelné pronájmy.  SŽ aktuálně zdaňuje pouze ty budovy, které jsou plně pronajaté a již nejsou užívané k veřejné dopravě. </w:t>
      </w:r>
    </w:p>
    <w:p w14:paraId="0EB39A7A" w14:textId="77777777" w:rsidR="0033628E" w:rsidRDefault="0033628E" w:rsidP="0033628E">
      <w:r>
        <w:t>Osvobození budov SŽ (</w:t>
      </w:r>
      <w:r w:rsidRPr="002F1262">
        <w:rPr>
          <w:b/>
        </w:rPr>
        <w:t xml:space="preserve">Zákon </w:t>
      </w:r>
      <w:r w:rsidRPr="00EF0ABD">
        <w:rPr>
          <w:b/>
          <w:bCs/>
        </w:rPr>
        <w:t>č. 338/1992 Sb.</w:t>
      </w:r>
      <w:r w:rsidRPr="00EF0ABD">
        <w:t>,</w:t>
      </w:r>
      <w:r w:rsidRPr="00EF0ABD">
        <w:rPr>
          <w:b/>
          <w:bCs/>
        </w:rPr>
        <w:t xml:space="preserve"> </w:t>
      </w:r>
      <w:r w:rsidRPr="00EF0ABD">
        <w:t>o dani z nemovitých věcí</w:t>
      </w:r>
      <w:r>
        <w:t xml:space="preserve">): </w:t>
      </w:r>
    </w:p>
    <w:p w14:paraId="1B3A0567" w14:textId="77777777" w:rsidR="0033628E" w:rsidRDefault="0033628E" w:rsidP="0033628E">
      <w:pPr>
        <w:pStyle w:val="Odstavecseseznamem"/>
        <w:numPr>
          <w:ilvl w:val="0"/>
          <w:numId w:val="36"/>
        </w:numPr>
        <w:spacing w:after="0" w:line="240" w:lineRule="auto"/>
      </w:pPr>
      <w:r>
        <w:t>dle § 9 odst. 1) písmeno j)</w:t>
      </w:r>
    </w:p>
    <w:p w14:paraId="1BEDF40C" w14:textId="77777777" w:rsidR="0033628E" w:rsidRDefault="0033628E" w:rsidP="0033628E">
      <w:pPr>
        <w:rPr>
          <w:rFonts w:ascii="Arial" w:hAnsi="Arial" w:cs="Arial"/>
          <w:color w:val="000000"/>
          <w:sz w:val="20"/>
          <w:szCs w:val="20"/>
        </w:rPr>
      </w:pPr>
      <w:r>
        <w:rPr>
          <w:rStyle w:val="PromnnHTML"/>
          <w:rFonts w:ascii="Arial" w:hAnsi="Arial" w:cs="Arial"/>
          <w:b/>
          <w:bCs/>
          <w:color w:val="000000"/>
          <w:sz w:val="20"/>
          <w:szCs w:val="20"/>
        </w:rPr>
        <w:t>j)</w:t>
      </w:r>
      <w:r>
        <w:rPr>
          <w:rFonts w:ascii="Arial" w:hAnsi="Arial" w:cs="Arial"/>
          <w:color w:val="000000"/>
          <w:sz w:val="20"/>
          <w:szCs w:val="20"/>
        </w:rPr>
        <w:t> </w:t>
      </w:r>
      <w:r w:rsidRPr="00AC3CC3">
        <w:rPr>
          <w:rFonts w:ascii="Arial" w:hAnsi="Arial" w:cs="Arial"/>
          <w:color w:val="000000"/>
          <w:sz w:val="20"/>
          <w:szCs w:val="20"/>
          <w:u w:val="single"/>
        </w:rPr>
        <w:t>zdanitelné stavby drah a na dráze</w:t>
      </w:r>
      <w:r>
        <w:rPr>
          <w:rFonts w:ascii="Arial" w:hAnsi="Arial" w:cs="Arial"/>
          <w:color w:val="000000"/>
          <w:sz w:val="20"/>
          <w:szCs w:val="20"/>
        </w:rPr>
        <w:t xml:space="preserve">, letecké, vodních cest a přístavů, pokud jsou v souladu s kolaudačním rozhodnutím podle stavebního zákona </w:t>
      </w:r>
      <w:r w:rsidRPr="00EA0D54">
        <w:rPr>
          <w:rFonts w:ascii="Arial" w:hAnsi="Arial" w:cs="Arial"/>
          <w:color w:val="000000"/>
          <w:sz w:val="20"/>
          <w:szCs w:val="20"/>
          <w:u w:val="single"/>
        </w:rPr>
        <w:t>užívány k veřejné dopravě</w:t>
      </w:r>
      <w:r>
        <w:rPr>
          <w:rFonts w:ascii="Arial" w:hAnsi="Arial" w:cs="Arial"/>
          <w:color w:val="000000"/>
          <w:sz w:val="20"/>
          <w:szCs w:val="20"/>
        </w:rPr>
        <w:t>,</w:t>
      </w:r>
    </w:p>
    <w:p w14:paraId="12B8299C" w14:textId="77777777" w:rsidR="0033628E" w:rsidRDefault="0033628E" w:rsidP="0033628E">
      <w:pPr>
        <w:pStyle w:val="Odstavecseseznamem"/>
        <w:numPr>
          <w:ilvl w:val="0"/>
          <w:numId w:val="36"/>
        </w:numPr>
        <w:spacing w:after="0" w:line="240" w:lineRule="auto"/>
      </w:pPr>
      <w:r>
        <w:t>dle § 9 odst. 1) písmeno a)</w:t>
      </w:r>
    </w:p>
    <w:p w14:paraId="3E20F075" w14:textId="77777777" w:rsidR="0033628E" w:rsidRDefault="0033628E" w:rsidP="0033628E">
      <w:pPr>
        <w:pStyle w:val="l4"/>
        <w:spacing w:before="0" w:beforeAutospacing="0" w:after="0" w:afterAutospacing="0"/>
        <w:jc w:val="both"/>
        <w:rPr>
          <w:rFonts w:ascii="Arial" w:hAnsi="Arial" w:cs="Arial"/>
          <w:color w:val="000000"/>
          <w:sz w:val="20"/>
          <w:szCs w:val="20"/>
        </w:rPr>
      </w:pPr>
      <w:r>
        <w:rPr>
          <w:rStyle w:val="PromnnHTML"/>
          <w:rFonts w:ascii="Arial" w:eastAsiaTheme="majorEastAsia" w:hAnsi="Arial" w:cs="Arial"/>
          <w:b/>
          <w:bCs/>
          <w:color w:val="000000"/>
          <w:sz w:val="20"/>
          <w:szCs w:val="20"/>
        </w:rPr>
        <w:t>a)</w:t>
      </w:r>
      <w:r>
        <w:rPr>
          <w:rFonts w:ascii="Arial" w:hAnsi="Arial" w:cs="Arial"/>
          <w:color w:val="000000"/>
          <w:sz w:val="20"/>
          <w:szCs w:val="20"/>
        </w:rPr>
        <w:t> zdanitelné stavby nebo zdanitelné jednotky ve vlastnictví České republiky,</w:t>
      </w:r>
    </w:p>
    <w:p w14:paraId="10B5877B" w14:textId="77777777" w:rsidR="0033628E" w:rsidRDefault="0033628E" w:rsidP="0033628E"/>
    <w:p w14:paraId="1F1B3E65" w14:textId="77777777" w:rsidR="0033628E" w:rsidRDefault="0033628E" w:rsidP="0033628E">
      <w:r w:rsidRPr="00EB219C">
        <w:rPr>
          <w:b/>
          <w:bCs/>
        </w:rPr>
        <w:t>Novela</w:t>
      </w:r>
      <w:r>
        <w:rPr>
          <w:b/>
          <w:bCs/>
        </w:rPr>
        <w:t xml:space="preserve"> zákona</w:t>
      </w:r>
      <w:r w:rsidRPr="00EB219C">
        <w:rPr>
          <w:b/>
          <w:bCs/>
        </w:rPr>
        <w:t xml:space="preserve"> k 1.</w:t>
      </w:r>
      <w:r>
        <w:rPr>
          <w:b/>
          <w:bCs/>
        </w:rPr>
        <w:t xml:space="preserve"> </w:t>
      </w:r>
      <w:r w:rsidRPr="00EB219C">
        <w:rPr>
          <w:b/>
          <w:bCs/>
        </w:rPr>
        <w:t>1.</w:t>
      </w:r>
      <w:r>
        <w:rPr>
          <w:b/>
          <w:bCs/>
        </w:rPr>
        <w:t xml:space="preserve"> </w:t>
      </w:r>
      <w:r w:rsidRPr="00EB219C">
        <w:rPr>
          <w:b/>
          <w:bCs/>
        </w:rPr>
        <w:t>2025</w:t>
      </w:r>
      <w:r w:rsidRPr="00CF5F0B">
        <w:rPr>
          <w:b/>
          <w:bCs/>
        </w:rPr>
        <w:br/>
      </w:r>
      <w:r>
        <w:t xml:space="preserve">Avšak s novelou zákona k 1. 1. 2025 bude osvobození budov SŽ omezeno. SŽ je povinna nově zdaňovat budovy (zejména výpravní budovy), které nebudou splňovat podmínky pro plné osvobození. Tedy takové, ve kterých jsou zdanitelné pronájmy.  </w:t>
      </w:r>
    </w:p>
    <w:p w14:paraId="733571D2" w14:textId="77777777" w:rsidR="0033628E" w:rsidRDefault="0033628E" w:rsidP="0033628E">
      <w:r>
        <w:t>Pro ilustraci je uveden možný mix využití podlahové plochy výpravní budovy:</w:t>
      </w:r>
    </w:p>
    <w:p w14:paraId="645C69EA" w14:textId="77777777" w:rsidR="0033628E" w:rsidRDefault="0033628E" w:rsidP="0033628E">
      <w:pPr>
        <w:pStyle w:val="Odstavecseseznamem"/>
        <w:numPr>
          <w:ilvl w:val="0"/>
          <w:numId w:val="37"/>
        </w:numPr>
        <w:spacing w:after="0" w:line="240" w:lineRule="auto"/>
      </w:pPr>
      <w:r>
        <w:t>částečně využito pro veřejnou dopravu – osvobozeno od daně</w:t>
      </w:r>
    </w:p>
    <w:p w14:paraId="4858341D" w14:textId="77777777" w:rsidR="0033628E" w:rsidRDefault="0033628E" w:rsidP="0033628E">
      <w:pPr>
        <w:pStyle w:val="Odstavecseseznamem"/>
        <w:numPr>
          <w:ilvl w:val="0"/>
          <w:numId w:val="37"/>
        </w:numPr>
        <w:spacing w:after="0" w:line="240" w:lineRule="auto"/>
      </w:pPr>
      <w:r>
        <w:t>prostory neužívané – osvobozeno od daně</w:t>
      </w:r>
    </w:p>
    <w:p w14:paraId="7AD40AE8" w14:textId="77777777" w:rsidR="0033628E" w:rsidRDefault="0033628E" w:rsidP="0033628E">
      <w:pPr>
        <w:pStyle w:val="Odstavecseseznamem"/>
        <w:numPr>
          <w:ilvl w:val="0"/>
          <w:numId w:val="37"/>
        </w:numPr>
        <w:spacing w:after="0" w:line="240" w:lineRule="auto"/>
      </w:pPr>
      <w:r>
        <w:t>prostory pronajaté dopravcům pro zajištění veřejné přepravy – osvobozeno od daně</w:t>
      </w:r>
    </w:p>
    <w:p w14:paraId="33B36656" w14:textId="77777777" w:rsidR="0033628E" w:rsidRDefault="0033628E" w:rsidP="0033628E">
      <w:pPr>
        <w:pStyle w:val="Odstavecseseznamem"/>
        <w:numPr>
          <w:ilvl w:val="0"/>
          <w:numId w:val="37"/>
        </w:numPr>
        <w:spacing w:after="0" w:line="240" w:lineRule="auto"/>
      </w:pPr>
      <w:r>
        <w:t>prostory pronajaté nepodnikatelským subjektům, které splňují podmínky pro osvobození – např obec, město, Policie ČR, Městská policie, ….</w:t>
      </w:r>
    </w:p>
    <w:p w14:paraId="0469B50E" w14:textId="77777777" w:rsidR="0033628E" w:rsidRDefault="0033628E" w:rsidP="0033628E">
      <w:pPr>
        <w:pStyle w:val="Odstavecseseznamem"/>
        <w:numPr>
          <w:ilvl w:val="0"/>
          <w:numId w:val="37"/>
        </w:numPr>
        <w:spacing w:after="0" w:line="240" w:lineRule="auto"/>
      </w:pPr>
      <w:r>
        <w:t>prostory pronajaté k podnikání, avšak osvobozené od daně – lékárny, lékaři</w:t>
      </w:r>
    </w:p>
    <w:p w14:paraId="66539C52" w14:textId="77777777" w:rsidR="0033628E" w:rsidRDefault="0033628E" w:rsidP="0033628E">
      <w:pPr>
        <w:pStyle w:val="Odstavecseseznamem"/>
        <w:numPr>
          <w:ilvl w:val="0"/>
          <w:numId w:val="37"/>
        </w:numPr>
        <w:spacing w:after="0" w:line="240" w:lineRule="auto"/>
      </w:pPr>
      <w:r>
        <w:t>prostory pronajaté k podnikání – zdaněné daní z NV – příklady – občerstvení, restaurace, kavárny, prodejny, služby, kanceláře, bankomaty, automaty na cukrovinky nebo nápoje, Alza boxy a pod</w:t>
      </w:r>
    </w:p>
    <w:p w14:paraId="30A0E582" w14:textId="79FE4457" w:rsidR="0033628E" w:rsidRDefault="0033628E" w:rsidP="0033628E">
      <w:pPr>
        <w:pStyle w:val="Odstavecseseznamem"/>
        <w:numPr>
          <w:ilvl w:val="0"/>
          <w:numId w:val="37"/>
        </w:numPr>
        <w:spacing w:after="0" w:line="240" w:lineRule="auto"/>
      </w:pPr>
      <w:r>
        <w:t xml:space="preserve">prostory pronajaté k bydlení – byty - </w:t>
      </w:r>
      <w:r w:rsidR="00E26AE3">
        <w:t xml:space="preserve">dle </w:t>
      </w:r>
      <w:r w:rsidR="002B5ABF">
        <w:t xml:space="preserve">Stanoviska GFŘ, které tvoří </w:t>
      </w:r>
      <w:r w:rsidR="00E26AE3" w:rsidRPr="00E26AE3">
        <w:t>přílohu č. 1 této Bližší specifikace</w:t>
      </w:r>
    </w:p>
    <w:p w14:paraId="27917F66" w14:textId="77777777" w:rsidR="0033628E" w:rsidRDefault="0033628E" w:rsidP="0033628E"/>
    <w:p w14:paraId="13D1375C" w14:textId="77777777" w:rsidR="0033628E" w:rsidRDefault="0033628E" w:rsidP="0033628E">
      <w:pPr>
        <w:pStyle w:val="Odstavecseseznamem"/>
        <w:numPr>
          <w:ilvl w:val="0"/>
          <w:numId w:val="41"/>
        </w:numPr>
        <w:spacing w:after="0" w:line="240" w:lineRule="auto"/>
      </w:pPr>
      <w:r w:rsidRPr="004F3E5B">
        <w:rPr>
          <w:b/>
          <w:bCs/>
          <w:color w:val="002B59" w:themeColor="accent1"/>
          <w:sz w:val="28"/>
          <w:szCs w:val="28"/>
        </w:rPr>
        <w:t>Legislativní podstata běhu programu automatizace:</w:t>
      </w:r>
      <w:r w:rsidRPr="004F3E5B">
        <w:rPr>
          <w:b/>
          <w:bCs/>
        </w:rPr>
        <w:br/>
      </w:r>
    </w:p>
    <w:p w14:paraId="5C458CF3" w14:textId="77777777" w:rsidR="0033628E" w:rsidRPr="004F3E5B" w:rsidRDefault="0033628E" w:rsidP="0033628E">
      <w:pPr>
        <w:pStyle w:val="Odstavecseseznamem"/>
        <w:ind w:left="360"/>
      </w:pPr>
      <w:r w:rsidRPr="00EF0ABD">
        <w:t xml:space="preserve">Zákon </w:t>
      </w:r>
      <w:r w:rsidRPr="004F3E5B">
        <w:rPr>
          <w:b/>
          <w:bCs/>
        </w:rPr>
        <w:t>č. 338/1992 Sb.</w:t>
      </w:r>
      <w:r w:rsidRPr="00EF0ABD">
        <w:t>,</w:t>
      </w:r>
      <w:r w:rsidRPr="004F3E5B">
        <w:rPr>
          <w:b/>
          <w:bCs/>
        </w:rPr>
        <w:t xml:space="preserve"> </w:t>
      </w:r>
      <w:r w:rsidRPr="00EF0ABD">
        <w:t>o dani z nemovitých věcí</w:t>
      </w:r>
      <w:r>
        <w:t xml:space="preserve"> v platném znění k 1. 1. 2025:</w:t>
      </w:r>
    </w:p>
    <w:p w14:paraId="733D3FE2" w14:textId="77777777" w:rsidR="0033628E" w:rsidRDefault="0033628E" w:rsidP="0033628E"/>
    <w:p w14:paraId="0FC8B9BD" w14:textId="77777777" w:rsidR="0033628E" w:rsidRPr="00CC46EA" w:rsidRDefault="0033628E" w:rsidP="0033628E">
      <w:pPr>
        <w:pStyle w:val="para"/>
        <w:spacing w:before="0" w:beforeAutospacing="0" w:after="0" w:afterAutospacing="0"/>
        <w:jc w:val="center"/>
        <w:rPr>
          <w:rFonts w:ascii="Aptos" w:eastAsiaTheme="minorHAnsi" w:hAnsi="Aptos" w:cs="Aptos"/>
          <w:b/>
          <w:sz w:val="22"/>
          <w:szCs w:val="22"/>
          <w:lang w:eastAsia="en-US"/>
          <w14:ligatures w14:val="standardContextual"/>
        </w:rPr>
      </w:pPr>
      <w:r w:rsidRPr="00CC46EA">
        <w:rPr>
          <w:rFonts w:ascii="Aptos" w:eastAsiaTheme="minorHAnsi" w:hAnsi="Aptos" w:cs="Aptos"/>
          <w:b/>
          <w:sz w:val="22"/>
          <w:szCs w:val="22"/>
          <w:lang w:eastAsia="en-US"/>
          <w14:ligatures w14:val="standardContextual"/>
        </w:rPr>
        <w:t>§ 9</w:t>
      </w:r>
    </w:p>
    <w:p w14:paraId="228A4C39" w14:textId="77777777" w:rsidR="0033628E" w:rsidRPr="00AB0D4D" w:rsidRDefault="0033628E" w:rsidP="0033628E">
      <w:pPr>
        <w:pStyle w:val="Nadpis3"/>
        <w:spacing w:before="0" w:line="330" w:lineRule="atLeast"/>
        <w:jc w:val="center"/>
        <w:rPr>
          <w:rFonts w:eastAsiaTheme="minorHAnsi" w:cs="Aptos"/>
          <w:bCs/>
          <w:color w:val="auto"/>
          <w:sz w:val="20"/>
          <w:szCs w:val="20"/>
        </w:rPr>
      </w:pPr>
      <w:r w:rsidRPr="00AB0D4D">
        <w:rPr>
          <w:rFonts w:eastAsiaTheme="minorHAnsi" w:cs="Aptos"/>
          <w:color w:val="auto"/>
          <w:sz w:val="20"/>
          <w:szCs w:val="20"/>
        </w:rPr>
        <w:t>Osvobození od daně</w:t>
      </w:r>
    </w:p>
    <w:p w14:paraId="2E9AE1E7" w14:textId="77777777" w:rsidR="0033628E" w:rsidRPr="00AB0D4D" w:rsidRDefault="0033628E" w:rsidP="0033628E">
      <w:pPr>
        <w:pStyle w:val="normalodsazene"/>
        <w:shd w:val="clear" w:color="auto" w:fill="FFFFFF"/>
        <w:spacing w:before="120" w:beforeAutospacing="0" w:after="120" w:afterAutospacing="0"/>
        <w:jc w:val="both"/>
        <w:rPr>
          <w:rFonts w:ascii="Helvetica" w:hAnsi="Helvetica" w:cs="Helvetica"/>
          <w:color w:val="333333"/>
          <w:sz w:val="20"/>
          <w:szCs w:val="20"/>
        </w:rPr>
      </w:pPr>
      <w:r w:rsidRPr="00AB0D4D">
        <w:rPr>
          <w:rFonts w:ascii="Helvetica" w:hAnsi="Helvetica" w:cs="Helvetica"/>
          <w:color w:val="333333"/>
          <w:sz w:val="20"/>
          <w:szCs w:val="20"/>
        </w:rPr>
        <w:t>(1) </w:t>
      </w:r>
      <w:r w:rsidRPr="00AB0D4D">
        <w:rPr>
          <w:rFonts w:ascii="Aptos" w:eastAsiaTheme="minorHAnsi" w:hAnsi="Aptos" w:cs="Aptos"/>
          <w:sz w:val="20"/>
          <w:szCs w:val="20"/>
          <w:lang w:eastAsia="en-US"/>
          <w14:ligatures w14:val="standardContextual"/>
        </w:rPr>
        <w:t>Od daně ze staveb a jednotek jsou osvobozeny:</w:t>
      </w:r>
    </w:p>
    <w:p w14:paraId="06D9216E" w14:textId="77777777" w:rsidR="0033628E" w:rsidRPr="00AB0D4D" w:rsidRDefault="0033628E" w:rsidP="0033628E">
      <w:pPr>
        <w:pStyle w:val="normalodsazene"/>
        <w:shd w:val="clear" w:color="auto" w:fill="FFFFFF"/>
        <w:spacing w:before="120" w:beforeAutospacing="0" w:after="120" w:afterAutospacing="0"/>
        <w:jc w:val="both"/>
        <w:rPr>
          <w:rFonts w:ascii="Helvetica" w:hAnsi="Helvetica" w:cs="Helvetica"/>
          <w:color w:val="333333"/>
          <w:sz w:val="20"/>
          <w:szCs w:val="20"/>
        </w:rPr>
      </w:pPr>
      <w:r w:rsidRPr="00AB0D4D">
        <w:rPr>
          <w:rFonts w:ascii="Helvetica" w:hAnsi="Helvetica" w:cs="Helvetica"/>
          <w:color w:val="333333"/>
          <w:sz w:val="20"/>
          <w:szCs w:val="20"/>
        </w:rPr>
        <w:t>a) </w:t>
      </w:r>
      <w:r w:rsidRPr="00AB0D4D">
        <w:rPr>
          <w:rFonts w:ascii="Aptos" w:eastAsiaTheme="minorHAnsi" w:hAnsi="Aptos" w:cs="Aptos"/>
          <w:sz w:val="20"/>
          <w:szCs w:val="20"/>
          <w:lang w:eastAsia="en-US"/>
          <w14:ligatures w14:val="standardContextual"/>
        </w:rPr>
        <w:t>zdanitelné stavby nebo zdanitelné jednotky ve vlastnictví České republiky,</w:t>
      </w:r>
    </w:p>
    <w:p w14:paraId="52E42983" w14:textId="77777777" w:rsidR="0033628E" w:rsidRPr="00AB0D4D" w:rsidRDefault="0033628E" w:rsidP="0033628E">
      <w:pPr>
        <w:pStyle w:val="normalodsazene"/>
        <w:shd w:val="clear" w:color="auto" w:fill="FFFFFF"/>
        <w:spacing w:before="120" w:beforeAutospacing="0" w:after="120" w:afterAutospacing="0"/>
        <w:jc w:val="both"/>
        <w:rPr>
          <w:rFonts w:ascii="Helvetica" w:hAnsi="Helvetica" w:cs="Helvetica"/>
          <w:color w:val="333333"/>
          <w:sz w:val="20"/>
          <w:szCs w:val="20"/>
        </w:rPr>
      </w:pPr>
      <w:r w:rsidRPr="00AB0D4D">
        <w:rPr>
          <w:rFonts w:ascii="Helvetica" w:hAnsi="Helvetica" w:cs="Helvetica"/>
          <w:color w:val="333333"/>
          <w:sz w:val="20"/>
          <w:szCs w:val="20"/>
        </w:rPr>
        <w:t>j) </w:t>
      </w:r>
      <w:r w:rsidRPr="00AB0D4D">
        <w:rPr>
          <w:rFonts w:ascii="Aptos" w:eastAsiaTheme="minorHAnsi" w:hAnsi="Aptos" w:cs="Aptos"/>
          <w:sz w:val="20"/>
          <w:szCs w:val="20"/>
          <w:lang w:eastAsia="en-US"/>
          <w14:ligatures w14:val="standardContextual"/>
        </w:rPr>
        <w:t xml:space="preserve">zdanitelné stavby drah a na dráze, letecké, vodních cest a přístavů, pokud jsou v souladu s kolaudačním rozhodnutím podle stavebního zákona </w:t>
      </w:r>
      <w:r w:rsidRPr="00AB0D4D">
        <w:rPr>
          <w:rFonts w:ascii="Aptos" w:eastAsiaTheme="minorHAnsi" w:hAnsi="Aptos" w:cs="Aptos"/>
          <w:sz w:val="20"/>
          <w:szCs w:val="20"/>
          <w:u w:val="single"/>
          <w:lang w:eastAsia="en-US"/>
          <w14:ligatures w14:val="standardContextual"/>
        </w:rPr>
        <w:t>užívány k veřejné dopravě</w:t>
      </w:r>
      <w:r w:rsidRPr="00AB0D4D">
        <w:rPr>
          <w:rFonts w:ascii="Aptos" w:eastAsiaTheme="minorHAnsi" w:hAnsi="Aptos" w:cs="Aptos"/>
          <w:sz w:val="20"/>
          <w:szCs w:val="20"/>
          <w:lang w:eastAsia="en-US"/>
          <w14:ligatures w14:val="standardContextual"/>
        </w:rPr>
        <w:t>,</w:t>
      </w:r>
    </w:p>
    <w:p w14:paraId="16197B68" w14:textId="77777777" w:rsidR="0033628E" w:rsidRPr="00AB0D4D" w:rsidRDefault="0033628E" w:rsidP="0033628E">
      <w:pPr>
        <w:pStyle w:val="normalodsazene"/>
        <w:shd w:val="clear" w:color="auto" w:fill="FFFFFF"/>
        <w:spacing w:before="120" w:beforeAutospacing="0" w:after="120" w:afterAutospacing="0"/>
        <w:jc w:val="both"/>
        <w:rPr>
          <w:rFonts w:ascii="Aptos" w:eastAsiaTheme="minorHAnsi" w:hAnsi="Aptos" w:cs="Aptos"/>
          <w:sz w:val="20"/>
          <w:szCs w:val="20"/>
          <w:lang w:eastAsia="en-US"/>
          <w14:ligatures w14:val="standardContextual"/>
        </w:rPr>
      </w:pPr>
      <w:r w:rsidRPr="00AB0D4D">
        <w:rPr>
          <w:rFonts w:ascii="Helvetica" w:hAnsi="Helvetica" w:cs="Helvetica"/>
          <w:color w:val="333333"/>
          <w:sz w:val="20"/>
          <w:szCs w:val="20"/>
        </w:rPr>
        <w:t>(2) </w:t>
      </w:r>
      <w:r w:rsidRPr="00AB0D4D">
        <w:rPr>
          <w:rFonts w:ascii="Aptos" w:eastAsiaTheme="minorHAnsi" w:hAnsi="Aptos" w:cs="Aptos"/>
          <w:sz w:val="20"/>
          <w:szCs w:val="20"/>
          <w:lang w:eastAsia="en-US"/>
          <w14:ligatures w14:val="standardContextual"/>
        </w:rPr>
        <w:t xml:space="preserve">Pokud podmínky osvobození podle odstavce 1 splňuje pouze část zdanitelné stavby nebo zdanitelné jednotky, je od daně ze staveb a jednotek osvobozena pouze tato část; </w:t>
      </w:r>
      <w:r w:rsidRPr="00AB0D4D">
        <w:rPr>
          <w:b/>
          <w:color w:val="000000" w:themeColor="text1"/>
          <w:sz w:val="20"/>
          <w:szCs w:val="20"/>
        </w:rPr>
        <w:t>v případě zdanitelné stavby podle odstavce 1 písm. i) nebo j) je osvobozena celá zdanitelná stavba</w:t>
      </w:r>
      <w:r w:rsidRPr="00AB0D4D">
        <w:rPr>
          <w:rFonts w:ascii="Aptos" w:eastAsiaTheme="minorHAnsi" w:hAnsi="Aptos" w:cs="Aptos"/>
          <w:color w:val="000000" w:themeColor="text1"/>
          <w:sz w:val="20"/>
          <w:szCs w:val="20"/>
          <w:lang w:eastAsia="en-US"/>
          <w14:ligatures w14:val="standardContextual"/>
        </w:rPr>
        <w:t xml:space="preserve">. </w:t>
      </w:r>
      <w:r w:rsidRPr="00AB0D4D">
        <w:rPr>
          <w:rFonts w:ascii="Aptos" w:eastAsiaTheme="minorHAnsi" w:hAnsi="Aptos" w:cs="Aptos"/>
          <w:sz w:val="20"/>
          <w:szCs w:val="20"/>
          <w:lang w:eastAsia="en-US"/>
          <w14:ligatures w14:val="standardContextual"/>
        </w:rPr>
        <w:t>Pokud podmínky pro vyloučení jednotlivého osvobození podle odstavce 4 splňuje pouze část zdanitelné stavby nebo zdanitelné jednotky, je z tohoto osvobození vyloučena pouze tato část.</w:t>
      </w:r>
    </w:p>
    <w:p w14:paraId="6A9FFF13" w14:textId="77777777" w:rsidR="0033628E" w:rsidRPr="00AB0D4D" w:rsidRDefault="0033628E" w:rsidP="0033628E">
      <w:pPr>
        <w:pStyle w:val="normalodsazene"/>
        <w:shd w:val="clear" w:color="auto" w:fill="FFFFFF"/>
        <w:spacing w:before="120" w:beforeAutospacing="0" w:after="120" w:afterAutospacing="0"/>
        <w:jc w:val="both"/>
        <w:rPr>
          <w:rFonts w:ascii="Helvetica" w:hAnsi="Helvetica" w:cs="Helvetica"/>
          <w:b/>
          <w:bCs/>
          <w:color w:val="333333"/>
          <w:sz w:val="20"/>
          <w:szCs w:val="20"/>
        </w:rPr>
      </w:pPr>
      <w:r w:rsidRPr="00AB0D4D">
        <w:rPr>
          <w:rFonts w:ascii="Helvetica" w:hAnsi="Helvetica" w:cs="Helvetica"/>
          <w:color w:val="333333"/>
          <w:sz w:val="20"/>
          <w:szCs w:val="20"/>
        </w:rPr>
        <w:t>(3</w:t>
      </w:r>
      <w:r w:rsidRPr="00AB0D4D">
        <w:rPr>
          <w:rFonts w:ascii="Helvetica" w:hAnsi="Helvetica" w:cs="Helvetica"/>
          <w:b/>
          <w:bCs/>
          <w:color w:val="333333"/>
          <w:sz w:val="20"/>
          <w:szCs w:val="20"/>
        </w:rPr>
        <w:t>) </w:t>
      </w:r>
      <w:r w:rsidRPr="00AB0D4D">
        <w:rPr>
          <w:rFonts w:ascii="Aptos" w:eastAsiaTheme="minorHAnsi" w:hAnsi="Aptos" w:cs="Aptos"/>
          <w:sz w:val="20"/>
          <w:szCs w:val="20"/>
          <w:lang w:eastAsia="en-US"/>
          <w14:ligatures w14:val="standardContextual"/>
        </w:rPr>
        <w:t>Pokud část zdanitelné stavby nebo zdanitelné jednotky není osvobozena, zjistí se nárok na osvobození od daně ze staveb a jednotek z poměru, v jakém je podlahová plocha nadzemní části zdanitelné stavby nebo podlahová plocha zdanitelné jednotky podléhající osvobození k celkové podlahové ploše nadzemních částí zdanitelné stavby nebo podlahové ploše zdanitelné jednotky.</w:t>
      </w:r>
    </w:p>
    <w:p w14:paraId="170961E2" w14:textId="77777777" w:rsidR="0033628E" w:rsidRPr="00AB0D4D" w:rsidRDefault="0033628E" w:rsidP="0033628E">
      <w:pPr>
        <w:pStyle w:val="normalodsazene"/>
        <w:shd w:val="clear" w:color="auto" w:fill="FFFFFF"/>
        <w:spacing w:before="120" w:beforeAutospacing="0" w:after="120" w:afterAutospacing="0"/>
        <w:jc w:val="both"/>
        <w:rPr>
          <w:rFonts w:ascii="Aptos" w:eastAsiaTheme="minorHAnsi" w:hAnsi="Aptos" w:cs="Aptos"/>
          <w:sz w:val="20"/>
          <w:szCs w:val="20"/>
          <w:lang w:eastAsia="en-US"/>
          <w14:ligatures w14:val="standardContextual"/>
        </w:rPr>
      </w:pPr>
      <w:r w:rsidRPr="00AB0D4D">
        <w:rPr>
          <w:sz w:val="20"/>
          <w:szCs w:val="20"/>
        </w:rPr>
        <w:t xml:space="preserve">(4) </w:t>
      </w:r>
      <w:r w:rsidRPr="00AB0D4D">
        <w:rPr>
          <w:rFonts w:ascii="Aptos" w:eastAsiaTheme="minorHAnsi" w:hAnsi="Aptos" w:cs="Aptos"/>
          <w:sz w:val="20"/>
          <w:szCs w:val="20"/>
          <w:lang w:eastAsia="en-US"/>
          <w14:ligatures w14:val="standardContextual"/>
        </w:rPr>
        <w:t xml:space="preserve">Zdanitelné stavby, </w:t>
      </w:r>
      <w:r w:rsidRPr="00AB0D4D">
        <w:rPr>
          <w:rFonts w:ascii="Aptos" w:eastAsiaTheme="minorHAnsi" w:hAnsi="Aptos" w:cs="Aptos"/>
          <w:sz w:val="20"/>
          <w:szCs w:val="20"/>
          <w:u w:val="single"/>
          <w:lang w:eastAsia="en-US"/>
          <w14:ligatures w14:val="standardContextual"/>
        </w:rPr>
        <w:t>s výjimkou budov obytných domů</w:t>
      </w:r>
      <w:r w:rsidRPr="00AB0D4D">
        <w:rPr>
          <w:rFonts w:ascii="Aptos" w:eastAsiaTheme="minorHAnsi" w:hAnsi="Aptos" w:cs="Aptos"/>
          <w:sz w:val="20"/>
          <w:szCs w:val="20"/>
          <w:lang w:eastAsia="en-US"/>
          <w14:ligatures w14:val="standardContextual"/>
        </w:rPr>
        <w:t xml:space="preserve">, a zdanitelné jednotky, které zahrnují nebytový prostor jiný než sklep nebo komoru, </w:t>
      </w:r>
      <w:r w:rsidRPr="00AB0D4D">
        <w:rPr>
          <w:rFonts w:ascii="Aptos" w:eastAsiaTheme="minorHAnsi" w:hAnsi="Aptos" w:cs="Aptos"/>
          <w:sz w:val="20"/>
          <w:szCs w:val="20"/>
          <w:u w:val="single"/>
          <w:lang w:eastAsia="en-US"/>
          <w14:ligatures w14:val="standardContextual"/>
        </w:rPr>
        <w:t>osvobozené podle odstavce</w:t>
      </w:r>
      <w:r w:rsidRPr="00AB0D4D" w:rsidDel="00804D75">
        <w:rPr>
          <w:rFonts w:ascii="Aptos" w:eastAsiaTheme="minorHAnsi" w:hAnsi="Aptos" w:cs="Aptos"/>
          <w:sz w:val="20"/>
          <w:szCs w:val="20"/>
          <w:u w:val="single"/>
          <w:lang w:eastAsia="en-US"/>
          <w14:ligatures w14:val="standardContextual"/>
        </w:rPr>
        <w:t xml:space="preserve"> </w:t>
      </w:r>
      <w:r w:rsidRPr="00AB0D4D">
        <w:rPr>
          <w:rFonts w:ascii="Aptos" w:eastAsiaTheme="minorHAnsi" w:hAnsi="Aptos" w:cs="Aptos"/>
          <w:sz w:val="20"/>
          <w:szCs w:val="20"/>
          <w:u w:val="single"/>
          <w:lang w:eastAsia="en-US"/>
          <w14:ligatures w14:val="standardContextual"/>
        </w:rPr>
        <w:t>1 písm. a)</w:t>
      </w:r>
      <w:r w:rsidRPr="00AB0D4D">
        <w:rPr>
          <w:rFonts w:ascii="Aptos" w:eastAsiaTheme="minorHAnsi" w:hAnsi="Aptos" w:cs="Aptos"/>
          <w:sz w:val="20"/>
          <w:szCs w:val="20"/>
          <w:lang w:eastAsia="en-US"/>
          <w14:ligatures w14:val="standardContextual"/>
        </w:rPr>
        <w:t xml:space="preserve"> jsou osvobozeny od daně ze staveb a jednotek, </w:t>
      </w:r>
      <w:r w:rsidRPr="00AB0D4D">
        <w:rPr>
          <w:rFonts w:ascii="Aptos" w:eastAsiaTheme="minorHAnsi" w:hAnsi="Aptos" w:cs="Aptos"/>
          <w:b/>
          <w:bCs/>
          <w:sz w:val="20"/>
          <w:szCs w:val="20"/>
          <w:lang w:eastAsia="en-US"/>
          <w14:ligatures w14:val="standardContextual"/>
        </w:rPr>
        <w:t>nejsou-li</w:t>
      </w:r>
      <w:r w:rsidRPr="00AB0D4D">
        <w:rPr>
          <w:rFonts w:ascii="Aptos" w:eastAsiaTheme="minorHAnsi" w:hAnsi="Aptos" w:cs="Aptos"/>
          <w:sz w:val="20"/>
          <w:szCs w:val="20"/>
          <w:lang w:eastAsia="en-US"/>
          <w14:ligatures w14:val="standardContextual"/>
        </w:rPr>
        <w:t xml:space="preserve"> užívány k podnikání, pronajímány nebo propachtovány; jsou-li pronajaty nebo propachtovány obci, kraji nebo organizační složce státu anebo příspěvkové organizaci, jsou osvobozeny za předpokladu, že nejsou užívány k podnikání. Zdanitelné stavby nebo zdanitelné jednotky osvobozené podle odstavce 1 písm. e), f), u) a v) jsou osvobozeny od daně ze staveb a jednotek, nejsou-li užívány k podnikání, pronajímány nebo propachtovány</w:t>
      </w:r>
      <w:r w:rsidRPr="00AB0D4D">
        <w:rPr>
          <w:sz w:val="20"/>
          <w:szCs w:val="20"/>
        </w:rPr>
        <w:t xml:space="preserve">. </w:t>
      </w:r>
      <w:r w:rsidRPr="00AB0D4D">
        <w:rPr>
          <w:b/>
          <w:color w:val="000000" w:themeColor="text1"/>
          <w:sz w:val="20"/>
          <w:szCs w:val="20"/>
        </w:rPr>
        <w:t>Zdanitelné stavby osvobozené podle odstavce 1 písm. j) jsou osvobozeny od daně ze staveb a jednotek, nejsou-li užívány k podnikání v jiné oblasti než veřejná doprava nebo pronajímány anebo propachtovány za jiným účelem než k zajišťování veřejné dopravy.</w:t>
      </w:r>
      <w:r w:rsidRPr="00AB0D4D">
        <w:rPr>
          <w:color w:val="000000" w:themeColor="text1"/>
          <w:sz w:val="20"/>
          <w:szCs w:val="20"/>
        </w:rPr>
        <w:t xml:space="preserve"> </w:t>
      </w:r>
      <w:r w:rsidRPr="00AB0D4D">
        <w:rPr>
          <w:rFonts w:ascii="Aptos" w:eastAsiaTheme="minorHAnsi" w:hAnsi="Aptos" w:cs="Aptos"/>
          <w:sz w:val="20"/>
          <w:szCs w:val="20"/>
          <w:lang w:eastAsia="en-US"/>
          <w14:ligatures w14:val="standardContextual"/>
        </w:rPr>
        <w:t>Osvobození od daně ze staveb a jednotek podle odstavce 1 písm. r) se nevztahuje na zdanitelnou stavbu a zdanitelnou jednotku, je-li centrálně vytápěna a napojena na systém rozvodného tepelného zařízení podle energetického zákona.</w:t>
      </w:r>
    </w:p>
    <w:p w14:paraId="5DFCD6BE" w14:textId="77777777" w:rsidR="0033628E" w:rsidRDefault="0033628E" w:rsidP="0033628E"/>
    <w:p w14:paraId="47C72757" w14:textId="77777777" w:rsidR="0033628E" w:rsidRPr="00F00321" w:rsidRDefault="0033628E" w:rsidP="0033628E">
      <w:pPr>
        <w:pStyle w:val="Odstavecseseznamem"/>
        <w:numPr>
          <w:ilvl w:val="0"/>
          <w:numId w:val="41"/>
        </w:numPr>
        <w:spacing w:after="0" w:line="240" w:lineRule="auto"/>
        <w:rPr>
          <w:b/>
          <w:bCs/>
          <w:color w:val="002B59" w:themeColor="accent1"/>
          <w:sz w:val="28"/>
          <w:szCs w:val="28"/>
        </w:rPr>
      </w:pPr>
      <w:r w:rsidRPr="00F00321">
        <w:rPr>
          <w:b/>
          <w:bCs/>
          <w:color w:val="002B59" w:themeColor="accent1"/>
          <w:sz w:val="28"/>
          <w:szCs w:val="28"/>
        </w:rPr>
        <w:t>Popis běhu programu:</w:t>
      </w:r>
    </w:p>
    <w:p w14:paraId="3E3D1929" w14:textId="77777777" w:rsidR="0033628E" w:rsidRDefault="0033628E" w:rsidP="0033628E">
      <w:pPr>
        <w:spacing w:before="240"/>
      </w:pPr>
      <w:r>
        <w:t>Poznámky k procesu: SŽ nemá žádné zdanitelné jednotky ve smyslu bytové jednotky samostatně zapsané v KN – tedy tyto není třeba programově řešit.</w:t>
      </w:r>
    </w:p>
    <w:p w14:paraId="48FB0A98" w14:textId="77777777" w:rsidR="0033628E" w:rsidRDefault="0033628E" w:rsidP="0033628E">
      <w:r>
        <w:t>Požadavek na simulační běh programu před ostrým spuštěním včetně kontrolního protokolu zjištěných chyb.</w:t>
      </w:r>
    </w:p>
    <w:p w14:paraId="61D234BF" w14:textId="77777777" w:rsidR="0033628E" w:rsidRDefault="0033628E" w:rsidP="0033628E">
      <w:pPr>
        <w:pStyle w:val="Odstavecseseznamem"/>
        <w:numPr>
          <w:ilvl w:val="0"/>
          <w:numId w:val="38"/>
        </w:numPr>
        <w:spacing w:after="0" w:line="240" w:lineRule="auto"/>
      </w:pPr>
      <w:r>
        <w:t>program bude z </w:t>
      </w:r>
      <w:r w:rsidRPr="00D9057B">
        <w:rPr>
          <w:u w:val="single"/>
        </w:rPr>
        <w:t xml:space="preserve">označených </w:t>
      </w:r>
      <w:r>
        <w:rPr>
          <w:u w:val="single"/>
        </w:rPr>
        <w:t xml:space="preserve">(zatržítko Daň na NS) </w:t>
      </w:r>
      <w:r w:rsidRPr="00D9057B">
        <w:rPr>
          <w:u w:val="single"/>
        </w:rPr>
        <w:t>nájemních smluv</w:t>
      </w:r>
      <w:r>
        <w:t xml:space="preserve"> a nájemních objektů vybírat a načítat podlahové plochy relevantní pro zdanění / osvobození / zjištění, zda příslušná budova bude označena jako budova pro bydlení, pro podnikání nebo další možné rozlišení budov (rekreace, garáž, ostatní zdanitelná stavba, příslušenství k budově obytného domu), viz podrobněji níže</w:t>
      </w:r>
    </w:p>
    <w:p w14:paraId="583E60D2" w14:textId="77777777" w:rsidR="0033628E" w:rsidRDefault="0033628E" w:rsidP="0033628E">
      <w:pPr>
        <w:pStyle w:val="Odstavecseseznamem"/>
        <w:numPr>
          <w:ilvl w:val="0"/>
          <w:numId w:val="38"/>
        </w:numPr>
        <w:spacing w:after="0" w:line="240" w:lineRule="auto"/>
      </w:pPr>
      <w:r>
        <w:t>zjištěné údaje o výměrách bude program zapisovat do karty Vyměření na dané budově (patrně bude nutné přidat další položky do karty Vyměření) - sledovat historii změn</w:t>
      </w:r>
    </w:p>
    <w:p w14:paraId="6C154588" w14:textId="77777777" w:rsidR="0033628E" w:rsidRDefault="0033628E" w:rsidP="0033628E">
      <w:pPr>
        <w:pStyle w:val="Odstavecseseznamem"/>
        <w:numPr>
          <w:ilvl w:val="0"/>
          <w:numId w:val="38"/>
        </w:numPr>
        <w:spacing w:after="0" w:line="240" w:lineRule="auto"/>
      </w:pPr>
      <w:r>
        <w:t>následně bude program pracovat s kartou Daň z nemovitostí</w:t>
      </w:r>
    </w:p>
    <w:p w14:paraId="07196C2B" w14:textId="77777777" w:rsidR="0033628E" w:rsidRDefault="0033628E" w:rsidP="0033628E">
      <w:pPr>
        <w:pStyle w:val="Odstavecseseznamem"/>
        <w:numPr>
          <w:ilvl w:val="1"/>
          <w:numId w:val="38"/>
        </w:numPr>
        <w:spacing w:after="0" w:line="240" w:lineRule="auto"/>
      </w:pPr>
      <w:r>
        <w:t>zatrhnout zatržítko Předmět daně pro zdanitelnou budovu případně zatržítko odtrhnout</w:t>
      </w:r>
    </w:p>
    <w:p w14:paraId="7557678A" w14:textId="77777777" w:rsidR="0033628E" w:rsidRDefault="0033628E" w:rsidP="0033628E">
      <w:pPr>
        <w:pStyle w:val="Odstavecseseznamem"/>
        <w:numPr>
          <w:ilvl w:val="1"/>
          <w:numId w:val="38"/>
        </w:numPr>
        <w:spacing w:after="0" w:line="240" w:lineRule="auto"/>
      </w:pPr>
      <w:r>
        <w:t>vyplnit údaje z KN (katastr nemovitostí) pro danou budovu – data SAP REM</w:t>
      </w:r>
    </w:p>
    <w:p w14:paraId="352C02A2" w14:textId="77777777" w:rsidR="0033628E" w:rsidRDefault="0033628E" w:rsidP="0033628E">
      <w:pPr>
        <w:pStyle w:val="Odstavecseseznamem"/>
        <w:numPr>
          <w:ilvl w:val="1"/>
          <w:numId w:val="38"/>
        </w:numPr>
        <w:spacing w:after="0" w:line="240" w:lineRule="auto"/>
      </w:pPr>
      <w:r>
        <w:t>vyplnit údaje z KN pro pozemek na kterém budova leží – data SAP REM</w:t>
      </w:r>
    </w:p>
    <w:p w14:paraId="746DD119" w14:textId="77777777" w:rsidR="0033628E" w:rsidRDefault="0033628E" w:rsidP="0033628E">
      <w:pPr>
        <w:pStyle w:val="Odstavecseseznamem"/>
        <w:numPr>
          <w:ilvl w:val="2"/>
          <w:numId w:val="38"/>
        </w:numPr>
        <w:spacing w:after="0" w:line="240" w:lineRule="auto"/>
      </w:pPr>
      <w:r>
        <w:t xml:space="preserve">případné mapovací můstky budou diskutovány a dodány </w:t>
      </w:r>
    </w:p>
    <w:p w14:paraId="33FB9A87" w14:textId="77777777" w:rsidR="0033628E" w:rsidRDefault="0033628E" w:rsidP="0033628E">
      <w:pPr>
        <w:pStyle w:val="Odstavecseseznamem"/>
        <w:numPr>
          <w:ilvl w:val="2"/>
          <w:numId w:val="38"/>
        </w:numPr>
        <w:spacing w:after="0" w:line="240" w:lineRule="auto"/>
      </w:pPr>
      <w:r>
        <w:t>podokno Parcely – pozor na budovy s vícero pozemky a katastrální území (KÚ)</w:t>
      </w:r>
    </w:p>
    <w:p w14:paraId="5663FCFE" w14:textId="77777777" w:rsidR="0033628E" w:rsidRDefault="0033628E" w:rsidP="0033628E">
      <w:pPr>
        <w:pStyle w:val="Odstavecseseznamem"/>
        <w:numPr>
          <w:ilvl w:val="1"/>
          <w:numId w:val="38"/>
        </w:numPr>
        <w:spacing w:after="0" w:line="240" w:lineRule="auto"/>
      </w:pPr>
      <w:r>
        <w:t>program určí a vyplní Druh nemovitosti (písmeno dle formuláře přiznání)</w:t>
      </w:r>
    </w:p>
    <w:p w14:paraId="54ED6ED8" w14:textId="77777777" w:rsidR="0033628E" w:rsidRDefault="0033628E" w:rsidP="0033628E">
      <w:pPr>
        <w:pStyle w:val="Odstavecseseznamem"/>
        <w:numPr>
          <w:ilvl w:val="0"/>
          <w:numId w:val="38"/>
        </w:numPr>
        <w:spacing w:after="0" w:line="240" w:lineRule="auto"/>
      </w:pPr>
    </w:p>
    <w:p w14:paraId="33C234C1" w14:textId="77777777" w:rsidR="0033628E" w:rsidRDefault="0033628E" w:rsidP="0033628E">
      <w:pPr>
        <w:pStyle w:val="Odstavecseseznamem"/>
        <w:numPr>
          <w:ilvl w:val="2"/>
          <w:numId w:val="38"/>
        </w:numPr>
        <w:spacing w:after="0" w:line="240" w:lineRule="auto"/>
      </w:pPr>
      <w:r>
        <w:t>H – bydlení</w:t>
      </w:r>
    </w:p>
    <w:p w14:paraId="3C6E9340" w14:textId="77777777" w:rsidR="0033628E" w:rsidRDefault="0033628E" w:rsidP="0033628E">
      <w:pPr>
        <w:pStyle w:val="Odstavecseseznamem"/>
        <w:numPr>
          <w:ilvl w:val="2"/>
          <w:numId w:val="38"/>
        </w:numPr>
        <w:spacing w:after="0" w:line="240" w:lineRule="auto"/>
      </w:pPr>
      <w:r>
        <w:t>I – ostatní budova tvořící příslušenství k budově obytného domu</w:t>
      </w:r>
    </w:p>
    <w:p w14:paraId="7913CE7F" w14:textId="77777777" w:rsidR="0033628E" w:rsidRDefault="0033628E" w:rsidP="0033628E">
      <w:pPr>
        <w:pStyle w:val="Odstavecseseznamem"/>
        <w:numPr>
          <w:ilvl w:val="2"/>
          <w:numId w:val="38"/>
        </w:numPr>
        <w:spacing w:after="0" w:line="240" w:lineRule="auto"/>
      </w:pPr>
      <w:r>
        <w:t>J – dle zápisu v KN jako rekreace – mapovat na údaj v kartě Technická data</w:t>
      </w:r>
    </w:p>
    <w:p w14:paraId="07E5CC96" w14:textId="77777777" w:rsidR="0033628E" w:rsidRDefault="0033628E" w:rsidP="0033628E">
      <w:pPr>
        <w:pStyle w:val="Odstavecseseznamem"/>
        <w:numPr>
          <w:ilvl w:val="2"/>
          <w:numId w:val="38"/>
        </w:numPr>
        <w:spacing w:after="0" w:line="240" w:lineRule="auto"/>
      </w:pPr>
      <w:r>
        <w:t>K budova plnící doplňkovou funkci k rekreačním budovám</w:t>
      </w:r>
    </w:p>
    <w:p w14:paraId="15E64015" w14:textId="77777777" w:rsidR="0033628E" w:rsidRDefault="0033628E" w:rsidP="0033628E">
      <w:pPr>
        <w:pStyle w:val="Odstavecseseznamem"/>
        <w:numPr>
          <w:ilvl w:val="2"/>
          <w:numId w:val="38"/>
        </w:numPr>
        <w:spacing w:after="0" w:line="240" w:lineRule="auto"/>
      </w:pPr>
      <w:r>
        <w:t>L – garáž dle zápisu v KN mapovat na údaj v kartě Technická data</w:t>
      </w:r>
    </w:p>
    <w:p w14:paraId="3D3511D6" w14:textId="77777777" w:rsidR="0033628E" w:rsidRDefault="0033628E" w:rsidP="0033628E">
      <w:pPr>
        <w:pStyle w:val="Odstavecseseznamem"/>
        <w:numPr>
          <w:ilvl w:val="2"/>
          <w:numId w:val="38"/>
        </w:numPr>
        <w:spacing w:after="0" w:line="240" w:lineRule="auto"/>
      </w:pPr>
      <w:r>
        <w:t>P – ostatní zdanitelná stavba</w:t>
      </w:r>
    </w:p>
    <w:p w14:paraId="37FA1F07" w14:textId="77777777" w:rsidR="0033628E" w:rsidRDefault="0033628E" w:rsidP="0033628E">
      <w:pPr>
        <w:pStyle w:val="Odstavecseseznamem"/>
        <w:numPr>
          <w:ilvl w:val="2"/>
          <w:numId w:val="38"/>
        </w:numPr>
        <w:spacing w:after="0" w:line="240" w:lineRule="auto"/>
      </w:pPr>
      <w:r>
        <w:t>N – k podnikání v průmyslu, stavebnictví, dopravě, atd.</w:t>
      </w:r>
    </w:p>
    <w:p w14:paraId="118512AF" w14:textId="77777777" w:rsidR="0033628E" w:rsidRDefault="0033628E" w:rsidP="0033628E">
      <w:pPr>
        <w:pStyle w:val="Odstavecseseznamem"/>
        <w:numPr>
          <w:ilvl w:val="2"/>
          <w:numId w:val="38"/>
        </w:numPr>
        <w:spacing w:after="0" w:line="240" w:lineRule="auto"/>
      </w:pPr>
      <w:r>
        <w:t>Případně další nová písmena, pakliže by byl aktualizovaný formulář Přiznání k dani k 1.1. 2025</w:t>
      </w:r>
    </w:p>
    <w:p w14:paraId="392A6D76" w14:textId="77777777" w:rsidR="0033628E" w:rsidRDefault="0033628E" w:rsidP="0033628E">
      <w:pPr>
        <w:pStyle w:val="Odstavecseseznamem"/>
        <w:numPr>
          <w:ilvl w:val="1"/>
          <w:numId w:val="38"/>
        </w:numPr>
        <w:spacing w:after="0" w:line="240" w:lineRule="auto"/>
      </w:pPr>
      <w:r>
        <w:t xml:space="preserve">vyplnit další požadované údaje relevantní pro daň </w:t>
      </w:r>
    </w:p>
    <w:p w14:paraId="2BB60FF3" w14:textId="77777777" w:rsidR="0033628E" w:rsidRDefault="0033628E" w:rsidP="0033628E"/>
    <w:p w14:paraId="028EAD14" w14:textId="77777777" w:rsidR="0033628E" w:rsidRDefault="0033628E" w:rsidP="0033628E">
      <w:r>
        <w:t>Požadujeme sledovat historii změn, kde je to možné.</w:t>
      </w:r>
    </w:p>
    <w:p w14:paraId="36929CE7" w14:textId="77777777" w:rsidR="0033628E" w:rsidRPr="009959AC" w:rsidRDefault="0033628E" w:rsidP="0033628E">
      <w:r>
        <w:t xml:space="preserve">Data KN jsou pravidelně každý měsíc aktualizována a vedena v SAP na pozemku i na budově </w:t>
      </w:r>
      <w:r w:rsidRPr="009959AC">
        <w:t>(karta Data z KN + karta Technická data).</w:t>
      </w:r>
    </w:p>
    <w:p w14:paraId="319A0C15" w14:textId="77777777" w:rsidR="0033628E" w:rsidRPr="009959AC" w:rsidRDefault="0033628E" w:rsidP="0033628E"/>
    <w:p w14:paraId="7DCE5B04" w14:textId="77777777" w:rsidR="0033628E" w:rsidRPr="009959AC" w:rsidRDefault="0033628E" w:rsidP="0033628E">
      <w:pPr>
        <w:pStyle w:val="Odstavecseseznamem"/>
        <w:numPr>
          <w:ilvl w:val="0"/>
          <w:numId w:val="41"/>
        </w:numPr>
        <w:spacing w:after="0" w:line="240" w:lineRule="auto"/>
        <w:rPr>
          <w:b/>
          <w:bCs/>
          <w:color w:val="002B59" w:themeColor="accent1"/>
          <w:sz w:val="28"/>
          <w:szCs w:val="28"/>
        </w:rPr>
      </w:pPr>
      <w:r w:rsidRPr="009959AC">
        <w:rPr>
          <w:b/>
          <w:bCs/>
          <w:color w:val="002B59" w:themeColor="accent1"/>
          <w:sz w:val="28"/>
          <w:szCs w:val="28"/>
        </w:rPr>
        <w:t>Algoritmus výpočtu osvobozených / zdaněných ploch:</w:t>
      </w:r>
    </w:p>
    <w:p w14:paraId="70869D0A" w14:textId="77777777" w:rsidR="0033628E" w:rsidRPr="009959AC" w:rsidRDefault="0033628E" w:rsidP="0033628E"/>
    <w:p w14:paraId="77437ABF" w14:textId="3F7C78E5" w:rsidR="0033628E" w:rsidRPr="009959AC" w:rsidRDefault="009959AC" w:rsidP="009959AC">
      <w:pPr>
        <w:pStyle w:val="Odstavecseseznamem"/>
        <w:numPr>
          <w:ilvl w:val="0"/>
          <w:numId w:val="38"/>
        </w:numPr>
        <w:spacing w:after="0" w:line="240" w:lineRule="auto"/>
      </w:pPr>
      <w:r w:rsidRPr="009959AC">
        <w:t>Nárok na osvobození od daně ze staveb se zjistí na základě podlahových ploch a postupu stanoveného v Zákoně č. 338/1992 Sb., o dani z nemovitých věcí v platném znění, a v souladu s formulářem přiznání k dani. Je také nezbytné v algoritmu výpočtu reflektovat Stanovisko GFŘ, které tvoří přílohu č. 1 této Bližší specifikace, a je specifické pro zdanitelné stavby a výpravní budovy Správy železnic</w:t>
      </w:r>
      <w:r>
        <w:t>.</w:t>
      </w:r>
    </w:p>
    <w:p w14:paraId="72C8E3CD" w14:textId="77777777" w:rsidR="0033628E" w:rsidRDefault="0033628E" w:rsidP="0033628E"/>
    <w:p w14:paraId="1FD81767" w14:textId="77777777" w:rsidR="0033628E" w:rsidRPr="001F725B" w:rsidRDefault="0033628E" w:rsidP="0033628E">
      <w:pPr>
        <w:rPr>
          <w:b/>
          <w:bCs/>
          <w:color w:val="002B59" w:themeColor="accent1"/>
          <w:sz w:val="28"/>
          <w:szCs w:val="28"/>
        </w:rPr>
      </w:pPr>
    </w:p>
    <w:p w14:paraId="40067B7F" w14:textId="77777777" w:rsidR="0033628E" w:rsidRPr="001F725B" w:rsidRDefault="0033628E" w:rsidP="0033628E">
      <w:pPr>
        <w:pStyle w:val="Odstavecseseznamem"/>
        <w:numPr>
          <w:ilvl w:val="0"/>
          <w:numId w:val="41"/>
        </w:numPr>
        <w:spacing w:after="0" w:line="240" w:lineRule="auto"/>
        <w:rPr>
          <w:b/>
          <w:bCs/>
          <w:color w:val="002B59" w:themeColor="accent1"/>
          <w:sz w:val="28"/>
          <w:szCs w:val="28"/>
        </w:rPr>
      </w:pPr>
      <w:r>
        <w:rPr>
          <w:b/>
          <w:bCs/>
          <w:color w:val="002B59" w:themeColor="accent1"/>
          <w:sz w:val="28"/>
          <w:szCs w:val="28"/>
        </w:rPr>
        <w:lastRenderedPageBreak/>
        <w:t xml:space="preserve">Problematické otázky k </w:t>
      </w:r>
      <w:r w:rsidRPr="001F725B">
        <w:rPr>
          <w:b/>
          <w:bCs/>
          <w:color w:val="002B59" w:themeColor="accent1"/>
          <w:sz w:val="28"/>
          <w:szCs w:val="28"/>
        </w:rPr>
        <w:t>vyřešení:</w:t>
      </w:r>
    </w:p>
    <w:p w14:paraId="53BC9000" w14:textId="77777777" w:rsidR="0033628E" w:rsidRPr="00AD2331" w:rsidRDefault="0033628E" w:rsidP="0033628E">
      <w:pPr>
        <w:spacing w:after="0"/>
        <w:rPr>
          <w:b/>
          <w:bCs/>
        </w:rPr>
      </w:pPr>
    </w:p>
    <w:p w14:paraId="03ED3A2D" w14:textId="77777777" w:rsidR="0033628E" w:rsidRDefault="0033628E" w:rsidP="0033628E">
      <w:pPr>
        <w:pStyle w:val="Odstavecseseznamem"/>
        <w:numPr>
          <w:ilvl w:val="0"/>
          <w:numId w:val="38"/>
        </w:numPr>
        <w:spacing w:after="0" w:line="240" w:lineRule="auto"/>
      </w:pPr>
      <w:r>
        <w:t>Zdanitelné budovy nezapsané v KN – určené pouze parcelním číslem pozemku, na kterém se nacházejí</w:t>
      </w:r>
    </w:p>
    <w:p w14:paraId="3EDD9296" w14:textId="77777777" w:rsidR="0033628E" w:rsidRDefault="0033628E" w:rsidP="0033628E">
      <w:pPr>
        <w:pStyle w:val="Odstavecseseznamem"/>
        <w:numPr>
          <w:ilvl w:val="0"/>
          <w:numId w:val="38"/>
        </w:numPr>
        <w:spacing w:after="0" w:line="240" w:lineRule="auto"/>
      </w:pPr>
      <w:r>
        <w:t>Nájemní smlouva na zdanitelný pronájem pozemku i budovy (budov) na tom samém pozemku nebo na samostatných parcelách v různých kombinacích vlastnictví:</w:t>
      </w:r>
    </w:p>
    <w:p w14:paraId="554D4DD9" w14:textId="77777777" w:rsidR="0033628E" w:rsidRDefault="0033628E" w:rsidP="0033628E">
      <w:pPr>
        <w:pStyle w:val="Odstavecseseznamem"/>
        <w:numPr>
          <w:ilvl w:val="1"/>
          <w:numId w:val="38"/>
        </w:numPr>
        <w:spacing w:after="0" w:line="240" w:lineRule="auto"/>
      </w:pPr>
      <w:r>
        <w:t>Pronajatý pozemek kolem budovy je SŽ, pronajatý pozemek pod budovou je SŽ, budova patří jinému vlastníku</w:t>
      </w:r>
    </w:p>
    <w:p w14:paraId="11B05101" w14:textId="77777777" w:rsidR="0033628E" w:rsidRDefault="0033628E" w:rsidP="0033628E">
      <w:pPr>
        <w:pStyle w:val="Odstavecseseznamem"/>
        <w:numPr>
          <w:ilvl w:val="1"/>
          <w:numId w:val="38"/>
        </w:numPr>
        <w:spacing w:after="0" w:line="240" w:lineRule="auto"/>
      </w:pPr>
      <w:r>
        <w:t>Pronajatý pozemek kolem budovy je SŽ, pronajatý pozemek pod budovou je SŽ, pronajatá budova patří SŽ</w:t>
      </w:r>
    </w:p>
    <w:p w14:paraId="34205EAB" w14:textId="77777777" w:rsidR="0033628E" w:rsidRDefault="0033628E" w:rsidP="0033628E">
      <w:pPr>
        <w:pStyle w:val="Odstavecseseznamem"/>
        <w:numPr>
          <w:ilvl w:val="1"/>
          <w:numId w:val="38"/>
        </w:numPr>
        <w:spacing w:after="0" w:line="240" w:lineRule="auto"/>
      </w:pPr>
      <w:r>
        <w:t>Pronajatá budova patří SŽ, pozemek pod budovou a kolem budovy patři jinému vlastníku (např. ČD)</w:t>
      </w:r>
    </w:p>
    <w:p w14:paraId="58DC8EA7" w14:textId="77777777" w:rsidR="0033628E" w:rsidRPr="002E03E7" w:rsidRDefault="0033628E" w:rsidP="0033628E">
      <w:pPr>
        <w:pStyle w:val="Odstavecseseznamem"/>
        <w:numPr>
          <w:ilvl w:val="0"/>
          <w:numId w:val="38"/>
        </w:numPr>
        <w:spacing w:after="0" w:line="240" w:lineRule="auto"/>
      </w:pPr>
      <w:r>
        <w:t xml:space="preserve">Zdanitelná budova na několika pozemcích nebo i několika KÚ (katastrální území) – nutné rozepsat na 2 a více stran přiznání k dani </w:t>
      </w:r>
    </w:p>
    <w:p w14:paraId="20596FEA" w14:textId="77777777" w:rsidR="0033628E" w:rsidRPr="002E03E7" w:rsidRDefault="0033628E" w:rsidP="0033628E">
      <w:pPr>
        <w:pStyle w:val="Odstavecseseznamem"/>
        <w:numPr>
          <w:ilvl w:val="0"/>
          <w:numId w:val="38"/>
        </w:numPr>
        <w:spacing w:after="0" w:line="240" w:lineRule="auto"/>
      </w:pPr>
      <w:r>
        <w:t>S</w:t>
      </w:r>
      <w:r w:rsidRPr="002E03E7">
        <w:t>poluvlastnictví</w:t>
      </w:r>
      <w:r>
        <w:t xml:space="preserve"> dle zápisu v KN</w:t>
      </w:r>
    </w:p>
    <w:p w14:paraId="22273648" w14:textId="77777777" w:rsidR="0033628E" w:rsidRDefault="0033628E" w:rsidP="0033628E"/>
    <w:p w14:paraId="555A2C91" w14:textId="77777777" w:rsidR="0033628E" w:rsidRDefault="0033628E" w:rsidP="00F771D8">
      <w:pPr>
        <w:pStyle w:val="Odstavecseseznamem"/>
        <w:numPr>
          <w:ilvl w:val="0"/>
          <w:numId w:val="41"/>
        </w:numPr>
        <w:spacing w:before="240" w:after="0" w:line="240" w:lineRule="auto"/>
        <w:ind w:left="357" w:hanging="357"/>
        <w:rPr>
          <w:b/>
          <w:bCs/>
          <w:color w:val="002B59" w:themeColor="accent1"/>
          <w:sz w:val="28"/>
          <w:szCs w:val="28"/>
        </w:rPr>
      </w:pPr>
      <w:r w:rsidRPr="001F725B">
        <w:rPr>
          <w:b/>
          <w:bCs/>
          <w:color w:val="002B59" w:themeColor="accent1"/>
          <w:sz w:val="28"/>
          <w:szCs w:val="28"/>
        </w:rPr>
        <w:t>Testování a zaškolení uživatelů v prostředí SŽ</w:t>
      </w:r>
    </w:p>
    <w:p w14:paraId="7F6C8A4B" w14:textId="77777777" w:rsidR="00F771D8" w:rsidRPr="00F771D8" w:rsidRDefault="00F771D8" w:rsidP="00F771D8">
      <w:pPr>
        <w:pStyle w:val="Odstavecseseznamem"/>
        <w:spacing w:before="240" w:after="0" w:line="240" w:lineRule="auto"/>
        <w:ind w:left="357"/>
        <w:rPr>
          <w:b/>
          <w:bCs/>
          <w:color w:val="002B59" w:themeColor="accent1"/>
        </w:rPr>
      </w:pPr>
    </w:p>
    <w:p w14:paraId="0202545D" w14:textId="77777777" w:rsidR="0033628E" w:rsidRDefault="0033628E" w:rsidP="0033628E">
      <w:pPr>
        <w:pStyle w:val="Odstavecseseznamem"/>
        <w:numPr>
          <w:ilvl w:val="0"/>
          <w:numId w:val="38"/>
        </w:numPr>
        <w:spacing w:after="0" w:line="240" w:lineRule="auto"/>
      </w:pPr>
      <w:r w:rsidRPr="00BF3190">
        <w:t xml:space="preserve">Uživatelé jsou </w:t>
      </w:r>
      <w:r>
        <w:t>z Oddělení daní, O2, GŘ</w:t>
      </w:r>
    </w:p>
    <w:p w14:paraId="2E6B23AA" w14:textId="77777777" w:rsidR="0033628E" w:rsidRDefault="0033628E" w:rsidP="0033628E">
      <w:pPr>
        <w:pStyle w:val="Odstavecseseznamem"/>
        <w:numPr>
          <w:ilvl w:val="0"/>
          <w:numId w:val="38"/>
        </w:numPr>
        <w:spacing w:after="0" w:line="240" w:lineRule="auto"/>
      </w:pPr>
      <w:r w:rsidRPr="001F725B">
        <w:t xml:space="preserve">Testování </w:t>
      </w:r>
      <w:r>
        <w:t xml:space="preserve">- testovací servery </w:t>
      </w:r>
      <w:r w:rsidRPr="001F725B">
        <w:t xml:space="preserve">EAT SAP – listopad 2024 </w:t>
      </w:r>
      <w:r>
        <w:t>– umožnit testování:</w:t>
      </w:r>
    </w:p>
    <w:p w14:paraId="5F440D38" w14:textId="77777777" w:rsidR="0033628E" w:rsidRDefault="0033628E" w:rsidP="0033628E">
      <w:pPr>
        <w:pStyle w:val="Odstavecseseznamem"/>
        <w:numPr>
          <w:ilvl w:val="1"/>
          <w:numId w:val="38"/>
        </w:numPr>
        <w:spacing w:after="0" w:line="240" w:lineRule="auto"/>
      </w:pPr>
      <w:r>
        <w:t>na jednotlivou budovu (dle SAP čísla)</w:t>
      </w:r>
    </w:p>
    <w:p w14:paraId="50BC13BB" w14:textId="77777777" w:rsidR="0033628E" w:rsidRDefault="0033628E" w:rsidP="0033628E">
      <w:pPr>
        <w:pStyle w:val="Odstavecseseznamem"/>
        <w:numPr>
          <w:ilvl w:val="1"/>
          <w:numId w:val="38"/>
        </w:numPr>
        <w:spacing w:after="0" w:line="240" w:lineRule="auto"/>
      </w:pPr>
      <w:r>
        <w:t>na jednotlivé HJ nebo skupinu HJ</w:t>
      </w:r>
    </w:p>
    <w:p w14:paraId="5A4DC679" w14:textId="77777777" w:rsidR="0033628E" w:rsidRDefault="0033628E" w:rsidP="0033628E">
      <w:pPr>
        <w:pStyle w:val="Odstavecseseznamem"/>
        <w:numPr>
          <w:ilvl w:val="1"/>
          <w:numId w:val="38"/>
        </w:numPr>
        <w:spacing w:after="0" w:line="240" w:lineRule="auto"/>
      </w:pPr>
      <w:r>
        <w:t>na jednotlivý FÚ nebo skupinu FÚ</w:t>
      </w:r>
    </w:p>
    <w:p w14:paraId="74C3EC1E" w14:textId="77777777" w:rsidR="0033628E" w:rsidRPr="001F725B" w:rsidRDefault="0033628E" w:rsidP="0033628E">
      <w:pPr>
        <w:pStyle w:val="Odstavecseseznamem"/>
        <w:numPr>
          <w:ilvl w:val="1"/>
          <w:numId w:val="38"/>
        </w:numPr>
        <w:spacing w:after="0" w:line="240" w:lineRule="auto"/>
      </w:pPr>
      <w:r>
        <w:t>na všechny budovy, všechny HJ, všechny FÚ</w:t>
      </w:r>
    </w:p>
    <w:p w14:paraId="1B4624C6" w14:textId="77777777" w:rsidR="0033628E" w:rsidRPr="00BF3190" w:rsidRDefault="0033628E" w:rsidP="0033628E"/>
    <w:p w14:paraId="6CFD8CBB" w14:textId="77777777" w:rsidR="0033628E" w:rsidRPr="001F725B" w:rsidRDefault="0033628E" w:rsidP="0033628E">
      <w:pPr>
        <w:pStyle w:val="Odstavecseseznamem"/>
        <w:numPr>
          <w:ilvl w:val="0"/>
          <w:numId w:val="41"/>
        </w:numPr>
        <w:spacing w:after="0" w:line="240" w:lineRule="auto"/>
        <w:rPr>
          <w:b/>
          <w:bCs/>
          <w:color w:val="002B59" w:themeColor="accent1"/>
          <w:sz w:val="28"/>
          <w:szCs w:val="28"/>
        </w:rPr>
      </w:pPr>
      <w:r w:rsidRPr="001F725B">
        <w:rPr>
          <w:b/>
          <w:bCs/>
          <w:color w:val="002B59" w:themeColor="accent1"/>
          <w:sz w:val="28"/>
          <w:szCs w:val="28"/>
        </w:rPr>
        <w:t>Termíny a místo plnění (GŘ Praha + MS TEAMS) pro dodavatele:</w:t>
      </w:r>
    </w:p>
    <w:p w14:paraId="560CC2BD" w14:textId="77777777" w:rsidR="0033628E" w:rsidRDefault="0033628E" w:rsidP="0033628E">
      <w:pPr>
        <w:pStyle w:val="Odstavecseseznamem"/>
      </w:pPr>
    </w:p>
    <w:p w14:paraId="4297C093" w14:textId="77777777" w:rsidR="0033628E" w:rsidRPr="001F725B" w:rsidRDefault="0033628E" w:rsidP="0033628E">
      <w:pPr>
        <w:pStyle w:val="Odstavecseseznamem"/>
        <w:numPr>
          <w:ilvl w:val="0"/>
          <w:numId w:val="38"/>
        </w:numPr>
        <w:spacing w:after="0" w:line="240" w:lineRule="auto"/>
      </w:pPr>
      <w:r>
        <w:t>Požadujeme p</w:t>
      </w:r>
      <w:r w:rsidRPr="001F725B">
        <w:t xml:space="preserve">ravidelné schůzky s dodavatelem </w:t>
      </w:r>
      <w:r>
        <w:t>k</w:t>
      </w:r>
      <w:r w:rsidRPr="001F725B">
        <w:t xml:space="preserve"> řešení dotazů</w:t>
      </w:r>
      <w:r>
        <w:t xml:space="preserve"> již v průběhu tvorby programu (možno i přes MS TEAMS)</w:t>
      </w:r>
    </w:p>
    <w:p w14:paraId="52C3A12A" w14:textId="77777777" w:rsidR="0033628E" w:rsidRPr="001F725B" w:rsidRDefault="0033628E" w:rsidP="0033628E">
      <w:pPr>
        <w:pStyle w:val="Odstavecseseznamem"/>
        <w:numPr>
          <w:ilvl w:val="0"/>
          <w:numId w:val="38"/>
        </w:numPr>
        <w:spacing w:after="0" w:line="240" w:lineRule="auto"/>
        <w:rPr>
          <w:color w:val="FF0000"/>
        </w:rPr>
      </w:pPr>
      <w:r w:rsidRPr="001F725B">
        <w:rPr>
          <w:color w:val="FF0000"/>
        </w:rPr>
        <w:t>Konečn</w:t>
      </w:r>
      <w:r>
        <w:rPr>
          <w:color w:val="FF0000"/>
        </w:rPr>
        <w:t>ý</w:t>
      </w:r>
      <w:r w:rsidRPr="001F725B">
        <w:rPr>
          <w:color w:val="FF0000"/>
        </w:rPr>
        <w:t xml:space="preserve"> termín dodání</w:t>
      </w:r>
      <w:r>
        <w:rPr>
          <w:color w:val="FF0000"/>
        </w:rPr>
        <w:t xml:space="preserve"> řešení</w:t>
      </w:r>
      <w:r w:rsidRPr="001F725B">
        <w:rPr>
          <w:color w:val="FF0000"/>
        </w:rPr>
        <w:t>: konec října 2024 (včetně manuálů a dokumentace, zaškolení)</w:t>
      </w:r>
    </w:p>
    <w:p w14:paraId="360AB953" w14:textId="77777777" w:rsidR="0033628E" w:rsidRPr="001F725B" w:rsidRDefault="0033628E" w:rsidP="0033628E">
      <w:pPr>
        <w:pStyle w:val="Odstavecseseznamem"/>
        <w:numPr>
          <w:ilvl w:val="0"/>
          <w:numId w:val="38"/>
        </w:numPr>
        <w:spacing w:after="0" w:line="240" w:lineRule="auto"/>
      </w:pPr>
      <w:r w:rsidRPr="001F725B">
        <w:t xml:space="preserve">Testování v EAT SAP – listopad 2024 </w:t>
      </w:r>
    </w:p>
    <w:p w14:paraId="547482A9" w14:textId="77777777" w:rsidR="0033628E" w:rsidRPr="001F725B" w:rsidRDefault="0033628E" w:rsidP="0033628E">
      <w:pPr>
        <w:pStyle w:val="Odstavecseseznamem"/>
        <w:numPr>
          <w:ilvl w:val="0"/>
          <w:numId w:val="38"/>
        </w:numPr>
        <w:spacing w:after="0" w:line="240" w:lineRule="auto"/>
      </w:pPr>
      <w:r w:rsidRPr="001F725B">
        <w:t>Prosinec 2024 - rezerva pro případné novelizace zákona nebo vyhlášky</w:t>
      </w:r>
    </w:p>
    <w:p w14:paraId="14C5819C" w14:textId="77777777" w:rsidR="0033628E" w:rsidRPr="001F725B" w:rsidRDefault="0033628E" w:rsidP="0033628E">
      <w:pPr>
        <w:pStyle w:val="Odstavecseseznamem"/>
        <w:numPr>
          <w:ilvl w:val="0"/>
          <w:numId w:val="38"/>
        </w:numPr>
        <w:spacing w:after="0" w:line="240" w:lineRule="auto"/>
      </w:pPr>
      <w:r w:rsidRPr="001F725B">
        <w:t>Leden 2025 – součinnost dodavatele během přípravy přiznání (</w:t>
      </w:r>
      <w:r>
        <w:t xml:space="preserve">simulační i </w:t>
      </w:r>
      <w:r w:rsidRPr="001F725B">
        <w:t>ostrý běh programu) i v závislosti na produktu firmy SAP</w:t>
      </w:r>
      <w:r>
        <w:t xml:space="preserve"> a </w:t>
      </w:r>
      <w:r w:rsidRPr="001F725B">
        <w:t xml:space="preserve">případné aktualizace </w:t>
      </w:r>
      <w:r>
        <w:t>úlohy SAP pro výpočet daně</w:t>
      </w:r>
    </w:p>
    <w:p w14:paraId="780A0CF1" w14:textId="77777777" w:rsidR="0033628E" w:rsidRDefault="0033628E" w:rsidP="0033628E">
      <w:pPr>
        <w:pStyle w:val="Odstavecseseznamem"/>
        <w:numPr>
          <w:ilvl w:val="0"/>
          <w:numId w:val="38"/>
        </w:numPr>
        <w:spacing w:after="0" w:line="240" w:lineRule="auto"/>
      </w:pPr>
      <w:r>
        <w:t>Požadujeme i následnou součinnost k vyhodnocení ostrého běhu programu a funkčnosti kontrolních reportů a případné doladění programu na základě zjištěných skutečností</w:t>
      </w:r>
    </w:p>
    <w:p w14:paraId="349F807F" w14:textId="77777777" w:rsidR="0033628E" w:rsidRDefault="0033628E" w:rsidP="0033628E">
      <w:pPr>
        <w:pStyle w:val="Odstavecseseznamem"/>
        <w:numPr>
          <w:ilvl w:val="0"/>
          <w:numId w:val="38"/>
        </w:numPr>
        <w:spacing w:after="0" w:line="240" w:lineRule="auto"/>
      </w:pPr>
      <w:r>
        <w:t>Termín pro konec projektu – 1 měsíc po úspěšném podání Přiznání k dani z NV. Dále již zákonná garance.</w:t>
      </w:r>
    </w:p>
    <w:p w14:paraId="66116738" w14:textId="77777777" w:rsidR="0033628E" w:rsidRDefault="0033628E" w:rsidP="0033628E">
      <w:pPr>
        <w:pStyle w:val="Odstavecseseznamem"/>
        <w:numPr>
          <w:ilvl w:val="0"/>
          <w:numId w:val="38"/>
        </w:numPr>
        <w:spacing w:after="0" w:line="240" w:lineRule="auto"/>
      </w:pPr>
      <w:r w:rsidRPr="00AC70C3">
        <w:t xml:space="preserve">Akceptací bude úspěšné podání Přiznání k Dani z Nemovitých Věcí na rok 2025 </w:t>
      </w:r>
      <w:r>
        <w:t>a následné vyhodnocení:</w:t>
      </w:r>
    </w:p>
    <w:p w14:paraId="44B1BC70" w14:textId="77777777" w:rsidR="0033628E" w:rsidRDefault="0033628E" w:rsidP="0033628E">
      <w:pPr>
        <w:pStyle w:val="Odstavecseseznamem"/>
        <w:numPr>
          <w:ilvl w:val="1"/>
          <w:numId w:val="38"/>
        </w:numPr>
        <w:spacing w:after="0" w:line="240" w:lineRule="auto"/>
      </w:pPr>
      <w:r>
        <w:t>Společné zhodnocení ostrého běhu programu a zjištěných nedostatků</w:t>
      </w:r>
    </w:p>
    <w:p w14:paraId="71970082" w14:textId="77777777" w:rsidR="0033628E" w:rsidRDefault="0033628E" w:rsidP="0033628E">
      <w:pPr>
        <w:pStyle w:val="Odstavecseseznamem"/>
        <w:numPr>
          <w:ilvl w:val="1"/>
          <w:numId w:val="38"/>
        </w:numPr>
        <w:spacing w:after="0" w:line="240" w:lineRule="auto"/>
      </w:pPr>
      <w:r>
        <w:t>Vyřešení zjištěných nedostatků</w:t>
      </w:r>
    </w:p>
    <w:p w14:paraId="48FB63AD" w14:textId="77777777" w:rsidR="0033628E" w:rsidRDefault="0033628E" w:rsidP="0033628E">
      <w:pPr>
        <w:pStyle w:val="Odstavecseseznamem"/>
        <w:numPr>
          <w:ilvl w:val="1"/>
          <w:numId w:val="38"/>
        </w:numPr>
        <w:spacing w:after="0" w:line="240" w:lineRule="auto"/>
      </w:pPr>
      <w:r>
        <w:t>Ověření funkčnosti kontrolních reportů a jejich případné opravy</w:t>
      </w:r>
    </w:p>
    <w:p w14:paraId="6F2BC5C7" w14:textId="77777777" w:rsidR="0033628E" w:rsidRDefault="0033628E" w:rsidP="0033628E">
      <w:pPr>
        <w:pStyle w:val="Odstavecseseznamem"/>
        <w:numPr>
          <w:ilvl w:val="0"/>
          <w:numId w:val="38"/>
        </w:numPr>
        <w:spacing w:after="0" w:line="240" w:lineRule="auto"/>
      </w:pPr>
      <w:r>
        <w:t>Předpokládaný termín pro podání přiznání na rok 2025 je 31.1. 2025. V případě nutnosti podat přiznání v pozdějším termínu se všechny další termíny náležitě posunou.</w:t>
      </w:r>
    </w:p>
    <w:p w14:paraId="7D4F4CA4" w14:textId="77777777" w:rsidR="0033628E" w:rsidRDefault="0033628E" w:rsidP="0033628E">
      <w:pPr>
        <w:rPr>
          <w:b/>
          <w:bCs/>
          <w:color w:val="002B59" w:themeColor="accent1"/>
          <w:sz w:val="28"/>
          <w:szCs w:val="28"/>
        </w:rPr>
      </w:pPr>
    </w:p>
    <w:p w14:paraId="663C1867" w14:textId="77777777" w:rsidR="0033628E" w:rsidRPr="001F725B" w:rsidRDefault="0033628E" w:rsidP="0033628E">
      <w:pPr>
        <w:pStyle w:val="Odstavecseseznamem"/>
        <w:numPr>
          <w:ilvl w:val="0"/>
          <w:numId w:val="41"/>
        </w:numPr>
        <w:spacing w:after="0" w:line="240" w:lineRule="auto"/>
        <w:rPr>
          <w:b/>
          <w:bCs/>
          <w:color w:val="002B59" w:themeColor="accent1"/>
          <w:sz w:val="28"/>
          <w:szCs w:val="28"/>
        </w:rPr>
      </w:pPr>
      <w:r w:rsidRPr="001F725B">
        <w:rPr>
          <w:b/>
          <w:bCs/>
          <w:color w:val="002B59" w:themeColor="accent1"/>
          <w:sz w:val="28"/>
          <w:szCs w:val="28"/>
        </w:rPr>
        <w:t xml:space="preserve">Kontrolní Reporty </w:t>
      </w:r>
    </w:p>
    <w:p w14:paraId="2A8105C1" w14:textId="77777777" w:rsidR="0033628E" w:rsidRPr="00202CDE" w:rsidRDefault="0033628E" w:rsidP="0033628E">
      <w:pPr>
        <w:pStyle w:val="Odstavecseseznamem"/>
        <w:numPr>
          <w:ilvl w:val="0"/>
          <w:numId w:val="39"/>
        </w:numPr>
        <w:spacing w:after="0" w:line="240" w:lineRule="auto"/>
      </w:pPr>
      <w:r w:rsidRPr="00202CDE">
        <w:t>Kontrolní report zjištěných chyb ze simulačního běhu programu.</w:t>
      </w:r>
    </w:p>
    <w:p w14:paraId="32C68AE4" w14:textId="77777777" w:rsidR="0033628E" w:rsidRPr="00202CDE" w:rsidRDefault="0033628E" w:rsidP="0033628E">
      <w:pPr>
        <w:pStyle w:val="Odstavecseseznamem"/>
        <w:numPr>
          <w:ilvl w:val="0"/>
          <w:numId w:val="39"/>
        </w:numPr>
        <w:spacing w:after="0" w:line="240" w:lineRule="auto"/>
      </w:pPr>
      <w:r w:rsidRPr="00202CDE">
        <w:t>Chybové reporty z běhu programu pro budovy</w:t>
      </w:r>
    </w:p>
    <w:p w14:paraId="05CB1523" w14:textId="77777777" w:rsidR="0033628E" w:rsidRPr="00202CDE" w:rsidRDefault="0033628E" w:rsidP="0033628E">
      <w:pPr>
        <w:pStyle w:val="Odstavecseseznamem"/>
        <w:numPr>
          <w:ilvl w:val="1"/>
          <w:numId w:val="39"/>
        </w:numPr>
        <w:spacing w:after="0" w:line="240" w:lineRule="auto"/>
      </w:pPr>
      <w:r w:rsidRPr="00202CDE">
        <w:t>Obdoba reportu jako u programu pro pozemky ZRE_PR_DZN</w:t>
      </w:r>
    </w:p>
    <w:p w14:paraId="5AF69E0E" w14:textId="77777777" w:rsidR="0033628E" w:rsidRPr="00202CDE" w:rsidRDefault="0033628E" w:rsidP="0033628E">
      <w:pPr>
        <w:pStyle w:val="Odstavecseseznamem"/>
        <w:numPr>
          <w:ilvl w:val="2"/>
          <w:numId w:val="39"/>
        </w:numPr>
        <w:spacing w:after="0" w:line="240" w:lineRule="auto"/>
      </w:pPr>
      <w:r w:rsidRPr="00202CDE">
        <w:t>Existuje pronajatá NS určená ke zdanění a budova není předmětem daně</w:t>
      </w:r>
    </w:p>
    <w:p w14:paraId="421A5DB8" w14:textId="77777777" w:rsidR="0033628E" w:rsidRPr="00202CDE" w:rsidRDefault="0033628E" w:rsidP="0033628E">
      <w:pPr>
        <w:pStyle w:val="Odstavecseseznamem"/>
        <w:numPr>
          <w:ilvl w:val="2"/>
          <w:numId w:val="39"/>
        </w:numPr>
        <w:spacing w:after="0" w:line="240" w:lineRule="auto"/>
      </w:pPr>
      <w:r w:rsidRPr="00202CDE">
        <w:t>neexistuje žádná NS určení ke zdanění a budova je předmětem daně</w:t>
      </w:r>
    </w:p>
    <w:p w14:paraId="088A457F" w14:textId="77777777" w:rsidR="0033628E" w:rsidRPr="00202CDE" w:rsidRDefault="0033628E" w:rsidP="0033628E">
      <w:pPr>
        <w:pStyle w:val="Odstavecseseznamem"/>
        <w:numPr>
          <w:ilvl w:val="2"/>
          <w:numId w:val="39"/>
        </w:numPr>
        <w:spacing w:after="0" w:line="240" w:lineRule="auto"/>
      </w:pPr>
      <w:r w:rsidRPr="00202CDE">
        <w:t>součet výměr nesedí na celkovou podlahovou plochu</w:t>
      </w:r>
    </w:p>
    <w:p w14:paraId="3B98D0F5" w14:textId="77777777" w:rsidR="0033628E" w:rsidRPr="00202CDE" w:rsidRDefault="0033628E" w:rsidP="0033628E">
      <w:pPr>
        <w:pStyle w:val="Odstavecseseznamem"/>
        <w:numPr>
          <w:ilvl w:val="2"/>
          <w:numId w:val="39"/>
        </w:numPr>
        <w:spacing w:after="0" w:line="240" w:lineRule="auto"/>
      </w:pPr>
      <w:r w:rsidRPr="00202CDE">
        <w:lastRenderedPageBreak/>
        <w:t>budova je označena k výmazu, vyloučení technicky ukončených budov – dle zadaného dat</w:t>
      </w:r>
      <w:r>
        <w:t>a</w:t>
      </w:r>
    </w:p>
    <w:p w14:paraId="70952D34" w14:textId="77777777" w:rsidR="0033628E" w:rsidRPr="00202CDE" w:rsidRDefault="0033628E" w:rsidP="0033628E">
      <w:pPr>
        <w:pStyle w:val="Odstavecseseznamem"/>
        <w:numPr>
          <w:ilvl w:val="0"/>
          <w:numId w:val="39"/>
        </w:numPr>
        <w:spacing w:after="0" w:line="240" w:lineRule="auto"/>
      </w:pPr>
      <w:r w:rsidRPr="00202CDE">
        <w:t>Nové interní kontrolní reporty – i pro pozemky</w:t>
      </w:r>
    </w:p>
    <w:p w14:paraId="25F41ACE" w14:textId="77777777" w:rsidR="0033628E" w:rsidRPr="00202CDE" w:rsidRDefault="0033628E" w:rsidP="0033628E">
      <w:pPr>
        <w:pStyle w:val="Odstavecseseznamem"/>
        <w:numPr>
          <w:ilvl w:val="1"/>
          <w:numId w:val="39"/>
        </w:numPr>
        <w:spacing w:after="0" w:line="240" w:lineRule="auto"/>
      </w:pPr>
      <w:r w:rsidRPr="00202CDE">
        <w:t>Pozemky, budovy</w:t>
      </w:r>
    </w:p>
    <w:p w14:paraId="20B50E81" w14:textId="77777777" w:rsidR="0033628E" w:rsidRPr="00202CDE" w:rsidRDefault="0033628E" w:rsidP="0033628E">
      <w:pPr>
        <w:pStyle w:val="Odstavecseseznamem"/>
        <w:numPr>
          <w:ilvl w:val="1"/>
          <w:numId w:val="39"/>
        </w:numPr>
        <w:spacing w:after="0" w:line="240" w:lineRule="auto"/>
      </w:pPr>
      <w:r w:rsidRPr="00202CDE">
        <w:t>Meziroční srovnání:</w:t>
      </w:r>
    </w:p>
    <w:p w14:paraId="5CFA3125" w14:textId="77777777" w:rsidR="0033628E" w:rsidRPr="00202CDE" w:rsidRDefault="0033628E" w:rsidP="0033628E">
      <w:pPr>
        <w:pStyle w:val="Odstavecseseznamem"/>
        <w:numPr>
          <w:ilvl w:val="2"/>
          <w:numId w:val="39"/>
        </w:numPr>
        <w:spacing w:after="0" w:line="240" w:lineRule="auto"/>
      </w:pPr>
      <w:r w:rsidRPr="00202CDE">
        <w:t>bylo/není předmětem daně</w:t>
      </w:r>
    </w:p>
    <w:p w14:paraId="053C40D2" w14:textId="77777777" w:rsidR="0033628E" w:rsidRPr="00202CDE" w:rsidRDefault="0033628E" w:rsidP="0033628E">
      <w:pPr>
        <w:pStyle w:val="Odstavecseseznamem"/>
        <w:numPr>
          <w:ilvl w:val="2"/>
          <w:numId w:val="39"/>
        </w:numPr>
        <w:spacing w:after="0" w:line="240" w:lineRule="auto"/>
      </w:pPr>
      <w:r w:rsidRPr="00202CDE">
        <w:t>nebylo/je Předmětem daně</w:t>
      </w:r>
    </w:p>
    <w:p w14:paraId="738F6CBC" w14:textId="77777777" w:rsidR="0033628E" w:rsidRPr="00202CDE" w:rsidRDefault="0033628E" w:rsidP="0033628E">
      <w:pPr>
        <w:pStyle w:val="Odstavecseseznamem"/>
        <w:numPr>
          <w:ilvl w:val="2"/>
          <w:numId w:val="39"/>
        </w:numPr>
        <w:spacing w:after="0" w:line="240" w:lineRule="auto"/>
        <w:rPr>
          <w:b/>
          <w:bCs/>
        </w:rPr>
      </w:pPr>
      <w:r w:rsidRPr="00202CDE">
        <w:t>změna v rozsahu zdanění x osvobození</w:t>
      </w:r>
    </w:p>
    <w:p w14:paraId="604B6E31" w14:textId="77777777" w:rsidR="0033628E" w:rsidRPr="00202CDE" w:rsidRDefault="0033628E" w:rsidP="0033628E">
      <w:pPr>
        <w:rPr>
          <w:b/>
          <w:bCs/>
        </w:rPr>
      </w:pPr>
    </w:p>
    <w:p w14:paraId="48CF3E6B" w14:textId="77777777" w:rsidR="0033628E" w:rsidRDefault="0033628E" w:rsidP="0033628E">
      <w:pPr>
        <w:pStyle w:val="Odstavecseseznamem"/>
        <w:numPr>
          <w:ilvl w:val="0"/>
          <w:numId w:val="41"/>
        </w:numPr>
        <w:spacing w:after="0" w:line="240" w:lineRule="auto"/>
        <w:rPr>
          <w:b/>
          <w:bCs/>
          <w:color w:val="002B59" w:themeColor="accent1"/>
          <w:sz w:val="28"/>
          <w:szCs w:val="28"/>
        </w:rPr>
      </w:pPr>
      <w:r w:rsidRPr="001F725B">
        <w:rPr>
          <w:b/>
          <w:bCs/>
          <w:color w:val="002B59" w:themeColor="accent1"/>
          <w:sz w:val="28"/>
          <w:szCs w:val="28"/>
        </w:rPr>
        <w:t>Transakce a oprávnění</w:t>
      </w:r>
    </w:p>
    <w:p w14:paraId="519A68EF" w14:textId="77777777" w:rsidR="0033628E" w:rsidRDefault="0033628E" w:rsidP="0033628E">
      <w:pPr>
        <w:pStyle w:val="Odstavecseseznamem"/>
        <w:numPr>
          <w:ilvl w:val="0"/>
          <w:numId w:val="39"/>
        </w:numPr>
        <w:spacing w:after="0" w:line="240" w:lineRule="auto"/>
      </w:pPr>
      <w:r>
        <w:t>Tvorba oprávnění (transakcí a rolí)</w:t>
      </w:r>
    </w:p>
    <w:p w14:paraId="2BB87F67" w14:textId="77777777" w:rsidR="0033628E" w:rsidRDefault="0033628E" w:rsidP="0033628E"/>
    <w:p w14:paraId="5FFC5F71" w14:textId="77777777" w:rsidR="0033628E" w:rsidRPr="00AE3766" w:rsidRDefault="0033628E" w:rsidP="00F771D8">
      <w:pPr>
        <w:pStyle w:val="Odstavecseseznamem"/>
        <w:numPr>
          <w:ilvl w:val="0"/>
          <w:numId w:val="41"/>
        </w:numPr>
        <w:spacing w:after="0" w:line="240" w:lineRule="auto"/>
        <w:ind w:left="709" w:hanging="709"/>
        <w:rPr>
          <w:b/>
          <w:bCs/>
          <w:color w:val="002B59" w:themeColor="accent1"/>
          <w:sz w:val="28"/>
          <w:szCs w:val="28"/>
        </w:rPr>
      </w:pPr>
      <w:r w:rsidRPr="00AE3766">
        <w:rPr>
          <w:b/>
          <w:bCs/>
          <w:color w:val="002B59" w:themeColor="accent1"/>
          <w:sz w:val="28"/>
          <w:szCs w:val="28"/>
        </w:rPr>
        <w:t>Dodávka konzultantských a programátorských prací pro modul SAP RE-FX</w:t>
      </w:r>
    </w:p>
    <w:p w14:paraId="6FE667C3" w14:textId="77777777" w:rsidR="0033628E" w:rsidRPr="00F771D8" w:rsidRDefault="0033628E" w:rsidP="00F771D8">
      <w:pPr>
        <w:spacing w:before="240" w:after="0" w:line="240" w:lineRule="auto"/>
        <w:ind w:left="567"/>
        <w:rPr>
          <w:b/>
          <w:bCs/>
          <w:color w:val="002B59" w:themeColor="accent1"/>
          <w:sz w:val="28"/>
          <w:szCs w:val="28"/>
        </w:rPr>
      </w:pPr>
      <w:r>
        <w:rPr>
          <w:rStyle w:val="ui-provider"/>
        </w:rPr>
        <w:t>Součástí dodávky je možná dodávka dodatečných konzultantských a programátorských prací v rámci podpory a optimalizace řešení či jeho dalšího rozvoje, testování, k opravování zjištěných chyb a dalších prací spojených s řešením v maximálním rozsahu až 15 MD (člověkodnů) přímo či nepřímo souvisejících prací, jejichž potřebu zákazník v době vypsání výběrového řízení nepředpokládal, a proto je nezahrnul do rozsahu tohoto zadání. Úpravy jsou součástí rozsahu projektu, přičemž je možné je realizovat i po spuštění ostrého provozu primární funkcionality, nejdéle však do 28.</w:t>
      </w:r>
      <w:r w:rsidR="00F771D8">
        <w:rPr>
          <w:rStyle w:val="ui-provider"/>
        </w:rPr>
        <w:t> </w:t>
      </w:r>
      <w:r>
        <w:rPr>
          <w:rStyle w:val="ui-provider"/>
        </w:rPr>
        <w:t>2.</w:t>
      </w:r>
      <w:r w:rsidR="00F771D8">
        <w:rPr>
          <w:rStyle w:val="ui-provider"/>
        </w:rPr>
        <w:t> </w:t>
      </w:r>
      <w:r>
        <w:rPr>
          <w:rStyle w:val="ui-provider"/>
        </w:rPr>
        <w:t>2025 měsíce od spuštění ostrého provozu primární funkcionality. Zákazník není povinen tento rozsah prací objednat. Čerpání tohoto rozsahu prací bude prostřednictvím jednotlivých objednávek na základě nabídky dodavatele, přičemž pracnost bude vykazována v hodinách. 1 MD odpovídá 8 hodinám.</w:t>
      </w:r>
    </w:p>
    <w:p w14:paraId="75278B63" w14:textId="77777777" w:rsidR="0033628E" w:rsidRDefault="0033628E" w:rsidP="0033628E"/>
    <w:p w14:paraId="091B565F" w14:textId="77777777" w:rsidR="00DD29C3" w:rsidRPr="001B629E" w:rsidRDefault="00DD29C3" w:rsidP="00DD29C3">
      <w:pPr>
        <w:spacing w:before="120" w:line="240" w:lineRule="auto"/>
        <w:jc w:val="both"/>
        <w:rPr>
          <w:rFonts w:asciiTheme="majorHAnsi" w:eastAsia="Times New Roman" w:hAnsiTheme="majorHAnsi" w:cs="Times New Roman"/>
          <w:highlight w:val="green"/>
          <w:lang w:eastAsia="cs-CZ"/>
        </w:rPr>
      </w:pPr>
      <w:r w:rsidRPr="001B629E">
        <w:rPr>
          <w:rFonts w:asciiTheme="majorHAnsi" w:eastAsia="Times New Roman" w:hAnsiTheme="majorHAnsi" w:cs="Times New Roman"/>
          <w:highlight w:val="green"/>
          <w:lang w:eastAsia="cs-CZ"/>
        </w:rPr>
        <w:t xml:space="preserve"> </w:t>
      </w:r>
    </w:p>
    <w:p w14:paraId="78CD224C" w14:textId="2A2E4433" w:rsidR="009F392E" w:rsidRPr="00DD29C3" w:rsidRDefault="00E6330D" w:rsidP="00DD29C3">
      <w:r>
        <w:t>Příloha č. 1: Stanovisko GFŘ</w:t>
      </w:r>
    </w:p>
    <w:sectPr w:rsidR="009F392E" w:rsidRPr="00DD29C3"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9F8603" w16cex:dateUtc="2024-05-13T09:05:00Z"/>
  <w16cex:commentExtensible w16cex:durableId="004861AF" w16cex:dateUtc="2024-05-20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D2E74C" w16cid:durableId="4140CE36"/>
  <w16cid:commentId w16cid:paraId="79CE5B92" w16cid:durableId="4A9F8603"/>
  <w16cid:commentId w16cid:paraId="3576E34A" w16cid:durableId="160E58EA"/>
  <w16cid:commentId w16cid:paraId="4600339D" w16cid:durableId="6EFC79B3"/>
  <w16cid:commentId w16cid:paraId="0A9000F0" w16cid:durableId="5E2E3C31"/>
  <w16cid:commentId w16cid:paraId="10C8E22F" w16cid:durableId="6AA95EB6"/>
  <w16cid:commentId w16cid:paraId="1D552978" w16cid:durableId="1085F9D0"/>
  <w16cid:commentId w16cid:paraId="43DC60BB" w16cid:durableId="004861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B46CC" w14:textId="77777777" w:rsidR="004218FD" w:rsidRDefault="004218FD" w:rsidP="00962258">
      <w:pPr>
        <w:spacing w:after="0" w:line="240" w:lineRule="auto"/>
      </w:pPr>
      <w:r>
        <w:separator/>
      </w:r>
    </w:p>
  </w:endnote>
  <w:endnote w:type="continuationSeparator" w:id="0">
    <w:p w14:paraId="24D86B43" w14:textId="77777777" w:rsidR="004218FD" w:rsidRDefault="004218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3E0D6E4" w14:textId="77777777" w:rsidTr="00D831A3">
      <w:tc>
        <w:tcPr>
          <w:tcW w:w="1361" w:type="dxa"/>
          <w:tcMar>
            <w:left w:w="0" w:type="dxa"/>
            <w:right w:w="0" w:type="dxa"/>
          </w:tcMar>
          <w:vAlign w:val="bottom"/>
        </w:tcPr>
        <w:p w14:paraId="1952C809" w14:textId="16B065C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6A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06A1">
            <w:rPr>
              <w:rStyle w:val="slostrnky"/>
              <w:noProof/>
            </w:rPr>
            <w:t>6</w:t>
          </w:r>
          <w:r w:rsidRPr="00B8518B">
            <w:rPr>
              <w:rStyle w:val="slostrnky"/>
            </w:rPr>
            <w:fldChar w:fldCharType="end"/>
          </w:r>
        </w:p>
      </w:tc>
      <w:tc>
        <w:tcPr>
          <w:tcW w:w="3458" w:type="dxa"/>
          <w:shd w:val="clear" w:color="auto" w:fill="auto"/>
          <w:tcMar>
            <w:left w:w="0" w:type="dxa"/>
            <w:right w:w="0" w:type="dxa"/>
          </w:tcMar>
        </w:tcPr>
        <w:p w14:paraId="17D0B905" w14:textId="77777777" w:rsidR="00F1715C" w:rsidRDefault="00F1715C" w:rsidP="00B8518B">
          <w:pPr>
            <w:pStyle w:val="Zpat"/>
          </w:pPr>
        </w:p>
      </w:tc>
      <w:tc>
        <w:tcPr>
          <w:tcW w:w="2835" w:type="dxa"/>
          <w:shd w:val="clear" w:color="auto" w:fill="auto"/>
          <w:tcMar>
            <w:left w:w="0" w:type="dxa"/>
            <w:right w:w="0" w:type="dxa"/>
          </w:tcMar>
        </w:tcPr>
        <w:p w14:paraId="3D56ADB0" w14:textId="77777777" w:rsidR="00F1715C" w:rsidRDefault="00F1715C" w:rsidP="00B8518B">
          <w:pPr>
            <w:pStyle w:val="Zpat"/>
          </w:pPr>
        </w:p>
      </w:tc>
      <w:tc>
        <w:tcPr>
          <w:tcW w:w="2921" w:type="dxa"/>
        </w:tcPr>
        <w:p w14:paraId="41520D9B" w14:textId="77777777" w:rsidR="00F1715C" w:rsidRDefault="00F1715C" w:rsidP="00D831A3">
          <w:pPr>
            <w:pStyle w:val="Zpat"/>
          </w:pPr>
        </w:p>
      </w:tc>
    </w:tr>
  </w:tbl>
  <w:p w14:paraId="63A0ABA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85506F" wp14:editId="4A6B96F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9C4A8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C8AE64F" wp14:editId="17B22C1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C0FDE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41D6DD4" w14:textId="77777777" w:rsidTr="00F1715C">
      <w:tc>
        <w:tcPr>
          <w:tcW w:w="1361" w:type="dxa"/>
          <w:tcMar>
            <w:left w:w="0" w:type="dxa"/>
            <w:right w:w="0" w:type="dxa"/>
          </w:tcMar>
          <w:vAlign w:val="bottom"/>
        </w:tcPr>
        <w:p w14:paraId="31588717" w14:textId="23D6C4EE"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6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06A1">
            <w:rPr>
              <w:rStyle w:val="slostrnky"/>
              <w:noProof/>
            </w:rPr>
            <w:t>6</w:t>
          </w:r>
          <w:r w:rsidRPr="00B8518B">
            <w:rPr>
              <w:rStyle w:val="slostrnky"/>
            </w:rPr>
            <w:fldChar w:fldCharType="end"/>
          </w:r>
        </w:p>
      </w:tc>
      <w:tc>
        <w:tcPr>
          <w:tcW w:w="3458" w:type="dxa"/>
          <w:shd w:val="clear" w:color="auto" w:fill="auto"/>
          <w:tcMar>
            <w:left w:w="0" w:type="dxa"/>
            <w:right w:w="0" w:type="dxa"/>
          </w:tcMar>
        </w:tcPr>
        <w:p w14:paraId="2C435805" w14:textId="77777777" w:rsidR="00F1715C" w:rsidRDefault="00F1715C" w:rsidP="00460660">
          <w:pPr>
            <w:pStyle w:val="Zpat"/>
          </w:pPr>
          <w:r>
            <w:t>Správa železni</w:t>
          </w:r>
          <w:r w:rsidR="00F5558F">
            <w:t>c</w:t>
          </w:r>
          <w:r>
            <w:t>, státní organizace</w:t>
          </w:r>
        </w:p>
        <w:p w14:paraId="2E94896A"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36879EF" w14:textId="77777777" w:rsidR="00F1715C" w:rsidRDefault="00F1715C" w:rsidP="00460660">
          <w:pPr>
            <w:pStyle w:val="Zpat"/>
          </w:pPr>
          <w:r>
            <w:t>Sídlo: Dlážděná 1003/7, 110 00 Praha 1</w:t>
          </w:r>
        </w:p>
        <w:p w14:paraId="2A1A71CF" w14:textId="77777777" w:rsidR="00F1715C" w:rsidRDefault="00F1715C" w:rsidP="00460660">
          <w:pPr>
            <w:pStyle w:val="Zpat"/>
          </w:pPr>
          <w:r>
            <w:t>IČ</w:t>
          </w:r>
          <w:r w:rsidR="00F5558F">
            <w:t>O</w:t>
          </w:r>
          <w:r>
            <w:t>: 709 94 234 DIČ: CZ 709 94 234</w:t>
          </w:r>
        </w:p>
        <w:p w14:paraId="538CDD94" w14:textId="77777777" w:rsidR="00F1715C" w:rsidRDefault="00F1715C" w:rsidP="00E50C83">
          <w:pPr>
            <w:pStyle w:val="Zpat"/>
          </w:pPr>
          <w:r>
            <w:t>www.</w:t>
          </w:r>
          <w:r w:rsidR="00E50C83">
            <w:t>spravazeleznic</w:t>
          </w:r>
          <w:r>
            <w:t>.cz</w:t>
          </w:r>
        </w:p>
      </w:tc>
      <w:tc>
        <w:tcPr>
          <w:tcW w:w="2921" w:type="dxa"/>
        </w:tcPr>
        <w:p w14:paraId="5E1D4643" w14:textId="77777777" w:rsidR="00F1715C" w:rsidRDefault="00F1715C" w:rsidP="00460660">
          <w:pPr>
            <w:pStyle w:val="Zpat"/>
          </w:pPr>
        </w:p>
      </w:tc>
    </w:tr>
  </w:tbl>
  <w:p w14:paraId="180B30A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5ED326A" wp14:editId="57B3EE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39AEBF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CDAA785" wp14:editId="5B59718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76246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056AAA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7B44" w14:textId="77777777" w:rsidR="004218FD" w:rsidRDefault="004218FD" w:rsidP="00962258">
      <w:pPr>
        <w:spacing w:after="0" w:line="240" w:lineRule="auto"/>
      </w:pPr>
      <w:r>
        <w:separator/>
      </w:r>
    </w:p>
  </w:footnote>
  <w:footnote w:type="continuationSeparator" w:id="0">
    <w:p w14:paraId="13DBE48A" w14:textId="77777777" w:rsidR="004218FD" w:rsidRDefault="004218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DDBA65C" w14:textId="77777777" w:rsidTr="00C02D0A">
      <w:trPr>
        <w:trHeight w:hRule="exact" w:val="454"/>
      </w:trPr>
      <w:tc>
        <w:tcPr>
          <w:tcW w:w="1361" w:type="dxa"/>
          <w:tcMar>
            <w:top w:w="57" w:type="dxa"/>
            <w:left w:w="0" w:type="dxa"/>
            <w:right w:w="0" w:type="dxa"/>
          </w:tcMar>
        </w:tcPr>
        <w:p w14:paraId="0E78535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92205B0" w14:textId="77777777" w:rsidR="00F1715C" w:rsidRDefault="00F1715C" w:rsidP="00523EA7">
          <w:pPr>
            <w:pStyle w:val="Zpat"/>
          </w:pPr>
        </w:p>
      </w:tc>
      <w:tc>
        <w:tcPr>
          <w:tcW w:w="5698" w:type="dxa"/>
          <w:shd w:val="clear" w:color="auto" w:fill="auto"/>
          <w:tcMar>
            <w:top w:w="57" w:type="dxa"/>
            <w:left w:w="0" w:type="dxa"/>
            <w:right w:w="0" w:type="dxa"/>
          </w:tcMar>
        </w:tcPr>
        <w:p w14:paraId="6941014C" w14:textId="77777777" w:rsidR="00F1715C" w:rsidRPr="00D6163D" w:rsidRDefault="00F1715C" w:rsidP="00D6163D">
          <w:pPr>
            <w:pStyle w:val="Druhdokumentu"/>
          </w:pPr>
        </w:p>
      </w:tc>
    </w:tr>
  </w:tbl>
  <w:p w14:paraId="6E8A0AE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0BD850A" w14:textId="77777777" w:rsidTr="00F1715C">
      <w:trPr>
        <w:trHeight w:hRule="exact" w:val="936"/>
      </w:trPr>
      <w:tc>
        <w:tcPr>
          <w:tcW w:w="1361" w:type="dxa"/>
          <w:tcMar>
            <w:left w:w="0" w:type="dxa"/>
            <w:right w:w="0" w:type="dxa"/>
          </w:tcMar>
        </w:tcPr>
        <w:p w14:paraId="14E9A7B4"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2D372B0" w14:textId="77777777" w:rsidR="00F1715C" w:rsidRDefault="00F1715C" w:rsidP="00FC6389">
          <w:pPr>
            <w:pStyle w:val="Zpat"/>
          </w:pPr>
        </w:p>
      </w:tc>
      <w:tc>
        <w:tcPr>
          <w:tcW w:w="5698" w:type="dxa"/>
          <w:shd w:val="clear" w:color="auto" w:fill="auto"/>
          <w:tcMar>
            <w:left w:w="0" w:type="dxa"/>
            <w:right w:w="0" w:type="dxa"/>
          </w:tcMar>
        </w:tcPr>
        <w:p w14:paraId="64E3C305" w14:textId="77777777" w:rsidR="00F1715C" w:rsidRPr="00D6163D" w:rsidRDefault="00F1715C" w:rsidP="00FC6389">
          <w:pPr>
            <w:pStyle w:val="Druhdokumentu"/>
          </w:pPr>
        </w:p>
      </w:tc>
    </w:tr>
    <w:tr w:rsidR="009F392E" w14:paraId="3735B439" w14:textId="77777777" w:rsidTr="0033628E">
      <w:trPr>
        <w:trHeight w:hRule="exact" w:val="744"/>
      </w:trPr>
      <w:tc>
        <w:tcPr>
          <w:tcW w:w="1361" w:type="dxa"/>
          <w:tcMar>
            <w:left w:w="0" w:type="dxa"/>
            <w:right w:w="0" w:type="dxa"/>
          </w:tcMar>
        </w:tcPr>
        <w:p w14:paraId="51A58B87"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56E68B0A" w14:textId="77777777" w:rsidR="009F392E" w:rsidRDefault="009F392E" w:rsidP="00FC6389">
          <w:pPr>
            <w:pStyle w:val="Zpat"/>
          </w:pPr>
        </w:p>
      </w:tc>
      <w:tc>
        <w:tcPr>
          <w:tcW w:w="5698" w:type="dxa"/>
          <w:shd w:val="clear" w:color="auto" w:fill="auto"/>
          <w:tcMar>
            <w:left w:w="0" w:type="dxa"/>
            <w:right w:w="0" w:type="dxa"/>
          </w:tcMar>
        </w:tcPr>
        <w:p w14:paraId="6570E608" w14:textId="77777777" w:rsidR="009F392E" w:rsidRPr="00D6163D" w:rsidRDefault="009F392E" w:rsidP="00FC6389">
          <w:pPr>
            <w:pStyle w:val="Druhdokumentu"/>
          </w:pPr>
        </w:p>
      </w:tc>
    </w:tr>
  </w:tbl>
  <w:p w14:paraId="224FB71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952E59F" wp14:editId="6C3FC81F">
          <wp:simplePos x="0" y="0"/>
          <wp:positionH relativeFrom="page">
            <wp:posOffset>431321</wp:posOffset>
          </wp:positionH>
          <wp:positionV relativeFrom="page">
            <wp:posOffset>396240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72FB2A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7D2AEC"/>
    <w:multiLevelType w:val="hybridMultilevel"/>
    <w:tmpl w:val="EBA01F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1D67085"/>
    <w:multiLevelType w:val="hybridMultilevel"/>
    <w:tmpl w:val="E6F6F4A2"/>
    <w:lvl w:ilvl="0" w:tplc="CF766866">
      <w:start w:val="4"/>
      <w:numFmt w:val="bullet"/>
      <w:lvlText w:val="-"/>
      <w:lvlJc w:val="left"/>
      <w:pPr>
        <w:ind w:left="720" w:hanging="360"/>
      </w:pPr>
      <w:rPr>
        <w:rFonts w:ascii="Aptos" w:eastAsiaTheme="minorHAnsi" w:hAnsi="Aptos" w:cs="Apto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6D3B60"/>
    <w:multiLevelType w:val="hybridMultilevel"/>
    <w:tmpl w:val="58DA1B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FAF6B05"/>
    <w:multiLevelType w:val="hybridMultilevel"/>
    <w:tmpl w:val="298C3F94"/>
    <w:lvl w:ilvl="0" w:tplc="5F1A037A">
      <w:start w:val="1"/>
      <w:numFmt w:val="decimal"/>
      <w:lvlText w:val="%1."/>
      <w:lvlJc w:val="left"/>
      <w:pPr>
        <w:ind w:left="360" w:hanging="360"/>
      </w:pPr>
      <w:rPr>
        <w:rFonts w:hint="default"/>
        <w:b/>
        <w:bCs/>
        <w:color w:val="002B59" w:themeColor="accent1"/>
        <w:sz w:val="28"/>
        <w:szCs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21046F6"/>
    <w:multiLevelType w:val="hybridMultilevel"/>
    <w:tmpl w:val="90882D2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6E755776"/>
    <w:multiLevelType w:val="hybridMultilevel"/>
    <w:tmpl w:val="00029B6E"/>
    <w:lvl w:ilvl="0" w:tplc="CF766866">
      <w:start w:val="4"/>
      <w:numFmt w:val="bullet"/>
      <w:lvlText w:val="-"/>
      <w:lvlJc w:val="left"/>
      <w:pPr>
        <w:ind w:left="1428" w:hanging="360"/>
      </w:pPr>
      <w:rPr>
        <w:rFonts w:ascii="Aptos" w:eastAsiaTheme="minorHAnsi" w:hAnsi="Aptos" w:cs="Aptos" w:hint="default"/>
      </w:rPr>
    </w:lvl>
    <w:lvl w:ilvl="1" w:tplc="04050003">
      <w:start w:val="1"/>
      <w:numFmt w:val="bullet"/>
      <w:lvlText w:val="o"/>
      <w:lvlJc w:val="left"/>
      <w:pPr>
        <w:ind w:left="1778" w:hanging="360"/>
      </w:pPr>
      <w:rPr>
        <w:rFonts w:ascii="Courier New" w:hAnsi="Courier New" w:cs="Courier New" w:hint="default"/>
      </w:rPr>
    </w:lvl>
    <w:lvl w:ilvl="2" w:tplc="04050005">
      <w:start w:val="1"/>
      <w:numFmt w:val="bullet"/>
      <w:lvlText w:val=""/>
      <w:lvlJc w:val="left"/>
      <w:pPr>
        <w:ind w:left="2061"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6F5569E2"/>
    <w:multiLevelType w:val="hybridMultilevel"/>
    <w:tmpl w:val="E8C807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8"/>
  </w:num>
  <w:num w:numId="13">
    <w:abstractNumId w:val="8"/>
  </w:num>
  <w:num w:numId="14">
    <w:abstractNumId w:val="8"/>
  </w:num>
  <w:num w:numId="15">
    <w:abstractNumId w:val="8"/>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8"/>
  </w:num>
  <w:num w:numId="23">
    <w:abstractNumId w:val="3"/>
  </w:num>
  <w:num w:numId="24">
    <w:abstractNumId w:val="8"/>
  </w:num>
  <w:num w:numId="25">
    <w:abstractNumId w:val="8"/>
  </w:num>
  <w:num w:numId="26">
    <w:abstractNumId w:val="8"/>
  </w:num>
  <w:num w:numId="27">
    <w:abstractNumId w:val="8"/>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1"/>
  </w:num>
  <w:num w:numId="35">
    <w:abstractNumId w:val="7"/>
  </w:num>
  <w:num w:numId="36">
    <w:abstractNumId w:val="12"/>
  </w:num>
  <w:num w:numId="37">
    <w:abstractNumId w:val="2"/>
  </w:num>
  <w:num w:numId="38">
    <w:abstractNumId w:val="4"/>
  </w:num>
  <w:num w:numId="39">
    <w:abstractNumId w:val="14"/>
  </w:num>
  <w:num w:numId="40">
    <w:abstractNumId w:val="15"/>
  </w:num>
  <w:num w:numId="4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C3"/>
    <w:rsid w:val="000217AC"/>
    <w:rsid w:val="00072C1E"/>
    <w:rsid w:val="000E23A7"/>
    <w:rsid w:val="0010693F"/>
    <w:rsid w:val="00114472"/>
    <w:rsid w:val="001418AC"/>
    <w:rsid w:val="00147EBA"/>
    <w:rsid w:val="001550BC"/>
    <w:rsid w:val="001605B9"/>
    <w:rsid w:val="00170EC5"/>
    <w:rsid w:val="001747C1"/>
    <w:rsid w:val="00184743"/>
    <w:rsid w:val="00207DF5"/>
    <w:rsid w:val="00216C0D"/>
    <w:rsid w:val="00280E07"/>
    <w:rsid w:val="002B5ABF"/>
    <w:rsid w:val="002C31BF"/>
    <w:rsid w:val="002D08B1"/>
    <w:rsid w:val="002E0CD7"/>
    <w:rsid w:val="0033628E"/>
    <w:rsid w:val="00341DCF"/>
    <w:rsid w:val="00357BC6"/>
    <w:rsid w:val="00366B48"/>
    <w:rsid w:val="003956C6"/>
    <w:rsid w:val="003B5379"/>
    <w:rsid w:val="004218FD"/>
    <w:rsid w:val="00426F1C"/>
    <w:rsid w:val="00441430"/>
    <w:rsid w:val="00450F07"/>
    <w:rsid w:val="00453CD3"/>
    <w:rsid w:val="00460660"/>
    <w:rsid w:val="00486107"/>
    <w:rsid w:val="00491827"/>
    <w:rsid w:val="004B348C"/>
    <w:rsid w:val="004C0532"/>
    <w:rsid w:val="004C4399"/>
    <w:rsid w:val="004C787C"/>
    <w:rsid w:val="004E143C"/>
    <w:rsid w:val="004E3A53"/>
    <w:rsid w:val="004F20BC"/>
    <w:rsid w:val="004F4B9B"/>
    <w:rsid w:val="004F69EA"/>
    <w:rsid w:val="00511AB9"/>
    <w:rsid w:val="00523EA7"/>
    <w:rsid w:val="00553375"/>
    <w:rsid w:val="00557C28"/>
    <w:rsid w:val="005736B7"/>
    <w:rsid w:val="00575E5A"/>
    <w:rsid w:val="0059573F"/>
    <w:rsid w:val="005F1404"/>
    <w:rsid w:val="0061068E"/>
    <w:rsid w:val="00657FAF"/>
    <w:rsid w:val="00660AD3"/>
    <w:rsid w:val="00677B7F"/>
    <w:rsid w:val="006A5570"/>
    <w:rsid w:val="006A689C"/>
    <w:rsid w:val="006B3D79"/>
    <w:rsid w:val="006C3BE5"/>
    <w:rsid w:val="006D7623"/>
    <w:rsid w:val="006D7AFE"/>
    <w:rsid w:val="006E0578"/>
    <w:rsid w:val="006E314D"/>
    <w:rsid w:val="00710723"/>
    <w:rsid w:val="00723ED1"/>
    <w:rsid w:val="00743525"/>
    <w:rsid w:val="0076286B"/>
    <w:rsid w:val="00766846"/>
    <w:rsid w:val="0077673A"/>
    <w:rsid w:val="007846E1"/>
    <w:rsid w:val="007857BC"/>
    <w:rsid w:val="007B570C"/>
    <w:rsid w:val="007C589B"/>
    <w:rsid w:val="007E4A6E"/>
    <w:rsid w:val="007F56A7"/>
    <w:rsid w:val="00807DD0"/>
    <w:rsid w:val="008179F7"/>
    <w:rsid w:val="008659F3"/>
    <w:rsid w:val="008848F9"/>
    <w:rsid w:val="00886D4B"/>
    <w:rsid w:val="00895406"/>
    <w:rsid w:val="008A3568"/>
    <w:rsid w:val="008D03B9"/>
    <w:rsid w:val="008F18D6"/>
    <w:rsid w:val="00904780"/>
    <w:rsid w:val="00922385"/>
    <w:rsid w:val="009223DF"/>
    <w:rsid w:val="00923DE9"/>
    <w:rsid w:val="00936091"/>
    <w:rsid w:val="00940D8A"/>
    <w:rsid w:val="00962258"/>
    <w:rsid w:val="00964607"/>
    <w:rsid w:val="009678B7"/>
    <w:rsid w:val="009833E1"/>
    <w:rsid w:val="009906A1"/>
    <w:rsid w:val="00992D9C"/>
    <w:rsid w:val="009959AC"/>
    <w:rsid w:val="00996CB8"/>
    <w:rsid w:val="009A2714"/>
    <w:rsid w:val="009B14A9"/>
    <w:rsid w:val="009B2E97"/>
    <w:rsid w:val="009C5618"/>
    <w:rsid w:val="009E07F4"/>
    <w:rsid w:val="009F392E"/>
    <w:rsid w:val="00A1153A"/>
    <w:rsid w:val="00A330F7"/>
    <w:rsid w:val="00A6177B"/>
    <w:rsid w:val="00A66136"/>
    <w:rsid w:val="00AA4CBB"/>
    <w:rsid w:val="00AA65FA"/>
    <w:rsid w:val="00AA7351"/>
    <w:rsid w:val="00AB0D4D"/>
    <w:rsid w:val="00AD056F"/>
    <w:rsid w:val="00AD6731"/>
    <w:rsid w:val="00B15D0D"/>
    <w:rsid w:val="00B34FD9"/>
    <w:rsid w:val="00B54A1A"/>
    <w:rsid w:val="00B635A8"/>
    <w:rsid w:val="00B71E1B"/>
    <w:rsid w:val="00B75EE1"/>
    <w:rsid w:val="00B77481"/>
    <w:rsid w:val="00B8518B"/>
    <w:rsid w:val="00BD7E91"/>
    <w:rsid w:val="00C02D0A"/>
    <w:rsid w:val="00C03A6E"/>
    <w:rsid w:val="00C44F6A"/>
    <w:rsid w:val="00C47AE3"/>
    <w:rsid w:val="00C9173F"/>
    <w:rsid w:val="00CD1FC4"/>
    <w:rsid w:val="00D00292"/>
    <w:rsid w:val="00D21061"/>
    <w:rsid w:val="00D4108E"/>
    <w:rsid w:val="00D6163D"/>
    <w:rsid w:val="00D73D46"/>
    <w:rsid w:val="00D81420"/>
    <w:rsid w:val="00D831A3"/>
    <w:rsid w:val="00DC75F3"/>
    <w:rsid w:val="00DD29C3"/>
    <w:rsid w:val="00DD4302"/>
    <w:rsid w:val="00DD46F3"/>
    <w:rsid w:val="00DE56F2"/>
    <w:rsid w:val="00DF116D"/>
    <w:rsid w:val="00E076C0"/>
    <w:rsid w:val="00E26AE3"/>
    <w:rsid w:val="00E36C4A"/>
    <w:rsid w:val="00E50C83"/>
    <w:rsid w:val="00E6330D"/>
    <w:rsid w:val="00E71EB4"/>
    <w:rsid w:val="00EB104F"/>
    <w:rsid w:val="00ED14BD"/>
    <w:rsid w:val="00EE1A11"/>
    <w:rsid w:val="00F0533E"/>
    <w:rsid w:val="00F1048D"/>
    <w:rsid w:val="00F11BE8"/>
    <w:rsid w:val="00F12DEC"/>
    <w:rsid w:val="00F1715C"/>
    <w:rsid w:val="00F310F8"/>
    <w:rsid w:val="00F35939"/>
    <w:rsid w:val="00F45607"/>
    <w:rsid w:val="00F5558F"/>
    <w:rsid w:val="00F659EB"/>
    <w:rsid w:val="00F771D8"/>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4CD6ED"/>
  <w14:defaultImageDpi w14:val="32767"/>
  <w15:docId w15:val="{FAFAD0FF-15D5-48D3-98E8-F036796C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29C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razkapro1a11">
    <w:name w:val="Odrazka pro 1 a 1.1"/>
    <w:basedOn w:val="Normln"/>
    <w:qFormat/>
    <w:rsid w:val="00DD29C3"/>
    <w:pPr>
      <w:numPr>
        <w:numId w:val="34"/>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DD29C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DD29C3"/>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para">
    <w:name w:val="para"/>
    <w:basedOn w:val="Normln"/>
    <w:rsid w:val="003362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3628E"/>
    <w:rPr>
      <w:i/>
      <w:iCs/>
    </w:rPr>
  </w:style>
  <w:style w:type="paragraph" w:customStyle="1" w:styleId="l4">
    <w:name w:val="l4"/>
    <w:basedOn w:val="Normln"/>
    <w:rsid w:val="0033628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normalodsazene">
    <w:name w:val="normalodsazene"/>
    <w:basedOn w:val="Normln"/>
    <w:rsid w:val="003362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i-provider">
    <w:name w:val="ui-provider"/>
    <w:basedOn w:val="Standardnpsmoodstavce"/>
    <w:rsid w:val="0033628E"/>
  </w:style>
  <w:style w:type="character" w:styleId="Odkaznakoment">
    <w:name w:val="annotation reference"/>
    <w:basedOn w:val="Standardnpsmoodstavce"/>
    <w:uiPriority w:val="99"/>
    <w:semiHidden/>
    <w:unhideWhenUsed/>
    <w:rsid w:val="0033628E"/>
    <w:rPr>
      <w:sz w:val="16"/>
      <w:szCs w:val="16"/>
    </w:rPr>
  </w:style>
  <w:style w:type="paragraph" w:styleId="Textkomente">
    <w:name w:val="annotation text"/>
    <w:basedOn w:val="Normln"/>
    <w:link w:val="TextkomenteChar"/>
    <w:uiPriority w:val="99"/>
    <w:unhideWhenUsed/>
    <w:rsid w:val="0033628E"/>
    <w:pPr>
      <w:spacing w:line="240" w:lineRule="auto"/>
    </w:pPr>
    <w:rPr>
      <w:sz w:val="20"/>
      <w:szCs w:val="20"/>
    </w:rPr>
  </w:style>
  <w:style w:type="character" w:customStyle="1" w:styleId="TextkomenteChar">
    <w:name w:val="Text komentáře Char"/>
    <w:basedOn w:val="Standardnpsmoodstavce"/>
    <w:link w:val="Textkomente"/>
    <w:uiPriority w:val="99"/>
    <w:rsid w:val="0033628E"/>
    <w:rPr>
      <w:sz w:val="20"/>
      <w:szCs w:val="20"/>
    </w:rPr>
  </w:style>
  <w:style w:type="paragraph" w:styleId="Pedmtkomente">
    <w:name w:val="annotation subject"/>
    <w:basedOn w:val="Textkomente"/>
    <w:next w:val="Textkomente"/>
    <w:link w:val="PedmtkomenteChar"/>
    <w:uiPriority w:val="99"/>
    <w:semiHidden/>
    <w:unhideWhenUsed/>
    <w:rsid w:val="0033628E"/>
    <w:rPr>
      <w:b/>
      <w:bCs/>
    </w:rPr>
  </w:style>
  <w:style w:type="character" w:customStyle="1" w:styleId="PedmtkomenteChar">
    <w:name w:val="Předmět komentáře Char"/>
    <w:basedOn w:val="TextkomenteChar"/>
    <w:link w:val="Pedmtkomente"/>
    <w:uiPriority w:val="99"/>
    <w:semiHidden/>
    <w:rsid w:val="0033628E"/>
    <w:rPr>
      <w:b/>
      <w:bCs/>
      <w:sz w:val="20"/>
      <w:szCs w:val="20"/>
    </w:rPr>
  </w:style>
  <w:style w:type="paragraph" w:styleId="Revize">
    <w:name w:val="Revision"/>
    <w:hidden/>
    <w:uiPriority w:val="99"/>
    <w:semiHidden/>
    <w:rsid w:val="00366B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84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0EB48C77-79A0-45AB-A832-E78F086CA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9A8CD44-9F0F-40F6-AE1E-4AE0488E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2</TotalTime>
  <Pages>6</Pages>
  <Words>2061</Words>
  <Characters>12163</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Zajíčková Veronika, Mgr.</cp:lastModifiedBy>
  <cp:revision>4</cp:revision>
  <cp:lastPrinted>2017-11-28T17:18:00Z</cp:lastPrinted>
  <dcterms:created xsi:type="dcterms:W3CDTF">2024-05-22T10:25:00Z</dcterms:created>
  <dcterms:modified xsi:type="dcterms:W3CDTF">2024-05-22T10:28:00Z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